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087305">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087305">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087305" w:rsidRDefault="00087305" w:rsidP="00087305">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C04DA0" w:rsidRDefault="00C04DA0" w:rsidP="00C04DA0">
      <w:pPr>
        <w:pStyle w:val="En-tte"/>
        <w:tabs>
          <w:tab w:val="clear" w:pos="4536"/>
          <w:tab w:val="clear" w:pos="9072"/>
        </w:tabs>
        <w:rPr>
          <w:rFonts w:ascii="Arial" w:hAnsi="Arial" w:cs="Arial"/>
        </w:rPr>
      </w:pPr>
    </w:p>
    <w:p w:rsidR="00D86D09" w:rsidRPr="00D86D09" w:rsidRDefault="00D86D09" w:rsidP="005D60B2">
      <w:pPr>
        <w:suppressAutoHyphens w:val="0"/>
        <w:overflowPunct w:val="0"/>
        <w:autoSpaceDE w:val="0"/>
        <w:autoSpaceDN w:val="0"/>
        <w:adjustRightInd w:val="0"/>
        <w:jc w:val="center"/>
        <w:textAlignment w:val="baseline"/>
        <w:rPr>
          <w:rFonts w:ascii="Arial" w:hAnsi="Arial" w:cs="Univers"/>
          <w:b/>
          <w:iCs/>
        </w:rPr>
      </w:pPr>
      <w:r w:rsidRPr="00D86D09">
        <w:rPr>
          <w:rFonts w:ascii="Arial" w:hAnsi="Arial" w:cs="Univers"/>
          <w:b/>
          <w:iCs/>
        </w:rPr>
        <w:t>CENTRE HOSPITALIER UNIVERSITAIRE CAEN NORMANDIE</w:t>
      </w:r>
    </w:p>
    <w:p w:rsidR="00D86D09" w:rsidRPr="00D86D09" w:rsidRDefault="00D86D09" w:rsidP="00D86D09">
      <w:pPr>
        <w:suppressAutoHyphens w:val="0"/>
        <w:overflowPunct w:val="0"/>
        <w:autoSpaceDE w:val="0"/>
        <w:autoSpaceDN w:val="0"/>
        <w:adjustRightInd w:val="0"/>
        <w:jc w:val="center"/>
        <w:textAlignment w:val="baseline"/>
        <w:rPr>
          <w:rFonts w:ascii="Arial" w:hAnsi="Arial" w:cs="Univers"/>
          <w:b/>
          <w:iCs/>
        </w:rPr>
      </w:pPr>
      <w:r w:rsidRPr="00D86D09">
        <w:rPr>
          <w:rFonts w:ascii="Arial" w:hAnsi="Arial" w:cs="Univers"/>
          <w:b/>
          <w:iCs/>
        </w:rPr>
        <w:t xml:space="preserve">Direction des </w:t>
      </w:r>
      <w:r w:rsidR="00087305">
        <w:rPr>
          <w:rFonts w:ascii="Arial" w:hAnsi="Arial" w:cs="Univers"/>
          <w:b/>
          <w:iCs/>
        </w:rPr>
        <w:t>a</w:t>
      </w:r>
      <w:r w:rsidRPr="00D86D09">
        <w:rPr>
          <w:rFonts w:ascii="Arial" w:hAnsi="Arial" w:cs="Univers"/>
          <w:b/>
          <w:iCs/>
        </w:rPr>
        <w:t xml:space="preserve">ffaires </w:t>
      </w:r>
      <w:r w:rsidR="00087305">
        <w:rPr>
          <w:rFonts w:ascii="Arial" w:hAnsi="Arial" w:cs="Univers"/>
          <w:b/>
          <w:iCs/>
        </w:rPr>
        <w:t>j</w:t>
      </w:r>
      <w:r w:rsidRPr="00D86D09">
        <w:rPr>
          <w:rFonts w:ascii="Arial" w:hAnsi="Arial" w:cs="Univers"/>
          <w:b/>
          <w:iCs/>
        </w:rPr>
        <w:t>uridiques</w:t>
      </w:r>
    </w:p>
    <w:p w:rsidR="00087305" w:rsidRDefault="00087305" w:rsidP="00087305">
      <w:pPr>
        <w:suppressAutoHyphens w:val="0"/>
        <w:overflowPunct w:val="0"/>
        <w:autoSpaceDE w:val="0"/>
        <w:autoSpaceDN w:val="0"/>
        <w:adjustRightInd w:val="0"/>
        <w:jc w:val="center"/>
        <w:textAlignment w:val="baseline"/>
        <w:rPr>
          <w:rFonts w:ascii="Arial" w:hAnsi="Arial" w:cs="Univers"/>
          <w:b/>
          <w:iCs/>
        </w:rPr>
      </w:pPr>
      <w:r w:rsidRPr="00D86D09">
        <w:rPr>
          <w:rFonts w:ascii="Arial" w:hAnsi="Arial" w:cs="Univers"/>
          <w:b/>
          <w:iCs/>
        </w:rPr>
        <w:t>Cellule marchés publics - Achats généraux</w:t>
      </w:r>
    </w:p>
    <w:p w:rsidR="005D60B2" w:rsidRPr="00D86D09" w:rsidRDefault="005D60B2" w:rsidP="00087305">
      <w:pPr>
        <w:suppressAutoHyphens w:val="0"/>
        <w:overflowPunct w:val="0"/>
        <w:autoSpaceDE w:val="0"/>
        <w:autoSpaceDN w:val="0"/>
        <w:adjustRightInd w:val="0"/>
        <w:jc w:val="center"/>
        <w:textAlignment w:val="baseline"/>
        <w:rPr>
          <w:rFonts w:ascii="Arial" w:hAnsi="Arial" w:cs="Univers"/>
          <w:b/>
          <w:iCs/>
        </w:rPr>
      </w:pPr>
      <w:r>
        <w:rPr>
          <w:rFonts w:ascii="Arial" w:hAnsi="Arial" w:cs="Univers"/>
          <w:b/>
          <w:iCs/>
        </w:rPr>
        <w:t>Avenue Côte de Nacre</w:t>
      </w:r>
    </w:p>
    <w:p w:rsidR="00D86D09" w:rsidRPr="00D86D09" w:rsidRDefault="00D86D09" w:rsidP="00D86D09">
      <w:pPr>
        <w:suppressAutoHyphens w:val="0"/>
        <w:overflowPunct w:val="0"/>
        <w:autoSpaceDE w:val="0"/>
        <w:autoSpaceDN w:val="0"/>
        <w:adjustRightInd w:val="0"/>
        <w:jc w:val="center"/>
        <w:textAlignment w:val="baseline"/>
        <w:rPr>
          <w:rFonts w:ascii="Arial" w:hAnsi="Arial" w:cs="Univers"/>
          <w:b/>
          <w:iCs/>
        </w:rPr>
      </w:pPr>
      <w:r w:rsidRPr="00D86D09">
        <w:rPr>
          <w:rFonts w:ascii="Arial" w:hAnsi="Arial" w:cs="Univers"/>
          <w:b/>
          <w:iCs/>
        </w:rPr>
        <w:t>CS 30001</w:t>
      </w:r>
    </w:p>
    <w:p w:rsidR="00D86D09" w:rsidRPr="00D86D09" w:rsidRDefault="00D86D09" w:rsidP="00D86D09">
      <w:pPr>
        <w:suppressAutoHyphens w:val="0"/>
        <w:overflowPunct w:val="0"/>
        <w:autoSpaceDE w:val="0"/>
        <w:autoSpaceDN w:val="0"/>
        <w:adjustRightInd w:val="0"/>
        <w:jc w:val="center"/>
        <w:textAlignment w:val="baseline"/>
        <w:rPr>
          <w:rFonts w:ascii="Arial" w:hAnsi="Arial" w:cs="Univers"/>
          <w:b/>
          <w:iCs/>
        </w:rPr>
      </w:pPr>
      <w:r w:rsidRPr="00D86D09">
        <w:rPr>
          <w:rFonts w:ascii="Arial" w:hAnsi="Arial" w:cs="Univers"/>
          <w:b/>
          <w:iCs/>
        </w:rPr>
        <w:t>14033 CAEN CEDEX 9</w:t>
      </w:r>
    </w:p>
    <w:p w:rsidR="00D86D09" w:rsidRPr="00D86D09" w:rsidRDefault="00D86D09" w:rsidP="00D86D09">
      <w:pPr>
        <w:suppressAutoHyphens w:val="0"/>
        <w:overflowPunct w:val="0"/>
        <w:autoSpaceDE w:val="0"/>
        <w:autoSpaceDN w:val="0"/>
        <w:adjustRightInd w:val="0"/>
        <w:jc w:val="center"/>
        <w:textAlignment w:val="baseline"/>
        <w:rPr>
          <w:rFonts w:ascii="Arial" w:hAnsi="Arial"/>
          <w:b/>
          <w:iCs/>
          <w:szCs w:val="24"/>
          <w:lang w:eastAsia="fr-FR"/>
        </w:rPr>
      </w:pPr>
      <w:r w:rsidRPr="00D86D09">
        <w:rPr>
          <w:rFonts w:ascii="Arial" w:hAnsi="Arial" w:cs="Univers"/>
          <w:b/>
          <w:iCs/>
        </w:rPr>
        <w:t xml:space="preserve">Courriel : </w:t>
      </w:r>
      <w:hyperlink r:id="rId10" w:history="1">
        <w:r w:rsidR="005D60B2" w:rsidRPr="00CA4099">
          <w:rPr>
            <w:rStyle w:val="Lienhypertexte"/>
            <w:rFonts w:ascii="Arial" w:hAnsi="Arial" w:cs="Univers"/>
            <w:b/>
            <w:iCs/>
          </w:rPr>
          <w:t>feret-m@chu-caen.fr</w:t>
        </w:r>
      </w:hyperlink>
      <w:r w:rsidR="005D60B2">
        <w:rPr>
          <w:rFonts w:ascii="Arial" w:hAnsi="Arial" w:cs="Univers"/>
          <w:b/>
          <w:iCs/>
        </w:rPr>
        <w:t xml:space="preserve"> </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087305">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87305" w:rsidRPr="002440D7" w:rsidRDefault="00087305" w:rsidP="00087305">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7411D9" w:rsidRDefault="007411D9">
      <w:pPr>
        <w:rPr>
          <w:rFonts w:ascii="Arial" w:hAnsi="Arial" w:cs="Arial"/>
          <w:b/>
          <w:bCs/>
        </w:rPr>
      </w:pPr>
    </w:p>
    <w:p w:rsidR="005D60B2" w:rsidRPr="005D60B2" w:rsidRDefault="005D60B2" w:rsidP="005D60B2">
      <w:pPr>
        <w:suppressAutoHyphens w:val="0"/>
        <w:jc w:val="center"/>
        <w:rPr>
          <w:rFonts w:ascii="Arial" w:hAnsi="Arial"/>
          <w:b/>
          <w:iCs/>
        </w:rPr>
      </w:pPr>
      <w:r w:rsidRPr="005D60B2">
        <w:rPr>
          <w:rFonts w:ascii="Arial" w:hAnsi="Arial"/>
          <w:b/>
          <w:iCs/>
          <w:u w:val="dottedHeavy"/>
        </w:rPr>
        <w:t xml:space="preserve">PROCEDURE </w:t>
      </w:r>
      <w:proofErr w:type="gramStart"/>
      <w:r w:rsidRPr="005D60B2">
        <w:rPr>
          <w:rFonts w:ascii="Arial" w:hAnsi="Arial"/>
          <w:b/>
          <w:iCs/>
          <w:u w:val="dottedHeavy"/>
        </w:rPr>
        <w:t>ADAPTEE  n</w:t>
      </w:r>
      <w:proofErr w:type="gramEnd"/>
      <w:r w:rsidRPr="005D60B2">
        <w:rPr>
          <w:rFonts w:ascii="Arial" w:hAnsi="Arial"/>
          <w:b/>
          <w:iCs/>
          <w:u w:val="dottedHeavy"/>
        </w:rPr>
        <w:t>°</w:t>
      </w:r>
      <w:r w:rsidR="00A65EFD">
        <w:rPr>
          <w:rFonts w:ascii="Arial" w:hAnsi="Arial"/>
          <w:b/>
          <w:iCs/>
          <w:u w:val="dottedHeavy"/>
        </w:rPr>
        <w:t>2024155</w:t>
      </w:r>
    </w:p>
    <w:p w:rsidR="005D60B2" w:rsidRPr="005D60B2" w:rsidRDefault="005D60B2" w:rsidP="005D60B2">
      <w:pPr>
        <w:jc w:val="center"/>
        <w:rPr>
          <w:rFonts w:ascii="Arial" w:hAnsi="Arial" w:cs="Arial"/>
          <w:b/>
        </w:rPr>
      </w:pPr>
      <w:r w:rsidRPr="005D60B2">
        <w:rPr>
          <w:rFonts w:ascii="Arial" w:hAnsi="Arial" w:cs="Arial"/>
          <w:b/>
        </w:rPr>
        <w:t>Enseignement de l’anglais aux étudiant</w:t>
      </w:r>
      <w:r w:rsidR="006F694F">
        <w:rPr>
          <w:rFonts w:ascii="Arial" w:hAnsi="Arial" w:cs="Arial"/>
          <w:b/>
        </w:rPr>
        <w:t>s</w:t>
      </w:r>
      <w:r w:rsidRPr="005D60B2">
        <w:rPr>
          <w:rFonts w:ascii="Arial" w:hAnsi="Arial" w:cs="Arial"/>
          <w:b/>
        </w:rPr>
        <w:t xml:space="preserve"> de l’IFSI et formation du personnel médical à l’américain parlé au CHU Caen Normandie</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961EA1">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bookmarkStart w:id="0" w:name="_GoBack"/>
      <w:bookmarkEnd w:id="0"/>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A65EFD">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5EF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65EFD">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65EFD">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65EFD">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A65EFD">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6D09" w:rsidRDefault="00D86D09">
      <w:r>
        <w:separator/>
      </w:r>
    </w:p>
  </w:endnote>
  <w:endnote w:type="continuationSeparator" w:id="0">
    <w:p w:rsidR="00D86D09" w:rsidRDefault="00D86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A65EFD">
          <w:pPr>
            <w:jc w:val="center"/>
            <w:rPr>
              <w:rFonts w:ascii="Arial" w:hAnsi="Arial" w:cs="Arial"/>
              <w:b/>
              <w:bCs/>
            </w:rPr>
          </w:pPr>
          <w:r>
            <w:rPr>
              <w:rFonts w:ascii="Arial" w:hAnsi="Arial" w:cs="Arial"/>
              <w:b/>
              <w:i/>
              <w:iCs/>
            </w:rPr>
            <w:t>2024155</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F69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F69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6D09" w:rsidRDefault="00D86D09">
      <w:r>
        <w:separator/>
      </w:r>
    </w:p>
  </w:footnote>
  <w:footnote w:type="continuationSeparator" w:id="0">
    <w:p w:rsidR="00D86D09" w:rsidRDefault="00D86D09">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09"/>
    <w:rsid w:val="0001700A"/>
    <w:rsid w:val="00033BC0"/>
    <w:rsid w:val="00056CB1"/>
    <w:rsid w:val="00057419"/>
    <w:rsid w:val="00080D2A"/>
    <w:rsid w:val="00084F22"/>
    <w:rsid w:val="00087305"/>
    <w:rsid w:val="000A4B86"/>
    <w:rsid w:val="000E5E39"/>
    <w:rsid w:val="001035C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D60B2"/>
    <w:rsid w:val="005E12D0"/>
    <w:rsid w:val="00625F1D"/>
    <w:rsid w:val="00632D63"/>
    <w:rsid w:val="00633D7F"/>
    <w:rsid w:val="00645FD5"/>
    <w:rsid w:val="00673463"/>
    <w:rsid w:val="00676069"/>
    <w:rsid w:val="006D5E52"/>
    <w:rsid w:val="006D7224"/>
    <w:rsid w:val="006F26C8"/>
    <w:rsid w:val="006F4BC9"/>
    <w:rsid w:val="006F694F"/>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60E4C"/>
    <w:rsid w:val="00961EA1"/>
    <w:rsid w:val="0097024E"/>
    <w:rsid w:val="00981CD3"/>
    <w:rsid w:val="00990786"/>
    <w:rsid w:val="009924C9"/>
    <w:rsid w:val="009A6876"/>
    <w:rsid w:val="009B0B7A"/>
    <w:rsid w:val="009B14B4"/>
    <w:rsid w:val="00A02C06"/>
    <w:rsid w:val="00A32C14"/>
    <w:rsid w:val="00A440EF"/>
    <w:rsid w:val="00A503F3"/>
    <w:rsid w:val="00A50BF9"/>
    <w:rsid w:val="00A520E2"/>
    <w:rsid w:val="00A65EFD"/>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86D09"/>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1194A1"/>
  <w15:chartTrackingRefBased/>
  <w15:docId w15:val="{BCD1C54C-A34C-4831-B66F-269CE2F8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Mentionnonrsolue1">
    <w:name w:val="Mention non résolue1"/>
    <w:basedOn w:val="Policepardfaut"/>
    <w:uiPriority w:val="99"/>
    <w:semiHidden/>
    <w:unhideWhenUsed/>
    <w:rsid w:val="000873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A3D80-E088-4D79-878E-5D2B840D3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1786</Words>
  <Characters>9825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11588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FERET MARYSE</cp:lastModifiedBy>
  <cp:revision>7</cp:revision>
  <cp:lastPrinted>2016-11-02T12:51:00Z</cp:lastPrinted>
  <dcterms:created xsi:type="dcterms:W3CDTF">2022-12-30T09:05:00Z</dcterms:created>
  <dcterms:modified xsi:type="dcterms:W3CDTF">2024-11-19T10:31:00Z</dcterms:modified>
</cp:coreProperties>
</file>