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D1039" w:rsidRPr="00F958F1" w:rsidRDefault="000F2D83">
            <w:pPr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</w:p>
        </w:tc>
        <w:tc>
          <w:tcPr>
            <w:tcW w:w="709" w:type="dxa"/>
            <w:vAlign w:val="center"/>
          </w:tcPr>
          <w:p w:rsidR="000D1039" w:rsidRPr="00AF2477" w:rsidRDefault="003A30AD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07B56" w:rsidRPr="00F958F1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3A30AD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3A30AD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  <w:r>
              <w:rPr>
                <w:rFonts w:ascii="MS Gothic" w:eastAsia="MS Gothic" w:hAnsi="MS Gothic" w:cstheme="minorHAnsi" w:hint="eastAsia"/>
                <w:sz w:val="24"/>
                <w:szCs w:val="24"/>
              </w:rPr>
              <w:t xml:space="preserve"> </w:t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3A30AD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</w:t>
            </w:r>
            <w:r w:rsidR="0035351A">
              <w:rPr>
                <w:rFonts w:cstheme="minorHAnsi"/>
              </w:rPr>
              <w:t xml:space="preserve"> ou Preuves de capacité dans le domaine</w:t>
            </w:r>
            <w:r w:rsidRPr="00F958F1">
              <w:rPr>
                <w:rFonts w:cstheme="minorHAnsi"/>
              </w:rPr>
              <w:t xml:space="preserve">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3A30AD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>
      <w:bookmarkStart w:id="0" w:name="_GoBack"/>
      <w:bookmarkEnd w:id="0"/>
    </w:p>
    <w:p w:rsidR="000D1039" w:rsidRDefault="000D1039"/>
    <w:sectPr w:rsidR="000D1039" w:rsidSect="000D1039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814" w:rsidRDefault="00547814" w:rsidP="000D1039">
      <w:pPr>
        <w:spacing w:after="0" w:line="240" w:lineRule="auto"/>
      </w:pPr>
      <w:r>
        <w:separator/>
      </w:r>
    </w:p>
  </w:endnote>
  <w:endnote w:type="continuationSeparator" w:id="0">
    <w:p w:rsidR="00547814" w:rsidRDefault="00547814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814" w:rsidRDefault="00547814" w:rsidP="000D1039">
      <w:pPr>
        <w:spacing w:after="0" w:line="240" w:lineRule="auto"/>
      </w:pPr>
      <w:r>
        <w:separator/>
      </w:r>
    </w:p>
  </w:footnote>
  <w:footnote w:type="continuationSeparator" w:id="0">
    <w:p w:rsidR="00547814" w:rsidRDefault="00547814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Pr="005A167E" w:rsidRDefault="00984ABA" w:rsidP="00615B91">
          <w:pPr>
            <w:pStyle w:val="RdaliaEn-tte"/>
            <w:tabs>
              <w:tab w:val="clear" w:pos="9072"/>
              <w:tab w:val="left" w:pos="705"/>
              <w:tab w:val="right" w:pos="2931"/>
            </w:tabs>
            <w:jc w:val="center"/>
            <w:rPr>
              <w:szCs w:val="24"/>
            </w:rPr>
          </w:pPr>
          <w:r w:rsidRPr="005A167E">
            <w:rPr>
              <w:b/>
              <w:szCs w:val="24"/>
            </w:rPr>
            <w:t>2</w:t>
          </w:r>
          <w:r w:rsidR="001619ED">
            <w:rPr>
              <w:b/>
              <w:szCs w:val="24"/>
            </w:rPr>
            <w:t>4</w:t>
          </w:r>
          <w:r w:rsidR="00EC2A4A">
            <w:rPr>
              <w:b/>
              <w:szCs w:val="24"/>
            </w:rPr>
            <w:t>233</w:t>
          </w:r>
          <w:r w:rsidRPr="005A167E">
            <w:rPr>
              <w:b/>
              <w:szCs w:val="24"/>
            </w:rPr>
            <w:t xml:space="preserve"> –</w:t>
          </w:r>
          <w:r w:rsidRPr="005A167E">
            <w:rPr>
              <w:szCs w:val="24"/>
            </w:rPr>
            <w:t xml:space="preserve"> </w:t>
          </w:r>
          <w:r w:rsidR="00EC2A4A" w:rsidRPr="00EC2A4A">
            <w:rPr>
              <w:b/>
              <w:bCs/>
            </w:rPr>
            <w:t xml:space="preserve">Maintenance préventive et curative, étude et réalisation de modifications des plates-formes de travail, passerelles et docks de l’AIACF et de ses détachements de Phalsbourg,   </w:t>
          </w:r>
          <w:proofErr w:type="spellStart"/>
          <w:r w:rsidR="00EC2A4A" w:rsidRPr="00EC2A4A">
            <w:rPr>
              <w:b/>
              <w:bCs/>
            </w:rPr>
            <w:t>Boulay</w:t>
          </w:r>
          <w:proofErr w:type="spellEnd"/>
          <w:r w:rsidR="00EC2A4A" w:rsidRPr="00EC2A4A">
            <w:rPr>
              <w:b/>
              <w:bCs/>
            </w:rPr>
            <w:t>-les-Barres et Evreux utilisés pour les travaux en hauteur sur les aéronefs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D1039"/>
    <w:rsid w:val="000E2ED8"/>
    <w:rsid w:val="000F2D83"/>
    <w:rsid w:val="00135046"/>
    <w:rsid w:val="001619ED"/>
    <w:rsid w:val="00172DD9"/>
    <w:rsid w:val="00213DCB"/>
    <w:rsid w:val="002A3523"/>
    <w:rsid w:val="0035351A"/>
    <w:rsid w:val="003A30AD"/>
    <w:rsid w:val="00403E62"/>
    <w:rsid w:val="00447333"/>
    <w:rsid w:val="004B5852"/>
    <w:rsid w:val="00547814"/>
    <w:rsid w:val="00592275"/>
    <w:rsid w:val="005A167E"/>
    <w:rsid w:val="00615B91"/>
    <w:rsid w:val="006337E5"/>
    <w:rsid w:val="006600DB"/>
    <w:rsid w:val="007060AD"/>
    <w:rsid w:val="007A5DB1"/>
    <w:rsid w:val="007B1294"/>
    <w:rsid w:val="007E7921"/>
    <w:rsid w:val="008127B2"/>
    <w:rsid w:val="00813AF1"/>
    <w:rsid w:val="008449A0"/>
    <w:rsid w:val="008A0F0A"/>
    <w:rsid w:val="008F7945"/>
    <w:rsid w:val="00952E44"/>
    <w:rsid w:val="00984ABA"/>
    <w:rsid w:val="00A5567E"/>
    <w:rsid w:val="00AF2477"/>
    <w:rsid w:val="00C05877"/>
    <w:rsid w:val="00C32233"/>
    <w:rsid w:val="00CE38DF"/>
    <w:rsid w:val="00D7313E"/>
    <w:rsid w:val="00E01DDB"/>
    <w:rsid w:val="00E70316"/>
    <w:rsid w:val="00EC2A4A"/>
    <w:rsid w:val="00ED157B"/>
    <w:rsid w:val="00F22FFA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1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9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5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TOTTOLI Jacqueline</cp:lastModifiedBy>
  <cp:revision>3</cp:revision>
  <dcterms:created xsi:type="dcterms:W3CDTF">2024-12-06T07:43:00Z</dcterms:created>
  <dcterms:modified xsi:type="dcterms:W3CDTF">2024-12-10T16:53:00Z</dcterms:modified>
</cp:coreProperties>
</file>