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E6" w:rsidRDefault="00490C88">
      <w:r>
        <w:t>Règles</w:t>
      </w:r>
      <w:bookmarkStart w:id="0" w:name="_GoBack"/>
      <w:bookmarkEnd w:id="0"/>
      <w:r>
        <w:t xml:space="preserve"> maintien de salaire maladie</w:t>
      </w:r>
    </w:p>
    <w:p w:rsidR="00490C88" w:rsidRPr="00E36855" w:rsidRDefault="00490C88" w:rsidP="00490C88">
      <w:pPr>
        <w:pStyle w:val="Titre4"/>
      </w:pPr>
      <w:r w:rsidRPr="00E36855">
        <w:t>Maladie, AT/MP en attente de reconnaissance</w:t>
      </w:r>
    </w:p>
    <w:p w:rsidR="00490C88" w:rsidRPr="00E36855" w:rsidRDefault="00490C88" w:rsidP="00490C88">
      <w:pPr>
        <w:pStyle w:val="Titre6"/>
      </w:pPr>
      <w:r w:rsidRPr="00E36855">
        <w:t>Personnel non cadre convention minière référencement mines et avenant 74</w:t>
      </w:r>
    </w:p>
    <w:p w:rsidR="00490C88" w:rsidRPr="00E11670" w:rsidRDefault="00490C88" w:rsidP="00490C88">
      <w:pPr>
        <w:rPr>
          <w:highlight w:val="magenta"/>
        </w:rPr>
      </w:pPr>
    </w:p>
    <w:tbl>
      <w:tblPr>
        <w:tblStyle w:val="TableauavecGrille"/>
        <w:tblW w:w="0" w:type="auto"/>
        <w:tblInd w:w="560" w:type="dxa"/>
        <w:tblLook w:val="04A0" w:firstRow="1" w:lastRow="0" w:firstColumn="1" w:lastColumn="0" w:noHBand="0" w:noVBand="1"/>
      </w:tblPr>
      <w:tblGrid>
        <w:gridCol w:w="1292"/>
        <w:gridCol w:w="1029"/>
        <w:gridCol w:w="838"/>
        <w:gridCol w:w="789"/>
        <w:gridCol w:w="838"/>
        <w:gridCol w:w="789"/>
        <w:gridCol w:w="839"/>
        <w:gridCol w:w="789"/>
        <w:gridCol w:w="1299"/>
      </w:tblGrid>
      <w:tr w:rsidR="00490C88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Ancienneté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Carence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Taux 1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1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Taux 2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2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Taux 3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3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>Remarques</w:t>
            </w:r>
          </w:p>
        </w:tc>
      </w:tr>
      <w:tr w:rsidR="00490C88" w:rsidTr="00046BD9">
        <w:tc>
          <w:tcPr>
            <w:tcW w:w="9413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MALADIE</w:t>
            </w:r>
          </w:p>
        </w:tc>
      </w:tr>
      <w:tr w:rsidR="00490C88" w:rsidTr="00046BD9">
        <w:trPr>
          <w:trHeight w:val="116"/>
        </w:trPr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0 à &lt; 6 mois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6 mois à &lt; 8 ans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8ans à  &lt; 13 ans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120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120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120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13 ans à &lt; 18 ans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150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150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150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&gt;= à 18 ans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</w:tbl>
    <w:p w:rsidR="00490C88" w:rsidRPr="00E36855" w:rsidRDefault="00490C88" w:rsidP="00490C88">
      <w:pPr>
        <w:pStyle w:val="Titre6"/>
      </w:pPr>
      <w:r w:rsidRPr="00E36855">
        <w:t>Cadres supérieurs convention minière référencement mines et avenant 74</w:t>
      </w:r>
    </w:p>
    <w:p w:rsidR="00490C88" w:rsidRDefault="00490C88" w:rsidP="00490C88">
      <w:pPr>
        <w:rPr>
          <w:u w:val="single"/>
        </w:rPr>
      </w:pPr>
    </w:p>
    <w:tbl>
      <w:tblPr>
        <w:tblStyle w:val="TableauavecGrille"/>
        <w:tblW w:w="0" w:type="auto"/>
        <w:tblInd w:w="560" w:type="dxa"/>
        <w:tblLook w:val="04A0" w:firstRow="1" w:lastRow="0" w:firstColumn="1" w:lastColumn="0" w:noHBand="0" w:noVBand="1"/>
      </w:tblPr>
      <w:tblGrid>
        <w:gridCol w:w="1292"/>
        <w:gridCol w:w="1029"/>
        <w:gridCol w:w="838"/>
        <w:gridCol w:w="789"/>
        <w:gridCol w:w="838"/>
        <w:gridCol w:w="789"/>
        <w:gridCol w:w="839"/>
        <w:gridCol w:w="789"/>
        <w:gridCol w:w="1299"/>
      </w:tblGrid>
      <w:tr w:rsidR="00490C88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Ancienneté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Carence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Taux 1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1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Taux 2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2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Taux 3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3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>Remarques</w:t>
            </w:r>
          </w:p>
        </w:tc>
      </w:tr>
      <w:tr w:rsidR="00490C88" w:rsidTr="00046BD9">
        <w:tc>
          <w:tcPr>
            <w:tcW w:w="9413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MALADIE</w:t>
            </w:r>
          </w:p>
        </w:tc>
      </w:tr>
      <w:tr w:rsidR="00490C88" w:rsidTr="00046BD9">
        <w:trPr>
          <w:trHeight w:val="116"/>
        </w:trPr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0 &lt; 6 mois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50" w:type="dxa"/>
          </w:tcPr>
          <w:p w:rsidR="00490C88" w:rsidRPr="002071DF" w:rsidRDefault="00490C88" w:rsidP="00046BD9">
            <w:pPr>
              <w:ind w:left="0"/>
            </w:pPr>
            <w:r w:rsidRPr="002071DF">
              <w:t>&gt;</w:t>
            </w:r>
            <w:r>
              <w:t>= 6 moins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 xml:space="preserve">Une seule tranche </w:t>
            </w:r>
          </w:p>
        </w:tc>
      </w:tr>
    </w:tbl>
    <w:p w:rsidR="00490C88" w:rsidRPr="00E36855" w:rsidRDefault="00490C88" w:rsidP="00490C88">
      <w:pPr>
        <w:pStyle w:val="Titre6"/>
      </w:pPr>
      <w:r w:rsidRPr="00E36855">
        <w:t xml:space="preserve">Cadres médicaux miniers (médecins spécialistes, médecins généralistes, chirurgiens-dentistes, pharmaciens) </w:t>
      </w:r>
    </w:p>
    <w:p w:rsidR="00490C88" w:rsidRDefault="00490C88" w:rsidP="00490C88">
      <w:pPr>
        <w:rPr>
          <w:u w:val="single"/>
        </w:rPr>
      </w:pPr>
    </w:p>
    <w:tbl>
      <w:tblPr>
        <w:tblStyle w:val="TableauavecGrille"/>
        <w:tblW w:w="0" w:type="auto"/>
        <w:tblInd w:w="560" w:type="dxa"/>
        <w:tblLook w:val="04A0" w:firstRow="1" w:lastRow="0" w:firstColumn="1" w:lastColumn="0" w:noHBand="0" w:noVBand="1"/>
      </w:tblPr>
      <w:tblGrid>
        <w:gridCol w:w="1283"/>
        <w:gridCol w:w="1025"/>
        <w:gridCol w:w="841"/>
        <w:gridCol w:w="793"/>
        <w:gridCol w:w="841"/>
        <w:gridCol w:w="793"/>
        <w:gridCol w:w="842"/>
        <w:gridCol w:w="793"/>
        <w:gridCol w:w="1291"/>
      </w:tblGrid>
      <w:tr w:rsidR="00490C88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Ancienneté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Carence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Taux 1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Nb jour 1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Taux 2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Nb jour 2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Taux 3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Nb jour 3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>Remarques</w:t>
            </w:r>
          </w:p>
        </w:tc>
      </w:tr>
      <w:tr w:rsidR="00490C88" w:rsidTr="00046BD9">
        <w:trPr>
          <w:trHeight w:val="576"/>
        </w:trPr>
        <w:tc>
          <w:tcPr>
            <w:tcW w:w="9635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MALADIE</w:t>
            </w:r>
          </w:p>
        </w:tc>
      </w:tr>
      <w:tr w:rsidR="00490C88" w:rsidTr="00046BD9">
        <w:trPr>
          <w:trHeight w:val="116"/>
        </w:trPr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0 &lt; 6 mois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6 mois &lt; 5 ans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5 ans &lt; 10 ans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120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120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120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10 ans &lt; 15 ans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150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150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150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&gt;= + de 15 ans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75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</w:tbl>
    <w:p w:rsidR="00490C88" w:rsidRDefault="00490C88" w:rsidP="00490C88"/>
    <w:p w:rsidR="00490C88" w:rsidRPr="00E36855" w:rsidRDefault="00490C88" w:rsidP="00490C88">
      <w:pPr>
        <w:pStyle w:val="Titre6"/>
      </w:pPr>
      <w:r w:rsidRPr="00E36855">
        <w:t>Aides à domicile de l’Est</w:t>
      </w:r>
    </w:p>
    <w:p w:rsidR="00490C88" w:rsidRDefault="00490C88" w:rsidP="00490C88">
      <w:r>
        <w:t>Les AAD de l’EST sont gérés selon le droit local Alsace-Moselle. Les droites santés sont identiques pour tous les motifs (Maladie, accident du travail, maternité...)</w:t>
      </w:r>
    </w:p>
    <w:p w:rsidR="00490C88" w:rsidRDefault="00490C88" w:rsidP="00490C88">
      <w:r>
        <w:t>La gestion des maladies est faite en année glissante (12 mois à partir de la première absence maladie).</w:t>
      </w:r>
    </w:p>
    <w:p w:rsidR="00490C88" w:rsidRDefault="00490C88" w:rsidP="00490C88">
      <w:r>
        <w:lastRenderedPageBreak/>
        <w:t xml:space="preserve">   </w:t>
      </w:r>
    </w:p>
    <w:tbl>
      <w:tblPr>
        <w:tblStyle w:val="TableauavecGrille"/>
        <w:tblW w:w="0" w:type="auto"/>
        <w:tblInd w:w="560" w:type="dxa"/>
        <w:tblLook w:val="04A0" w:firstRow="1" w:lastRow="0" w:firstColumn="1" w:lastColumn="0" w:noHBand="0" w:noVBand="1"/>
      </w:tblPr>
      <w:tblGrid>
        <w:gridCol w:w="1292"/>
        <w:gridCol w:w="1029"/>
        <w:gridCol w:w="838"/>
        <w:gridCol w:w="789"/>
        <w:gridCol w:w="838"/>
        <w:gridCol w:w="789"/>
        <w:gridCol w:w="839"/>
        <w:gridCol w:w="789"/>
        <w:gridCol w:w="1299"/>
      </w:tblGrid>
      <w:tr w:rsidR="00490C88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Ancienneté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Carence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Taux 1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1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Taux 2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2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Taux 3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Nb jour 3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>Remarques</w:t>
            </w:r>
          </w:p>
        </w:tc>
      </w:tr>
      <w:tr w:rsidR="00490C88" w:rsidTr="00046BD9">
        <w:tc>
          <w:tcPr>
            <w:tcW w:w="9413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MALADIE</w:t>
            </w:r>
          </w:p>
        </w:tc>
      </w:tr>
      <w:tr w:rsidR="00490C88" w:rsidTr="00046BD9">
        <w:tc>
          <w:tcPr>
            <w:tcW w:w="1350" w:type="dxa"/>
          </w:tcPr>
          <w:p w:rsidR="00490C88" w:rsidRDefault="00490C88" w:rsidP="00046BD9">
            <w:pPr>
              <w:ind w:left="0"/>
            </w:pPr>
            <w:r>
              <w:t>Sans conditions</w:t>
            </w:r>
          </w:p>
        </w:tc>
        <w:tc>
          <w:tcPr>
            <w:tcW w:w="10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42</w:t>
            </w:r>
          </w:p>
        </w:tc>
        <w:tc>
          <w:tcPr>
            <w:tcW w:w="952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5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21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</w:tbl>
    <w:p w:rsidR="00490C88" w:rsidRDefault="00490C88" w:rsidP="00490C88">
      <w:r w:rsidRPr="00E36855">
        <w:t>Le droit local dans l’EST : pas de carence de 3 jours en début d’absence, mais maintien à 100%</w:t>
      </w:r>
    </w:p>
    <w:p w:rsidR="00490C88" w:rsidRDefault="00490C88" w:rsidP="00490C88"/>
    <w:p w:rsidR="00490C88" w:rsidRPr="005E75D2" w:rsidRDefault="00490C88" w:rsidP="00490C88">
      <w:r w:rsidRPr="00E36855">
        <w:rPr>
          <w:u w:val="single"/>
        </w:rPr>
        <w:t>Particularité :</w:t>
      </w:r>
      <w:r w:rsidRPr="00E36855">
        <w:t xml:space="preserve"> pour les AAD, le calcul des garantis est à faire, mais sans envoi vers la paie (uniquement à des fins de contrôle et </w:t>
      </w:r>
      <w:proofErr w:type="spellStart"/>
      <w:r w:rsidRPr="00E36855">
        <w:t>reporting</w:t>
      </w:r>
      <w:proofErr w:type="spellEnd"/>
      <w:r w:rsidRPr="00E36855">
        <w:t>).</w:t>
      </w:r>
    </w:p>
    <w:p w:rsidR="00490C88" w:rsidRPr="0029467A" w:rsidRDefault="00490C88" w:rsidP="00490C88">
      <w:pPr>
        <w:pStyle w:val="Titre6"/>
      </w:pPr>
      <w:r>
        <w:tab/>
      </w:r>
      <w:r w:rsidRPr="00E36855">
        <w:t>Aides à domicile du Nord</w:t>
      </w:r>
    </w:p>
    <w:p w:rsidR="00490C88" w:rsidRDefault="00490C88" w:rsidP="00490C88">
      <w:pPr>
        <w:rPr>
          <w:u w:val="single"/>
        </w:rPr>
      </w:pPr>
    </w:p>
    <w:p w:rsidR="00490C88" w:rsidRPr="000B2E91" w:rsidRDefault="00490C88" w:rsidP="00490C88">
      <w:r>
        <w:t xml:space="preserve">Les AAD du Nord sont indemnisés en années glissantes. </w:t>
      </w:r>
    </w:p>
    <w:tbl>
      <w:tblPr>
        <w:tblStyle w:val="TableauavecGrille"/>
        <w:tblW w:w="0" w:type="auto"/>
        <w:tblInd w:w="560" w:type="dxa"/>
        <w:tblLook w:val="04A0" w:firstRow="1" w:lastRow="0" w:firstColumn="1" w:lastColumn="0" w:noHBand="0" w:noVBand="1"/>
      </w:tblPr>
      <w:tblGrid>
        <w:gridCol w:w="1455"/>
        <w:gridCol w:w="1023"/>
        <w:gridCol w:w="815"/>
        <w:gridCol w:w="760"/>
        <w:gridCol w:w="815"/>
        <w:gridCol w:w="760"/>
        <w:gridCol w:w="815"/>
        <w:gridCol w:w="760"/>
        <w:gridCol w:w="1299"/>
      </w:tblGrid>
      <w:tr w:rsidR="00490C88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Ancienneté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Carence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Taux 1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Nb jour 1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Taux 2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Nb jour 2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Taux 3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Nb jour 3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>Remarques</w:t>
            </w:r>
          </w:p>
        </w:tc>
      </w:tr>
      <w:tr w:rsidR="00490C88" w:rsidTr="00046BD9">
        <w:tc>
          <w:tcPr>
            <w:tcW w:w="9413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MALADIE</w:t>
            </w:r>
          </w:p>
        </w:tc>
      </w:tr>
      <w:tr w:rsidR="00490C88" w:rsidTr="00046BD9">
        <w:trPr>
          <w:trHeight w:val="116"/>
        </w:trPr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0 à 1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1 ans à 5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30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30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6 à 10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40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40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11 ans à 15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16 ans à 20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60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60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21 ans à 25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70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70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26 ans à 30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80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80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+ de 31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7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9413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Accident travail, Maladie professionnelle, Accident de trajet</w:t>
            </w: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0 à 1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1 ans à 5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30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30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6 à 10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40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40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11 ans à 15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16 ans à 20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60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60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21 ans à 25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70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70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26 ans à 30 ans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80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80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 xml:space="preserve">&gt;= à 31 ans 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66,6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9413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MATERNITE</w:t>
            </w:r>
          </w:p>
        </w:tc>
      </w:tr>
      <w:tr w:rsidR="00490C88" w:rsidTr="00046BD9">
        <w:tc>
          <w:tcPr>
            <w:tcW w:w="1606" w:type="dxa"/>
          </w:tcPr>
          <w:p w:rsidR="00490C88" w:rsidRDefault="00490C88" w:rsidP="00046BD9">
            <w:pPr>
              <w:ind w:left="0"/>
            </w:pPr>
            <w:r>
              <w:t>Non maintenue</w:t>
            </w:r>
          </w:p>
        </w:tc>
        <w:tc>
          <w:tcPr>
            <w:tcW w:w="1077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1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87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</w:tbl>
    <w:p w:rsidR="00490C88" w:rsidRPr="005E75D2" w:rsidRDefault="00490C88" w:rsidP="00490C88">
      <w:r w:rsidRPr="00E36855">
        <w:rPr>
          <w:u w:val="single"/>
        </w:rPr>
        <w:t>Particularité :</w:t>
      </w:r>
      <w:r w:rsidRPr="00E36855">
        <w:t xml:space="preserve"> pour les AAD, le calcul des garantis est à faire, mais sans envoi vers la paie (uniquement à des fins de contrôle et </w:t>
      </w:r>
      <w:proofErr w:type="spellStart"/>
      <w:r w:rsidRPr="00E36855">
        <w:t>reporting</w:t>
      </w:r>
      <w:proofErr w:type="spellEnd"/>
      <w:r w:rsidRPr="00E36855">
        <w:t>).</w:t>
      </w:r>
    </w:p>
    <w:p w:rsidR="00490C88" w:rsidRPr="003421C8" w:rsidRDefault="00490C88" w:rsidP="00490C88">
      <w:pPr>
        <w:rPr>
          <w:highlight w:val="magenta"/>
        </w:rPr>
      </w:pPr>
    </w:p>
    <w:p w:rsidR="00490C88" w:rsidRPr="0061700E" w:rsidRDefault="00490C88" w:rsidP="00490C88">
      <w:pPr>
        <w:pStyle w:val="Titre6"/>
        <w:numPr>
          <w:ilvl w:val="0"/>
          <w:numId w:val="0"/>
        </w:numPr>
        <w:ind w:left="1520"/>
      </w:pPr>
      <w:r w:rsidRPr="0061700E">
        <w:t>Cas de l’Alsace Moselle (toutes populations)</w:t>
      </w:r>
    </w:p>
    <w:p w:rsidR="00490C88" w:rsidRPr="0061700E" w:rsidRDefault="00490C88" w:rsidP="00490C88">
      <w:r w:rsidRPr="0061700E">
        <w:t>Pour les salariés dépendant du régime de l’Alsace-Moselle, il existe un droit local :</w:t>
      </w:r>
    </w:p>
    <w:p w:rsidR="00490C88" w:rsidRPr="0061700E" w:rsidRDefault="00490C88" w:rsidP="00490C88">
      <w:pPr>
        <w:pStyle w:val="Paragraphedeliste"/>
        <w:numPr>
          <w:ilvl w:val="0"/>
          <w:numId w:val="2"/>
        </w:numPr>
      </w:pPr>
      <w:r w:rsidRPr="0061700E">
        <w:t>Les 3 jours de carence en début d’absence n’existent pas, et son remplacés par 3 jours de maintien à 100%.</w:t>
      </w:r>
    </w:p>
    <w:p w:rsidR="00490C88" w:rsidRPr="0061700E" w:rsidRDefault="00490C88" w:rsidP="00490C88">
      <w:pPr>
        <w:pStyle w:val="Paragraphedeliste"/>
        <w:numPr>
          <w:ilvl w:val="0"/>
          <w:numId w:val="2"/>
        </w:numPr>
      </w:pPr>
      <w:r w:rsidRPr="0061700E">
        <w:t>De plus, un droit supplémentaire est créé en fonction de l’ancienneté de 0 à 6 mois :</w:t>
      </w:r>
    </w:p>
    <w:tbl>
      <w:tblPr>
        <w:tblStyle w:val="TableauavecGrille"/>
        <w:tblW w:w="0" w:type="auto"/>
        <w:tblInd w:w="1429" w:type="dxa"/>
        <w:tblLook w:val="04A0" w:firstRow="1" w:lastRow="0" w:firstColumn="1" w:lastColumn="0" w:noHBand="0" w:noVBand="1"/>
      </w:tblPr>
      <w:tblGrid>
        <w:gridCol w:w="3805"/>
        <w:gridCol w:w="3828"/>
      </w:tblGrid>
      <w:tr w:rsidR="00490C88" w:rsidRPr="0061700E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86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lastRenderedPageBreak/>
              <w:t>Ancienneté</w:t>
            </w:r>
          </w:p>
        </w:tc>
        <w:tc>
          <w:tcPr>
            <w:tcW w:w="4987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Jours calendaires maintenus en plus de la « carence »</w:t>
            </w:r>
          </w:p>
        </w:tc>
      </w:tr>
      <w:tr w:rsidR="00490C88" w:rsidRPr="0061700E" w:rsidTr="00046BD9">
        <w:tc>
          <w:tcPr>
            <w:tcW w:w="4986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&lt;= 1 mois</w:t>
            </w:r>
          </w:p>
        </w:tc>
        <w:tc>
          <w:tcPr>
            <w:tcW w:w="4987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1</w:t>
            </w:r>
          </w:p>
        </w:tc>
      </w:tr>
      <w:tr w:rsidR="00490C88" w:rsidRPr="0061700E" w:rsidTr="00046BD9">
        <w:tc>
          <w:tcPr>
            <w:tcW w:w="4986" w:type="dxa"/>
            <w:vAlign w:val="center"/>
          </w:tcPr>
          <w:p w:rsidR="00490C88" w:rsidRPr="0061700E" w:rsidRDefault="00490C88" w:rsidP="00046BD9">
            <w:pPr>
              <w:pStyle w:val="Paragraphedeliste"/>
            </w:pPr>
            <w:r w:rsidRPr="0061700E">
              <w:t>&gt;1 mois et &lt;= 2 mois</w:t>
            </w:r>
          </w:p>
        </w:tc>
        <w:tc>
          <w:tcPr>
            <w:tcW w:w="4987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2</w:t>
            </w:r>
          </w:p>
        </w:tc>
      </w:tr>
      <w:tr w:rsidR="00490C88" w:rsidRPr="0061700E" w:rsidTr="00046BD9">
        <w:tc>
          <w:tcPr>
            <w:tcW w:w="4986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&gt;2 mois et &lt;= 3 mois</w:t>
            </w:r>
          </w:p>
        </w:tc>
        <w:tc>
          <w:tcPr>
            <w:tcW w:w="4987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4</w:t>
            </w:r>
          </w:p>
        </w:tc>
      </w:tr>
      <w:tr w:rsidR="00490C88" w:rsidTr="00046BD9">
        <w:tc>
          <w:tcPr>
            <w:tcW w:w="4986" w:type="dxa"/>
            <w:vAlign w:val="center"/>
          </w:tcPr>
          <w:p w:rsidR="00490C88" w:rsidRPr="0061700E" w:rsidRDefault="00490C88" w:rsidP="00046BD9">
            <w:pPr>
              <w:pStyle w:val="Paragraphedeliste"/>
              <w:ind w:left="0"/>
              <w:jc w:val="center"/>
            </w:pPr>
            <w:r w:rsidRPr="0061700E">
              <w:t>&gt;3 mois et &lt;=6 mois</w:t>
            </w:r>
          </w:p>
        </w:tc>
        <w:tc>
          <w:tcPr>
            <w:tcW w:w="4987" w:type="dxa"/>
            <w:vAlign w:val="center"/>
          </w:tcPr>
          <w:p w:rsidR="00490C88" w:rsidRDefault="00490C88" w:rsidP="00046BD9">
            <w:pPr>
              <w:pStyle w:val="Paragraphedeliste"/>
              <w:ind w:left="0"/>
              <w:jc w:val="center"/>
            </w:pPr>
            <w:r w:rsidRPr="0061700E">
              <w:t>5</w:t>
            </w:r>
          </w:p>
        </w:tc>
      </w:tr>
    </w:tbl>
    <w:p w:rsidR="00490C88" w:rsidRDefault="00490C88" w:rsidP="00490C88"/>
    <w:p w:rsidR="00490C88" w:rsidRPr="00E36855" w:rsidRDefault="00490C88" w:rsidP="00490C88">
      <w:pPr>
        <w:pStyle w:val="Titre6"/>
      </w:pPr>
      <w:r w:rsidRPr="00E36855">
        <w:t>Personnel non cadre avenant 81</w:t>
      </w:r>
    </w:p>
    <w:p w:rsidR="00490C88" w:rsidRPr="0004694C" w:rsidRDefault="00490C88" w:rsidP="00490C88">
      <w:pPr>
        <w:rPr>
          <w:strike/>
          <w:u w:val="single"/>
        </w:rPr>
      </w:pPr>
    </w:p>
    <w:tbl>
      <w:tblPr>
        <w:tblStyle w:val="TableauavecGrille"/>
        <w:tblW w:w="0" w:type="auto"/>
        <w:tblInd w:w="560" w:type="dxa"/>
        <w:tblLook w:val="04A0" w:firstRow="1" w:lastRow="0" w:firstColumn="1" w:lastColumn="0" w:noHBand="0" w:noVBand="1"/>
      </w:tblPr>
      <w:tblGrid>
        <w:gridCol w:w="1283"/>
        <w:gridCol w:w="1025"/>
        <w:gridCol w:w="841"/>
        <w:gridCol w:w="793"/>
        <w:gridCol w:w="841"/>
        <w:gridCol w:w="793"/>
        <w:gridCol w:w="842"/>
        <w:gridCol w:w="793"/>
        <w:gridCol w:w="1291"/>
      </w:tblGrid>
      <w:tr w:rsidR="00490C88" w:rsidTr="00046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Ancienneté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Carence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Taux 1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Nb jour 1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Taux 2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Nb jour 2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Taux 3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Nb jour 3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  <w:r>
              <w:t>Remarques</w:t>
            </w:r>
          </w:p>
        </w:tc>
      </w:tr>
      <w:tr w:rsidR="00490C88" w:rsidTr="00046BD9">
        <w:tc>
          <w:tcPr>
            <w:tcW w:w="9635" w:type="dxa"/>
            <w:gridSpan w:val="9"/>
            <w:vAlign w:val="center"/>
          </w:tcPr>
          <w:p w:rsidR="00490C88" w:rsidRDefault="00490C88" w:rsidP="00046BD9">
            <w:pPr>
              <w:ind w:left="0"/>
              <w:jc w:val="center"/>
            </w:pPr>
            <w:r>
              <w:t>MALADIE</w:t>
            </w:r>
          </w:p>
        </w:tc>
      </w:tr>
      <w:tr w:rsidR="00490C88" w:rsidTr="00046BD9">
        <w:trPr>
          <w:trHeight w:val="116"/>
        </w:trPr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0 à 1 ans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  <w:tr w:rsidR="00490C88" w:rsidTr="00046BD9">
        <w:tc>
          <w:tcPr>
            <w:tcW w:w="1349" w:type="dxa"/>
          </w:tcPr>
          <w:p w:rsidR="00490C88" w:rsidRDefault="00490C88" w:rsidP="00046BD9">
            <w:pPr>
              <w:ind w:left="0"/>
            </w:pPr>
            <w:r>
              <w:t>+ 1 ans</w:t>
            </w:r>
          </w:p>
        </w:tc>
        <w:tc>
          <w:tcPr>
            <w:tcW w:w="1093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100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180</w:t>
            </w:r>
          </w:p>
        </w:tc>
        <w:tc>
          <w:tcPr>
            <w:tcW w:w="985" w:type="dxa"/>
          </w:tcPr>
          <w:p w:rsidR="00490C88" w:rsidRDefault="00490C88" w:rsidP="00046BD9">
            <w:pPr>
              <w:ind w:left="0"/>
            </w:pPr>
            <w:r>
              <w:t>50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90</w:t>
            </w:r>
          </w:p>
        </w:tc>
        <w:tc>
          <w:tcPr>
            <w:tcW w:w="986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960" w:type="dxa"/>
          </w:tcPr>
          <w:p w:rsidR="00490C88" w:rsidRDefault="00490C88" w:rsidP="00046BD9">
            <w:pPr>
              <w:ind w:left="0"/>
            </w:pPr>
            <w:r>
              <w:t>0</w:t>
            </w:r>
          </w:p>
        </w:tc>
        <w:tc>
          <w:tcPr>
            <w:tcW w:w="1357" w:type="dxa"/>
          </w:tcPr>
          <w:p w:rsidR="00490C88" w:rsidRDefault="00490C88" w:rsidP="00046BD9">
            <w:pPr>
              <w:ind w:left="0"/>
            </w:pPr>
          </w:p>
        </w:tc>
      </w:tr>
    </w:tbl>
    <w:p w:rsidR="00490C88" w:rsidRDefault="00490C88" w:rsidP="00490C88"/>
    <w:p w:rsidR="00490C88" w:rsidRPr="00E36855" w:rsidRDefault="00490C88" w:rsidP="00490C88">
      <w:pPr>
        <w:pStyle w:val="Titre4"/>
      </w:pPr>
      <w:r w:rsidRPr="00E36855">
        <w:t>ALD</w:t>
      </w:r>
    </w:p>
    <w:p w:rsidR="00490C88" w:rsidRPr="00E36855" w:rsidRDefault="00490C88" w:rsidP="00490C88">
      <w:pPr>
        <w:pStyle w:val="Titre6"/>
      </w:pPr>
      <w:r w:rsidRPr="00E36855">
        <w:t>Cadres supérieurs convention minière référencement mines et avenant 74</w:t>
      </w:r>
    </w:p>
    <w:p w:rsidR="00490C88" w:rsidRPr="00E36855" w:rsidRDefault="00490C88" w:rsidP="00490C88">
      <w:r w:rsidRPr="00E36855">
        <w:t>Pas de perte de salaire pour les cadres supérieurs (garantie 100%)</w:t>
      </w:r>
    </w:p>
    <w:p w:rsidR="00490C88" w:rsidRPr="00E36855" w:rsidRDefault="00490C88" w:rsidP="00490C88">
      <w:pPr>
        <w:pStyle w:val="Titre6"/>
      </w:pPr>
      <w:r w:rsidRPr="00E36855">
        <w:t>Autres populations</w:t>
      </w:r>
    </w:p>
    <w:p w:rsidR="00490C88" w:rsidRPr="002B6F31" w:rsidRDefault="00490C88" w:rsidP="00490C88">
      <w:r w:rsidRPr="00E36855">
        <w:t>Se référer aux tableaux maladie</w:t>
      </w:r>
    </w:p>
    <w:p w:rsidR="00490C88" w:rsidRPr="002B6F31" w:rsidRDefault="00490C88" w:rsidP="00490C88"/>
    <w:p w:rsidR="00490C88" w:rsidRDefault="00490C88"/>
    <w:sectPr w:rsidR="00490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E48"/>
    <w:multiLevelType w:val="multilevel"/>
    <w:tmpl w:val="2EF2829C"/>
    <w:lvl w:ilvl="0">
      <w:start w:val="1"/>
      <w:numFmt w:val="none"/>
      <w:pStyle w:val="Titre1"/>
      <w:lvlText w:val=""/>
      <w:lvlJc w:val="left"/>
      <w:pPr>
        <w:tabs>
          <w:tab w:val="num" w:pos="0"/>
        </w:tabs>
        <w:ind w:left="0" w:firstLine="0"/>
      </w:pPr>
      <w:rPr>
        <w:rFonts w:ascii="Century Gothic" w:hAnsi="Century Gothic" w:hint="default"/>
        <w:b w:val="0"/>
        <w:i w:val="0"/>
        <w:color w:val="E51519"/>
        <w:sz w:val="32"/>
        <w:szCs w:val="32"/>
      </w:rPr>
    </w:lvl>
    <w:lvl w:ilvl="1">
      <w:start w:val="1"/>
      <w:numFmt w:val="decimal"/>
      <w:pStyle w:val="Titre1"/>
      <w:lvlText w:val="%2."/>
      <w:lvlJc w:val="left"/>
      <w:pPr>
        <w:tabs>
          <w:tab w:val="num" w:pos="0"/>
        </w:tabs>
        <w:ind w:left="0" w:firstLine="0"/>
      </w:pPr>
      <w:rPr>
        <w:rFonts w:ascii="Century Gothic" w:hAnsi="Century Gothic" w:hint="default"/>
        <w:color w:val="E51519"/>
        <w:sz w:val="32"/>
        <w:szCs w:val="32"/>
      </w:rPr>
    </w:lvl>
    <w:lvl w:ilvl="2">
      <w:start w:val="1"/>
      <w:numFmt w:val="decimal"/>
      <w:pStyle w:val="Titre2"/>
      <w:lvlText w:val="%2.%3.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3">
      <w:start w:val="1"/>
      <w:numFmt w:val="decimal"/>
      <w:pStyle w:val="Titre3"/>
      <w:lvlText w:val="%2.%3.%4."/>
      <w:lvlJc w:val="left"/>
      <w:pPr>
        <w:tabs>
          <w:tab w:val="num" w:pos="1112"/>
        </w:tabs>
        <w:ind w:left="1112" w:hanging="687"/>
      </w:pPr>
      <w:rPr>
        <w:rFonts w:ascii="Century Gothic" w:hAnsi="Century Gothic" w:hint="default"/>
        <w:b w:val="0"/>
        <w:i w:val="0"/>
        <w:sz w:val="24"/>
        <w:szCs w:val="24"/>
      </w:rPr>
    </w:lvl>
    <w:lvl w:ilvl="4">
      <w:start w:val="1"/>
      <w:numFmt w:val="lowerLetter"/>
      <w:pStyle w:val="Titre4"/>
      <w:lvlText w:val="%5."/>
      <w:lvlJc w:val="right"/>
      <w:pPr>
        <w:tabs>
          <w:tab w:val="num" w:pos="1247"/>
        </w:tabs>
        <w:ind w:left="1247" w:hanging="56"/>
      </w:pPr>
      <w:rPr>
        <w:rFonts w:hint="default"/>
        <w:sz w:val="22"/>
        <w:szCs w:val="22"/>
        <w:u w:val="none"/>
      </w:rPr>
    </w:lvl>
    <w:lvl w:ilvl="5">
      <w:start w:val="1"/>
      <w:numFmt w:val="none"/>
      <w:pStyle w:val="Titre5"/>
      <w:suff w:val="space"/>
      <w:lvlText w:val=""/>
      <w:lvlJc w:val="left"/>
      <w:pPr>
        <w:ind w:left="1520" w:firstLine="0"/>
      </w:pPr>
      <w:rPr>
        <w:rFonts w:hint="default"/>
      </w:rPr>
    </w:lvl>
    <w:lvl w:ilvl="6">
      <w:start w:val="1"/>
      <w:numFmt w:val="none"/>
      <w:pStyle w:val="Titre6"/>
      <w:suff w:val="nothing"/>
      <w:lvlText w:val=""/>
      <w:lvlJc w:val="left"/>
      <w:pPr>
        <w:ind w:left="1520" w:firstLine="0"/>
      </w:pPr>
      <w:rPr>
        <w:rFonts w:hint="default"/>
      </w:rPr>
    </w:lvl>
    <w:lvl w:ilvl="7">
      <w:start w:val="1"/>
      <w:numFmt w:val="none"/>
      <w:pStyle w:val="Titre7"/>
      <w:suff w:val="nothing"/>
      <w:lvlText w:val=""/>
      <w:lvlJc w:val="left"/>
      <w:pPr>
        <w:ind w:left="1520" w:firstLine="0"/>
      </w:pPr>
      <w:rPr>
        <w:rFonts w:hint="default"/>
      </w:rPr>
    </w:lvl>
    <w:lvl w:ilvl="8">
      <w:start w:val="1"/>
      <w:numFmt w:val="none"/>
      <w:pStyle w:val="Titre8"/>
      <w:suff w:val="nothing"/>
      <w:lvlText w:val=""/>
      <w:lvlJc w:val="left"/>
      <w:pPr>
        <w:ind w:left="1520" w:firstLine="0"/>
      </w:pPr>
      <w:rPr>
        <w:rFonts w:hint="default"/>
      </w:rPr>
    </w:lvl>
  </w:abstractNum>
  <w:abstractNum w:abstractNumId="1" w15:restartNumberingAfterBreak="0">
    <w:nsid w:val="1A2E0021"/>
    <w:multiLevelType w:val="hybridMultilevel"/>
    <w:tmpl w:val="115A168E"/>
    <w:lvl w:ilvl="0" w:tplc="9C6E9A0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Verdana" w:hAnsi="Verdana" w:cs="Times New Roman" w:hint="default"/>
        <w:color w:val="auto"/>
        <w:sz w:val="18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189"/>
        </w:tabs>
        <w:ind w:left="11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09"/>
        </w:tabs>
        <w:ind w:left="19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49"/>
        </w:tabs>
        <w:ind w:left="3349" w:hanging="360"/>
      </w:pPr>
      <w:rPr>
        <w:rFonts w:ascii="Courier New" w:hAnsi="Courier New" w:cs="Courier New" w:hint="default"/>
      </w:rPr>
    </w:lvl>
    <w:lvl w:ilvl="5" w:tplc="84A2DD26">
      <w:start w:val="17"/>
      <w:numFmt w:val="bullet"/>
      <w:lvlText w:val=""/>
      <w:lvlJc w:val="left"/>
      <w:pPr>
        <w:ind w:left="4069" w:hanging="360"/>
      </w:pPr>
      <w:rPr>
        <w:rFonts w:ascii="Wingdings" w:eastAsia="Times New Roman" w:hAnsi="Wingdings" w:cs="Times New Roman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9"/>
        </w:tabs>
        <w:ind w:left="47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9"/>
        </w:tabs>
        <w:ind w:left="55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9"/>
        </w:tabs>
        <w:ind w:left="62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88"/>
    <w:rsid w:val="003F0FE6"/>
    <w:rsid w:val="0049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211F"/>
  <w15:chartTrackingRefBased/>
  <w15:docId w15:val="{F513DCFE-5879-4FA2-94A0-4E0CBF45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1,t11,t12,t13,t14,t15,t16,t17,t18,t19,t111,t121,t131,t141,t151,t161,t171,t181,t110,t112,t122,t132,t142,t152,t162,t172,t182,t191,t1111,t1211,t1311,t1411,t1511,t1611,t1711,t1811,t113,t123,t133,t143,t153,t163,t173,t183,t114,t124,t134,t144,t154,1,t"/>
    <w:next w:val="Normal"/>
    <w:link w:val="Titre1Car"/>
    <w:qFormat/>
    <w:rsid w:val="00490C88"/>
    <w:pPr>
      <w:keepNext/>
      <w:numPr>
        <w:ilvl w:val="1"/>
        <w:numId w:val="1"/>
      </w:numPr>
      <w:pBdr>
        <w:bottom w:val="single" w:sz="4" w:space="6" w:color="E51519"/>
      </w:pBdr>
      <w:tabs>
        <w:tab w:val="left" w:pos="560"/>
      </w:tabs>
      <w:spacing w:before="1000" w:after="120" w:line="240" w:lineRule="auto"/>
      <w:outlineLvl w:val="0"/>
    </w:pPr>
    <w:rPr>
      <w:rFonts w:ascii="Century Gothic" w:eastAsia="Times New Roman" w:hAnsi="Century Gothic" w:cs="Times New Roman"/>
      <w:kern w:val="28"/>
      <w:sz w:val="32"/>
      <w:szCs w:val="40"/>
      <w:lang w:eastAsia="fr-FR"/>
    </w:rPr>
  </w:style>
  <w:style w:type="paragraph" w:styleId="Titre2">
    <w:name w:val="heading 2"/>
    <w:aliases w:val="standard,t2,Heading2,standard1,t21,standard2,t22,standard3,t23,standard4,t24,standard5,t25,standard6,t26,standard7,t27,standard8,t28,standard9,t29,standard11,t211,standard21,t221,standard31,t231,standard41,t241,standard51,t251,standard61,t261"/>
    <w:next w:val="Normal"/>
    <w:link w:val="Titre2Car"/>
    <w:qFormat/>
    <w:rsid w:val="00490C88"/>
    <w:pPr>
      <w:keepNext/>
      <w:numPr>
        <w:ilvl w:val="2"/>
        <w:numId w:val="1"/>
      </w:numPr>
      <w:tabs>
        <w:tab w:val="clear" w:pos="141"/>
        <w:tab w:val="num" w:pos="0"/>
        <w:tab w:val="left" w:pos="560"/>
      </w:tabs>
      <w:spacing w:before="480" w:after="120" w:line="240" w:lineRule="auto"/>
      <w:ind w:left="0"/>
      <w:outlineLvl w:val="1"/>
    </w:pPr>
    <w:rPr>
      <w:rFonts w:ascii="Century Gothic" w:eastAsia="Times New Roman" w:hAnsi="Century Gothic" w:cs="Times New Roman"/>
      <w:b/>
      <w:kern w:val="28"/>
      <w:sz w:val="24"/>
      <w:szCs w:val="24"/>
      <w:lang w:eastAsia="fr-FR"/>
    </w:rPr>
  </w:style>
  <w:style w:type="paragraph" w:styleId="Titre3">
    <w:name w:val="heading 3"/>
    <w:aliases w:val="t3,t31,t32,t33,t34,t35,t36,t37,t38,t39,t311,t321,t331,t341,t351,t361,t371,t381,t310,t312,t322,t332,t342,t352,t362,t372,t382,t391,t3111,t3211,t3311,t3411,t3511,t3611,t3711,t3811,t313,t323,t333,t343,t353,t363,t373,t383,t314,t324,t334,t344,t354"/>
    <w:next w:val="Normal"/>
    <w:link w:val="Titre3Car"/>
    <w:qFormat/>
    <w:rsid w:val="00490C88"/>
    <w:pPr>
      <w:keepNext/>
      <w:numPr>
        <w:ilvl w:val="3"/>
        <w:numId w:val="1"/>
      </w:numPr>
      <w:spacing w:before="360" w:after="120" w:line="240" w:lineRule="auto"/>
      <w:ind w:hanging="686"/>
      <w:outlineLvl w:val="2"/>
    </w:pPr>
    <w:rPr>
      <w:rFonts w:ascii="Century Gothic" w:eastAsia="Times New Roman" w:hAnsi="Century Gothic" w:cs="Times New Roman"/>
      <w:kern w:val="28"/>
      <w:sz w:val="24"/>
      <w:szCs w:val="24"/>
      <w:lang w:eastAsia="fr-FR"/>
    </w:rPr>
  </w:style>
  <w:style w:type="paragraph" w:styleId="Titre4">
    <w:name w:val="heading 4"/>
    <w:aliases w:val="t4,t41,t42,t43,t44,t411,t421,t431,t45,t412,t422,t432,t441,t4111,t4211,t4311,t46,t413,t423,t433,t47,t414,t424,t434,t48,t415,t425,t435,t49,t416,t426,t436,t410,t417,t427,t437,t442,t4112,t4212,t4312,t451,t4121,t4221,t4321,t461,t4131,t4231,t4331,t471"/>
    <w:basedOn w:val="Titre3"/>
    <w:next w:val="Normal"/>
    <w:link w:val="Titre4Car"/>
    <w:qFormat/>
    <w:rsid w:val="00490C88"/>
    <w:pPr>
      <w:numPr>
        <w:ilvl w:val="4"/>
      </w:numPr>
      <w:spacing w:before="240"/>
      <w:ind w:left="1248" w:hanging="57"/>
      <w:outlineLvl w:val="3"/>
    </w:pPr>
    <w:rPr>
      <w:sz w:val="22"/>
      <w:szCs w:val="22"/>
    </w:rPr>
  </w:style>
  <w:style w:type="paragraph" w:styleId="Titre5">
    <w:name w:val="heading 5"/>
    <w:aliases w:val="Roman list,H5,Article,Level 3 - i,Level 3 - i1,H51,Level 3 - i2,H52,Block Label,C_5,a),h5,heading5,Titre5,heading 5,(Shift Ctrl 5),Heading 51,Headnum 5,(Shift Ctrl 5)1,Headnum 51,(Shift Ctrl 5)2,Headnum 52,(Shift Ctrl 5)3,Headnum 53,L5,H511,H5 C"/>
    <w:basedOn w:val="Titre4"/>
    <w:next w:val="Normal"/>
    <w:link w:val="Titre5Car"/>
    <w:qFormat/>
    <w:rsid w:val="00490C88"/>
    <w:pPr>
      <w:numPr>
        <w:ilvl w:val="5"/>
      </w:numPr>
      <w:outlineLvl w:val="4"/>
    </w:pPr>
    <w:rPr>
      <w:i/>
    </w:rPr>
  </w:style>
  <w:style w:type="paragraph" w:styleId="Titre6">
    <w:name w:val="heading 6"/>
    <w:aliases w:val="Annexe 1,Legal Level 1.,H6,Annexe,Ref Heading 3,rh3,Ref Heading 31,rh31,H61,h6,Third Subheading,Bullet list,Alinéa,T6,(Shift Ctrl 6),Annexe1,Aston T6,Annexe 11,Annexe 12,Annexe 13,Annexe 14,Annexe 15,Annexe 16,Annexe 17,6,Cadre en tête,H62,H611"/>
    <w:basedOn w:val="Titre5"/>
    <w:next w:val="Normal"/>
    <w:link w:val="Titre6Car"/>
    <w:qFormat/>
    <w:rsid w:val="00490C88"/>
    <w:pPr>
      <w:numPr>
        <w:ilvl w:val="6"/>
      </w:numPr>
      <w:outlineLvl w:val="5"/>
    </w:pPr>
    <w:rPr>
      <w:b/>
    </w:rPr>
  </w:style>
  <w:style w:type="paragraph" w:styleId="Titre7">
    <w:name w:val="heading 7"/>
    <w:aliases w:val="Legal Level 1.1.,H7,Heading 7,letter list,lettered list,T7,Annexe2,Aston T7,letter list1,lettered list1,Annexe 2,Annexe 21,Annexe 22,Annexe 23,Annexe 24,Annexe 25,Annexe 26,Annexe 27,Niveau 7,Niveau7,Sous-titre 4,Header 7,Org Heading 5,Annexe 28"/>
    <w:basedOn w:val="Normal"/>
    <w:next w:val="Normal"/>
    <w:link w:val="Titre7Car"/>
    <w:qFormat/>
    <w:rsid w:val="00490C88"/>
    <w:pPr>
      <w:numPr>
        <w:ilvl w:val="7"/>
        <w:numId w:val="1"/>
      </w:numPr>
      <w:spacing w:before="240" w:after="60" w:line="300" w:lineRule="exact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aliases w:val="Annexe3,T8,action,Aston Légende,Annexe 31,Annexe 32,Annexe 33,Annexe 34,Annexe 35,Annexe 36,Annexe 37,Legal Level 1.1.1.,Sous-titre 5,Header 8,action1,Annexe 38,Annexe 311,Annexe 321,Annexe 331,Annexe 341,Annexe 351,Annexe 361, action,Heading 8"/>
    <w:basedOn w:val="Normal"/>
    <w:next w:val="Normal"/>
    <w:link w:val="Titre8Car"/>
    <w:qFormat/>
    <w:rsid w:val="00490C88"/>
    <w:pPr>
      <w:numPr>
        <w:ilvl w:val="8"/>
        <w:numId w:val="1"/>
      </w:numPr>
      <w:spacing w:before="240" w:after="60" w:line="300" w:lineRule="exact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90C88"/>
    <w:rPr>
      <w:rFonts w:ascii="Century Gothic" w:eastAsia="Times New Roman" w:hAnsi="Century Gothic" w:cs="Times New Roman"/>
      <w:kern w:val="28"/>
      <w:sz w:val="32"/>
      <w:szCs w:val="40"/>
      <w:lang w:eastAsia="fr-FR"/>
    </w:rPr>
  </w:style>
  <w:style w:type="character" w:customStyle="1" w:styleId="Titre2Car">
    <w:name w:val="Titre 2 Car"/>
    <w:basedOn w:val="Policepardfaut"/>
    <w:link w:val="Titre2"/>
    <w:rsid w:val="00490C88"/>
    <w:rPr>
      <w:rFonts w:ascii="Century Gothic" w:eastAsia="Times New Roman" w:hAnsi="Century Gothic" w:cs="Times New Roman"/>
      <w:b/>
      <w:kern w:val="28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90C88"/>
    <w:rPr>
      <w:rFonts w:ascii="Century Gothic" w:eastAsia="Times New Roman" w:hAnsi="Century Gothic" w:cs="Times New Roman"/>
      <w:kern w:val="28"/>
      <w:sz w:val="24"/>
      <w:szCs w:val="24"/>
      <w:lang w:eastAsia="fr-FR"/>
    </w:rPr>
  </w:style>
  <w:style w:type="character" w:customStyle="1" w:styleId="Titre4Car">
    <w:name w:val="Titre 4 Car"/>
    <w:aliases w:val="t4 Car,t41 Car,t42 Car,t43 Car,t44 Car,t411 Car,t421 Car,t431 Car,t45 Car,t412 Car,t422 Car,t432 Car,t441 Car,t4111 Car,t4211 Car,t4311 Car,t46 Car,t413 Car,t423 Car,t433 Car,t47 Car,t414 Car,t424 Car,t434 Car,t48 Car,t415 Car,t425 Car"/>
    <w:basedOn w:val="Policepardfaut"/>
    <w:link w:val="Titre4"/>
    <w:rsid w:val="00490C88"/>
    <w:rPr>
      <w:rFonts w:ascii="Century Gothic" w:eastAsia="Times New Roman" w:hAnsi="Century Gothic" w:cs="Times New Roman"/>
      <w:kern w:val="28"/>
      <w:lang w:eastAsia="fr-FR"/>
    </w:rPr>
  </w:style>
  <w:style w:type="character" w:customStyle="1" w:styleId="Titre5Car">
    <w:name w:val="Titre 5 Car"/>
    <w:basedOn w:val="Policepardfaut"/>
    <w:link w:val="Titre5"/>
    <w:rsid w:val="00490C88"/>
    <w:rPr>
      <w:rFonts w:ascii="Century Gothic" w:eastAsia="Times New Roman" w:hAnsi="Century Gothic" w:cs="Times New Roman"/>
      <w:i/>
      <w:kern w:val="28"/>
      <w:lang w:eastAsia="fr-FR"/>
    </w:rPr>
  </w:style>
  <w:style w:type="character" w:customStyle="1" w:styleId="Titre6Car">
    <w:name w:val="Titre 6 Car"/>
    <w:basedOn w:val="Policepardfaut"/>
    <w:link w:val="Titre6"/>
    <w:rsid w:val="00490C88"/>
    <w:rPr>
      <w:rFonts w:ascii="Century Gothic" w:eastAsia="Times New Roman" w:hAnsi="Century Gothic" w:cs="Times New Roman"/>
      <w:b/>
      <w:i/>
      <w:kern w:val="28"/>
      <w:lang w:eastAsia="fr-FR"/>
    </w:rPr>
  </w:style>
  <w:style w:type="character" w:customStyle="1" w:styleId="Titre7Car">
    <w:name w:val="Titre 7 Car"/>
    <w:basedOn w:val="Policepardfaut"/>
    <w:link w:val="Titre7"/>
    <w:rsid w:val="00490C88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490C88"/>
    <w:rPr>
      <w:rFonts w:ascii="Arial" w:eastAsia="Times New Roman" w:hAnsi="Arial" w:cs="Times New Roman"/>
      <w:i/>
      <w:sz w:val="20"/>
      <w:szCs w:val="20"/>
      <w:lang w:eastAsia="fr-FR"/>
    </w:rPr>
  </w:style>
  <w:style w:type="table" w:customStyle="1" w:styleId="TableauavecGrille">
    <w:name w:val="Tableau avec Grille"/>
    <w:basedOn w:val="TableauNormal"/>
    <w:rsid w:val="00490C88"/>
    <w:pPr>
      <w:spacing w:after="0" w:line="240" w:lineRule="auto"/>
      <w:ind w:left="567"/>
    </w:pPr>
    <w:rPr>
      <w:rFonts w:ascii="Arial" w:eastAsia="Times New Roman" w:hAnsi="Arial" w:cs="Times New Roman"/>
      <w:sz w:val="18"/>
      <w:szCs w:val="32"/>
      <w:lang w:eastAsia="fr-FR"/>
    </w:rPr>
    <w:tblPr>
      <w:tblInd w:w="680" w:type="dxa"/>
      <w:tblBorders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C0C0C0"/>
        <w:insideV w:val="single" w:sz="4" w:space="0" w:color="C0C0C0"/>
      </w:tblBorders>
    </w:tblPr>
    <w:tcPr>
      <w:shd w:val="clear" w:color="auto" w:fill="FAFAFA"/>
    </w:tcPr>
    <w:tblStylePr w:type="firstRow">
      <w:rPr>
        <w:rFonts w:ascii="Arial" w:hAnsi="Arial"/>
        <w:b/>
        <w:color w:val="E51519"/>
        <w:sz w:val="18"/>
      </w:rPr>
      <w:tblPr/>
      <w:tcPr>
        <w:tc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nil"/>
          <w:tl2br w:val="nil"/>
          <w:tr2bl w:val="nil"/>
        </w:tcBorders>
        <w:shd w:val="clear" w:color="auto" w:fill="E6E6E6"/>
      </w:tcPr>
    </w:tblStylePr>
  </w:style>
  <w:style w:type="paragraph" w:styleId="Paragraphedeliste">
    <w:name w:val="List Paragraph"/>
    <w:basedOn w:val="Normal"/>
    <w:uiPriority w:val="34"/>
    <w:qFormat/>
    <w:rsid w:val="00490C88"/>
    <w:pPr>
      <w:spacing w:before="60" w:after="0" w:line="300" w:lineRule="exact"/>
      <w:ind w:left="720"/>
      <w:contextualSpacing/>
      <w:jc w:val="both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Isabelle</dc:creator>
  <cp:keywords/>
  <dc:description/>
  <cp:lastModifiedBy>LANG Isabelle</cp:lastModifiedBy>
  <cp:revision>1</cp:revision>
  <dcterms:created xsi:type="dcterms:W3CDTF">2023-09-15T16:53:00Z</dcterms:created>
  <dcterms:modified xsi:type="dcterms:W3CDTF">2023-09-15T16:53:00Z</dcterms:modified>
</cp:coreProperties>
</file>