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0ADA61A">
                  <wp:simplePos x="0" y="0"/>
                  <wp:positionH relativeFrom="column">
                    <wp:posOffset>3732819</wp:posOffset>
                  </wp:positionH>
                  <wp:positionV relativeFrom="paragraph">
                    <wp:posOffset>-117302</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3113" cy="929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028D4224" w:rsidR="00BD447D" w:rsidRPr="00BC6239" w:rsidRDefault="000D2471" w:rsidP="009E1061">
            <w:pPr>
              <w:tabs>
                <w:tab w:val="left" w:pos="851"/>
              </w:tabs>
              <w:suppressAutoHyphens/>
              <w:spacing w:before="120" w:after="120" w:line="240" w:lineRule="auto"/>
              <w:jc w:val="center"/>
              <w:rPr>
                <w:rFonts w:ascii="Univers" w:eastAsia="Times New Roman" w:hAnsi="Univers" w:cs="Univers"/>
                <w:caps/>
                <w:lang w:eastAsia="zh-CN"/>
              </w:rPr>
            </w:pPr>
            <w:r w:rsidRPr="000D2471">
              <w:rPr>
                <w:rFonts w:ascii="DIN Pro" w:eastAsia="Times New Roman" w:hAnsi="DIN Pro" w:cs="Arial"/>
                <w:b/>
                <w:color w:val="FFFFFF"/>
                <w:lang w:eastAsia="zh-CN"/>
              </w:rPr>
              <w:t>MARCHE DE SERVICES N° AO-2024-03</w:t>
            </w:r>
            <w:r w:rsidR="00D03523">
              <w:rPr>
                <w:rFonts w:ascii="DIN Pro" w:eastAsia="Times New Roman" w:hAnsi="DIN Pro" w:cs="Arial"/>
                <w:b/>
                <w:color w:val="FFFFFF"/>
                <w:lang w:eastAsia="zh-CN"/>
              </w:rPr>
              <w:t xml:space="preserve"> - </w:t>
            </w:r>
            <w:bookmarkStart w:id="0" w:name="_GoBack"/>
            <w:bookmarkEnd w:id="0"/>
            <w:r w:rsidR="00BD447D" w:rsidRPr="00BC6239">
              <w:rPr>
                <w:rFonts w:ascii="DIN Pro" w:eastAsia="Times New Roman" w:hAnsi="DIN Pro" w:cs="Arial"/>
                <w:b/>
                <w:bCs/>
                <w:caps/>
                <w:color w:val="FFFFFF"/>
                <w:lang w:eastAsia="zh-CN"/>
              </w:rPr>
              <w:t>ACTE</w:t>
            </w:r>
            <w:r w:rsidR="00BD447D" w:rsidRPr="00BC6239">
              <w:rPr>
                <w:rFonts w:ascii="DIN Pro" w:eastAsia="Times New Roman" w:hAnsi="DIN Pro" w:cs="Arial"/>
                <w:b/>
                <w:bCs/>
                <w:color w:val="FFFFFF"/>
                <w:lang w:eastAsia="zh-CN"/>
              </w:rPr>
              <w:t xml:space="preserve"> D’ENGAGEMENT (AE)</w:t>
            </w:r>
            <w:r w:rsidR="00F86891">
              <w:rPr>
                <w:rFonts w:ascii="DIN Pro" w:eastAsia="Times New Roman" w:hAnsi="DIN Pro" w:cs="Arial"/>
                <w:b/>
                <w:bCs/>
                <w:color w:val="FFFFFF"/>
                <w:lang w:eastAsia="zh-CN"/>
              </w:rPr>
              <w:t xml:space="preserve"> – LOT 2</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7EA2EEDA" w14:textId="77777777" w:rsidR="000D2471" w:rsidRPr="000D2471" w:rsidRDefault="000D2471" w:rsidP="000D2471">
      <w:pPr>
        <w:suppressAutoHyphens/>
        <w:spacing w:after="0" w:line="240" w:lineRule="auto"/>
        <w:ind w:right="88"/>
        <w:jc w:val="center"/>
        <w:rPr>
          <w:rFonts w:ascii="DIN Pro" w:eastAsia="Times New Roman" w:hAnsi="DIN Pro" w:cs="Univers"/>
          <w:b/>
          <w:lang w:eastAsia="zh-CN"/>
        </w:rPr>
      </w:pPr>
      <w:r w:rsidRPr="000D2471">
        <w:rPr>
          <w:rFonts w:ascii="DIN Pro" w:eastAsia="Times New Roman" w:hAnsi="DIN Pro" w:cs="Univers"/>
          <w:b/>
          <w:lang w:eastAsia="zh-CN"/>
        </w:rPr>
        <w:t>PROCÉDURE FORMALISÉE</w:t>
      </w:r>
    </w:p>
    <w:p w14:paraId="4BB21F39"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p>
    <w:p w14:paraId="0B64BBA1"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r w:rsidRPr="000D2471">
        <w:rPr>
          <w:rFonts w:ascii="DIN Pro" w:eastAsia="Times New Roman" w:hAnsi="DIN Pro" w:cs="Univers"/>
          <w:lang w:eastAsia="zh-CN"/>
        </w:rPr>
        <w:t>En application des dispositions des articles L.2124-1, L.2124-2 et R.2124-1 et R2124-2-1 du Code de la commande publique.</w:t>
      </w: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BC6239" w:rsidRDefault="00BD447D" w:rsidP="009E1061">
            <w:pPr>
              <w:spacing w:before="120" w:after="120"/>
              <w:ind w:right="88"/>
              <w:jc w:val="center"/>
              <w:rPr>
                <w:rFonts w:ascii="DIN Pro" w:hAnsi="DIN Pro" w:cs="Univers"/>
                <w:sz w:val="22"/>
                <w:szCs w:val="22"/>
                <w:lang w:eastAsia="zh-CN"/>
              </w:rPr>
            </w:pPr>
            <w:r w:rsidRPr="00BC6239">
              <w:rPr>
                <w:rFonts w:ascii="DIN Pro" w:hAnsi="DIN Pro" w:cs="Univers"/>
                <w:sz w:val="22"/>
                <w:szCs w:val="22"/>
                <w:lang w:eastAsia="zh-CN"/>
              </w:rPr>
              <w:t>OBJET DU MARCHÉ :</w:t>
            </w:r>
          </w:p>
          <w:p w14:paraId="116DD16E" w14:textId="77777777" w:rsidR="000D2471" w:rsidRPr="000D2471" w:rsidRDefault="000D2471" w:rsidP="000D2471">
            <w:pPr>
              <w:spacing w:after="200"/>
              <w:jc w:val="center"/>
              <w:rPr>
                <w:rFonts w:ascii="DIN Pro" w:hAnsi="DIN Pro"/>
                <w:b/>
                <w:bCs/>
                <w:color w:val="000000" w:themeColor="text1"/>
                <w:sz w:val="32"/>
                <w:szCs w:val="32"/>
                <w14:textOutline w14:w="0" w14:cap="flat" w14:cmpd="sng" w14:algn="ctr">
                  <w14:noFill/>
                  <w14:prstDash w14:val="solid"/>
                  <w14:round/>
                </w14:textOutline>
              </w:rPr>
            </w:pPr>
            <w:r w:rsidRPr="000D2471">
              <w:rPr>
                <w:rFonts w:ascii="DIN Pro" w:hAnsi="DIN Pro"/>
                <w:b/>
                <w:bCs/>
                <w:color w:val="000000" w:themeColor="text1"/>
                <w:sz w:val="32"/>
                <w:szCs w:val="32"/>
                <w14:textOutline w14:w="0" w14:cap="flat" w14:cmpd="sng" w14:algn="ctr">
                  <w14:noFill/>
                  <w14:prstDash w14:val="solid"/>
                  <w14:round/>
                </w14:textOutline>
              </w:rPr>
              <w:t xml:space="preserve">Entretien conservation et restauration de collections muséales de la Cité de l’architecture et du patrimoine </w:t>
            </w:r>
          </w:p>
          <w:p w14:paraId="20DDE650" w14:textId="77777777" w:rsidR="00BD447D" w:rsidRPr="00BC6239" w:rsidRDefault="00BD447D"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7EEADB3" w14:textId="77777777" w:rsidR="00BD447D" w:rsidRPr="00BC6239" w:rsidRDefault="00BD447D" w:rsidP="00643DEB">
      <w:pPr>
        <w:suppressAutoHyphens/>
        <w:spacing w:after="0" w:line="240" w:lineRule="auto"/>
        <w:ind w:right="-56"/>
        <w:jc w:val="center"/>
        <w:rPr>
          <w:rFonts w:ascii="DIN Pro" w:eastAsia="Times New Roman" w:hAnsi="DIN Pro" w:cs="Univers"/>
          <w:lang w:eastAsia="zh-CN"/>
        </w:rPr>
      </w:pPr>
      <w:r w:rsidRPr="00BC6239">
        <w:rPr>
          <w:rFonts w:ascii="DIN Pro" w:eastAsia="Times New Roman" w:hAnsi="DIN Pro" w:cs="Univers"/>
          <w:lang w:eastAsia="zh-CN"/>
        </w:rPr>
        <w:t xml:space="preserve">NOMBRE DE LOTS DE LA CONSULTATION : </w:t>
      </w:r>
      <w:r w:rsidR="00FD02B7">
        <w:rPr>
          <w:rFonts w:ascii="DIN Pro" w:eastAsia="Times New Roman" w:hAnsi="DIN Pro" w:cs="Univers"/>
          <w:lang w:eastAsia="zh-CN"/>
        </w:rPr>
        <w:t>4</w:t>
      </w:r>
    </w:p>
    <w:p w14:paraId="0A8A6EF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7BCECEE4" w14:textId="77777777" w:rsidR="00AF0C83" w:rsidRDefault="00AF0C83" w:rsidP="00643DEB">
      <w:pPr>
        <w:suppressAutoHyphens/>
        <w:spacing w:after="0" w:line="240" w:lineRule="auto"/>
        <w:ind w:right="-56"/>
        <w:jc w:val="center"/>
        <w:rPr>
          <w:rFonts w:ascii="DIN Pro" w:eastAsia="Times New Roman" w:hAnsi="DIN Pro" w:cs="Univers"/>
          <w:b/>
          <w:lang w:eastAsia="zh-CN"/>
        </w:rPr>
      </w:pPr>
      <w:r w:rsidRPr="00BC6239">
        <w:rPr>
          <w:rFonts w:ascii="DIN Pro" w:eastAsia="Times New Roman" w:hAnsi="DIN Pro" w:cs="Univers"/>
          <w:b/>
          <w:lang w:eastAsia="zh-CN"/>
        </w:rPr>
        <w:t xml:space="preserve">IDENTIFICATION DU LOT : </w:t>
      </w:r>
    </w:p>
    <w:p w14:paraId="47E3FBA3" w14:textId="77777777" w:rsidR="00D43EC2" w:rsidRPr="00BC6239" w:rsidRDefault="00D43EC2" w:rsidP="00643DEB">
      <w:pPr>
        <w:suppressAutoHyphens/>
        <w:spacing w:after="0" w:line="240" w:lineRule="auto"/>
        <w:ind w:right="-56"/>
        <w:jc w:val="center"/>
        <w:rPr>
          <w:rFonts w:ascii="DIN Pro" w:eastAsia="Times New Roman" w:hAnsi="DIN Pro" w:cs="Univers"/>
          <w:b/>
          <w:lang w:eastAsia="zh-CN"/>
        </w:rPr>
      </w:pPr>
    </w:p>
    <w:p w14:paraId="10396AF8" w14:textId="6965558E" w:rsidR="00BD447D" w:rsidRPr="000D2471" w:rsidRDefault="00CF3DBC" w:rsidP="009E1061">
      <w:pPr>
        <w:suppressAutoHyphens/>
        <w:spacing w:after="0" w:line="240" w:lineRule="auto"/>
        <w:ind w:right="88"/>
        <w:jc w:val="center"/>
        <w:rPr>
          <w:rFonts w:ascii="DIN Pro" w:eastAsia="Times New Roman" w:hAnsi="DIN Pro" w:cs="Univers"/>
          <w:lang w:eastAsia="zh-CN"/>
        </w:rPr>
      </w:pPr>
      <w:r w:rsidRPr="00F86891">
        <w:rPr>
          <w:rFonts w:ascii="DIN Pro" w:eastAsia="Times New Roman" w:hAnsi="DIN Pro" w:cs="Univers"/>
          <w:b/>
          <w:lang w:eastAsia="zh-CN"/>
        </w:rPr>
        <w:t xml:space="preserve">Lot </w:t>
      </w:r>
      <w:r w:rsidR="00F86891" w:rsidRPr="00F86891">
        <w:rPr>
          <w:rFonts w:ascii="DIN Pro" w:eastAsia="Times New Roman" w:hAnsi="DIN Pro" w:cs="Univers"/>
          <w:b/>
          <w:lang w:eastAsia="zh-CN"/>
        </w:rPr>
        <w:t>2</w:t>
      </w:r>
      <w:r>
        <w:rPr>
          <w:rFonts w:ascii="DIN Pro" w:eastAsia="Times New Roman" w:hAnsi="DIN Pro" w:cs="Univers"/>
          <w:lang w:eastAsia="zh-CN"/>
        </w:rPr>
        <w:t xml:space="preserve"> – </w:t>
      </w:r>
      <w:r w:rsidR="00F86891" w:rsidRPr="00F86891">
        <w:rPr>
          <w:rFonts w:ascii="DIN Pro" w:eastAsia="Times New Roman" w:hAnsi="DIN Pro" w:cs="Univers"/>
          <w:b/>
          <w:lang w:eastAsia="zh-CN"/>
        </w:rPr>
        <w:t>Opérations de restauration curative au sein de la collection de copies de peintures murales et de la collection de maquettes peintes de cette galerie </w:t>
      </w: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7085B18" w14:textId="5049761A" w:rsidR="000D2471" w:rsidRPr="000D2471" w:rsidRDefault="000D2471" w:rsidP="000D2471">
      <w:pPr>
        <w:tabs>
          <w:tab w:val="left" w:pos="426"/>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Le présent marché</w:t>
      </w:r>
      <w:r w:rsidRPr="000D2471">
        <w:rPr>
          <w:rFonts w:ascii="DIN Pro" w:eastAsia="Times New Roman" w:hAnsi="DIN Pro" w:cs="Arial"/>
          <w:lang w:eastAsia="zh-CN"/>
        </w:rPr>
        <w:t xml:space="preserve"> a pour objet de mettre en place l’ensemble des opérations nécessaires à la bonne conservation d’œuvres de collections muséales de la Cité de l’architecture et du patrimoine.</w:t>
      </w: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020B87D" w14:textId="35DCF48D" w:rsidR="00BD447D" w:rsidRPr="00D43EC2" w:rsidRDefault="00BD447D" w:rsidP="00D43EC2">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Ce</w:t>
      </w:r>
      <w:r w:rsidR="00D43EC2">
        <w:rPr>
          <w:rFonts w:ascii="DIN Pro" w:eastAsia="Times New Roman" w:hAnsi="DIN Pro" w:cs="Arial"/>
          <w:lang w:eastAsia="zh-CN"/>
        </w:rPr>
        <w:t xml:space="preserve">t acte d'engagement correspond </w:t>
      </w:r>
      <w:r w:rsidRPr="00BC6239">
        <w:rPr>
          <w:rFonts w:ascii="DIN Pro" w:eastAsia="Times New Roman" w:hAnsi="DIN Pro" w:cs="Arial"/>
          <w:lang w:eastAsia="zh-CN"/>
        </w:rPr>
        <w:t>au lot n</w:t>
      </w:r>
      <w:r w:rsidR="00AF0C83" w:rsidRPr="00BC6239">
        <w:rPr>
          <w:rFonts w:ascii="DIN Pro" w:eastAsia="Times New Roman" w:hAnsi="DIN Pro" w:cs="Arial"/>
          <w:lang w:eastAsia="zh-CN"/>
        </w:rPr>
        <w:t xml:space="preserve">° </w:t>
      </w:r>
      <w:r w:rsidR="00F86891">
        <w:rPr>
          <w:rFonts w:ascii="DIN Pro" w:eastAsia="Times New Roman" w:hAnsi="DIN Pro" w:cs="Arial"/>
          <w:lang w:eastAsia="zh-CN"/>
        </w:rPr>
        <w:t>2</w:t>
      </w:r>
      <w:r w:rsidRPr="00BC6239">
        <w:rPr>
          <w:rFonts w:ascii="DIN Pro" w:eastAsia="Times New Roman" w:hAnsi="DIN Pro" w:cs="Arial"/>
          <w:lang w:eastAsia="zh-CN"/>
        </w:rPr>
        <w:t xml:space="preserve"> du marché public </w:t>
      </w:r>
    </w:p>
    <w:p w14:paraId="725254AC"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5B872C57"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E2E910"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F13B72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1"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D03523">
        <w:rPr>
          <w:rFonts w:ascii="DIN Pro" w:eastAsia="Times New Roman" w:hAnsi="DIN Pro" w:cs="Arial"/>
          <w:b/>
          <w:bCs/>
          <w:lang w:eastAsia="zh-CN"/>
        </w:rPr>
      </w:r>
      <w:r w:rsidR="00D0352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 xml:space="preserve">agissant pour mon propre compte </w:t>
      </w:r>
      <w:bookmarkStart w:id="2"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D03523">
        <w:rPr>
          <w:rFonts w:ascii="DIN Pro" w:eastAsia="Times New Roman" w:hAnsi="DIN Pro" w:cs="Arial"/>
          <w:b/>
          <w:bCs/>
          <w:lang w:eastAsia="zh-CN"/>
        </w:rPr>
      </w:r>
      <w:r w:rsidR="00D0352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D03523">
        <w:rPr>
          <w:rFonts w:ascii="DIN Pro" w:eastAsia="Times New Roman" w:hAnsi="DIN Pro" w:cs="Arial"/>
          <w:b/>
          <w:bCs/>
          <w:lang w:eastAsia="zh-CN"/>
        </w:rPr>
      </w:r>
      <w:r w:rsidR="00D0352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2D0977DF"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B40162">
        <w:rPr>
          <w:rFonts w:ascii="DIN Pro" w:eastAsia="Times New Roman" w:hAnsi="DIN Pro" w:cs="Arial"/>
          <w:lang w:eastAsia="zh-CN"/>
        </w:rPr>
        <w:t>5</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3"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D03523">
        <w:rPr>
          <w:rFonts w:ascii="DIN Pro" w:eastAsia="Times New Roman" w:hAnsi="DIN Pro" w:cs="Arial"/>
          <w:b/>
          <w:bCs/>
          <w:lang w:eastAsia="zh-CN"/>
        </w:rPr>
      </w:r>
      <w:r w:rsidR="00D03523">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3"/>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D03523">
        <w:rPr>
          <w:rFonts w:ascii="DIN Pro" w:eastAsia="Times New Roman" w:hAnsi="DIN Pro" w:cs="Arial"/>
          <w:lang w:eastAsia="zh-CN"/>
        </w:rPr>
      </w:r>
      <w:r w:rsidR="00D03523">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D03523">
        <w:rPr>
          <w:rFonts w:ascii="DIN Pro" w:eastAsia="Times New Roman" w:hAnsi="DIN Pro" w:cs="Arial"/>
          <w:lang w:eastAsia="zh-CN"/>
        </w:rPr>
      </w:r>
      <w:r w:rsidR="00D03523">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lastRenderedPageBreak/>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D03523">
        <w:rPr>
          <w:rFonts w:ascii="DIN Pro" w:eastAsia="Times New Roman" w:hAnsi="DIN Pro" w:cs="Arial"/>
          <w:lang w:eastAsia="zh-CN"/>
        </w:rPr>
      </w:r>
      <w:r w:rsidR="00D03523">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D03523">
        <w:rPr>
          <w:rFonts w:ascii="DIN Pro" w:eastAsia="Times New Roman" w:hAnsi="DIN Pro" w:cs="Arial"/>
          <w:lang w:eastAsia="zh-CN"/>
        </w:rPr>
      </w:r>
      <w:r w:rsidR="00D03523">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0339E283"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B40162">
        <w:rPr>
          <w:rFonts w:ascii="DIN Pro" w:eastAsia="Times New Roman" w:hAnsi="DIN Pro" w:cs="Arial"/>
          <w:lang w:eastAsia="zh-CN"/>
        </w:rPr>
        <w:t xml:space="preserve">5 </w:t>
      </w:r>
      <w:r w:rsidR="00D43EC2">
        <w:rPr>
          <w:rFonts w:ascii="DIN Pro" w:eastAsia="Times New Roman" w:hAnsi="DIN Pro" w:cs="Arial"/>
          <w:lang w:eastAsia="zh-CN"/>
        </w:rPr>
        <w:t xml:space="preserve">du </w:t>
      </w:r>
      <w:r w:rsidRPr="00BC6239">
        <w:rPr>
          <w:rFonts w:ascii="DIN Pro" w:eastAsia="Times New Roman" w:hAnsi="DIN Pro" w:cs="Arial"/>
          <w:lang w:eastAsia="zh-CN"/>
        </w:rPr>
        <w:t>règlement de la consultation (RC).</w:t>
      </w:r>
    </w:p>
    <w:p w14:paraId="0D7EBD3E" w14:textId="77777777" w:rsidR="00D43EC2"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22EAC2B" w14:textId="77777777" w:rsidR="00D43EC2" w:rsidRPr="00BC6239"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38FD3B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59E0D8D8" w:rsidR="00BD447D"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 xml:space="preserve">Montant </w:t>
      </w:r>
      <w:r w:rsidR="00F86891">
        <w:rPr>
          <w:rFonts w:ascii="DIN Pro" w:eastAsia="Times New Roman" w:hAnsi="DIN Pro" w:cs="Arial"/>
          <w:b/>
          <w:lang w:eastAsia="zh-CN"/>
        </w:rPr>
        <w:t>du lot 2</w:t>
      </w:r>
      <w:r w:rsidR="00F86891" w:rsidRPr="00BC6239">
        <w:rPr>
          <w:rFonts w:ascii="DIN Pro" w:eastAsia="Times New Roman" w:hAnsi="DIN Pro" w:cs="Arial"/>
          <w:b/>
          <w:lang w:eastAsia="zh-CN"/>
        </w:rPr>
        <w:t xml:space="preserve"> :</w:t>
      </w:r>
    </w:p>
    <w:p w14:paraId="21EBC6DD" w14:textId="40C2B03D" w:rsidR="00F86891" w:rsidRDefault="00F86891" w:rsidP="009E1061">
      <w:pPr>
        <w:tabs>
          <w:tab w:val="left" w:pos="426"/>
        </w:tabs>
        <w:suppressAutoHyphens/>
        <w:spacing w:after="120" w:line="240" w:lineRule="auto"/>
        <w:ind w:right="88"/>
        <w:jc w:val="both"/>
        <w:rPr>
          <w:rFonts w:ascii="DIN Pro" w:eastAsia="Times New Roman" w:hAnsi="DIN Pro" w:cs="Arial"/>
          <w:b/>
          <w:lang w:eastAsia="zh-CN"/>
        </w:rPr>
      </w:pPr>
    </w:p>
    <w:p w14:paraId="7AE0802C" w14:textId="50C42BAA" w:rsidR="00F86891" w:rsidRPr="00F86891" w:rsidRDefault="00F86891" w:rsidP="009E1061">
      <w:pPr>
        <w:tabs>
          <w:tab w:val="left" w:pos="426"/>
        </w:tabs>
        <w:suppressAutoHyphens/>
        <w:spacing w:after="120" w:line="240" w:lineRule="auto"/>
        <w:ind w:right="88"/>
        <w:jc w:val="both"/>
        <w:rPr>
          <w:rFonts w:ascii="DIN Pro" w:eastAsia="Times New Roman" w:hAnsi="DIN Pro" w:cs="Arial"/>
          <w:lang w:eastAsia="zh-CN"/>
        </w:rPr>
      </w:pPr>
      <w:r w:rsidRPr="00F86891">
        <w:rPr>
          <w:rFonts w:ascii="DIN Pro" w:eastAsia="Times New Roman" w:hAnsi="DIN Pro" w:cs="Arial"/>
          <w:lang w:eastAsia="zh-CN"/>
        </w:rPr>
        <w:t xml:space="preserve">Le lot 2 sera traité à </w:t>
      </w:r>
      <w:proofErr w:type="spellStart"/>
      <w:r w:rsidRPr="00F86891">
        <w:rPr>
          <w:rFonts w:ascii="DIN Pro" w:eastAsia="Times New Roman" w:hAnsi="DIN Pro" w:cs="Arial"/>
          <w:lang w:eastAsia="zh-CN"/>
        </w:rPr>
        <w:t>marché</w:t>
      </w:r>
      <w:proofErr w:type="spellEnd"/>
      <w:r w:rsidRPr="00F86891">
        <w:rPr>
          <w:rFonts w:ascii="DIN Pro" w:eastAsia="Times New Roman" w:hAnsi="DIN Pro" w:cs="Arial"/>
          <w:lang w:eastAsia="zh-CN"/>
        </w:rPr>
        <w:t xml:space="preserve"> subséquent</w:t>
      </w:r>
      <w:r w:rsidR="005D1960">
        <w:rPr>
          <w:rFonts w:ascii="DIN Pro" w:eastAsia="Times New Roman" w:hAnsi="DIN Pro" w:cs="Arial"/>
          <w:lang w:eastAsia="zh-CN"/>
        </w:rPr>
        <w:t>, selon les prix indiqués au B</w:t>
      </w:r>
      <w:r>
        <w:rPr>
          <w:rFonts w:ascii="DIN Pro" w:eastAsia="Times New Roman" w:hAnsi="DIN Pro" w:cs="Arial"/>
          <w:lang w:eastAsia="zh-CN"/>
        </w:rPr>
        <w:t>ordereau des Prix Unitaires (</w:t>
      </w:r>
      <w:proofErr w:type="gramStart"/>
      <w:r>
        <w:rPr>
          <w:rFonts w:ascii="DIN Pro" w:eastAsia="Times New Roman" w:hAnsi="DIN Pro" w:cs="Arial"/>
          <w:lang w:eastAsia="zh-CN"/>
        </w:rPr>
        <w:t>BPU)  annexé</w:t>
      </w:r>
      <w:proofErr w:type="gramEnd"/>
      <w:r>
        <w:rPr>
          <w:rFonts w:ascii="DIN Pro" w:eastAsia="Times New Roman" w:hAnsi="DIN Pro" w:cs="Arial"/>
          <w:lang w:eastAsia="zh-CN"/>
        </w:rPr>
        <w:t xml:space="preserve"> au présent acte d’engagement.</w:t>
      </w:r>
    </w:p>
    <w:p w14:paraId="314E1DB6" w14:textId="18D34BB3" w:rsidR="00BD447D" w:rsidRPr="005D1960" w:rsidRDefault="005D196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lot 2 est conclu sans montant minimum et avec un </w:t>
      </w:r>
      <w:r w:rsidRPr="005D1960">
        <w:rPr>
          <w:rFonts w:ascii="DIN Pro" w:eastAsia="Times New Roman" w:hAnsi="DIN Pro" w:cs="Arial"/>
          <w:lang w:eastAsia="zh-CN"/>
        </w:rPr>
        <w:t xml:space="preserve">montant maximum </w:t>
      </w:r>
      <w:r>
        <w:rPr>
          <w:rFonts w:ascii="DIN Pro" w:eastAsia="Times New Roman" w:hAnsi="DIN Pro" w:cs="Arial"/>
          <w:lang w:eastAsia="zh-CN"/>
        </w:rPr>
        <w:t>de</w:t>
      </w:r>
      <w:r w:rsidRPr="005D1960">
        <w:rPr>
          <w:rFonts w:ascii="DIN Pro" w:eastAsia="Times New Roman" w:hAnsi="DIN Pro" w:cs="Arial"/>
          <w:lang w:eastAsia="zh-CN"/>
        </w:rPr>
        <w:t xml:space="preserve"> 40 000 € HT sur la durée totale du marché</w:t>
      </w:r>
      <w:r>
        <w:rPr>
          <w:rFonts w:ascii="DIN Pro" w:eastAsia="Times New Roman" w:hAnsi="DIN Pro" w:cs="Arial"/>
          <w:lang w:eastAsia="zh-CN"/>
        </w:rPr>
        <w:t>.</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0F02EB7C" w14:textId="77777777" w:rsidR="00BD447D" w:rsidRPr="00BC623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09F5ED18" w14:textId="444693D8" w:rsidR="000D2471" w:rsidRDefault="000D2471" w:rsidP="009E1061">
      <w:pPr>
        <w:suppressAutoHyphens/>
        <w:spacing w:after="0" w:line="240" w:lineRule="auto"/>
        <w:ind w:right="88"/>
        <w:jc w:val="both"/>
        <w:rPr>
          <w:rFonts w:ascii="DIN Pro" w:eastAsia="Times New Roman" w:hAnsi="DIN Pro" w:cs="Arial"/>
          <w:lang w:eastAsia="zh-CN"/>
        </w:rPr>
      </w:pPr>
    </w:p>
    <w:p w14:paraId="66C66D3C" w14:textId="77777777" w:rsidR="00D62755" w:rsidRDefault="00D62755"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lastRenderedPageBreak/>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77777777" w:rsidR="00BD447D" w:rsidRPr="00BC6239" w:rsidRDefault="00BD447D"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F2FEC26" w14:textId="77777777" w:rsidR="007556C6"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7  – Durée du marché</w:t>
            </w:r>
          </w:p>
        </w:tc>
      </w:tr>
    </w:tbl>
    <w:p w14:paraId="3C9A538E" w14:textId="77777777" w:rsidR="00707546" w:rsidRPr="00BC6239" w:rsidRDefault="00707546" w:rsidP="00707546">
      <w:pPr>
        <w:spacing w:after="0" w:line="240" w:lineRule="auto"/>
        <w:rPr>
          <w:rFonts w:ascii="DIN Pro" w:eastAsia="Calibri" w:hAnsi="DIN Pro" w:cs="Arial"/>
        </w:rPr>
      </w:pPr>
    </w:p>
    <w:p w14:paraId="07843ADE" w14:textId="77777777" w:rsidR="00A02D67" w:rsidRDefault="00A02D67" w:rsidP="00707546">
      <w:pPr>
        <w:spacing w:after="0" w:line="240" w:lineRule="auto"/>
        <w:rPr>
          <w:rFonts w:ascii="DIN Pro" w:eastAsia="Calibri" w:hAnsi="DIN Pro" w:cs="Arial"/>
        </w:rPr>
      </w:pPr>
    </w:p>
    <w:p w14:paraId="5C03A01E" w14:textId="37DA308D" w:rsidR="000D2471" w:rsidRDefault="00D62755" w:rsidP="000D2471">
      <w:pPr>
        <w:pStyle w:val="fcase1ertab"/>
        <w:ind w:left="0" w:right="88" w:firstLine="0"/>
        <w:rPr>
          <w:rFonts w:ascii="DIN Pro" w:hAnsi="DIN Pro" w:cs="Arial"/>
          <w:sz w:val="22"/>
          <w:szCs w:val="22"/>
        </w:rPr>
      </w:pPr>
      <w:r>
        <w:rPr>
          <w:rFonts w:ascii="DIN Pro" w:hAnsi="DIN Pro" w:cs="Arial"/>
          <w:sz w:val="22"/>
          <w:szCs w:val="22"/>
        </w:rPr>
        <w:t>Le marché</w:t>
      </w:r>
      <w:r w:rsidRPr="00D62755">
        <w:rPr>
          <w:rFonts w:ascii="DIN Pro" w:hAnsi="DIN Pro" w:cs="Arial"/>
          <w:sz w:val="22"/>
          <w:szCs w:val="22"/>
        </w:rPr>
        <w:t xml:space="preserve"> </w:t>
      </w:r>
      <w:r w:rsidR="000D2471" w:rsidRPr="000D2471">
        <w:rPr>
          <w:rFonts w:ascii="DIN Pro" w:hAnsi="DIN Pro" w:cs="Arial"/>
          <w:sz w:val="22"/>
          <w:szCs w:val="22"/>
        </w:rPr>
        <w:t xml:space="preserve">est conclu pour une durée ferme </w:t>
      </w:r>
      <w:r w:rsidR="00D84C7B">
        <w:rPr>
          <w:rFonts w:ascii="DIN Pro" w:hAnsi="DIN Pro" w:cs="Arial"/>
          <w:sz w:val="22"/>
          <w:szCs w:val="22"/>
        </w:rPr>
        <w:t>d’un</w:t>
      </w:r>
      <w:r w:rsidR="000D2471" w:rsidRPr="000D2471">
        <w:rPr>
          <w:rFonts w:ascii="DIN Pro" w:hAnsi="DIN Pro" w:cs="Arial"/>
          <w:sz w:val="22"/>
          <w:szCs w:val="22"/>
        </w:rPr>
        <w:t xml:space="preserve"> (</w:t>
      </w:r>
      <w:r w:rsidR="00D84C7B">
        <w:rPr>
          <w:rFonts w:ascii="DIN Pro" w:hAnsi="DIN Pro" w:cs="Arial"/>
          <w:sz w:val="22"/>
          <w:szCs w:val="22"/>
        </w:rPr>
        <w:t>1) an</w:t>
      </w:r>
      <w:r w:rsidR="000D2471" w:rsidRPr="000D2471">
        <w:rPr>
          <w:rFonts w:ascii="DIN Pro" w:hAnsi="DIN Pro" w:cs="Arial"/>
          <w:sz w:val="22"/>
          <w:szCs w:val="22"/>
        </w:rPr>
        <w:t xml:space="preserve"> à compter de la notification. Il po</w:t>
      </w:r>
      <w:r w:rsidR="000D2471">
        <w:rPr>
          <w:rFonts w:ascii="DIN Pro" w:hAnsi="DIN Pro" w:cs="Arial"/>
          <w:sz w:val="22"/>
          <w:szCs w:val="22"/>
        </w:rPr>
        <w:t xml:space="preserve">urra être </w:t>
      </w:r>
      <w:r w:rsidR="000D2471" w:rsidRPr="000D2471">
        <w:rPr>
          <w:rFonts w:ascii="DIN Pro" w:hAnsi="DIN Pro" w:cs="Arial"/>
          <w:sz w:val="22"/>
          <w:szCs w:val="22"/>
        </w:rPr>
        <w:t xml:space="preserve">renouvelé de manière tacite </w:t>
      </w:r>
      <w:r w:rsidR="00D84C7B">
        <w:rPr>
          <w:rFonts w:ascii="DIN Pro" w:hAnsi="DIN Pro" w:cs="Arial"/>
          <w:sz w:val="22"/>
          <w:szCs w:val="22"/>
        </w:rPr>
        <w:t>trois</w:t>
      </w:r>
      <w:r w:rsidR="000D2471" w:rsidRPr="000D2471">
        <w:rPr>
          <w:rFonts w:ascii="DIN Pro" w:hAnsi="DIN Pro" w:cs="Arial"/>
          <w:sz w:val="22"/>
          <w:szCs w:val="22"/>
        </w:rPr>
        <w:t xml:space="preserve"> (</w:t>
      </w:r>
      <w:r w:rsidR="00D84C7B">
        <w:rPr>
          <w:rFonts w:ascii="DIN Pro" w:hAnsi="DIN Pro" w:cs="Arial"/>
          <w:sz w:val="22"/>
          <w:szCs w:val="22"/>
        </w:rPr>
        <w:t>3</w:t>
      </w:r>
      <w:r w:rsidR="000D2471" w:rsidRPr="000D2471">
        <w:rPr>
          <w:rFonts w:ascii="DIN Pro" w:hAnsi="DIN Pro" w:cs="Arial"/>
          <w:sz w:val="22"/>
          <w:szCs w:val="22"/>
        </w:rPr>
        <w:t>) fois 1 année. La durée totale du marché n’excèdera pas quatre (4) ans.</w:t>
      </w:r>
    </w:p>
    <w:p w14:paraId="24268E20" w14:textId="77777777" w:rsidR="000D2471" w:rsidRPr="000D2471" w:rsidRDefault="000D2471" w:rsidP="000D2471">
      <w:pPr>
        <w:pStyle w:val="fcase1ertab"/>
        <w:ind w:left="0" w:right="88" w:firstLine="0"/>
        <w:rPr>
          <w:rFonts w:ascii="DIN Pro" w:hAnsi="DIN Pro" w:cs="Arial"/>
          <w:sz w:val="22"/>
          <w:szCs w:val="22"/>
        </w:rPr>
      </w:pPr>
    </w:p>
    <w:p w14:paraId="12227E96" w14:textId="46608FCD"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En</w:t>
      </w:r>
      <w:r w:rsidRPr="000D2471">
        <w:rPr>
          <w:rFonts w:ascii="DIN Pro" w:hAnsi="DIN Pro" w:cs="Arial"/>
          <w:sz w:val="22"/>
          <w:szCs w:val="22"/>
        </w:rPr>
        <w:t xml:space="preserve"> cas de non reconduction du marché, la personne habilitée à signer le marché prend par écrit la décision de ne pas le reconduire le marché. La Cité de l’architecture et du patrimoine notifie au titulaire la décision de non reconduction au moins six (6) mois avant la fin de la durée du marché.</w:t>
      </w:r>
    </w:p>
    <w:p w14:paraId="0179743B" w14:textId="77777777" w:rsidR="000D2471" w:rsidRPr="000D2471" w:rsidRDefault="000D2471" w:rsidP="000D2471">
      <w:pPr>
        <w:pStyle w:val="fcase1ertab"/>
        <w:ind w:left="0" w:right="88" w:firstLine="0"/>
        <w:rPr>
          <w:rFonts w:ascii="DIN Pro" w:hAnsi="DIN Pro" w:cs="Arial"/>
          <w:sz w:val="22"/>
          <w:szCs w:val="22"/>
        </w:rPr>
      </w:pPr>
    </w:p>
    <w:p w14:paraId="505EF23E" w14:textId="3E54A4A2"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L</w:t>
      </w:r>
      <w:r w:rsidRPr="000D2471">
        <w:rPr>
          <w:rFonts w:ascii="DIN Pro" w:hAnsi="DIN Pro" w:cs="Arial"/>
          <w:sz w:val="22"/>
          <w:szCs w:val="22"/>
        </w:rPr>
        <w:t>e titulaire ne peut refuser la reconduction.</w:t>
      </w:r>
    </w:p>
    <w:p w14:paraId="503CAFBF" w14:textId="77777777" w:rsidR="000D2471" w:rsidRPr="000D2471" w:rsidRDefault="000D2471" w:rsidP="000D2471">
      <w:pPr>
        <w:pStyle w:val="fcase1ertab"/>
        <w:ind w:left="0" w:right="88" w:firstLine="0"/>
        <w:rPr>
          <w:rFonts w:ascii="DIN Pro" w:hAnsi="DIN Pro" w:cs="Arial"/>
          <w:sz w:val="22"/>
          <w:szCs w:val="22"/>
        </w:rPr>
      </w:pPr>
    </w:p>
    <w:p w14:paraId="658025BD" w14:textId="77777777" w:rsidR="000D2471" w:rsidRP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 xml:space="preserve">Dans ce cas, pour chacun des lots, le titulaire reste cependant engagé jusqu’à la fin de la période en cours et ne peut pas prétendre à une quelconque indemnité, rémunération, etc… </w:t>
      </w:r>
    </w:p>
    <w:p w14:paraId="0034AF1D" w14:textId="1FB83B6E" w:rsidR="000D2471" w:rsidRDefault="000D2471" w:rsidP="000D2471">
      <w:pPr>
        <w:pStyle w:val="fcase1ertab"/>
        <w:ind w:left="0" w:right="88" w:firstLine="0"/>
        <w:rPr>
          <w:rFonts w:ascii="DIN Pro" w:hAnsi="DIN Pro" w:cs="Arial"/>
          <w:sz w:val="22"/>
          <w:szCs w:val="22"/>
        </w:rPr>
      </w:pPr>
    </w:p>
    <w:p w14:paraId="79CCA1E1" w14:textId="77777777" w:rsidR="000D2471" w:rsidRPr="000D2471" w:rsidDel="00172529" w:rsidRDefault="000D2471" w:rsidP="000D2471">
      <w:pPr>
        <w:pStyle w:val="fcase1ertab"/>
        <w:ind w:left="0" w:right="88" w:firstLine="0"/>
        <w:rPr>
          <w:del w:id="4" w:author="Dominique Ragain" w:date="2024-06-10T18:04:00Z"/>
          <w:rFonts w:ascii="DIN Pro" w:hAnsi="DIN Pro" w:cs="Arial"/>
          <w:sz w:val="22"/>
          <w:szCs w:val="22"/>
        </w:rPr>
      </w:pPr>
    </w:p>
    <w:p w14:paraId="002E8AC9" w14:textId="6FFAE854" w:rsid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La Cité de l’architecture et du patrimoine se réserve la possibilité de procéder à une résiliation annuelle sans versement d’indemnités à condition de dénoncer le marché par lettre recommandée avec accusé de réception 6 mois avant la date anniversaire du marché.</w:t>
      </w:r>
    </w:p>
    <w:p w14:paraId="07AFD402" w14:textId="7E8BFAAA" w:rsidR="00F86891" w:rsidRDefault="00F86891" w:rsidP="000D2471">
      <w:pPr>
        <w:pStyle w:val="fcase1ertab"/>
        <w:ind w:left="0" w:right="88" w:firstLine="0"/>
        <w:rPr>
          <w:rFonts w:ascii="DIN Pro" w:hAnsi="DIN Pro" w:cs="Arial"/>
          <w:sz w:val="22"/>
          <w:szCs w:val="22"/>
        </w:rPr>
      </w:pPr>
    </w:p>
    <w:p w14:paraId="7D956D51" w14:textId="350A5A4F" w:rsidR="00F86891" w:rsidRPr="00F86891" w:rsidRDefault="00F86891" w:rsidP="00F86891">
      <w:pPr>
        <w:pStyle w:val="fcase1ertab"/>
        <w:ind w:left="0" w:right="88" w:firstLine="0"/>
        <w:rPr>
          <w:rFonts w:ascii="DIN Pro" w:hAnsi="DIN Pro" w:cs="Arial"/>
          <w:sz w:val="22"/>
          <w:szCs w:val="22"/>
        </w:rPr>
      </w:pPr>
      <w:r w:rsidRPr="00F86891">
        <w:rPr>
          <w:rFonts w:ascii="DIN Pro" w:hAnsi="DIN Pro" w:cs="Arial"/>
          <w:sz w:val="22"/>
          <w:szCs w:val="22"/>
        </w:rPr>
        <w:t xml:space="preserve">Pour </w:t>
      </w:r>
      <w:r>
        <w:rPr>
          <w:rFonts w:ascii="DIN Pro" w:hAnsi="DIN Pro" w:cs="Arial"/>
          <w:sz w:val="22"/>
          <w:szCs w:val="22"/>
        </w:rPr>
        <w:t>le lot</w:t>
      </w:r>
      <w:r w:rsidRPr="00F86891">
        <w:rPr>
          <w:rFonts w:ascii="DIN Pro" w:hAnsi="DIN Pro" w:cs="Arial"/>
          <w:sz w:val="22"/>
          <w:szCs w:val="22"/>
        </w:rPr>
        <w:t xml:space="preserve"> 2, la conclusion des marchés subséquents passés sur la base du présent marché pourront s’exécuter au-delà de la fin de l’accord-cadre, jusqu’à la fin de la prestation qui sera en cours.</w:t>
      </w:r>
    </w:p>
    <w:p w14:paraId="5B1C5ADF" w14:textId="77777777" w:rsidR="00F86891" w:rsidRPr="000D2471" w:rsidRDefault="00F86891" w:rsidP="000D2471">
      <w:pPr>
        <w:pStyle w:val="fcase1ertab"/>
        <w:ind w:left="0" w:right="88" w:firstLine="0"/>
        <w:rPr>
          <w:rFonts w:ascii="DIN Pro" w:hAnsi="DIN Pro" w:cs="Arial"/>
          <w:sz w:val="22"/>
          <w:szCs w:val="22"/>
        </w:rPr>
      </w:pP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2DCFF746"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77777777"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6A09CA" w:rsidRPr="00BC6239">
        <w:rPr>
          <w:rFonts w:ascii="DIN Pro" w:eastAsia="Times New Roman" w:hAnsi="DIN Pro" w:cs="Arial"/>
          <w:i/>
          <w:lang w:eastAsia="zh-CN"/>
        </w:rPr>
        <w:t>6</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CCAP) </w:t>
      </w:r>
      <w:r w:rsidRPr="00BC6239">
        <w:rPr>
          <w:rFonts w:ascii="DIN Pro" w:eastAsia="Times New Roman" w:hAnsi="DIN Pro" w:cs="Arial"/>
          <w:b/>
          <w:bCs/>
          <w:lang w:eastAsia="zh-CN"/>
        </w:rPr>
        <w:t>:</w:t>
      </w:r>
    </w:p>
    <w:p w14:paraId="6858B6D4"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731F44A6" w14:textId="77777777" w:rsidR="00DD45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11998E11" w14:textId="540743CE" w:rsidR="00DD45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35C119DE" w14:textId="6386E4D3"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9056033" w14:textId="04329E98"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4FADFDF" w14:textId="250C99DE"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6F77A579" w14:textId="05AF0C4A"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2777357F" w14:textId="24BC5E3C" w:rsidR="00AE27C3"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6977F22B" w14:textId="77777777" w:rsidR="00AE27C3" w:rsidRPr="00BC6239" w:rsidRDefault="00AE27C3"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lastRenderedPageBreak/>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2187ADA" w14:textId="77777777" w:rsidTr="003C1DCA">
        <w:trPr>
          <w:trHeight w:val="1021"/>
        </w:trPr>
        <w:tc>
          <w:tcPr>
            <w:tcW w:w="3420" w:type="dxa"/>
            <w:tcBorders>
              <w:left w:val="single" w:sz="4" w:space="0" w:color="000000"/>
            </w:tcBorders>
            <w:shd w:val="clear" w:color="auto" w:fill="auto"/>
          </w:tcPr>
          <w:p w14:paraId="1D63225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7F29BEB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7F8590F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4AE80D6F" w14:textId="2C366430" w:rsidR="00307EC4" w:rsidRDefault="00307EC4"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D03523">
        <w:rPr>
          <w:rFonts w:ascii="DIN Pro" w:eastAsia="Times New Roman" w:hAnsi="DIN Pro" w:cs="Univers"/>
          <w:lang w:eastAsia="zh-CN"/>
        </w:rPr>
      </w:r>
      <w:r w:rsidR="00D03523">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80331BB" w14:textId="611857DD"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7DEFB07E" w14:textId="50E6E874"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45708CAC" w14:textId="77777777"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3BA441A9" w14:textId="77777777" w:rsidTr="003C1DCA">
        <w:trPr>
          <w:trHeight w:val="976"/>
        </w:trPr>
        <w:tc>
          <w:tcPr>
            <w:tcW w:w="3995" w:type="dxa"/>
            <w:tcBorders>
              <w:left w:val="single" w:sz="4" w:space="0" w:color="000000"/>
            </w:tcBorders>
            <w:shd w:val="clear" w:color="auto" w:fill="auto"/>
          </w:tcPr>
          <w:p w14:paraId="2A96698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675BAF8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36959B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26FC1D0" w14:textId="77777777" w:rsidTr="003C1DCA">
        <w:trPr>
          <w:trHeight w:val="976"/>
        </w:trPr>
        <w:tc>
          <w:tcPr>
            <w:tcW w:w="3995" w:type="dxa"/>
            <w:tcBorders>
              <w:left w:val="single" w:sz="4" w:space="0" w:color="000000"/>
              <w:bottom w:val="single" w:sz="4" w:space="0" w:color="000000"/>
            </w:tcBorders>
            <w:shd w:val="clear" w:color="auto" w:fill="DEEAF6"/>
          </w:tcPr>
          <w:p w14:paraId="2777CB5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000000"/>
            </w:tcBorders>
            <w:shd w:val="clear" w:color="auto" w:fill="DEEAF6"/>
          </w:tcPr>
          <w:p w14:paraId="39C14F8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000000"/>
              <w:right w:val="single" w:sz="4" w:space="0" w:color="000000"/>
            </w:tcBorders>
            <w:shd w:val="clear" w:color="auto" w:fill="DEEAF6"/>
          </w:tcPr>
          <w:p w14:paraId="4814D65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4E8C2A26" w14:textId="77777777" w:rsidR="00BD447D"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239CA7E" w14:textId="77777777" w:rsidR="0035153B"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2E1A4A0C" w14:textId="77777777" w:rsidR="0035153B" w:rsidRPr="00BC6239" w:rsidRDefault="0035153B" w:rsidP="009E1061">
      <w:pPr>
        <w:tabs>
          <w:tab w:val="left" w:pos="851"/>
        </w:tabs>
        <w:suppressAutoHyphens/>
        <w:spacing w:after="0" w:line="240" w:lineRule="auto"/>
        <w:ind w:right="88"/>
        <w:jc w:val="both"/>
        <w:rPr>
          <w:rFonts w:ascii="DIN Pro" w:eastAsia="Times New Roman" w:hAnsi="DIN Pro" w:cs="Arial"/>
          <w:lang w:eastAsia="zh-CN"/>
        </w:rPr>
      </w:pPr>
    </w:p>
    <w:p w14:paraId="41977504"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22FA4CFC" w14:textId="0A70890A" w:rsidR="001C19D3" w:rsidRPr="009003FC" w:rsidRDefault="009003FC" w:rsidP="001C19D3">
      <w:pPr>
        <w:pStyle w:val="Paragraphedeliste"/>
        <w:numPr>
          <w:ilvl w:val="0"/>
          <w:numId w:val="6"/>
        </w:numPr>
        <w:spacing w:line="276" w:lineRule="auto"/>
        <w:rPr>
          <w:rFonts w:ascii="DIN Pro" w:hAnsi="DIN Pro"/>
        </w:rPr>
      </w:pPr>
      <w:r w:rsidRPr="009003FC">
        <w:rPr>
          <w:rFonts w:ascii="DIN Pro" w:hAnsi="DIN Pro"/>
        </w:rPr>
        <w:t>L’annexe « A »</w:t>
      </w:r>
      <w:r w:rsidR="001C19D3" w:rsidRPr="009003FC">
        <w:rPr>
          <w:rFonts w:ascii="DIN Pro" w:hAnsi="DIN Pro"/>
        </w:rPr>
        <w:t xml:space="preserve"> de l’acte d’engagement « </w:t>
      </w:r>
      <w:r w:rsidR="00AE27C3">
        <w:rPr>
          <w:rFonts w:ascii="DIN Pro" w:hAnsi="DIN Pro"/>
        </w:rPr>
        <w:t>Le Bordereau des prix unitaire (BPU)</w:t>
      </w:r>
      <w:r w:rsidR="001C19D3" w:rsidRPr="009003FC">
        <w:rPr>
          <w:rFonts w:ascii="DIN Pro" w:hAnsi="DIN Pro"/>
        </w:rPr>
        <w:t xml:space="preserve"> »,</w:t>
      </w:r>
    </w:p>
    <w:p w14:paraId="302B1DED" w14:textId="2F908FD5"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B »</w:t>
      </w:r>
      <w:r w:rsidRPr="009003FC">
        <w:rPr>
          <w:rFonts w:ascii="DIN Pro" w:hAnsi="DIN Pro"/>
        </w:rPr>
        <w:t xml:space="preserve"> de l’acte d’engagement « Le mémoire technique »</w:t>
      </w:r>
    </w:p>
    <w:p w14:paraId="0127D376" w14:textId="07EF5E7E"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C »</w:t>
      </w:r>
      <w:r w:rsidRPr="009003FC">
        <w:rPr>
          <w:rFonts w:ascii="DIN Pro" w:hAnsi="DIN Pro"/>
        </w:rPr>
        <w:t xml:space="preserve"> de l’acte d’engagement « </w:t>
      </w:r>
      <w:r w:rsidRPr="009003FC">
        <w:rPr>
          <w:rFonts w:ascii="DIN Pro" w:hAnsi="DIN Pro"/>
          <w:spacing w:val="-1"/>
        </w:rPr>
        <w:t>L’engagement de confidentialité »,</w:t>
      </w:r>
    </w:p>
    <w:p w14:paraId="6FE7F87B" w14:textId="394AE8B0"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D »</w:t>
      </w:r>
      <w:r w:rsidRPr="009003FC">
        <w:rPr>
          <w:rFonts w:ascii="DIN Pro" w:hAnsi="DIN Pro"/>
        </w:rPr>
        <w:t xml:space="preserve"> de l’acte d’engagement « </w:t>
      </w:r>
      <w:r w:rsidRPr="009003FC">
        <w:rPr>
          <w:rFonts w:ascii="DIN Pro" w:hAnsi="DIN Pro"/>
          <w:spacing w:val="-1"/>
        </w:rPr>
        <w:t>L’attestation d’absence de conflit d’intérêt »,</w:t>
      </w:r>
    </w:p>
    <w:p w14:paraId="313483BE" w14:textId="5FD6FA84"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E »</w:t>
      </w:r>
      <w:r w:rsidRPr="009003FC">
        <w:rPr>
          <w:rFonts w:ascii="DIN Pro" w:hAnsi="DIN Pro"/>
        </w:rPr>
        <w:t xml:space="preserve"> de l’acte d’engagement « </w:t>
      </w:r>
      <w:r w:rsidRPr="009003FC">
        <w:rPr>
          <w:rFonts w:ascii="DIN Pro" w:hAnsi="DIN Pro"/>
          <w:spacing w:val="-1"/>
        </w:rPr>
        <w:t>L’attestation de respect des lois et principes régissant la République française ».</w:t>
      </w:r>
    </w:p>
    <w:p w14:paraId="46AED52F" w14:textId="2008046C"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F »</w:t>
      </w:r>
      <w:r w:rsidRPr="009003FC">
        <w:rPr>
          <w:rFonts w:ascii="DIN Pro" w:hAnsi="DIN Pro"/>
        </w:rPr>
        <w:t xml:space="preserve"> de l’acte d’engagement « Les clauses de sous-traitance et protection des données personnelles » ;</w:t>
      </w:r>
    </w:p>
    <w:p w14:paraId="4A5ABD26" w14:textId="402E0533"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8A5D87" w14:textId="607E5CA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AB44043" w14:textId="06AD6FD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6A7E3EB" w14:textId="71F4376B"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FF0652" w14:textId="5A7908B4"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704FDA3F" w14:textId="5DA22108"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2FDA2193" w14:textId="673A031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37947107" w14:textId="4611084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67708E0" w14:textId="169EDCC9"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788B7F9" w14:textId="08BE259F"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1B6032E" w14:textId="13E13F3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342BCB4" w14:textId="758F5C8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17DE77A0" w14:textId="4CB2EE9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778CCEA" w14:textId="5070254F"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9542E1F" w14:textId="4B7E4EF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7A86433" w14:textId="74252D5E"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514A63D0" w14:textId="763D2A8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3954D71" w14:textId="63B1456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2BF5B5A" w14:textId="23299234"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CDA872C" w14:textId="7A5A5261"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6175DB4" w14:textId="5AF35A25"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4D6188E" w14:textId="60DDA07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3160C261" w14:textId="48B57C7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574F43D" w14:textId="586B606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A5E1999" w14:textId="14A8F0DA"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302C95DE" w14:textId="6A1BAA73"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4266FF07" w14:textId="3117A227"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72B4723B" w14:textId="62CDCB00"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0BF1AAAD" w14:textId="37D6A482"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4071D416" w14:textId="79409CE0"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3ECF2560" w14:textId="68D1997B"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4BF9E05F" w14:textId="1BF0B1E4"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7BE53318" w14:textId="77777777" w:rsidR="00AE27C3" w:rsidRDefault="00AE27C3" w:rsidP="00D62755">
      <w:pPr>
        <w:tabs>
          <w:tab w:val="left" w:pos="851"/>
        </w:tabs>
        <w:suppressAutoHyphens/>
        <w:spacing w:after="0" w:line="240" w:lineRule="auto"/>
        <w:ind w:right="88"/>
        <w:rPr>
          <w:rFonts w:ascii="DIN Pro" w:eastAsia="Times New Roman" w:hAnsi="DIN Pro" w:cs="Arial"/>
          <w:lang w:eastAsia="zh-CN"/>
        </w:rPr>
      </w:pPr>
    </w:p>
    <w:p w14:paraId="7E3639CB" w14:textId="77777777"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9B26F3B" w14:textId="199C1CDA"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50B9829" w14:textId="77777777" w:rsidR="00D62755" w:rsidRP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04C27B0"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9B535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altName w:val="Corbel"/>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1F9C444D" w:rsidR="00C60C0A" w:rsidRPr="00452E3C" w:rsidRDefault="000D2471" w:rsidP="00F86891">
          <w:pPr>
            <w:spacing w:after="0"/>
            <w:ind w:left="-4" w:firstLine="4"/>
            <w:jc w:val="center"/>
            <w:rPr>
              <w:rFonts w:ascii="DIN Pro" w:hAnsi="DIN Pro" w:cs="Arial"/>
              <w:b/>
            </w:rPr>
          </w:pPr>
          <w:r>
            <w:rPr>
              <w:rFonts w:ascii="DIN Pro" w:hAnsi="DIN Pro" w:cs="Arial"/>
              <w:b/>
            </w:rPr>
            <w:t>AO-2024-03</w:t>
          </w:r>
          <w:r w:rsidR="00C60C0A">
            <w:rPr>
              <w:rFonts w:ascii="DIN Pro" w:hAnsi="DIN Pro" w:cs="Arial"/>
              <w:b/>
            </w:rPr>
            <w:t xml:space="preserve"> – Lot </w:t>
          </w:r>
          <w:r w:rsidR="00F86891">
            <w:rPr>
              <w:rFonts w:ascii="DIN Pro" w:hAnsi="DIN Pro" w:cs="Arial"/>
              <w:b/>
            </w:rPr>
            <w:t>2</w:t>
          </w:r>
        </w:p>
      </w:tc>
      <w:tc>
        <w:tcPr>
          <w:tcW w:w="3240" w:type="dxa"/>
          <w:shd w:val="clear" w:color="auto" w:fill="DEEAF6"/>
          <w:vAlign w:val="center"/>
        </w:tcPr>
        <w:p w14:paraId="5765CA13" w14:textId="500F61A3"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D03523">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D03523">
                    <w:rPr>
                      <w:b/>
                      <w:bCs/>
                      <w:noProof/>
                    </w:rPr>
                    <w:t>11</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inique Ragain">
    <w15:presenceInfo w15:providerId="AD" w15:userId="S-1-5-21-329068152-1292428093-725345543-1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7D"/>
    <w:rsid w:val="0008178F"/>
    <w:rsid w:val="00084C8B"/>
    <w:rsid w:val="00093D6A"/>
    <w:rsid w:val="000D2471"/>
    <w:rsid w:val="000E39CB"/>
    <w:rsid w:val="00167A4E"/>
    <w:rsid w:val="00185CF0"/>
    <w:rsid w:val="001C19D3"/>
    <w:rsid w:val="001D6B24"/>
    <w:rsid w:val="002F28BD"/>
    <w:rsid w:val="00307EC4"/>
    <w:rsid w:val="0035153B"/>
    <w:rsid w:val="003B58AA"/>
    <w:rsid w:val="003C1DCA"/>
    <w:rsid w:val="003D3B3C"/>
    <w:rsid w:val="00456B40"/>
    <w:rsid w:val="00495CB7"/>
    <w:rsid w:val="00497836"/>
    <w:rsid w:val="004E6B86"/>
    <w:rsid w:val="004F3074"/>
    <w:rsid w:val="005354BC"/>
    <w:rsid w:val="005B109D"/>
    <w:rsid w:val="005B112A"/>
    <w:rsid w:val="005D1960"/>
    <w:rsid w:val="005D706F"/>
    <w:rsid w:val="00643DEB"/>
    <w:rsid w:val="0065051F"/>
    <w:rsid w:val="0065586A"/>
    <w:rsid w:val="00665631"/>
    <w:rsid w:val="006A09CA"/>
    <w:rsid w:val="006D57BA"/>
    <w:rsid w:val="00707546"/>
    <w:rsid w:val="007556C6"/>
    <w:rsid w:val="0079365C"/>
    <w:rsid w:val="00813ADE"/>
    <w:rsid w:val="0081726D"/>
    <w:rsid w:val="00842811"/>
    <w:rsid w:val="00855CF6"/>
    <w:rsid w:val="00870C55"/>
    <w:rsid w:val="00875B1C"/>
    <w:rsid w:val="008B17A8"/>
    <w:rsid w:val="008C2871"/>
    <w:rsid w:val="009003FC"/>
    <w:rsid w:val="009E1061"/>
    <w:rsid w:val="00A02D67"/>
    <w:rsid w:val="00A27575"/>
    <w:rsid w:val="00A55DF8"/>
    <w:rsid w:val="00AE27C3"/>
    <w:rsid w:val="00AF0C83"/>
    <w:rsid w:val="00B31B63"/>
    <w:rsid w:val="00B40162"/>
    <w:rsid w:val="00B85AEB"/>
    <w:rsid w:val="00BC6239"/>
    <w:rsid w:val="00BD447D"/>
    <w:rsid w:val="00C06DD8"/>
    <w:rsid w:val="00C11310"/>
    <w:rsid w:val="00C36B4F"/>
    <w:rsid w:val="00C60C0A"/>
    <w:rsid w:val="00CF3DBC"/>
    <w:rsid w:val="00D03523"/>
    <w:rsid w:val="00D36C08"/>
    <w:rsid w:val="00D43EC2"/>
    <w:rsid w:val="00D62755"/>
    <w:rsid w:val="00D84C7B"/>
    <w:rsid w:val="00DD4539"/>
    <w:rsid w:val="00ED2EDC"/>
    <w:rsid w:val="00F53D31"/>
    <w:rsid w:val="00F72044"/>
    <w:rsid w:val="00F86891"/>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semiHidden/>
    <w:unhideWhenUsed/>
    <w:rsid w:val="006D57BA"/>
    <w:rPr>
      <w:sz w:val="16"/>
      <w:szCs w:val="16"/>
    </w:rPr>
  </w:style>
  <w:style w:type="paragraph" w:styleId="Commentaire">
    <w:name w:val="annotation text"/>
    <w:basedOn w:val="Normal"/>
    <w:link w:val="CommentaireCar"/>
    <w:uiPriority w:val="99"/>
    <w:semiHidden/>
    <w:unhideWhenUsed/>
    <w:rsid w:val="006D57BA"/>
    <w:pPr>
      <w:spacing w:line="240" w:lineRule="auto"/>
    </w:pPr>
    <w:rPr>
      <w:sz w:val="20"/>
      <w:szCs w:val="20"/>
    </w:rPr>
  </w:style>
  <w:style w:type="character" w:customStyle="1" w:styleId="CommentaireCar">
    <w:name w:val="Commentaire Car"/>
    <w:basedOn w:val="Policepardfaut"/>
    <w:link w:val="Commentaire"/>
    <w:uiPriority w:val="99"/>
    <w:semiHidden/>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11</Pages>
  <Words>2388</Words>
  <Characters>13137</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Dominique Ragain</cp:lastModifiedBy>
  <cp:revision>45</cp:revision>
  <cp:lastPrinted>2024-06-07T12:53:00Z</cp:lastPrinted>
  <dcterms:created xsi:type="dcterms:W3CDTF">2023-06-07T08:28:00Z</dcterms:created>
  <dcterms:modified xsi:type="dcterms:W3CDTF">2024-11-27T16:29:00Z</dcterms:modified>
</cp:coreProperties>
</file>