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B" w:rsidRPr="00882A6B" w:rsidRDefault="00882A6B" w:rsidP="00882A6B">
      <w:pPr>
        <w:shd w:val="clear" w:color="auto" w:fill="80919F"/>
        <w:spacing w:after="0" w:line="175" w:lineRule="atLeast"/>
        <w:jc w:val="center"/>
        <w:rPr>
          <w:rFonts w:ascii="Verdana" w:eastAsia="Times New Roman" w:hAnsi="Verdana" w:cs="Times New Roman"/>
          <w:b/>
          <w:bCs/>
          <w:caps/>
          <w:color w:val="FFFFFF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aps/>
          <w:color w:val="FFFFFF"/>
          <w:sz w:val="13"/>
          <w:szCs w:val="13"/>
          <w:lang w:eastAsia="fr-FR"/>
        </w:rPr>
        <w:t>Annonce à transmettre</w:t>
      </w:r>
      <w:r w:rsidRPr="00882A6B">
        <w:rPr>
          <w:rFonts w:ascii="Verdana" w:eastAsia="Times New Roman" w:hAnsi="Verdana" w:cs="Times New Roman"/>
          <w:b/>
          <w:bCs/>
          <w:caps/>
          <w:color w:val="FFFFFF"/>
          <w:sz w:val="13"/>
          <w:szCs w:val="13"/>
          <w:lang w:eastAsia="fr-FR"/>
        </w:rPr>
        <w:br/>
      </w:r>
      <w:r w:rsidRPr="00882A6B">
        <w:rPr>
          <w:rFonts w:ascii="Verdana" w:eastAsia="Times New Roman" w:hAnsi="Verdana" w:cs="Times New Roman"/>
          <w:b/>
          <w:bCs/>
          <w:color w:val="FFFFFF"/>
          <w:sz w:val="13"/>
          <w:szCs w:val="13"/>
          <w:lang w:eastAsia="fr-FR"/>
        </w:rPr>
        <w:t>Avis d'Appel Public à la Concurrence - Procédure Formalisée</w:t>
      </w:r>
    </w:p>
    <w:p w:rsidR="00882A6B" w:rsidRPr="00882A6B" w:rsidRDefault="00882A6B" w:rsidP="00882A6B">
      <w:pPr>
        <w:pBdr>
          <w:bottom w:val="single" w:sz="4" w:space="0" w:color="B5194C"/>
        </w:pBdr>
        <w:spacing w:before="250" w:after="125" w:line="240" w:lineRule="auto"/>
        <w:rPr>
          <w:rFonts w:ascii="Verdana" w:eastAsia="Times New Roman" w:hAnsi="Verdana" w:cs="Times New Roman"/>
          <w:b/>
          <w:bCs/>
          <w:caps/>
          <w:color w:val="B5194C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aps/>
          <w:color w:val="B5194C"/>
          <w:sz w:val="13"/>
          <w:szCs w:val="13"/>
          <w:lang w:eastAsia="fr-FR"/>
        </w:rPr>
        <w:t>Contenu de votre avis</w:t>
      </w:r>
    </w:p>
    <w:p w:rsidR="00882A6B" w:rsidRPr="00882A6B" w:rsidRDefault="00882A6B" w:rsidP="00882A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882A6B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882A6B" w:rsidRPr="00882A6B" w:rsidRDefault="00882A6B" w:rsidP="00882A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882A6B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882A6B" w:rsidRPr="00882A6B" w:rsidRDefault="00882A6B" w:rsidP="00882A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882A6B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882A6B" w:rsidRPr="00882A6B" w:rsidRDefault="00882A6B" w:rsidP="00882A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882A6B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882A6B" w:rsidRPr="00882A6B" w:rsidRDefault="00882A6B" w:rsidP="00882A6B">
      <w:pPr>
        <w:spacing w:after="0" w:line="240" w:lineRule="auto"/>
        <w:rPr>
          <w:rFonts w:ascii="Verdana" w:eastAsia="Times New Roman" w:hAnsi="Verdana" w:cs="Times New Roman"/>
          <w:color w:val="EB1C22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EB1C22"/>
          <w:sz w:val="13"/>
          <w:lang w:eastAsia="fr-FR"/>
        </w:rPr>
        <w:t>NB : cet aperçu ne reflète que votre saisie44.</w:t>
      </w:r>
      <w:r w:rsidRPr="00882A6B">
        <w:rPr>
          <w:rFonts w:ascii="Verdana" w:eastAsia="Times New Roman" w:hAnsi="Verdana" w:cs="Times New Roman"/>
          <w:color w:val="EB1C22"/>
          <w:sz w:val="13"/>
          <w:szCs w:val="13"/>
          <w:lang w:eastAsia="fr-FR"/>
        </w:rPr>
        <w:br/>
        <w:t>Les organes de publication se réservent la possibilité de remettre en forme l'annonce définitive en fonction des impératifs d'édition.</w:t>
      </w:r>
    </w:p>
    <w:p w:rsidR="00882A6B" w:rsidRPr="00882A6B" w:rsidRDefault="00882A6B" w:rsidP="00882A6B">
      <w:pPr>
        <w:shd w:val="clear" w:color="auto" w:fill="EAEAEA"/>
        <w:spacing w:beforeAutospacing="1" w:after="0" w:afterAutospacing="1" w:line="240" w:lineRule="auto"/>
        <w:outlineLvl w:val="0"/>
        <w:rPr>
          <w:rFonts w:ascii="Verdana" w:eastAsia="Times New Roman" w:hAnsi="Verdana" w:cs="Times New Roman"/>
          <w:b/>
          <w:bCs/>
          <w:caps/>
          <w:color w:val="000000"/>
          <w:kern w:val="36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aps/>
          <w:color w:val="000000"/>
          <w:kern w:val="36"/>
          <w:sz w:val="13"/>
          <w:szCs w:val="13"/>
          <w:lang w:eastAsia="fr-FR"/>
        </w:rPr>
        <w:t>France: Services de navires de secours</w:t>
      </w:r>
      <w:r w:rsidRPr="00882A6B">
        <w:rPr>
          <w:rFonts w:ascii="Verdana" w:eastAsia="Times New Roman" w:hAnsi="Verdana" w:cs="Times New Roman"/>
          <w:b/>
          <w:bCs/>
          <w:caps/>
          <w:color w:val="000000"/>
          <w:kern w:val="36"/>
          <w:sz w:val="13"/>
          <w:szCs w:val="13"/>
          <w:lang w:eastAsia="fr-FR"/>
        </w:rPr>
        <w:br/>
        <w:t>Prestations de mise en oeuvre de moyens nautiques de secours aux passagers d'aéronefs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Avis de marché ou de concession régime ordinaire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proofErr w:type="gramStart"/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menu</w:t>
      </w:r>
      <w:proofErr w:type="gramEnd"/>
    </w:p>
    <w:p w:rsidR="00882A6B" w:rsidRPr="00882A6B" w:rsidRDefault="00882A6B" w:rsidP="00882A6B">
      <w:pPr>
        <w:shd w:val="clear" w:color="auto" w:fill="EAEAEA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1. 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Acheteur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1.1 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Acheteur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 officiel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CCI de Corse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Forme juridique de l'acheteur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Organisme de droit public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Activité du pouvoir adjudicateur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Services d'administration générale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Activité de l'entité adjudicatrice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Activités aéroportuaires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2. 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Procédure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2.1 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Procédure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Titre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: Prestations de mise en 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oeuvre</w:t>
      </w:r>
      <w:proofErr w:type="spellEnd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 de moyens nautiques de secours aux passagers d'aéronefs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Description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: Prestations de mise en 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oeuvre</w:t>
      </w:r>
      <w:proofErr w:type="spellEnd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 de moyens nautiques de secours aux passagers d'aéronefs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Identifiant de la procédure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c0e76c74-bc72-47ef-b4c7-f3a07959f6ae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Identifiant interne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2024-PAN-048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Type de procédure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Autre procédure en plusieurs étapes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Justification de la procédure accélérée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Principales caractéristiques de la procédure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2.1.1 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Objet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Nature du marché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Services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Nomenclature principale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 (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cpv</w:t>
      </w:r>
      <w:proofErr w:type="spellEnd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): 60651500 Services de navires de secours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2.1.4 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Informations générales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Base juridique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Directive 2014/25/UE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2.1.6 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Motifs d'exclusion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État de cessation d'activités: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5. 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Lot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Identifiant technique du lot</w:t>
      </w: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: LOT-0001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Titre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: Prestations de mise en 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oeuvre</w:t>
      </w:r>
      <w:proofErr w:type="spellEnd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 de moyens nautiques de secours aux passagers d'aéronefs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Description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: Prestations de mise en 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oeuvre</w:t>
      </w:r>
      <w:proofErr w:type="spellEnd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 de moyens nautiques de secours aux passagers d'aéronefs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Identifiant interne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2024-PAN-048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5.1.1 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Objet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Nature du marché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Services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Nomenclature principale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 (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cpv</w:t>
      </w:r>
      <w:proofErr w:type="spellEnd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): 60651500 Services de navires de secours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5.1.3 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Durée estimée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Durée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5 </w:t>
      </w: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An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5.1.4 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Renouvellement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Nombre maximal de renouvellements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4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5.1.6 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Informations générales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Participation réservée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La participation n'est pas réservée.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Le marché relève de l'accord sur les marchés publics (AMP)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</w:t>
      </w: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oui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5.1.9 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Critères de sélection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Critère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Type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Capacité économique et financière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La lettre de candidature (imprimé DC1, version disponible sur le site </w:t>
      </w:r>
      <w:hyperlink r:id="rId5" w:history="1">
        <w:r w:rsidRPr="00882A6B">
          <w:rPr>
            <w:rFonts w:ascii="Verdana" w:eastAsia="Times New Roman" w:hAnsi="Verdana" w:cs="Times New Roman"/>
            <w:color w:val="000000"/>
            <w:sz w:val="13"/>
            <w:u w:val="single"/>
            <w:lang w:eastAsia="fr-FR"/>
          </w:rPr>
          <w:t>www.economie.gouv.fr/)</w:t>
        </w:r>
      </w:hyperlink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 La déclaration du candidat (imprimé DC2, version disponible sur le site </w:t>
      </w:r>
      <w:hyperlink r:id="rId6" w:history="1">
        <w:r w:rsidRPr="00882A6B">
          <w:rPr>
            <w:rFonts w:ascii="Verdana" w:eastAsia="Times New Roman" w:hAnsi="Verdana" w:cs="Times New Roman"/>
            <w:color w:val="000000"/>
            <w:sz w:val="13"/>
            <w:u w:val="single"/>
            <w:lang w:eastAsia="fr-FR"/>
          </w:rPr>
          <w:t>www.economie.gouv.fr/).</w:t>
        </w:r>
      </w:hyperlink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 Déclaration concernant le chiffre d'affaires global et le chiffre d'affaires concernant les prestations objet du contrat, réalisées au cours des trois derniers exercices disponibles.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Critère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Type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Capacité technique et professionnelle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Le tableau récapitulatif des références récentes du candidat sur les 3 dernières années (document à compléter, disponible en annexe). Les références du candidat seront obligatoirement récentes et en rapport avec l'objet de la consultation. Elles seront clairement renseignées (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cf</w:t>
      </w:r>
      <w:proofErr w:type="spellEnd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 RC)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5.1.11 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Documents de marché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Adresse des documents de marché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</w:t>
      </w:r>
      <w:hyperlink r:id="rId7" w:history="1">
        <w:r w:rsidRPr="00882A6B">
          <w:rPr>
            <w:rFonts w:ascii="Verdana" w:eastAsia="Times New Roman" w:hAnsi="Verdana" w:cs="Times New Roman"/>
            <w:color w:val="000000"/>
            <w:sz w:val="13"/>
            <w:u w:val="single"/>
            <w:lang w:eastAsia="fr-FR"/>
          </w:rPr>
          <w:t>http://www.cci.corsica</w:t>
        </w:r>
      </w:hyperlink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5.1.12 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Conditions du marché public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Conditions de présentation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Présentation par voie électronique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Requise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Adresse de présentation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</w:t>
      </w:r>
      <w:hyperlink r:id="rId8" w:history="1">
        <w:r w:rsidRPr="00882A6B">
          <w:rPr>
            <w:rFonts w:ascii="Verdana" w:eastAsia="Times New Roman" w:hAnsi="Verdana" w:cs="Times New Roman"/>
            <w:color w:val="000000"/>
            <w:sz w:val="13"/>
            <w:u w:val="single"/>
            <w:lang w:eastAsia="fr-FR"/>
          </w:rPr>
          <w:t>http://www.cci.corsica</w:t>
        </w:r>
      </w:hyperlink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Langues dans lesquelles les offres ou demandes de participation peuvent être présentées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français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Catalogue électronique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Non autorisée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Date limite de réception des demandes de participation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12/11/2024 16:00 +02:00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Conditions du marché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Le marché doit être exécuté dans le cadre de programmes d'emplois protégés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Non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Conditions relatives à l'exécution du contrat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Conditions décrites au RC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Montage financier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Fonds propres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5.1.15 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Techniques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Accord-cadre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Accord-cadre, sans remise en concurrence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Nombre maximal de participants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3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Informations sur le système d'acquisition dynamique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Pas de système d'acquisition dynamique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Enchère électronique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</w:t>
      </w: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non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5.1.16 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Informations complémentaires, médiation et réexamen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Organisation chargée des procédures de médiation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Comité consultatif interrégional de règlement amiable des litiges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Organisation chargée des procédures de recours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Tribunal administratif de Bastia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Organisation qui fournit des informations complémentaires sur la procédure de passation de marché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Tribunal administratif de Bastia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lastRenderedPageBreak/>
        <w:t>Organisation qui fournit un accès hors ligne aux documents de marché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CCI de Corse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Organisation qui fournit des précisions concernant l'introduction des recours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Tribunal administratif de Bastia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8. 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Organisations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8.1 ORG-0001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 officiel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CCI de Corse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Numéro d'enregistrement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13001457400029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Adresse postale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Rue Adolphe Landry CS 10210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Ville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Bastia cedex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Code postal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20293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Subdivision pays (NUTS)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Haute-Corse (FRM02)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Pays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France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Adresse électronique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</w:t>
      </w:r>
      <w:hyperlink r:id="rId9" w:history="1">
        <w:r w:rsidRPr="00882A6B">
          <w:rPr>
            <w:rFonts w:ascii="Verdana" w:eastAsia="Times New Roman" w:hAnsi="Verdana" w:cs="Times New Roman"/>
            <w:color w:val="000000"/>
            <w:sz w:val="13"/>
            <w:u w:val="single"/>
            <w:lang w:eastAsia="fr-FR"/>
          </w:rPr>
          <w:t>catherine.brun@cci.corsic</w:t>
        </w:r>
      </w:hyperlink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a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Téléphone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0495515555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Rôles de cette organisation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Acheteur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Organisation qui fournit un accès hors ligne aux documents de marché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8.1 ORG-0004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 officiel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Comité consultatif interrégional de règlement amiable des litiges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Numéro d'enregistrement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17130000700019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Adresse postale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: Préfecture de la Région Provence Alpes Côte d'azur Place 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Felix</w:t>
      </w:r>
      <w:proofErr w:type="spellEnd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 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Barret</w:t>
      </w:r>
      <w:proofErr w:type="spellEnd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 CS 80001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Ville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Ville: Marseille cedex 06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Code postal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13282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Subdivision pays (NUTS)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Bouches-du-Rhône (FRL04)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Pays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France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Adresse électronique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</w:t>
      </w:r>
      <w:hyperlink r:id="rId10" w:history="1">
        <w:r w:rsidRPr="00882A6B">
          <w:rPr>
            <w:rFonts w:ascii="Verdana" w:eastAsia="Times New Roman" w:hAnsi="Verdana" w:cs="Times New Roman"/>
            <w:color w:val="000000"/>
            <w:sz w:val="13"/>
            <w:u w:val="single"/>
            <w:lang w:eastAsia="fr-FR"/>
          </w:rPr>
          <w:t>catherine.pietri@paca.gouv.fr</w:t>
        </w:r>
      </w:hyperlink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Téléphone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0484354554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Rôles de cette organisation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Organisation chargée des procédures de médiation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8.1 ORG-0002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Nom officiel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Tribunal administratif de Bastia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Numéro d'enregistrement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1720005100026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Adresse postale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 xml:space="preserve">: Villa </w:t>
      </w:r>
      <w:proofErr w:type="spellStart"/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Montepiano</w:t>
      </w:r>
      <w:proofErr w:type="spellEnd"/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Ville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Bastia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Code postal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20407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Subdivision pays (NUTS)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Haute-Corse (FRM02)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Pays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France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Adresse électronique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</w:t>
      </w:r>
      <w:hyperlink r:id="rId11" w:history="1">
        <w:r w:rsidRPr="00882A6B">
          <w:rPr>
            <w:rFonts w:ascii="Verdana" w:eastAsia="Times New Roman" w:hAnsi="Verdana" w:cs="Times New Roman"/>
            <w:color w:val="000000"/>
            <w:sz w:val="13"/>
            <w:u w:val="single"/>
            <w:lang w:eastAsia="fr-FR"/>
          </w:rPr>
          <w:t>greffe.ta-bastia@juradm.fr</w:t>
        </w:r>
      </w:hyperlink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Téléphone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0495328866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Rôles de cette organisation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Organisation qui fournit des informations complémentaires sur la procédure de passation de marché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Organisation chargée des procédures de recours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Organisation qui fournit des précisions concernant l'introduction des recours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1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11. 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Informations relatives à l'avis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11.1 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Informations relatives à l'avis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Identifiant/version de l'avis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0b8e984a-c933-4260-8a9a-c345b17ef2b9 - 01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Type de formulaire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Mise en concurrence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Type d'avis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Avis de marché ou de concession régime ordinaire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Date d'envoi de l'avis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25/10/2024 14:21 +02:00</w:t>
      </w:r>
    </w:p>
    <w:p w:rsidR="00882A6B" w:rsidRPr="00882A6B" w:rsidRDefault="00882A6B" w:rsidP="00882A6B">
      <w:pPr>
        <w:shd w:val="clear" w:color="auto" w:fill="EAEAEA"/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i/>
          <w:iCs/>
          <w:color w:val="000000"/>
          <w:sz w:val="13"/>
          <w:lang w:eastAsia="fr-FR"/>
        </w:rPr>
        <w:t>Langues dans lesquelles l'avis en question est officiellement disponible</w:t>
      </w:r>
      <w:r w:rsidRPr="00882A6B">
        <w:rPr>
          <w:rFonts w:ascii="Verdana" w:eastAsia="Times New Roman" w:hAnsi="Verdana" w:cs="Times New Roman"/>
          <w:color w:val="000000"/>
          <w:sz w:val="13"/>
          <w:lang w:eastAsia="fr-FR"/>
        </w:rPr>
        <w:t>: français</w:t>
      </w:r>
    </w:p>
    <w:p w:rsidR="00882A6B" w:rsidRPr="00882A6B" w:rsidRDefault="00882A6B" w:rsidP="00882A6B">
      <w:pPr>
        <w:shd w:val="clear" w:color="auto" w:fill="EAEAEA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11.2 </w:t>
      </w:r>
      <w:r w:rsidRPr="00882A6B">
        <w:rPr>
          <w:rFonts w:ascii="Verdana" w:eastAsia="Times New Roman" w:hAnsi="Verdana" w:cs="Times New Roman"/>
          <w:b/>
          <w:bCs/>
          <w:i/>
          <w:iCs/>
          <w:color w:val="000000"/>
          <w:sz w:val="13"/>
          <w:lang w:eastAsia="fr-FR"/>
        </w:rPr>
        <w:t>Informations relatives à la publication</w:t>
      </w:r>
    </w:p>
    <w:p w:rsidR="00882A6B" w:rsidRPr="00882A6B" w:rsidRDefault="00882A6B" w:rsidP="00882A6B">
      <w:pPr>
        <w:numPr>
          <w:ilvl w:val="0"/>
          <w:numId w:val="1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numPr>
          <w:ilvl w:val="0"/>
          <w:numId w:val="1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numPr>
          <w:ilvl w:val="0"/>
          <w:numId w:val="1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numPr>
          <w:ilvl w:val="0"/>
          <w:numId w:val="1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numPr>
          <w:ilvl w:val="0"/>
          <w:numId w:val="1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numPr>
          <w:ilvl w:val="0"/>
          <w:numId w:val="2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numPr>
          <w:ilvl w:val="0"/>
          <w:numId w:val="2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numPr>
          <w:ilvl w:val="0"/>
          <w:numId w:val="2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numPr>
          <w:ilvl w:val="0"/>
          <w:numId w:val="2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numPr>
          <w:ilvl w:val="0"/>
          <w:numId w:val="2"/>
        </w:numPr>
        <w:shd w:val="clear" w:color="auto" w:fill="EAEAEA"/>
        <w:spacing w:after="0" w:line="240" w:lineRule="auto"/>
        <w:ind w:left="0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fr-FR"/>
        </w:rPr>
      </w:pPr>
    </w:p>
    <w:p w:rsidR="00882A6B" w:rsidRPr="00882A6B" w:rsidRDefault="00882A6B" w:rsidP="00882A6B">
      <w:pPr>
        <w:shd w:val="clear" w:color="auto" w:fill="EAEAEA"/>
        <w:spacing w:before="125" w:after="125" w:line="240" w:lineRule="auto"/>
        <w:ind w:left="-63" w:right="-63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9.8pt;height:.65pt"/>
        </w:pict>
      </w:r>
    </w:p>
    <w:p w:rsidR="00882A6B" w:rsidRPr="00882A6B" w:rsidRDefault="00882A6B" w:rsidP="00882A6B">
      <w:pPr>
        <w:shd w:val="clear" w:color="auto" w:fill="EAEAEA"/>
        <w:spacing w:after="125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pict>
          <v:shape id="_x0000_i1026" type="#_x0000_t75" alt="" style="width:23.8pt;height:23.8pt"/>
        </w:pict>
      </w: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  </w:t>
      </w:r>
      <w:hyperlink r:id="rId12" w:history="1">
        <w:r w:rsidRPr="00882A6B">
          <w:rPr>
            <w:rFonts w:ascii="Verdana" w:eastAsia="Times New Roman" w:hAnsi="Verdana" w:cs="Times New Roman"/>
            <w:color w:val="000000"/>
            <w:sz w:val="13"/>
            <w:u w:val="single"/>
            <w:lang w:eastAsia="fr-FR"/>
          </w:rPr>
          <w:t>Télécharger l'avis seul au format PDF</w:t>
        </w:r>
      </w:hyperlink>
    </w:p>
    <w:p w:rsidR="00882A6B" w:rsidRPr="00882A6B" w:rsidRDefault="00882A6B" w:rsidP="00882A6B">
      <w:pPr>
        <w:spacing w:before="63" w:after="63" w:line="240" w:lineRule="auto"/>
        <w:ind w:left="-63" w:right="-63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pict>
          <v:shape id="_x0000_i1027" type="#_x0000_t75" alt="" style="width:599.8pt;height:.65pt"/>
        </w:pict>
      </w:r>
    </w:p>
    <w:p w:rsidR="00882A6B" w:rsidRPr="00882A6B" w:rsidRDefault="00882A6B" w:rsidP="00882A6B">
      <w:pPr>
        <w:pBdr>
          <w:bottom w:val="single" w:sz="4" w:space="0" w:color="B5194C"/>
        </w:pBdr>
        <w:spacing w:before="250" w:after="125" w:line="240" w:lineRule="auto"/>
        <w:rPr>
          <w:rFonts w:ascii="Verdana" w:eastAsia="Times New Roman" w:hAnsi="Verdana" w:cs="Times New Roman"/>
          <w:b/>
          <w:bCs/>
          <w:caps/>
          <w:color w:val="B5194C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aps/>
          <w:color w:val="B5194C"/>
          <w:sz w:val="13"/>
          <w:szCs w:val="13"/>
          <w:lang w:eastAsia="fr-FR"/>
        </w:rPr>
        <w:t>Données non publiables à destination des supports de diffusion</w:t>
      </w:r>
    </w:p>
    <w:p w:rsidR="00882A6B" w:rsidRPr="00882A6B" w:rsidRDefault="00882A6B" w:rsidP="00882A6B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Référence de l'annonce dans le module de publication : </w:t>
      </w:r>
      <w:r w:rsidRPr="00882A6B">
        <w:rPr>
          <w:rFonts w:ascii="Verdana" w:eastAsia="Times New Roman" w:hAnsi="Verdana" w:cs="Times New Roman"/>
          <w:b/>
          <w:bCs/>
          <w:color w:val="000000"/>
          <w:sz w:val="13"/>
          <w:lang w:eastAsia="fr-FR"/>
        </w:rPr>
        <w:t>4143913</w:t>
      </w:r>
    </w:p>
    <w:p w:rsidR="00882A6B" w:rsidRPr="00882A6B" w:rsidRDefault="00882A6B" w:rsidP="00882A6B">
      <w:pPr>
        <w:spacing w:before="250" w:after="125" w:line="240" w:lineRule="auto"/>
        <w:rPr>
          <w:rFonts w:ascii="Verdana" w:eastAsia="Times New Roman" w:hAnsi="Verdana" w:cs="Times New Roman"/>
          <w:b/>
          <w:bCs/>
          <w:caps/>
          <w:color w:val="80919F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b/>
          <w:bCs/>
          <w:caps/>
          <w:color w:val="80919F"/>
          <w:sz w:val="13"/>
          <w:szCs w:val="13"/>
          <w:lang w:eastAsia="fr-FR"/>
        </w:rPr>
        <w:t>Supports de publication choisis pour cette annonce...</w:t>
      </w:r>
    </w:p>
    <w:p w:rsidR="00882A6B" w:rsidRPr="00882A6B" w:rsidRDefault="00882A6B" w:rsidP="00882A6B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Non communiqué</w:t>
      </w:r>
    </w:p>
    <w:p w:rsidR="00882A6B" w:rsidRPr="00882A6B" w:rsidRDefault="00882A6B" w:rsidP="00882A6B">
      <w:pPr>
        <w:spacing w:before="13" w:after="13" w:line="240" w:lineRule="auto"/>
        <w:ind w:left="13" w:right="13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pict>
          <v:shape id="_x0000_i1028" type="#_x0000_t75" alt="" style="width:23.8pt;height:23.8pt"/>
        </w:pict>
      </w:r>
    </w:p>
    <w:p w:rsidR="00882A6B" w:rsidRPr="00882A6B" w:rsidRDefault="00882A6B" w:rsidP="00882A6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</w:pPr>
      <w:hyperlink r:id="rId13" w:history="1">
        <w:r w:rsidRPr="00882A6B">
          <w:rPr>
            <w:rFonts w:ascii="Verdana" w:eastAsia="Times New Roman" w:hAnsi="Verdana" w:cs="Times New Roman"/>
            <w:b/>
            <w:bCs/>
            <w:caps/>
            <w:color w:val="FFFFFF"/>
            <w:sz w:val="13"/>
            <w:lang w:eastAsia="fr-FR"/>
          </w:rPr>
          <w:t>Télécharger au format PDF</w:t>
        </w:r>
      </w:hyperlink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 </w:t>
      </w:r>
      <w:hyperlink r:id="rId14" w:history="1">
        <w:r w:rsidRPr="00882A6B">
          <w:rPr>
            <w:rFonts w:ascii="Verdana" w:eastAsia="Times New Roman" w:hAnsi="Verdana" w:cs="Times New Roman"/>
            <w:b/>
            <w:bCs/>
            <w:caps/>
            <w:color w:val="FFFFFF"/>
            <w:sz w:val="13"/>
            <w:lang w:eastAsia="fr-FR"/>
          </w:rPr>
          <w:t>Imprimer</w:t>
        </w:r>
      </w:hyperlink>
      <w:r w:rsidRPr="00882A6B">
        <w:rPr>
          <w:rFonts w:ascii="Verdana" w:eastAsia="Times New Roman" w:hAnsi="Verdana" w:cs="Times New Roman"/>
          <w:color w:val="000000"/>
          <w:sz w:val="13"/>
          <w:szCs w:val="13"/>
          <w:lang w:eastAsia="fr-FR"/>
        </w:rPr>
        <w:t> </w:t>
      </w:r>
      <w:hyperlink r:id="rId15" w:history="1">
        <w:r w:rsidRPr="00882A6B">
          <w:rPr>
            <w:rFonts w:ascii="Verdana" w:eastAsia="Times New Roman" w:hAnsi="Verdana" w:cs="Times New Roman"/>
            <w:b/>
            <w:bCs/>
            <w:caps/>
            <w:color w:val="FFFFFF"/>
            <w:sz w:val="13"/>
            <w:lang w:eastAsia="fr-FR"/>
          </w:rPr>
          <w:t>Fermer cette fenêtre</w:t>
        </w:r>
      </w:hyperlink>
    </w:p>
    <w:p w:rsidR="00A00D57" w:rsidRDefault="00A00D57"/>
    <w:sectPr w:rsidR="00A00D57" w:rsidSect="00A0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7DC"/>
    <w:multiLevelType w:val="multilevel"/>
    <w:tmpl w:val="16A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4673A"/>
    <w:multiLevelType w:val="multilevel"/>
    <w:tmpl w:val="C05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2A6B"/>
    <w:rsid w:val="00882A6B"/>
    <w:rsid w:val="00A0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57"/>
  </w:style>
  <w:style w:type="paragraph" w:styleId="Titre1">
    <w:name w:val="heading 1"/>
    <w:basedOn w:val="Normal"/>
    <w:link w:val="Titre1Car"/>
    <w:uiPriority w:val="9"/>
    <w:qFormat/>
    <w:rsid w:val="00882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82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82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2A6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82A6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82A6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titrepopup">
    <w:name w:val="titrepopup"/>
    <w:basedOn w:val="Normal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">
    <w:name w:val="titre"/>
    <w:basedOn w:val="Normal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82A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82A6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82A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82A6B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xtrouge">
    <w:name w:val="txtrouge"/>
    <w:basedOn w:val="Normal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82A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abel">
    <w:name w:val="label"/>
    <w:basedOn w:val="Policepardfaut"/>
    <w:rsid w:val="00882A6B"/>
  </w:style>
  <w:style w:type="character" w:customStyle="1" w:styleId="numbering">
    <w:name w:val="numbering"/>
    <w:basedOn w:val="Policepardfaut"/>
    <w:rsid w:val="00882A6B"/>
  </w:style>
  <w:style w:type="character" w:customStyle="1" w:styleId="text">
    <w:name w:val="text"/>
    <w:basedOn w:val="Policepardfaut"/>
    <w:rsid w:val="00882A6B"/>
  </w:style>
  <w:style w:type="character" w:customStyle="1" w:styleId="value">
    <w:name w:val="value"/>
    <w:basedOn w:val="Policepardfaut"/>
    <w:rsid w:val="00882A6B"/>
  </w:style>
  <w:style w:type="character" w:customStyle="1" w:styleId="dynamic-label">
    <w:name w:val="dynamic-label"/>
    <w:basedOn w:val="Policepardfaut"/>
    <w:rsid w:val="00882A6B"/>
  </w:style>
  <w:style w:type="character" w:styleId="Lienhypertexte">
    <w:name w:val="Hyperlink"/>
    <w:basedOn w:val="Policepardfaut"/>
    <w:uiPriority w:val="99"/>
    <w:semiHidden/>
    <w:unhideWhenUsed/>
    <w:rsid w:val="00882A6B"/>
    <w:rPr>
      <w:color w:val="0000FF"/>
      <w:u w:val="single"/>
    </w:rPr>
  </w:style>
  <w:style w:type="paragraph" w:customStyle="1" w:styleId="espaceur10">
    <w:name w:val="espaceur10"/>
    <w:basedOn w:val="Normal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spaceur5">
    <w:name w:val="espaceur5"/>
    <w:basedOn w:val="Normal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oustitre">
    <w:name w:val="soustitre"/>
    <w:basedOn w:val="Normal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spaceur">
    <w:name w:val="espaceur"/>
    <w:basedOn w:val="Normal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uton">
    <w:name w:val="bouton"/>
    <w:basedOn w:val="Normal"/>
    <w:rsid w:val="0088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9116">
          <w:marLeft w:val="0"/>
          <w:marRight w:val="0"/>
          <w:marTop w:val="125"/>
          <w:marBottom w:val="125"/>
          <w:divBdr>
            <w:top w:val="single" w:sz="4" w:space="4" w:color="80919F"/>
            <w:left w:val="single" w:sz="4" w:space="4" w:color="80919F"/>
            <w:bottom w:val="single" w:sz="4" w:space="4" w:color="80919F"/>
            <w:right w:val="single" w:sz="4" w:space="4" w:color="80919F"/>
          </w:divBdr>
          <w:divsChild>
            <w:div w:id="835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2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93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4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5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82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4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17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0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0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9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92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46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12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9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4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64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8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85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25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949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1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42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94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8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45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17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6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4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2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1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7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93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1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7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89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8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31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47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98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16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29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55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94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2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5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1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7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0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52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9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851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68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02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13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1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5239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2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79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7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13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28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43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1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94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9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14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747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62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1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299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6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47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1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09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7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548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83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93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00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46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5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0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1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5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45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425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33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04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4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2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4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2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7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235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0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15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48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6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20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3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3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3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5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06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25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23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99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32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12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74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96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1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86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5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22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62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2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4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47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2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57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25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4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652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9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1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38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1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77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9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5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3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67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0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6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3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92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8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2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88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45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5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9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6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82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1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9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2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344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7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55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3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0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7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2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031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2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15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2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2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i.corsica/" TargetMode="External"/><Relationship Id="rId13" Type="http://schemas.openxmlformats.org/officeDocument/2006/relationships/hyperlink" Target="javascript:telechargePDF()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i.corsica/" TargetMode="External"/><Relationship Id="rId12" Type="http://schemas.openxmlformats.org/officeDocument/2006/relationships/hyperlink" Target="javascript:telechargeAvisPDF(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lication.marchesonline.com/publication/www.economie.gouv.fr/)." TargetMode="External"/><Relationship Id="rId11" Type="http://schemas.openxmlformats.org/officeDocument/2006/relationships/hyperlink" Target="mailto:greffe.ta-bastia@juradm.fr" TargetMode="External"/><Relationship Id="rId5" Type="http://schemas.openxmlformats.org/officeDocument/2006/relationships/hyperlink" Target="https://publication.marchesonline.com/publication/www.economie.gouv.fr/)" TargetMode="External"/><Relationship Id="rId15" Type="http://schemas.openxmlformats.org/officeDocument/2006/relationships/hyperlink" Target="javascript:window.close()" TargetMode="External"/><Relationship Id="rId10" Type="http://schemas.openxmlformats.org/officeDocument/2006/relationships/hyperlink" Target="mailto:catherine.pietri@paca.gouv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erine.brun@cci.corsic" TargetMode="External"/><Relationship Id="rId14" Type="http://schemas.openxmlformats.org/officeDocument/2006/relationships/hyperlink" Target="javascript:printPage(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1215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PFrassati</dc:creator>
  <cp:keywords/>
  <dc:description/>
  <cp:lastModifiedBy>PFrassati</cp:lastModifiedBy>
  <cp:revision>2</cp:revision>
  <dcterms:created xsi:type="dcterms:W3CDTF">2024-10-28T08:57:00Z</dcterms:created>
  <dcterms:modified xsi:type="dcterms:W3CDTF">2024-10-28T08:57:00Z</dcterms:modified>
</cp:coreProperties>
</file>