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52" w:type="dxa"/>
        <w:tblLook w:val="04A0" w:firstRow="1" w:lastRow="0" w:firstColumn="1" w:lastColumn="0" w:noHBand="0" w:noVBand="1"/>
      </w:tblPr>
      <w:tblGrid>
        <w:gridCol w:w="1951"/>
        <w:gridCol w:w="9001"/>
      </w:tblGrid>
      <w:tr w:rsidR="006A05A6" w:rsidRPr="00975DE0" w14:paraId="1D591A50" w14:textId="77777777">
        <w:tc>
          <w:tcPr>
            <w:tcW w:w="1951" w:type="dxa"/>
            <w:vMerge w:val="restart"/>
            <w:shd w:val="clear" w:color="auto" w:fill="auto"/>
          </w:tcPr>
          <w:p w14:paraId="4CCD8B39" w14:textId="5505BD4F" w:rsidR="006A05A6" w:rsidRPr="00975DE0" w:rsidRDefault="00737C66" w:rsidP="00150335">
            <w:pPr>
              <w:rPr>
                <w:b/>
                <w:noProof/>
              </w:rPr>
            </w:pPr>
            <w:r>
              <w:rPr>
                <w:noProof/>
              </w:rPr>
              <w:drawing>
                <wp:anchor distT="0" distB="0" distL="114300" distR="114300" simplePos="0" relativeHeight="251659264" behindDoc="0" locked="0" layoutInCell="1" allowOverlap="1" wp14:anchorId="583C6932" wp14:editId="5C77304A">
                  <wp:simplePos x="0" y="0"/>
                  <wp:positionH relativeFrom="margin">
                    <wp:posOffset>200175</wp:posOffset>
                  </wp:positionH>
                  <wp:positionV relativeFrom="page">
                    <wp:posOffset>269005</wp:posOffset>
                  </wp:positionV>
                  <wp:extent cx="660973" cy="652311"/>
                  <wp:effectExtent l="0" t="0" r="635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0973" cy="652311"/>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9001" w:type="dxa"/>
            <w:tcBorders>
              <w:bottom w:val="double" w:sz="4" w:space="0" w:color="auto"/>
            </w:tcBorders>
            <w:shd w:val="clear" w:color="auto" w:fill="auto"/>
          </w:tcPr>
          <w:p w14:paraId="0462E858" w14:textId="77777777" w:rsidR="006A05A6" w:rsidRPr="00975DE0" w:rsidRDefault="006A05A6" w:rsidP="00150335">
            <w:pPr>
              <w:jc w:val="center"/>
              <w:rPr>
                <w:b/>
                <w:noProof/>
                <w:sz w:val="24"/>
                <w:szCs w:val="24"/>
              </w:rPr>
            </w:pPr>
            <w:r w:rsidRPr="00975DE0">
              <w:rPr>
                <w:b/>
                <w:noProof/>
                <w:sz w:val="24"/>
                <w:szCs w:val="24"/>
              </w:rPr>
              <w:t>LE CENTRE NATIONAL DE LA RECHERCHE SCIENTIFIQUE</w:t>
            </w:r>
          </w:p>
          <w:p w14:paraId="61783B41" w14:textId="77777777" w:rsidR="006A05A6" w:rsidRPr="00975DE0" w:rsidRDefault="00881400" w:rsidP="00150335">
            <w:pPr>
              <w:jc w:val="center"/>
              <w:rPr>
                <w:i/>
                <w:noProof/>
              </w:rPr>
            </w:pPr>
            <w:r>
              <w:rPr>
                <w:i/>
                <w:noProof/>
              </w:rPr>
              <w:t>N° SIRET</w:t>
            </w:r>
            <w:r w:rsidR="006A05A6" w:rsidRPr="00975DE0">
              <w:rPr>
                <w:i/>
                <w:noProof/>
              </w:rPr>
              <w:t xml:space="preserve"> : 180 089</w:t>
            </w:r>
            <w:r>
              <w:rPr>
                <w:i/>
                <w:noProof/>
              </w:rPr>
              <w:t> </w:t>
            </w:r>
            <w:r w:rsidR="006A05A6" w:rsidRPr="00975DE0">
              <w:rPr>
                <w:i/>
                <w:noProof/>
              </w:rPr>
              <w:t>013</w:t>
            </w:r>
            <w:r w:rsidR="00135CE2">
              <w:rPr>
                <w:i/>
                <w:noProof/>
              </w:rPr>
              <w:t xml:space="preserve"> </w:t>
            </w:r>
            <w:r w:rsidR="00886522">
              <w:rPr>
                <w:i/>
                <w:noProof/>
              </w:rPr>
              <w:t>00635</w:t>
            </w:r>
          </w:p>
          <w:p w14:paraId="5C860ACC" w14:textId="77777777" w:rsidR="006A05A6" w:rsidRPr="00975DE0" w:rsidRDefault="006A05A6" w:rsidP="00150335">
            <w:pPr>
              <w:jc w:val="center"/>
              <w:rPr>
                <w:b/>
                <w:noProof/>
                <w:sz w:val="24"/>
                <w:szCs w:val="24"/>
              </w:rPr>
            </w:pPr>
          </w:p>
        </w:tc>
      </w:tr>
      <w:tr w:rsidR="006A05A6" w:rsidRPr="00975DE0" w14:paraId="23180E9C" w14:textId="77777777">
        <w:tc>
          <w:tcPr>
            <w:tcW w:w="1951" w:type="dxa"/>
            <w:vMerge/>
            <w:tcBorders>
              <w:right w:val="double" w:sz="4" w:space="0" w:color="auto"/>
            </w:tcBorders>
            <w:shd w:val="clear" w:color="auto" w:fill="auto"/>
          </w:tcPr>
          <w:p w14:paraId="7E533F9B" w14:textId="77777777" w:rsidR="006A05A6" w:rsidRPr="00975DE0" w:rsidRDefault="006A05A6" w:rsidP="00150335">
            <w:pPr>
              <w:rPr>
                <w:b/>
                <w:noProof/>
              </w:rPr>
            </w:pPr>
          </w:p>
        </w:tc>
        <w:tc>
          <w:tcPr>
            <w:tcW w:w="9001" w:type="dxa"/>
            <w:tcBorders>
              <w:top w:val="double" w:sz="4" w:space="0" w:color="auto"/>
              <w:left w:val="double" w:sz="4" w:space="0" w:color="auto"/>
              <w:bottom w:val="double" w:sz="4" w:space="0" w:color="auto"/>
              <w:right w:val="double" w:sz="4" w:space="0" w:color="auto"/>
            </w:tcBorders>
            <w:shd w:val="clear" w:color="auto" w:fill="auto"/>
            <w:tcMar>
              <w:top w:w="85" w:type="dxa"/>
              <w:bottom w:w="85" w:type="dxa"/>
            </w:tcMar>
          </w:tcPr>
          <w:p w14:paraId="5ABC27A0" w14:textId="30FCEC23" w:rsidR="006A05A6" w:rsidRPr="00975DE0" w:rsidRDefault="004D34A5" w:rsidP="00150335">
            <w:pPr>
              <w:jc w:val="center"/>
              <w:rPr>
                <w:b/>
                <w:noProof/>
              </w:rPr>
            </w:pPr>
            <w:r w:rsidRPr="00211551">
              <w:rPr>
                <w:b/>
                <w:noProof/>
              </w:rPr>
              <w:t xml:space="preserve">ACCORD CADRE A BONS DE COMMANDE </w:t>
            </w:r>
            <w:r w:rsidR="006A05A6" w:rsidRPr="00211551">
              <w:rPr>
                <w:b/>
                <w:noProof/>
              </w:rPr>
              <w:t xml:space="preserve">DE </w:t>
            </w:r>
            <w:r w:rsidR="00F5770D" w:rsidRPr="00211551">
              <w:rPr>
                <w:b/>
                <w:noProof/>
              </w:rPr>
              <w:t>SERVICES</w:t>
            </w:r>
            <w:r w:rsidR="006A05A6" w:rsidRPr="00211551">
              <w:rPr>
                <w:b/>
                <w:noProof/>
              </w:rPr>
              <w:t xml:space="preserve"> </w:t>
            </w:r>
            <w:r w:rsidR="006A05A6" w:rsidRPr="00975DE0">
              <w:rPr>
                <w:b/>
                <w:noProof/>
              </w:rPr>
              <w:t>EN PROCEDURE ADAPTÉE</w:t>
            </w:r>
          </w:p>
          <w:p w14:paraId="7F490AF3" w14:textId="77777777" w:rsidR="004816EA" w:rsidRPr="004816EA" w:rsidRDefault="006A05A6" w:rsidP="004816EA">
            <w:pPr>
              <w:jc w:val="center"/>
              <w:rPr>
                <w:i/>
                <w:noProof/>
              </w:rPr>
            </w:pPr>
            <w:r w:rsidRPr="00975DE0">
              <w:rPr>
                <w:i/>
                <w:noProof/>
              </w:rPr>
              <w:t>(</w:t>
            </w:r>
            <w:r w:rsidR="00C433D3">
              <w:rPr>
                <w:i/>
                <w:noProof/>
              </w:rPr>
              <w:t xml:space="preserve">selon </w:t>
            </w:r>
            <w:r w:rsidR="00C411C2">
              <w:rPr>
                <w:i/>
                <w:noProof/>
              </w:rPr>
              <w:t xml:space="preserve">les </w:t>
            </w:r>
            <w:r w:rsidR="00C95A1E">
              <w:rPr>
                <w:i/>
                <w:noProof/>
              </w:rPr>
              <w:t>article</w:t>
            </w:r>
            <w:r w:rsidR="00C411C2">
              <w:rPr>
                <w:i/>
                <w:noProof/>
              </w:rPr>
              <w:t>s</w:t>
            </w:r>
            <w:r w:rsidR="00C95A1E">
              <w:rPr>
                <w:i/>
                <w:noProof/>
              </w:rPr>
              <w:t xml:space="preserve"> </w:t>
            </w:r>
            <w:r w:rsidR="008440A5">
              <w:rPr>
                <w:i/>
                <w:noProof/>
              </w:rPr>
              <w:t>L2123-1 et R2123-1 à R2123-3</w:t>
            </w:r>
            <w:r w:rsidR="004816EA" w:rsidRPr="004816EA">
              <w:rPr>
                <w:i/>
                <w:noProof/>
              </w:rPr>
              <w:t xml:space="preserve">; R2162-1 à R2162-6 ; </w:t>
            </w:r>
          </w:p>
          <w:p w14:paraId="303606B6" w14:textId="77777777" w:rsidR="006A05A6" w:rsidRPr="00975DE0" w:rsidRDefault="004816EA" w:rsidP="004816EA">
            <w:pPr>
              <w:jc w:val="center"/>
              <w:rPr>
                <w:i/>
                <w:noProof/>
              </w:rPr>
            </w:pPr>
            <w:r w:rsidRPr="004816EA">
              <w:rPr>
                <w:i/>
                <w:noProof/>
              </w:rPr>
              <w:t>R2162-13 et R2162-</w:t>
            </w:r>
            <w:r>
              <w:rPr>
                <w:i/>
                <w:noProof/>
              </w:rPr>
              <w:t xml:space="preserve">14 </w:t>
            </w:r>
            <w:r w:rsidR="00C433D3">
              <w:rPr>
                <w:i/>
                <w:noProof/>
              </w:rPr>
              <w:t xml:space="preserve"> </w:t>
            </w:r>
            <w:r w:rsidR="00C411C2">
              <w:rPr>
                <w:i/>
                <w:noProof/>
              </w:rPr>
              <w:t>d</w:t>
            </w:r>
            <w:r w:rsidR="00CC15C2">
              <w:rPr>
                <w:i/>
                <w:noProof/>
              </w:rPr>
              <w:t>u cod</w:t>
            </w:r>
            <w:r w:rsidR="00C411C2">
              <w:rPr>
                <w:i/>
                <w:noProof/>
              </w:rPr>
              <w:t>e la commande publique</w:t>
            </w:r>
            <w:r w:rsidR="006A05A6" w:rsidRPr="00975DE0">
              <w:rPr>
                <w:i/>
                <w:noProof/>
              </w:rPr>
              <w:t>)</w:t>
            </w:r>
          </w:p>
          <w:p w14:paraId="23AC4677" w14:textId="77777777" w:rsidR="006A05A6" w:rsidRPr="00975DE0" w:rsidRDefault="006A05A6" w:rsidP="00150335">
            <w:pPr>
              <w:jc w:val="center"/>
              <w:rPr>
                <w:b/>
                <w:noProof/>
                <w:sz w:val="24"/>
                <w:szCs w:val="24"/>
              </w:rPr>
            </w:pPr>
            <w:r w:rsidRPr="00975DE0">
              <w:rPr>
                <w:b/>
                <w:noProof/>
              </w:rPr>
              <w:t xml:space="preserve">REF CNRS : N° </w:t>
            </w:r>
            <w:r w:rsidRPr="00975DE0">
              <w:rPr>
                <w:b/>
                <w:noProof/>
              </w:rPr>
              <w:fldChar w:fldCharType="begin">
                <w:ffData>
                  <w:name w:val="Texte21"/>
                  <w:enabled/>
                  <w:calcOnExit w:val="0"/>
                  <w:textInput/>
                </w:ffData>
              </w:fldChar>
            </w:r>
            <w:r w:rsidRPr="00975DE0">
              <w:rPr>
                <w:b/>
                <w:noProof/>
              </w:rPr>
              <w:instrText xml:space="preserve"> FORMTEXT </w:instrText>
            </w:r>
            <w:r w:rsidRPr="00975DE0">
              <w:rPr>
                <w:b/>
                <w:noProof/>
              </w:rPr>
            </w:r>
            <w:r w:rsidRPr="00975DE0">
              <w:rPr>
                <w:b/>
                <w:noProof/>
              </w:rPr>
              <w:fldChar w:fldCharType="separate"/>
            </w:r>
            <w:r w:rsidRPr="00975DE0">
              <w:rPr>
                <w:b/>
                <w:noProof/>
              </w:rPr>
              <w:t> </w:t>
            </w:r>
            <w:r w:rsidRPr="00975DE0">
              <w:rPr>
                <w:b/>
                <w:noProof/>
              </w:rPr>
              <w:t> </w:t>
            </w:r>
            <w:r w:rsidRPr="00975DE0">
              <w:rPr>
                <w:b/>
                <w:noProof/>
              </w:rPr>
              <w:t> </w:t>
            </w:r>
            <w:r w:rsidRPr="00975DE0">
              <w:rPr>
                <w:b/>
                <w:noProof/>
              </w:rPr>
              <w:t> </w:t>
            </w:r>
            <w:r w:rsidRPr="00975DE0">
              <w:rPr>
                <w:b/>
                <w:noProof/>
              </w:rPr>
              <w:t> </w:t>
            </w:r>
            <w:r w:rsidRPr="00975DE0">
              <w:rPr>
                <w:b/>
                <w:noProof/>
              </w:rPr>
              <w:fldChar w:fldCharType="end"/>
            </w:r>
            <w:r w:rsidR="00FD72FC">
              <w:rPr>
                <w:b/>
                <w:noProof/>
              </w:rPr>
              <w:t xml:space="preserve">          Notifié le : </w:t>
            </w:r>
          </w:p>
        </w:tc>
      </w:tr>
    </w:tbl>
    <w:p w14:paraId="6CF5462B" w14:textId="77777777" w:rsidR="006143FC" w:rsidRPr="004B4849" w:rsidRDefault="006143FC" w:rsidP="00B32600"/>
    <w:p w14:paraId="1891D51D" w14:textId="77777777" w:rsidR="006143FC" w:rsidRPr="004B4849" w:rsidRDefault="006143FC" w:rsidP="006A05A6">
      <w:pPr>
        <w:tabs>
          <w:tab w:val="left" w:pos="6096"/>
        </w:tabs>
        <w:jc w:val="center"/>
        <w:rPr>
          <w:b/>
        </w:rPr>
        <w:sectPr w:rsidR="006143FC" w:rsidRPr="004B4849" w:rsidSect="00A46A22">
          <w:footerReference w:type="default" r:id="rId12"/>
          <w:type w:val="continuous"/>
          <w:pgSz w:w="11909" w:h="16834"/>
          <w:pgMar w:top="567" w:right="427" w:bottom="720" w:left="567" w:header="720" w:footer="720" w:gutter="0"/>
          <w:cols w:space="720" w:equalWidth="0">
            <w:col w:w="10915" w:space="242"/>
          </w:cols>
        </w:sectPr>
      </w:pPr>
    </w:p>
    <w:p w14:paraId="2DA965D2" w14:textId="77777777" w:rsidR="006143FC" w:rsidRDefault="006143FC" w:rsidP="006A05A6">
      <w:pPr>
        <w:pStyle w:val="Titre1"/>
        <w:rPr>
          <w:noProof/>
        </w:rPr>
      </w:pPr>
      <w:bookmarkStart w:id="0" w:name="_Toc503600815"/>
      <w:r w:rsidRPr="004B4849">
        <w:t>PARTIES :</w:t>
      </w:r>
      <w:r w:rsidR="00CC15C2" w:rsidRPr="00CC15C2">
        <w:rPr>
          <w:noProof/>
        </w:rPr>
        <w:t xml:space="preserve"> </w:t>
      </w:r>
    </w:p>
    <w:p w14:paraId="01407D6D" w14:textId="77777777" w:rsidR="00E106C1" w:rsidRDefault="00E106C1" w:rsidP="00E106C1">
      <w:pPr>
        <w:rPr>
          <w:noProof/>
        </w:rPr>
      </w:pPr>
      <w:r>
        <w:rPr>
          <w:noProof/>
        </w:rPr>
        <w:t xml:space="preserve">Le </w:t>
      </w:r>
      <w:r w:rsidRPr="00861B99">
        <w:rPr>
          <w:b/>
          <w:noProof/>
        </w:rPr>
        <w:t>CNRS</w:t>
      </w:r>
      <w:r>
        <w:rPr>
          <w:noProof/>
        </w:rPr>
        <w:t xml:space="preserve"> agissant tant en son nom qu'au nom et pour le compte du Service Technique et Logistique (STL) </w:t>
      </w:r>
    </w:p>
    <w:p w14:paraId="22185FB8" w14:textId="77777777" w:rsidR="00E106C1" w:rsidRDefault="00E106C1" w:rsidP="00E106C1">
      <w:pPr>
        <w:rPr>
          <w:noProof/>
        </w:rPr>
      </w:pPr>
      <w:r>
        <w:rPr>
          <w:noProof/>
        </w:rPr>
        <w:t>représenté par le délégué régional, PRM (décision n° 190902DAJ du  16/01/2020)</w:t>
      </w:r>
    </w:p>
    <w:p w14:paraId="1C1CD443" w14:textId="77777777" w:rsidR="00E106C1" w:rsidRDefault="00E106C1" w:rsidP="00E106C1">
      <w:pPr>
        <w:rPr>
          <w:noProof/>
        </w:rPr>
      </w:pPr>
    </w:p>
    <w:p w14:paraId="1907D915" w14:textId="77777777" w:rsidR="00E106C1" w:rsidRDefault="00E106C1" w:rsidP="00E106C1">
      <w:pPr>
        <w:rPr>
          <w:noProof/>
        </w:rPr>
      </w:pPr>
      <w:r>
        <w:rPr>
          <w:noProof/>
        </w:rPr>
        <w:t xml:space="preserve">Adresse : </w:t>
      </w:r>
    </w:p>
    <w:p w14:paraId="5D1FC871" w14:textId="77777777" w:rsidR="00E106C1" w:rsidRDefault="00E106C1" w:rsidP="00E106C1">
      <w:pPr>
        <w:rPr>
          <w:noProof/>
        </w:rPr>
      </w:pPr>
      <w:r>
        <w:rPr>
          <w:noProof/>
        </w:rPr>
        <w:t>Délélgation Régionale Ile-de-France Gif sur Yvette</w:t>
      </w:r>
    </w:p>
    <w:p w14:paraId="27597606" w14:textId="77777777" w:rsidR="00E106C1" w:rsidRDefault="00E106C1" w:rsidP="00E106C1">
      <w:pPr>
        <w:rPr>
          <w:noProof/>
        </w:rPr>
      </w:pPr>
      <w:r>
        <w:rPr>
          <w:noProof/>
        </w:rPr>
        <w:t>Service Technique et Logisitique</w:t>
      </w:r>
    </w:p>
    <w:p w14:paraId="2E11939B" w14:textId="77777777" w:rsidR="00E106C1" w:rsidRDefault="00E106C1" w:rsidP="00E106C1">
      <w:pPr>
        <w:rPr>
          <w:noProof/>
        </w:rPr>
      </w:pPr>
      <w:r>
        <w:rPr>
          <w:noProof/>
        </w:rPr>
        <w:t>Bat 13</w:t>
      </w:r>
    </w:p>
    <w:p w14:paraId="73586976" w14:textId="77777777" w:rsidR="00E106C1" w:rsidRDefault="00E106C1" w:rsidP="00E106C1">
      <w:pPr>
        <w:rPr>
          <w:noProof/>
        </w:rPr>
      </w:pPr>
      <w:r>
        <w:rPr>
          <w:noProof/>
        </w:rPr>
        <w:t xml:space="preserve">Avenue de la terrasse </w:t>
      </w:r>
    </w:p>
    <w:p w14:paraId="21D2D100" w14:textId="77777777" w:rsidR="00E106C1" w:rsidRDefault="00E106C1" w:rsidP="00E106C1">
      <w:pPr>
        <w:rPr>
          <w:noProof/>
        </w:rPr>
      </w:pPr>
      <w:r>
        <w:rPr>
          <w:noProof/>
        </w:rPr>
        <w:t>91190 Gif sur yvette</w:t>
      </w:r>
    </w:p>
    <w:p w14:paraId="28B80EB7" w14:textId="77777777" w:rsidR="00CE7033" w:rsidRDefault="00CE7033" w:rsidP="00CE7033">
      <w:pPr>
        <w:rPr>
          <w:noProof/>
        </w:rPr>
      </w:pPr>
      <w:r>
        <w:rPr>
          <w:noProof/>
        </w:rPr>
        <w:t>et</w:t>
      </w:r>
    </w:p>
    <w:p w14:paraId="381940AC" w14:textId="77777777" w:rsidR="00CE7033" w:rsidRDefault="00CE7033" w:rsidP="00CE7033">
      <w:pPr>
        <w:rPr>
          <w:noProof/>
        </w:rPr>
      </w:pPr>
    </w:p>
    <w:p w14:paraId="3BD2D72F" w14:textId="77777777" w:rsidR="008A01C6" w:rsidRDefault="008A01C6" w:rsidP="00CE7033">
      <w:pPr>
        <w:rPr>
          <w:noProof/>
        </w:rPr>
      </w:pPr>
      <w:r>
        <w:rPr>
          <w:noProof/>
        </w:rPr>
        <w:t>Le Titulaire représenté par :</w:t>
      </w:r>
    </w:p>
    <w:p w14:paraId="2295F19B" w14:textId="77777777" w:rsidR="00CE7033" w:rsidRDefault="008A01C6" w:rsidP="00CE7033">
      <w:pPr>
        <w:rPr>
          <w:noProof/>
        </w:rPr>
      </w:pPr>
      <w:r>
        <w:rPr>
          <w:noProof/>
        </w:rPr>
        <w:t xml:space="preserve">La </w:t>
      </w:r>
      <w:r w:rsidR="00CE7033">
        <w:rPr>
          <w:noProof/>
        </w:rPr>
        <w:t xml:space="preserve">société </w:t>
      </w:r>
      <w:r w:rsidR="00CE7033">
        <w:rPr>
          <w:noProof/>
        </w:rPr>
        <w:fldChar w:fldCharType="begin">
          <w:ffData>
            <w:name w:val="Texte3"/>
            <w:enabled/>
            <w:calcOnExit w:val="0"/>
            <w:textInput/>
          </w:ffData>
        </w:fldChar>
      </w:r>
      <w:r w:rsidR="00CE7033">
        <w:rPr>
          <w:noProof/>
        </w:rPr>
        <w:instrText xml:space="preserve"> FORMTEXT </w:instrText>
      </w:r>
      <w:r w:rsidR="00CE7033">
        <w:rPr>
          <w:noProof/>
        </w:rPr>
      </w:r>
      <w:r w:rsidR="00CE7033">
        <w:rPr>
          <w:noProof/>
        </w:rPr>
        <w:fldChar w:fldCharType="separate"/>
      </w:r>
      <w:r w:rsidR="00CE7033">
        <w:rPr>
          <w:noProof/>
        </w:rPr>
        <w:t> </w:t>
      </w:r>
      <w:r w:rsidR="00CE7033">
        <w:rPr>
          <w:noProof/>
        </w:rPr>
        <w:t> </w:t>
      </w:r>
      <w:r w:rsidR="00CE7033">
        <w:rPr>
          <w:noProof/>
        </w:rPr>
        <w:t> </w:t>
      </w:r>
      <w:r w:rsidR="00CE7033">
        <w:rPr>
          <w:noProof/>
        </w:rPr>
        <w:t> </w:t>
      </w:r>
      <w:r w:rsidR="00CE7033">
        <w:rPr>
          <w:noProof/>
        </w:rPr>
        <w:t> </w:t>
      </w:r>
      <w:r w:rsidR="00CE7033">
        <w:rPr>
          <w:noProof/>
        </w:rPr>
        <w:fldChar w:fldCharType="end"/>
      </w:r>
    </w:p>
    <w:p w14:paraId="6D627E61" w14:textId="77777777" w:rsidR="00CE7033" w:rsidRDefault="00CE7033" w:rsidP="00CE7033">
      <w:pPr>
        <w:rPr>
          <w:noProof/>
        </w:rPr>
      </w:pPr>
    </w:p>
    <w:p w14:paraId="76973C7B" w14:textId="77777777" w:rsidR="00CE7033" w:rsidRDefault="00CE7033" w:rsidP="00CE7033">
      <w:pPr>
        <w:rPr>
          <w:noProof/>
        </w:rPr>
      </w:pPr>
      <w:r>
        <w:rPr>
          <w:noProof/>
        </w:rPr>
        <w:t>Adresse</w:t>
      </w:r>
      <w:r>
        <w:rPr>
          <w:noProof/>
        </w:rPr>
        <w:fldChar w:fldCharType="begin">
          <w:ffData>
            <w:name w:val="Texte4"/>
            <w:enabled/>
            <w:calcOnExit w:val="0"/>
            <w:textInput/>
          </w:ffData>
        </w:fldChar>
      </w:r>
      <w:r>
        <w:rPr>
          <w:noProof/>
        </w:rPr>
        <w:instrText xml:space="preserve"> FORMTEXT </w:instrText>
      </w:r>
      <w:r>
        <w:rPr>
          <w:noProof/>
        </w:rPr>
      </w:r>
      <w:r>
        <w:rPr>
          <w:noProof/>
        </w:rPr>
        <w:fldChar w:fldCharType="separate"/>
      </w:r>
      <w:r>
        <w:rPr>
          <w:noProof/>
        </w:rPr>
        <w:t> </w:t>
      </w:r>
      <w:r>
        <w:rPr>
          <w:noProof/>
        </w:rPr>
        <w:t> </w:t>
      </w:r>
      <w:r>
        <w:rPr>
          <w:noProof/>
        </w:rPr>
        <w:t> </w:t>
      </w:r>
      <w:r>
        <w:rPr>
          <w:noProof/>
        </w:rPr>
        <w:t> </w:t>
      </w:r>
      <w:r>
        <w:rPr>
          <w:noProof/>
        </w:rPr>
        <w:t> </w:t>
      </w:r>
      <w:r>
        <w:rPr>
          <w:noProof/>
        </w:rPr>
        <w:fldChar w:fldCharType="end"/>
      </w:r>
    </w:p>
    <w:p w14:paraId="22F83498" w14:textId="77777777" w:rsidR="00CE7033" w:rsidRDefault="00CE7033" w:rsidP="00CE7033">
      <w:pPr>
        <w:rPr>
          <w:noProof/>
        </w:rPr>
      </w:pPr>
    </w:p>
    <w:p w14:paraId="27067314" w14:textId="77777777" w:rsidR="00CE7033" w:rsidRDefault="00CE7033" w:rsidP="00CE7033">
      <w:pPr>
        <w:rPr>
          <w:noProof/>
        </w:rPr>
      </w:pPr>
      <w:r>
        <w:rPr>
          <w:noProof/>
        </w:rPr>
        <w:t>N° SIRET : ___ ___ ___ _____ – APE :____</w:t>
      </w:r>
    </w:p>
    <w:p w14:paraId="3D798129" w14:textId="77777777" w:rsidR="00CE7033" w:rsidRDefault="00CE7033" w:rsidP="00CE7033">
      <w:pPr>
        <w:rPr>
          <w:noProof/>
        </w:rPr>
      </w:pPr>
    </w:p>
    <w:p w14:paraId="795CD2E4" w14:textId="77777777" w:rsidR="006143FC" w:rsidRPr="004B4849" w:rsidRDefault="006143FC" w:rsidP="006A05A6">
      <w:pPr>
        <w:pStyle w:val="Titre1"/>
      </w:pPr>
      <w:r w:rsidRPr="004B4849">
        <w:t>1) OBJET</w:t>
      </w:r>
      <w:bookmarkEnd w:id="0"/>
    </w:p>
    <w:p w14:paraId="464AAA7F" w14:textId="628C7A7C" w:rsidR="00E106C1" w:rsidRDefault="00CE7033" w:rsidP="00CE7033">
      <w:pPr>
        <w:jc w:val="both"/>
      </w:pPr>
      <w:r w:rsidRPr="00CE7033">
        <w:rPr>
          <w:noProof/>
        </w:rPr>
        <w:t xml:space="preserve">Le présent </w:t>
      </w:r>
      <w:r w:rsidR="007D4584" w:rsidRPr="007D4584">
        <w:rPr>
          <w:noProof/>
        </w:rPr>
        <w:t>accord cadre</w:t>
      </w:r>
      <w:r w:rsidRPr="00CE7033">
        <w:rPr>
          <w:noProof/>
        </w:rPr>
        <w:t xml:space="preserve"> a pour objet </w:t>
      </w:r>
      <w:bookmarkStart w:id="1" w:name="Texte5"/>
      <w:r w:rsidR="00E106C1">
        <w:rPr>
          <w:noProof/>
        </w:rPr>
        <w:t xml:space="preserve">les </w:t>
      </w:r>
      <w:r w:rsidR="00211551">
        <w:t>p</w:t>
      </w:r>
      <w:r w:rsidR="00E106C1" w:rsidRPr="00FF7F95">
        <w:t>restations</w:t>
      </w:r>
      <w:r w:rsidR="00E106C1" w:rsidRPr="00FF7F95">
        <w:rPr>
          <w:spacing w:val="-12"/>
        </w:rPr>
        <w:t xml:space="preserve"> </w:t>
      </w:r>
      <w:r w:rsidR="00E106C1" w:rsidRPr="00FF7F95">
        <w:t>relatives</w:t>
      </w:r>
      <w:r w:rsidR="00E106C1" w:rsidRPr="00FF7F95">
        <w:rPr>
          <w:spacing w:val="-9"/>
        </w:rPr>
        <w:t xml:space="preserve"> </w:t>
      </w:r>
      <w:r w:rsidR="00E106C1" w:rsidRPr="00FF7F95">
        <w:t>à</w:t>
      </w:r>
      <w:r w:rsidR="00E106C1" w:rsidRPr="00FF7F95">
        <w:rPr>
          <w:spacing w:val="-12"/>
        </w:rPr>
        <w:t xml:space="preserve"> </w:t>
      </w:r>
      <w:r w:rsidR="00E106C1" w:rsidRPr="00FF7F95">
        <w:t>la</w:t>
      </w:r>
      <w:r w:rsidR="00E106C1" w:rsidRPr="00FF7F95">
        <w:rPr>
          <w:spacing w:val="-13"/>
        </w:rPr>
        <w:t xml:space="preserve"> </w:t>
      </w:r>
      <w:r w:rsidR="00E106C1" w:rsidRPr="00FF7F95">
        <w:t>réalisation</w:t>
      </w:r>
      <w:r w:rsidR="00E106C1" w:rsidRPr="00FF7F95">
        <w:rPr>
          <w:spacing w:val="-15"/>
        </w:rPr>
        <w:t xml:space="preserve"> </w:t>
      </w:r>
      <w:r w:rsidR="00E106C1" w:rsidRPr="00FF7F95">
        <w:t>de</w:t>
      </w:r>
      <w:r w:rsidR="00E106C1" w:rsidRPr="00FF7F95">
        <w:rPr>
          <w:spacing w:val="-11"/>
        </w:rPr>
        <w:t xml:space="preserve"> </w:t>
      </w:r>
      <w:r w:rsidR="00E106C1" w:rsidRPr="00FF7F95">
        <w:t>diagnostics</w:t>
      </w:r>
      <w:r w:rsidR="00E106C1" w:rsidRPr="00FF7F95">
        <w:rPr>
          <w:spacing w:val="-14"/>
        </w:rPr>
        <w:t xml:space="preserve"> </w:t>
      </w:r>
      <w:r w:rsidR="00E106C1" w:rsidRPr="00FF7F95">
        <w:t>amiante</w:t>
      </w:r>
      <w:r w:rsidR="00E106C1" w:rsidRPr="00FF7F95">
        <w:rPr>
          <w:spacing w:val="-12"/>
        </w:rPr>
        <w:t xml:space="preserve"> </w:t>
      </w:r>
      <w:r w:rsidR="00E106C1" w:rsidRPr="00FF7F95">
        <w:t>avant</w:t>
      </w:r>
      <w:r w:rsidR="00E106C1" w:rsidRPr="00FF7F95">
        <w:rPr>
          <w:spacing w:val="-15"/>
        </w:rPr>
        <w:t xml:space="preserve"> </w:t>
      </w:r>
      <w:r w:rsidR="00E106C1" w:rsidRPr="00FF7F95">
        <w:t>travaux</w:t>
      </w:r>
      <w:r w:rsidR="00E106C1" w:rsidRPr="00FF7F95">
        <w:rPr>
          <w:spacing w:val="-12"/>
        </w:rPr>
        <w:t xml:space="preserve"> </w:t>
      </w:r>
      <w:r w:rsidR="00E106C1" w:rsidRPr="00FF7F95">
        <w:t>et</w:t>
      </w:r>
      <w:r w:rsidR="00E106C1" w:rsidRPr="00FF7F95">
        <w:rPr>
          <w:spacing w:val="-14"/>
        </w:rPr>
        <w:t xml:space="preserve"> </w:t>
      </w:r>
      <w:r w:rsidR="00E106C1" w:rsidRPr="00FF7F95">
        <w:t>plomb</w:t>
      </w:r>
      <w:r w:rsidR="00E106C1" w:rsidRPr="00FF7F95">
        <w:rPr>
          <w:spacing w:val="-13"/>
        </w:rPr>
        <w:t xml:space="preserve"> </w:t>
      </w:r>
      <w:r w:rsidR="00E106C1" w:rsidRPr="00FF7F95">
        <w:t>et</w:t>
      </w:r>
      <w:r w:rsidR="00E106C1" w:rsidRPr="00FF7F95">
        <w:rPr>
          <w:spacing w:val="-13"/>
        </w:rPr>
        <w:t xml:space="preserve"> </w:t>
      </w:r>
      <w:r w:rsidR="00E106C1" w:rsidRPr="00FF7F95">
        <w:t>de</w:t>
      </w:r>
      <w:r w:rsidR="00E106C1" w:rsidRPr="00FF7F95">
        <w:rPr>
          <w:spacing w:val="-75"/>
        </w:rPr>
        <w:t xml:space="preserve"> </w:t>
      </w:r>
      <w:r w:rsidR="00E106C1" w:rsidRPr="00FF7F95">
        <w:rPr>
          <w:w w:val="124"/>
        </w:rPr>
        <w:t>c</w:t>
      </w:r>
      <w:r w:rsidR="00E106C1" w:rsidRPr="00FF7F95">
        <w:rPr>
          <w:w w:val="102"/>
        </w:rPr>
        <w:t>o</w:t>
      </w:r>
      <w:r w:rsidR="00E106C1" w:rsidRPr="00FF7F95">
        <w:rPr>
          <w:spacing w:val="-1"/>
          <w:w w:val="102"/>
        </w:rPr>
        <w:t>n</w:t>
      </w:r>
      <w:r w:rsidR="00E106C1" w:rsidRPr="00FF7F95">
        <w:rPr>
          <w:w w:val="88"/>
        </w:rPr>
        <w:t>trôl</w:t>
      </w:r>
      <w:r w:rsidR="00E106C1" w:rsidRPr="00FF7F95">
        <w:rPr>
          <w:w w:val="93"/>
        </w:rPr>
        <w:t>es</w:t>
      </w:r>
      <w:r w:rsidR="00E106C1" w:rsidRPr="00FF7F95">
        <w:rPr>
          <w:spacing w:val="16"/>
        </w:rPr>
        <w:t xml:space="preserve"> </w:t>
      </w:r>
      <w:r w:rsidR="00E106C1" w:rsidRPr="00FF7F95">
        <w:rPr>
          <w:spacing w:val="-1"/>
          <w:w w:val="109"/>
        </w:rPr>
        <w:t>d</w:t>
      </w:r>
      <w:r w:rsidR="00E106C1" w:rsidRPr="00FF7F95">
        <w:rPr>
          <w:w w:val="109"/>
        </w:rPr>
        <w:t>e</w:t>
      </w:r>
      <w:r w:rsidR="00E106C1" w:rsidRPr="00FF7F95">
        <w:rPr>
          <w:spacing w:val="16"/>
        </w:rPr>
        <w:t xml:space="preserve"> </w:t>
      </w:r>
      <w:r w:rsidR="00E106C1" w:rsidRPr="00FF7F95">
        <w:rPr>
          <w:w w:val="70"/>
        </w:rPr>
        <w:t>r</w:t>
      </w:r>
      <w:r w:rsidR="00E106C1" w:rsidRPr="00FF7F95">
        <w:rPr>
          <w:w w:val="93"/>
        </w:rPr>
        <w:t>es</w:t>
      </w:r>
      <w:r w:rsidR="00E106C1" w:rsidRPr="00FF7F95">
        <w:rPr>
          <w:w w:val="80"/>
        </w:rPr>
        <w:t>ti</w:t>
      </w:r>
      <w:r w:rsidR="00E106C1" w:rsidRPr="00FF7F95">
        <w:rPr>
          <w:w w:val="90"/>
        </w:rPr>
        <w:t>tu</w:t>
      </w:r>
      <w:r w:rsidR="00E106C1" w:rsidRPr="00FF7F95">
        <w:rPr>
          <w:spacing w:val="-1"/>
          <w:w w:val="90"/>
        </w:rPr>
        <w:t>t</w:t>
      </w:r>
      <w:r w:rsidR="00E106C1" w:rsidRPr="00FF7F95">
        <w:rPr>
          <w:spacing w:val="1"/>
          <w:w w:val="73"/>
        </w:rPr>
        <w:t>i</w:t>
      </w:r>
      <w:r w:rsidR="00E106C1" w:rsidRPr="00FF7F95">
        <w:rPr>
          <w:w w:val="102"/>
        </w:rPr>
        <w:t>on</w:t>
      </w:r>
      <w:r w:rsidR="00E106C1" w:rsidRPr="00FF7F95">
        <w:rPr>
          <w:spacing w:val="17"/>
        </w:rPr>
        <w:t xml:space="preserve"> </w:t>
      </w:r>
      <w:r w:rsidR="00E106C1" w:rsidRPr="00FF7F95">
        <w:rPr>
          <w:spacing w:val="-1"/>
          <w:w w:val="111"/>
        </w:rPr>
        <w:t>a</w:t>
      </w:r>
      <w:r w:rsidR="00E106C1" w:rsidRPr="00FF7F95">
        <w:rPr>
          <w:w w:val="111"/>
        </w:rPr>
        <w:t>p</w:t>
      </w:r>
      <w:r w:rsidR="00E106C1" w:rsidRPr="00FF7F95">
        <w:rPr>
          <w:w w:val="70"/>
        </w:rPr>
        <w:t>r</w:t>
      </w:r>
      <w:r w:rsidR="00E106C1" w:rsidRPr="00FF7F95">
        <w:rPr>
          <w:w w:val="93"/>
        </w:rPr>
        <w:t>ès</w:t>
      </w:r>
      <w:r w:rsidR="00E106C1" w:rsidRPr="00FF7F95">
        <w:rPr>
          <w:spacing w:val="16"/>
        </w:rPr>
        <w:t xml:space="preserve"> </w:t>
      </w:r>
      <w:r w:rsidR="00E106C1" w:rsidRPr="00FF7F95">
        <w:rPr>
          <w:w w:val="93"/>
        </w:rPr>
        <w:t>tra</w:t>
      </w:r>
      <w:r w:rsidR="00E106C1" w:rsidRPr="00FF7F95">
        <w:rPr>
          <w:spacing w:val="2"/>
          <w:w w:val="93"/>
        </w:rPr>
        <w:t>v</w:t>
      </w:r>
      <w:r w:rsidR="00E106C1" w:rsidRPr="00FF7F95">
        <w:rPr>
          <w:spacing w:val="-1"/>
          <w:w w:val="97"/>
        </w:rPr>
        <w:t>au</w:t>
      </w:r>
      <w:r w:rsidR="00E106C1" w:rsidRPr="00FF7F95">
        <w:rPr>
          <w:w w:val="97"/>
        </w:rPr>
        <w:t>x</w:t>
      </w:r>
      <w:r w:rsidR="00E106C1" w:rsidRPr="00FF7F95">
        <w:rPr>
          <w:spacing w:val="16"/>
        </w:rPr>
        <w:t xml:space="preserve"> </w:t>
      </w:r>
      <w:r w:rsidR="00E106C1" w:rsidRPr="00FF7F95">
        <w:rPr>
          <w:spacing w:val="-1"/>
          <w:w w:val="98"/>
        </w:rPr>
        <w:t>am</w:t>
      </w:r>
      <w:r w:rsidR="00E106C1" w:rsidRPr="00FF7F95">
        <w:rPr>
          <w:w w:val="98"/>
        </w:rPr>
        <w:t>i</w:t>
      </w:r>
      <w:r w:rsidR="00E106C1" w:rsidRPr="00FF7F95">
        <w:rPr>
          <w:spacing w:val="-1"/>
          <w:w w:val="103"/>
        </w:rPr>
        <w:t>ant</w:t>
      </w:r>
      <w:r w:rsidR="00E106C1" w:rsidRPr="00FF7F95">
        <w:rPr>
          <w:w w:val="103"/>
        </w:rPr>
        <w:t>e</w:t>
      </w:r>
      <w:r w:rsidR="00E106C1" w:rsidRPr="00FF7F95">
        <w:rPr>
          <w:spacing w:val="19"/>
        </w:rPr>
        <w:t xml:space="preserve"> </w:t>
      </w:r>
      <w:r w:rsidR="00E106C1" w:rsidRPr="00FF7F95">
        <w:rPr>
          <w:spacing w:val="-1"/>
          <w:w w:val="99"/>
        </w:rPr>
        <w:t>de</w:t>
      </w:r>
      <w:r w:rsidR="00E106C1" w:rsidRPr="00FF7F95">
        <w:rPr>
          <w:w w:val="99"/>
        </w:rPr>
        <w:t>s</w:t>
      </w:r>
      <w:r w:rsidR="00E106C1" w:rsidRPr="00FF7F95">
        <w:rPr>
          <w:spacing w:val="16"/>
        </w:rPr>
        <w:t xml:space="preserve"> </w:t>
      </w:r>
      <w:r w:rsidR="00E106C1" w:rsidRPr="00FF7F95">
        <w:rPr>
          <w:w w:val="92"/>
        </w:rPr>
        <w:t>un</w:t>
      </w:r>
      <w:r w:rsidR="00E106C1" w:rsidRPr="00FF7F95">
        <w:rPr>
          <w:spacing w:val="1"/>
          <w:w w:val="92"/>
        </w:rPr>
        <w:t>i</w:t>
      </w:r>
      <w:r w:rsidR="00E106C1" w:rsidRPr="00FF7F95">
        <w:rPr>
          <w:w w:val="91"/>
        </w:rPr>
        <w:t>tés</w:t>
      </w:r>
      <w:r w:rsidR="00E106C1" w:rsidRPr="00FF7F95">
        <w:rPr>
          <w:spacing w:val="15"/>
        </w:rPr>
        <w:t xml:space="preserve"> </w:t>
      </w:r>
      <w:r w:rsidR="00E106C1" w:rsidRPr="00FF7F95">
        <w:rPr>
          <w:spacing w:val="-1"/>
          <w:w w:val="109"/>
        </w:rPr>
        <w:t>d</w:t>
      </w:r>
      <w:r w:rsidR="00E106C1" w:rsidRPr="00FF7F95">
        <w:rPr>
          <w:w w:val="109"/>
        </w:rPr>
        <w:t>e</w:t>
      </w:r>
      <w:r w:rsidR="00E106C1" w:rsidRPr="00FF7F95">
        <w:rPr>
          <w:spacing w:val="14"/>
        </w:rPr>
        <w:t xml:space="preserve"> </w:t>
      </w:r>
      <w:r w:rsidR="00E106C1" w:rsidRPr="00FF7F95">
        <w:rPr>
          <w:spacing w:val="1"/>
          <w:w w:val="73"/>
        </w:rPr>
        <w:t>l</w:t>
      </w:r>
      <w:r w:rsidR="00E106C1" w:rsidRPr="00FF7F95">
        <w:rPr>
          <w:w w:val="114"/>
        </w:rPr>
        <w:t>a</w:t>
      </w:r>
      <w:r w:rsidR="00E106C1" w:rsidRPr="00FF7F95">
        <w:rPr>
          <w:spacing w:val="14"/>
        </w:rPr>
        <w:t xml:space="preserve"> </w:t>
      </w:r>
      <w:r w:rsidR="00E106C1" w:rsidRPr="00FF7F95">
        <w:rPr>
          <w:spacing w:val="-1"/>
          <w:w w:val="103"/>
        </w:rPr>
        <w:t>dé</w:t>
      </w:r>
      <w:r w:rsidR="00E106C1" w:rsidRPr="00FF7F95">
        <w:rPr>
          <w:spacing w:val="1"/>
          <w:w w:val="103"/>
        </w:rPr>
        <w:t>l</w:t>
      </w:r>
      <w:r w:rsidR="00E106C1" w:rsidRPr="00FF7F95">
        <w:rPr>
          <w:w w:val="108"/>
        </w:rPr>
        <w:t>ég</w:t>
      </w:r>
      <w:r w:rsidR="00E106C1" w:rsidRPr="00FF7F95">
        <w:rPr>
          <w:spacing w:val="1"/>
          <w:w w:val="114"/>
        </w:rPr>
        <w:t>a</w:t>
      </w:r>
      <w:r w:rsidR="00E106C1" w:rsidRPr="00FF7F95">
        <w:rPr>
          <w:w w:val="80"/>
        </w:rPr>
        <w:t>ti</w:t>
      </w:r>
      <w:r w:rsidR="00E106C1" w:rsidRPr="00FF7F95">
        <w:rPr>
          <w:w w:val="102"/>
        </w:rPr>
        <w:t>on</w:t>
      </w:r>
      <w:r w:rsidR="00E106C1" w:rsidRPr="00FF7F95">
        <w:rPr>
          <w:spacing w:val="12"/>
        </w:rPr>
        <w:t xml:space="preserve"> </w:t>
      </w:r>
      <w:r w:rsidR="00E106C1" w:rsidRPr="00FF7F95">
        <w:rPr>
          <w:spacing w:val="5"/>
          <w:w w:val="53"/>
        </w:rPr>
        <w:t>I</w:t>
      </w:r>
      <w:r w:rsidR="00E106C1" w:rsidRPr="00FF7F95">
        <w:rPr>
          <w:spacing w:val="1"/>
          <w:w w:val="73"/>
        </w:rPr>
        <w:t>l</w:t>
      </w:r>
      <w:r w:rsidR="00E106C1" w:rsidRPr="00FF7F95">
        <w:rPr>
          <w:spacing w:val="1"/>
          <w:w w:val="109"/>
        </w:rPr>
        <w:t>e</w:t>
      </w:r>
      <w:r w:rsidR="00E106C1" w:rsidRPr="00FF7F95">
        <w:rPr>
          <w:spacing w:val="1"/>
          <w:w w:val="73"/>
        </w:rPr>
        <w:t>-</w:t>
      </w:r>
      <w:r w:rsidR="00E106C1" w:rsidRPr="00FF7F95">
        <w:rPr>
          <w:spacing w:val="-1"/>
          <w:w w:val="109"/>
        </w:rPr>
        <w:t>d</w:t>
      </w:r>
      <w:r w:rsidR="00E106C1" w:rsidRPr="00FF7F95">
        <w:rPr>
          <w:w w:val="109"/>
        </w:rPr>
        <w:t>e</w:t>
      </w:r>
      <w:r w:rsidR="00E106C1" w:rsidRPr="00FF7F95">
        <w:rPr>
          <w:spacing w:val="1"/>
          <w:w w:val="73"/>
        </w:rPr>
        <w:t>-</w:t>
      </w:r>
      <w:r w:rsidR="00E106C1" w:rsidRPr="00FF7F95">
        <w:rPr>
          <w:w w:val="84"/>
        </w:rPr>
        <w:t>F</w:t>
      </w:r>
      <w:r w:rsidR="00E106C1" w:rsidRPr="00FF7F95">
        <w:rPr>
          <w:w w:val="70"/>
        </w:rPr>
        <w:t>r</w:t>
      </w:r>
      <w:r w:rsidR="00E106C1" w:rsidRPr="00FF7F95">
        <w:rPr>
          <w:spacing w:val="-1"/>
          <w:w w:val="110"/>
        </w:rPr>
        <w:t>an</w:t>
      </w:r>
      <w:r w:rsidR="00E106C1" w:rsidRPr="00FF7F95">
        <w:rPr>
          <w:spacing w:val="1"/>
          <w:w w:val="110"/>
        </w:rPr>
        <w:t>c</w:t>
      </w:r>
      <w:r w:rsidR="00E106C1" w:rsidRPr="00FF7F95">
        <w:rPr>
          <w:w w:val="109"/>
        </w:rPr>
        <w:t xml:space="preserve">e </w:t>
      </w:r>
      <w:r w:rsidR="00E106C1" w:rsidRPr="00FF7F95">
        <w:t>Gif-sur-Yvette</w:t>
      </w:r>
      <w:r w:rsidR="00E106C1" w:rsidRPr="00FF7F95">
        <w:rPr>
          <w:spacing w:val="-20"/>
        </w:rPr>
        <w:t xml:space="preserve"> </w:t>
      </w:r>
      <w:r w:rsidR="00E106C1" w:rsidRPr="00FF7F95">
        <w:t>du</w:t>
      </w:r>
      <w:r w:rsidR="00E106C1" w:rsidRPr="00FF7F95">
        <w:rPr>
          <w:spacing w:val="-19"/>
        </w:rPr>
        <w:t xml:space="preserve"> </w:t>
      </w:r>
      <w:r w:rsidR="00E106C1" w:rsidRPr="00FF7F95">
        <w:t>CNRS.</w:t>
      </w:r>
      <w:bookmarkEnd w:id="1"/>
    </w:p>
    <w:p w14:paraId="79135C3A" w14:textId="6C4C4D9E" w:rsidR="00CE7033" w:rsidRPr="00CE7033" w:rsidRDefault="00E106C1" w:rsidP="00CE7033">
      <w:pPr>
        <w:jc w:val="both"/>
        <w:rPr>
          <w:noProof/>
        </w:rPr>
      </w:pPr>
      <w:r w:rsidRPr="00CE7033">
        <w:rPr>
          <w:noProof/>
        </w:rPr>
        <w:t xml:space="preserve"> </w:t>
      </w:r>
    </w:p>
    <w:p w14:paraId="46330A61" w14:textId="4A7741EC" w:rsidR="00AE5BA9" w:rsidRDefault="00CE7033" w:rsidP="00AE5BA9">
      <w:pPr>
        <w:rPr>
          <w:rFonts w:ascii="Calibri" w:eastAsia="Calibri" w:hAnsi="Calibri"/>
        </w:rPr>
      </w:pPr>
      <w:r w:rsidRPr="00CE7033">
        <w:rPr>
          <w:noProof/>
        </w:rPr>
        <w:t xml:space="preserve">Le(s) code(s) de la nomenclature CPV </w:t>
      </w:r>
      <w:r w:rsidR="00AE5BA9" w:rsidRPr="00AE5BA9">
        <w:rPr>
          <w:noProof/>
        </w:rPr>
        <w:t>71315400-3 Services d'inspection et de vérification de bâtiment</w:t>
      </w:r>
    </w:p>
    <w:p w14:paraId="276F6E6C" w14:textId="25565203" w:rsidR="00CE7033" w:rsidRPr="00CE7033" w:rsidRDefault="004C6580" w:rsidP="00CE7033">
      <w:pPr>
        <w:jc w:val="both"/>
        <w:rPr>
          <w:noProof/>
        </w:rPr>
      </w:pPr>
      <w:r>
        <w:rPr>
          <w:noProof/>
        </w:rPr>
        <w:t xml:space="preserve">Le code nacre est le suivant : </w:t>
      </w:r>
      <w:r w:rsidR="007F7885">
        <w:rPr>
          <w:noProof/>
        </w:rPr>
        <w:t>BC 1</w:t>
      </w:r>
      <w:r w:rsidR="00AE5BA9">
        <w:rPr>
          <w:noProof/>
        </w:rPr>
        <w:t>3</w:t>
      </w:r>
    </w:p>
    <w:p w14:paraId="78EBF195" w14:textId="660ADFA9" w:rsidR="00CE7033" w:rsidRDefault="00CE7033" w:rsidP="00CE7033">
      <w:pPr>
        <w:jc w:val="both"/>
        <w:rPr>
          <w:noProof/>
        </w:rPr>
      </w:pPr>
      <w:r w:rsidRPr="00CE7033">
        <w:rPr>
          <w:noProof/>
        </w:rPr>
        <w:t xml:space="preserve">L’adresse d’exécution est la suivante : </w:t>
      </w:r>
      <w:r w:rsidR="00211551" w:rsidRPr="00FF56D5">
        <w:rPr>
          <w:noProof/>
        </w:rPr>
        <w:t>Campus de Gif sur Yvette, Université Paris-Saclay et C2N à Palaiseau</w:t>
      </w:r>
    </w:p>
    <w:p w14:paraId="0E9FE4DB" w14:textId="77777777" w:rsidR="00FD494A" w:rsidRPr="00CE7033" w:rsidRDefault="00FD494A" w:rsidP="00127C70">
      <w:pPr>
        <w:rPr>
          <w:noProof/>
        </w:rPr>
      </w:pPr>
    </w:p>
    <w:p w14:paraId="271B65A0" w14:textId="77777777" w:rsidR="006143FC" w:rsidRPr="004B4849" w:rsidRDefault="006143FC" w:rsidP="006A05A6">
      <w:pPr>
        <w:pStyle w:val="Titre1"/>
      </w:pPr>
      <w:r w:rsidRPr="004B4849">
        <w:t>2) DOCUMENTS CONTRACTUELS</w:t>
      </w:r>
    </w:p>
    <w:p w14:paraId="61166A37" w14:textId="77777777" w:rsidR="008A01C6" w:rsidRDefault="007D4584" w:rsidP="00CE7033">
      <w:pPr>
        <w:rPr>
          <w:noProof/>
        </w:rPr>
      </w:pPr>
      <w:r w:rsidRPr="007D4584">
        <w:rPr>
          <w:noProof/>
        </w:rPr>
        <w:t xml:space="preserve">L’accord cadre </w:t>
      </w:r>
      <w:r w:rsidR="00CE7033">
        <w:rPr>
          <w:noProof/>
        </w:rPr>
        <w:t>est constitué par les documents énumérés ci-dessous par ordre de priorité décroissante :</w:t>
      </w:r>
    </w:p>
    <w:p w14:paraId="33F59793" w14:textId="565C2890" w:rsidR="008A01C6" w:rsidRDefault="001E0211" w:rsidP="00CE7033">
      <w:pPr>
        <w:rPr>
          <w:noProof/>
        </w:rPr>
      </w:pPr>
      <w:r>
        <w:rPr>
          <w:noProof/>
        </w:rPr>
        <w:t>-</w:t>
      </w:r>
      <w:r w:rsidR="00CE7033">
        <w:rPr>
          <w:noProof/>
        </w:rPr>
        <w:t xml:space="preserve"> Le </w:t>
      </w:r>
      <w:r w:rsidR="008A01C6">
        <w:rPr>
          <w:noProof/>
        </w:rPr>
        <w:t>présent document qui définit :</w:t>
      </w:r>
    </w:p>
    <w:p w14:paraId="6FC4A2D7" w14:textId="5E3F590C" w:rsidR="008A01C6" w:rsidRDefault="008A01C6" w:rsidP="001E0211">
      <w:pPr>
        <w:ind w:left="567"/>
        <w:rPr>
          <w:noProof/>
        </w:rPr>
      </w:pPr>
      <w:r>
        <w:rPr>
          <w:noProof/>
        </w:rPr>
        <w:t>- l’acte d’engagement et s</w:t>
      </w:r>
      <w:r w:rsidR="00B06179">
        <w:rPr>
          <w:noProof/>
        </w:rPr>
        <w:t>on</w:t>
      </w:r>
      <w:r>
        <w:rPr>
          <w:noProof/>
        </w:rPr>
        <w:t xml:space="preserve"> annexe </w:t>
      </w:r>
      <w:r w:rsidRPr="00D57206">
        <w:rPr>
          <w:noProof/>
        </w:rPr>
        <w:t>finacière</w:t>
      </w:r>
      <w:r w:rsidR="007F7885">
        <w:rPr>
          <w:noProof/>
        </w:rPr>
        <w:t xml:space="preserve"> BPU</w:t>
      </w:r>
      <w:r>
        <w:rPr>
          <w:noProof/>
        </w:rPr>
        <w:t> ;</w:t>
      </w:r>
    </w:p>
    <w:p w14:paraId="65A7F409" w14:textId="3F4801DE" w:rsidR="00CE7033" w:rsidRPr="002A4F2D" w:rsidRDefault="008A01C6" w:rsidP="001E0211">
      <w:pPr>
        <w:ind w:left="567"/>
        <w:rPr>
          <w:noProof/>
        </w:rPr>
      </w:pPr>
      <w:r w:rsidRPr="002A4F2D">
        <w:rPr>
          <w:noProof/>
        </w:rPr>
        <w:t>- le cahier des</w:t>
      </w:r>
      <w:r w:rsidR="00CE7033" w:rsidRPr="002A4F2D">
        <w:rPr>
          <w:noProof/>
        </w:rPr>
        <w:t xml:space="preserve"> clauses administratives particulières</w:t>
      </w:r>
      <w:r w:rsidRPr="002A4F2D">
        <w:rPr>
          <w:noProof/>
        </w:rPr>
        <w:t xml:space="preserve"> (CCAP)</w:t>
      </w:r>
      <w:r w:rsidR="00CE7033" w:rsidRPr="002A4F2D">
        <w:rPr>
          <w:noProof/>
        </w:rPr>
        <w:t>;</w:t>
      </w:r>
    </w:p>
    <w:p w14:paraId="692403F1" w14:textId="77777777" w:rsidR="002871FD" w:rsidRPr="002A4F2D" w:rsidRDefault="00CE7033" w:rsidP="00CE7033">
      <w:pPr>
        <w:rPr>
          <w:noProof/>
        </w:rPr>
      </w:pPr>
      <w:r w:rsidRPr="002A4F2D">
        <w:rPr>
          <w:noProof/>
        </w:rPr>
        <w:t xml:space="preserve">- </w:t>
      </w:r>
      <w:r w:rsidRPr="002A4F2D">
        <w:t xml:space="preserve">Le CCAG-Marchés de fournitures courantes et services </w:t>
      </w:r>
      <w:r w:rsidR="00C44E93" w:rsidRPr="002A4F2D">
        <w:t xml:space="preserve">approuvé par arrêté </w:t>
      </w:r>
      <w:r w:rsidR="001A4A8C" w:rsidRPr="002A4F2D">
        <w:t xml:space="preserve">du 30 mars 2021 </w:t>
      </w:r>
      <w:r w:rsidRPr="002A4F2D">
        <w:t>(CCAG</w:t>
      </w:r>
      <w:r w:rsidR="004C6580" w:rsidRPr="002A4F2D">
        <w:t>/</w:t>
      </w:r>
      <w:r w:rsidRPr="002A4F2D">
        <w:t>FCS)</w:t>
      </w:r>
      <w:r w:rsidRPr="002A4F2D">
        <w:rPr>
          <w:noProof/>
        </w:rPr>
        <w:t xml:space="preserve"> (</w:t>
      </w:r>
      <w:hyperlink r:id="rId13" w:history="1">
        <w:r w:rsidR="00E20355" w:rsidRPr="002A4F2D">
          <w:rPr>
            <w:rStyle w:val="Lienhypertexte"/>
            <w:rFonts w:ascii="Arial Narrow" w:hAnsi="Arial Narrow"/>
          </w:rPr>
          <w:t>https://www.economie.gouv.fr/daj/cahiers-clauses-administratives-generales-et-techniques</w:t>
        </w:r>
      </w:hyperlink>
      <w:r w:rsidRPr="002A4F2D">
        <w:rPr>
          <w:noProof/>
        </w:rPr>
        <w:t xml:space="preserve">) </w:t>
      </w:r>
    </w:p>
    <w:p w14:paraId="282F1504" w14:textId="4EC77712" w:rsidR="001E0211" w:rsidRDefault="00CE7033" w:rsidP="001E0211">
      <w:pPr>
        <w:rPr>
          <w:noProof/>
        </w:rPr>
      </w:pPr>
      <w:r w:rsidRPr="002A4F2D">
        <w:rPr>
          <w:noProof/>
        </w:rPr>
        <w:t xml:space="preserve">- </w:t>
      </w:r>
      <w:r w:rsidR="001E0211">
        <w:rPr>
          <w:noProof/>
        </w:rPr>
        <w:t>L</w:t>
      </w:r>
      <w:r w:rsidR="001E0211" w:rsidRPr="002A4F2D">
        <w:rPr>
          <w:noProof/>
        </w:rPr>
        <w:t xml:space="preserve">e </w:t>
      </w:r>
      <w:r w:rsidR="001E0211">
        <w:rPr>
          <w:noProof/>
        </w:rPr>
        <w:t>C</w:t>
      </w:r>
      <w:r w:rsidR="001E0211" w:rsidRPr="002A4F2D">
        <w:rPr>
          <w:noProof/>
        </w:rPr>
        <w:t xml:space="preserve">ahier des clauses techniques particulières (CCTP) afférent au présent </w:t>
      </w:r>
      <w:r w:rsidR="001E0211">
        <w:rPr>
          <w:noProof/>
        </w:rPr>
        <w:t>accord cadre</w:t>
      </w:r>
      <w:r w:rsidR="00953B30">
        <w:rPr>
          <w:noProof/>
        </w:rPr>
        <w:t xml:space="preserve"> et l’annexe « nomemclature des sites »</w:t>
      </w:r>
      <w:bookmarkStart w:id="2" w:name="_GoBack"/>
      <w:bookmarkEnd w:id="2"/>
    </w:p>
    <w:p w14:paraId="7CE67E83" w14:textId="3CBE58F9" w:rsidR="001E0211" w:rsidRPr="002A4F2D" w:rsidRDefault="00CE7033" w:rsidP="001E0211">
      <w:pPr>
        <w:rPr>
          <w:noProof/>
        </w:rPr>
      </w:pPr>
      <w:r w:rsidRPr="002A4F2D">
        <w:rPr>
          <w:noProof/>
        </w:rPr>
        <w:t xml:space="preserve">La proposition </w:t>
      </w:r>
      <w:r w:rsidR="001A4A8C" w:rsidRPr="002A4F2D">
        <w:rPr>
          <w:noProof/>
        </w:rPr>
        <w:t xml:space="preserve">technique </w:t>
      </w:r>
      <w:r w:rsidRPr="002A4F2D">
        <w:rPr>
          <w:noProof/>
        </w:rPr>
        <w:t xml:space="preserve">du titulaire </w:t>
      </w:r>
      <w:r w:rsidR="001E0211">
        <w:rPr>
          <w:noProof/>
        </w:rPr>
        <w:t>comprenant le CRT (cadre de réponse technique).</w:t>
      </w:r>
    </w:p>
    <w:p w14:paraId="25B82745" w14:textId="288D03F1" w:rsidR="00CE7033" w:rsidRPr="002A4F2D" w:rsidRDefault="00CE7033" w:rsidP="00CE7033">
      <w:pPr>
        <w:rPr>
          <w:noProof/>
        </w:rPr>
      </w:pPr>
    </w:p>
    <w:p w14:paraId="24C73911" w14:textId="77777777" w:rsidR="00CE7033" w:rsidRPr="002A4F2D" w:rsidRDefault="00CE7033" w:rsidP="00CE7033">
      <w:pPr>
        <w:rPr>
          <w:noProof/>
        </w:rPr>
      </w:pPr>
    </w:p>
    <w:p w14:paraId="09E50118" w14:textId="77777777" w:rsidR="00CE7033" w:rsidRPr="002A4F2D" w:rsidRDefault="00CE7033" w:rsidP="00135CE2">
      <w:pPr>
        <w:jc w:val="both"/>
        <w:rPr>
          <w:noProof/>
        </w:rPr>
      </w:pPr>
      <w:r w:rsidRPr="002A4F2D">
        <w:rPr>
          <w:noProof/>
        </w:rPr>
        <w:t>Toute clause portée dans la proposition</w:t>
      </w:r>
      <w:r w:rsidR="00C44E93" w:rsidRPr="002A4F2D">
        <w:rPr>
          <w:noProof/>
        </w:rPr>
        <w:t xml:space="preserve"> technique et financière</w:t>
      </w:r>
      <w:r w:rsidRPr="002A4F2D">
        <w:rPr>
          <w:noProof/>
        </w:rPr>
        <w:t xml:space="preserve"> du titulaire et contraire aux dispositions des autres pièces </w:t>
      </w:r>
      <w:r w:rsidR="004F074C">
        <w:rPr>
          <w:noProof/>
        </w:rPr>
        <w:t xml:space="preserve">de l’accord cadre </w:t>
      </w:r>
      <w:r w:rsidRPr="002A4F2D">
        <w:rPr>
          <w:noProof/>
        </w:rPr>
        <w:t xml:space="preserve">est réputée non écrite. Les conditions générales </w:t>
      </w:r>
      <w:r w:rsidR="002871FD" w:rsidRPr="002A4F2D">
        <w:rPr>
          <w:noProof/>
        </w:rPr>
        <w:t xml:space="preserve">de ventes </w:t>
      </w:r>
      <w:r w:rsidRPr="002A4F2D">
        <w:rPr>
          <w:noProof/>
        </w:rPr>
        <w:t>du titulaire sont</w:t>
      </w:r>
      <w:r w:rsidR="00C44E93" w:rsidRPr="002A4F2D">
        <w:rPr>
          <w:noProof/>
        </w:rPr>
        <w:t>,</w:t>
      </w:r>
      <w:r w:rsidRPr="002A4F2D">
        <w:rPr>
          <w:noProof/>
        </w:rPr>
        <w:t xml:space="preserve"> en particulier</w:t>
      </w:r>
      <w:r w:rsidR="00C44E93" w:rsidRPr="002A4F2D">
        <w:rPr>
          <w:noProof/>
        </w:rPr>
        <w:t>,</w:t>
      </w:r>
      <w:r w:rsidRPr="002A4F2D">
        <w:rPr>
          <w:noProof/>
        </w:rPr>
        <w:t xml:space="preserve"> concernées par cette disposition. </w:t>
      </w:r>
    </w:p>
    <w:p w14:paraId="3167A6DF" w14:textId="77777777" w:rsidR="00C1657D" w:rsidRPr="002A4F2D" w:rsidRDefault="00C1657D" w:rsidP="00CE7033">
      <w:pPr>
        <w:rPr>
          <w:noProof/>
        </w:rPr>
      </w:pPr>
    </w:p>
    <w:p w14:paraId="707998D8" w14:textId="34671310" w:rsidR="00C1657D" w:rsidRPr="00C1657D" w:rsidRDefault="00F74CF5" w:rsidP="003538FF">
      <w:pPr>
        <w:jc w:val="both"/>
        <w:rPr>
          <w:noProof/>
        </w:rPr>
      </w:pPr>
      <w:r w:rsidRPr="002A4F2D">
        <w:rPr>
          <w:noProof/>
        </w:rPr>
        <w:t>Par dérogation à l’article 4.2.1 du CCAG/FCS</w:t>
      </w:r>
      <w:r w:rsidR="00211551">
        <w:rPr>
          <w:noProof/>
        </w:rPr>
        <w:t xml:space="preserve">, </w:t>
      </w:r>
      <w:r>
        <w:rPr>
          <w:noProof/>
        </w:rPr>
        <w:t>l</w:t>
      </w:r>
      <w:r w:rsidR="00C1657D" w:rsidRPr="002A4F2D">
        <w:rPr>
          <w:noProof/>
        </w:rPr>
        <w:t xml:space="preserve">a notification </w:t>
      </w:r>
      <w:r w:rsidR="007D4584" w:rsidRPr="007D4584">
        <w:rPr>
          <w:noProof/>
        </w:rPr>
        <w:t xml:space="preserve">de l’accord cadre </w:t>
      </w:r>
      <w:r w:rsidR="00C1657D" w:rsidRPr="002A4F2D">
        <w:rPr>
          <w:noProof/>
        </w:rPr>
        <w:t>consiste en la remise</w:t>
      </w:r>
      <w:r w:rsidR="00C1657D" w:rsidRPr="00C1657D">
        <w:rPr>
          <w:noProof/>
        </w:rPr>
        <w:t xml:space="preserve">, sans frais, au titulaire du présent document signé </w:t>
      </w:r>
      <w:r w:rsidR="008F7CA6">
        <w:rPr>
          <w:noProof/>
        </w:rPr>
        <w:t xml:space="preserve">électroniquement (ou d’une copie en cas de signature manuscrite) </w:t>
      </w:r>
      <w:r w:rsidR="00C1657D" w:rsidRPr="00C1657D">
        <w:rPr>
          <w:noProof/>
        </w:rPr>
        <w:t xml:space="preserve">par </w:t>
      </w:r>
      <w:r w:rsidR="00E52B20">
        <w:rPr>
          <w:noProof/>
        </w:rPr>
        <w:t>l’acheteur</w:t>
      </w:r>
      <w:r w:rsidR="003F61B8">
        <w:rPr>
          <w:noProof/>
        </w:rPr>
        <w:t xml:space="preserve"> ainsi que des autres pièces consituttive de l’accord cadre</w:t>
      </w:r>
      <w:r w:rsidR="001E0211">
        <w:rPr>
          <w:noProof/>
        </w:rPr>
        <w:t xml:space="preserve"> </w:t>
      </w:r>
      <w:r w:rsidR="003538FF">
        <w:rPr>
          <w:noProof/>
        </w:rPr>
        <w:t>à l’exception du CCAG, des CCTG et, plus généralement, de toute pièce ayant fait l’objet d’une publication officielle</w:t>
      </w:r>
      <w:r w:rsidR="00C1657D" w:rsidRPr="00C1657D">
        <w:rPr>
          <w:noProof/>
        </w:rPr>
        <w:t xml:space="preserve">. Cette remise </w:t>
      </w:r>
      <w:r w:rsidR="00177921">
        <w:rPr>
          <w:noProof/>
        </w:rPr>
        <w:t xml:space="preserve">est opérée </w:t>
      </w:r>
      <w:r w:rsidR="001A4A8C">
        <w:rPr>
          <w:noProof/>
        </w:rPr>
        <w:t>par</w:t>
      </w:r>
      <w:r w:rsidR="00177921" w:rsidRPr="00EF3EEF">
        <w:rPr>
          <w:noProof/>
        </w:rPr>
        <w:t xml:space="preserve"> voie dématérialisée </w:t>
      </w:r>
      <w:r w:rsidR="001A4A8C">
        <w:rPr>
          <w:noProof/>
        </w:rPr>
        <w:t>via le profil acheteur P</w:t>
      </w:r>
      <w:r w:rsidR="00211551">
        <w:rPr>
          <w:noProof/>
        </w:rPr>
        <w:t>LACE</w:t>
      </w:r>
      <w:r w:rsidR="00C1657D" w:rsidRPr="00C1657D">
        <w:rPr>
          <w:noProof/>
        </w:rPr>
        <w:t>.</w:t>
      </w:r>
    </w:p>
    <w:p w14:paraId="03E97C86" w14:textId="77777777" w:rsidR="00C1657D" w:rsidRDefault="00C1657D" w:rsidP="00CE7033">
      <w:pPr>
        <w:rPr>
          <w:noProof/>
        </w:rPr>
      </w:pPr>
    </w:p>
    <w:p w14:paraId="04BB09FB" w14:textId="77777777" w:rsidR="007D4584" w:rsidRPr="004B4849" w:rsidRDefault="007D4584" w:rsidP="007D4584">
      <w:pPr>
        <w:pStyle w:val="Titre1"/>
      </w:pPr>
      <w:r w:rsidRPr="004B4849">
        <w:t xml:space="preserve">3) </w:t>
      </w:r>
      <w:r>
        <w:t>SEUILS</w:t>
      </w:r>
      <w:r w:rsidRPr="004B4849">
        <w:t xml:space="preserve"> D</w:t>
      </w:r>
      <w:r>
        <w:t>E L’ACCORD CADRE</w:t>
      </w:r>
    </w:p>
    <w:p w14:paraId="74ED0EF2" w14:textId="77777777" w:rsidR="007D4584" w:rsidRDefault="007D4584" w:rsidP="007D4584">
      <w:pPr>
        <w:tabs>
          <w:tab w:val="left" w:pos="284"/>
        </w:tabs>
        <w:jc w:val="both"/>
        <w:rPr>
          <w:noProof/>
        </w:rPr>
      </w:pPr>
      <w:r w:rsidRPr="000A2E0C">
        <w:rPr>
          <w:noProof/>
        </w:rPr>
        <w:t>Les prestations confiées au titulaire</w:t>
      </w:r>
      <w:r>
        <w:rPr>
          <w:noProof/>
        </w:rPr>
        <w:t xml:space="preserve"> seront exécutées en fonction du</w:t>
      </w:r>
      <w:r w:rsidRPr="000A2E0C">
        <w:rPr>
          <w:noProof/>
        </w:rPr>
        <w:t xml:space="preserve"> seuil</w:t>
      </w:r>
      <w:r>
        <w:rPr>
          <w:noProof/>
        </w:rPr>
        <w:t xml:space="preserve"> maximum suivant (p</w:t>
      </w:r>
      <w:r w:rsidRPr="000A2E0C">
        <w:rPr>
          <w:noProof/>
        </w:rPr>
        <w:t>as de seuil minimum</w:t>
      </w:r>
      <w:r>
        <w:rPr>
          <w:noProof/>
        </w:rPr>
        <w:t xml:space="preserve">) </w:t>
      </w:r>
    </w:p>
    <w:p w14:paraId="45635FD0" w14:textId="77777777" w:rsidR="007D4584" w:rsidRPr="000A2E0C" w:rsidRDefault="007D4584" w:rsidP="007D4584">
      <w:pPr>
        <w:tabs>
          <w:tab w:val="left" w:pos="284"/>
        </w:tabs>
        <w:jc w:val="both"/>
        <w:rPr>
          <w:noProof/>
        </w:rPr>
      </w:pPr>
    </w:p>
    <w:p w14:paraId="105F78D2" w14:textId="55FA0242" w:rsidR="007D4584" w:rsidRPr="000A2E0C" w:rsidRDefault="007D4584" w:rsidP="007D4584">
      <w:pPr>
        <w:tabs>
          <w:tab w:val="left" w:pos="284"/>
        </w:tabs>
        <w:jc w:val="both"/>
        <w:rPr>
          <w:noProof/>
        </w:rPr>
      </w:pPr>
      <w:r w:rsidRPr="000A2E0C">
        <w:rPr>
          <w:noProof/>
        </w:rPr>
        <w:t>Seuil maximum</w:t>
      </w:r>
      <w:r>
        <w:rPr>
          <w:noProof/>
        </w:rPr>
        <w:t xml:space="preserve"> </w:t>
      </w:r>
      <w:r w:rsidR="00E106C1">
        <w:rPr>
          <w:noProof/>
        </w:rPr>
        <w:t>pour la</w:t>
      </w:r>
      <w:r>
        <w:rPr>
          <w:noProof/>
        </w:rPr>
        <w:t xml:space="preserve"> durée globale</w:t>
      </w:r>
      <w:r w:rsidR="00211551">
        <w:rPr>
          <w:noProof/>
        </w:rPr>
        <w:t xml:space="preserve"> du contrat</w:t>
      </w:r>
      <w:r>
        <w:rPr>
          <w:noProof/>
        </w:rPr>
        <w:t xml:space="preserve"> </w:t>
      </w:r>
      <w:r w:rsidRPr="000A2E0C">
        <w:rPr>
          <w:noProof/>
        </w:rPr>
        <w:t>:</w:t>
      </w:r>
    </w:p>
    <w:p w14:paraId="39AAC3FE" w14:textId="200A294D" w:rsidR="007D4584" w:rsidRDefault="007D4584" w:rsidP="007D4584">
      <w:pPr>
        <w:ind w:left="567"/>
        <w:rPr>
          <w:noProof/>
        </w:rPr>
      </w:pPr>
      <w:r>
        <w:rPr>
          <w:noProof/>
        </w:rPr>
        <w:t xml:space="preserve">HT: </w:t>
      </w:r>
      <w:bookmarkStart w:id="3" w:name="Texte10"/>
      <w:r>
        <w:rPr>
          <w:noProof/>
        </w:rPr>
        <w:tab/>
      </w:r>
      <w:r>
        <w:rPr>
          <w:noProof/>
        </w:rPr>
        <w:tab/>
      </w:r>
      <w:bookmarkEnd w:id="3"/>
      <w:r w:rsidR="00E106C1">
        <w:rPr>
          <w:noProof/>
        </w:rPr>
        <w:t>72 000 €</w:t>
      </w:r>
    </w:p>
    <w:p w14:paraId="672DA77C" w14:textId="2C9CA398" w:rsidR="007D4584" w:rsidRDefault="007D4584" w:rsidP="007D4584">
      <w:pPr>
        <w:ind w:left="567"/>
        <w:rPr>
          <w:noProof/>
        </w:rPr>
      </w:pPr>
      <w:r>
        <w:rPr>
          <w:noProof/>
        </w:rPr>
        <w:t xml:space="preserve">TVA : 20% </w:t>
      </w:r>
      <w:bookmarkStart w:id="4" w:name="Texte11"/>
      <w:r>
        <w:rPr>
          <w:noProof/>
        </w:rPr>
        <w:tab/>
      </w:r>
      <w:bookmarkEnd w:id="4"/>
      <w:r w:rsidR="00E106C1">
        <w:rPr>
          <w:noProof/>
        </w:rPr>
        <w:t>14 400 €</w:t>
      </w:r>
    </w:p>
    <w:p w14:paraId="5D7F336F" w14:textId="54E3B814" w:rsidR="007D4584" w:rsidRDefault="007D4584" w:rsidP="007D4584">
      <w:pPr>
        <w:ind w:left="567"/>
        <w:rPr>
          <w:noProof/>
        </w:rPr>
      </w:pPr>
      <w:r>
        <w:rPr>
          <w:noProof/>
        </w:rPr>
        <w:t xml:space="preserve">T.T.C : </w:t>
      </w:r>
      <w:r>
        <w:rPr>
          <w:noProof/>
        </w:rPr>
        <w:tab/>
      </w:r>
      <w:r>
        <w:rPr>
          <w:noProof/>
        </w:rPr>
        <w:tab/>
      </w:r>
      <w:r w:rsidR="00E106C1">
        <w:rPr>
          <w:noProof/>
        </w:rPr>
        <w:t>86 400 €</w:t>
      </w:r>
    </w:p>
    <w:p w14:paraId="73E51F09" w14:textId="77777777" w:rsidR="007D4584" w:rsidRDefault="007D4584" w:rsidP="007D4584">
      <w:pPr>
        <w:jc w:val="both"/>
      </w:pPr>
    </w:p>
    <w:p w14:paraId="37E483D2" w14:textId="313BAB50" w:rsidR="007D4584" w:rsidRDefault="007D4584" w:rsidP="007D4584">
      <w:pPr>
        <w:jc w:val="both"/>
      </w:pPr>
      <w:r>
        <w:t xml:space="preserve">Montant TTC arrêté en toutes lettres : </w:t>
      </w:r>
      <w:r w:rsidR="00E106C1">
        <w:t>Quatre vingt six mille quatre cents euros</w:t>
      </w:r>
    </w:p>
    <w:p w14:paraId="54A1EA53" w14:textId="75D745E6" w:rsidR="007D4584" w:rsidRDefault="007D4584" w:rsidP="007D4584">
      <w:pPr>
        <w:jc w:val="both"/>
      </w:pPr>
    </w:p>
    <w:p w14:paraId="5EA188D5" w14:textId="6FA0E20A" w:rsidR="001903A0" w:rsidRDefault="001903A0" w:rsidP="007D4584">
      <w:pPr>
        <w:jc w:val="both"/>
      </w:pPr>
      <w:r w:rsidRPr="001903A0">
        <w:t>L’accord cadre prend fin dès lors que le seuil maximum est atteint quel que soit la durée initiale de l’accord cadre.</w:t>
      </w:r>
    </w:p>
    <w:p w14:paraId="62A76697" w14:textId="0A0C9831" w:rsidR="007D4584" w:rsidRDefault="007D4584" w:rsidP="007D4584">
      <w:pPr>
        <w:jc w:val="both"/>
      </w:pPr>
    </w:p>
    <w:p w14:paraId="20373B56" w14:textId="77777777" w:rsidR="001903A0" w:rsidRDefault="001903A0" w:rsidP="007D4584">
      <w:pPr>
        <w:jc w:val="both"/>
      </w:pPr>
    </w:p>
    <w:p w14:paraId="4B179309" w14:textId="77777777" w:rsidR="007D4584" w:rsidRDefault="007D4584" w:rsidP="007D4584">
      <w:pPr>
        <w:ind w:firstLine="142"/>
        <w:rPr>
          <w:b/>
          <w:noProof/>
        </w:rPr>
      </w:pPr>
      <w:r w:rsidRPr="009D2CF3">
        <w:rPr>
          <w:b/>
          <w:noProof/>
        </w:rPr>
        <w:t>B</w:t>
      </w:r>
      <w:r>
        <w:rPr>
          <w:b/>
          <w:noProof/>
        </w:rPr>
        <w:t>) Prix</w:t>
      </w:r>
    </w:p>
    <w:p w14:paraId="58F370DA" w14:textId="77777777" w:rsidR="00127C70" w:rsidRDefault="007D4584" w:rsidP="0063323B">
      <w:pPr>
        <w:rPr>
          <w:noProof/>
        </w:rPr>
      </w:pPr>
      <w:r>
        <w:rPr>
          <w:noProof/>
        </w:rPr>
        <w:t>Les prix du bordereau de prix unitaire (BPU) sont fermes</w:t>
      </w:r>
      <w:r w:rsidR="007F7885">
        <w:rPr>
          <w:noProof/>
        </w:rPr>
        <w:t xml:space="preserve"> la première année et révisable</w:t>
      </w:r>
      <w:r w:rsidR="00BD167C">
        <w:rPr>
          <w:noProof/>
        </w:rPr>
        <w:t xml:space="preserve"> annuellement</w:t>
      </w:r>
      <w:r w:rsidR="007F7885">
        <w:rPr>
          <w:noProof/>
        </w:rPr>
        <w:t xml:space="preserve"> les années suivantes</w:t>
      </w:r>
      <w:r w:rsidR="00127C70">
        <w:rPr>
          <w:noProof/>
        </w:rPr>
        <w:t>.</w:t>
      </w:r>
    </w:p>
    <w:p w14:paraId="5FEB8C20" w14:textId="77777777" w:rsidR="00127C70" w:rsidRDefault="00127C70" w:rsidP="0063323B">
      <w:pPr>
        <w:rPr>
          <w:noProof/>
        </w:rPr>
      </w:pPr>
    </w:p>
    <w:p w14:paraId="2A61D3F1" w14:textId="77777777" w:rsidR="00127C70" w:rsidRPr="00127C70" w:rsidRDefault="00127C70" w:rsidP="00127C70">
      <w:pPr>
        <w:rPr>
          <w:noProof/>
          <w:u w:val="single"/>
        </w:rPr>
      </w:pPr>
      <w:r w:rsidRPr="00127C70">
        <w:rPr>
          <w:noProof/>
          <w:u w:val="single"/>
        </w:rPr>
        <w:t xml:space="preserve">Contenu du prix </w:t>
      </w:r>
    </w:p>
    <w:p w14:paraId="060C8944" w14:textId="6F0788AA" w:rsidR="00127C70" w:rsidRPr="00127C70" w:rsidRDefault="00127C70" w:rsidP="00127C70">
      <w:pPr>
        <w:rPr>
          <w:noProof/>
        </w:rPr>
      </w:pPr>
      <w:r w:rsidRPr="00127C70">
        <w:rPr>
          <w:noProof/>
        </w:rPr>
        <w:t>Les prix indiqués dans le BPU incluent toutes les prestations liées à l’exécution de l’accord cadre et décrites dans les documents de cet accord cadre (BPU, CCTP et s</w:t>
      </w:r>
      <w:r w:rsidR="00D572C9">
        <w:rPr>
          <w:noProof/>
        </w:rPr>
        <w:t>on</w:t>
      </w:r>
      <w:r w:rsidRPr="00127C70">
        <w:rPr>
          <w:noProof/>
        </w:rPr>
        <w:t xml:space="preserve"> annexe). </w:t>
      </w:r>
    </w:p>
    <w:p w14:paraId="29FA9879" w14:textId="77777777" w:rsidR="00127C70" w:rsidRPr="00127C70" w:rsidRDefault="00127C70" w:rsidP="00127C70">
      <w:pPr>
        <w:jc w:val="both"/>
        <w:rPr>
          <w:noProof/>
        </w:rPr>
      </w:pPr>
    </w:p>
    <w:p w14:paraId="0DB8183A" w14:textId="00E35159" w:rsidR="00127C70" w:rsidRPr="00127C70" w:rsidRDefault="00127C70" w:rsidP="00127C70">
      <w:pPr>
        <w:jc w:val="both"/>
        <w:rPr>
          <w:noProof/>
        </w:rPr>
      </w:pPr>
      <w:r w:rsidRPr="00127C70">
        <w:rPr>
          <w:noProof/>
        </w:rPr>
        <w:t>Les prix du bordereau de prix unitaire (BPU) sont réputés comprendre toutes charges fiscales, parafiscales ou autres frappant obligatoirement les prestations, l’assurance, le transport, ainsi que toutes les prestations prévues au CCTP sous la responsabilité et à la charge du titulaire.</w:t>
      </w:r>
    </w:p>
    <w:p w14:paraId="6A861A5F" w14:textId="310372F2" w:rsidR="00127C70" w:rsidRDefault="00127C70" w:rsidP="00127C70">
      <w:pPr>
        <w:spacing w:after="120"/>
        <w:jc w:val="both"/>
        <w:rPr>
          <w:noProof/>
        </w:rPr>
      </w:pPr>
      <w:r w:rsidRPr="00127C70">
        <w:rPr>
          <w:noProof/>
        </w:rPr>
        <w:t>Il est réputé comprendre, également, toutes charges correspondant</w:t>
      </w:r>
      <w:r>
        <w:rPr>
          <w:noProof/>
        </w:rPr>
        <w:t>e</w:t>
      </w:r>
      <w:r w:rsidRPr="00127C70">
        <w:rPr>
          <w:noProof/>
        </w:rPr>
        <w:t>s à l'obligation faite au titulaire de maintenir des moyens d'intervention en personnel et en matériel, en vue d'assurer l'ensemble des prestations prévues dans les conditions de l’accord cadre.</w:t>
      </w:r>
    </w:p>
    <w:p w14:paraId="340A4700" w14:textId="09528A8B" w:rsidR="00935EDA" w:rsidRDefault="00935EDA" w:rsidP="00127C70">
      <w:pPr>
        <w:spacing w:after="120"/>
        <w:jc w:val="both"/>
        <w:rPr>
          <w:noProof/>
        </w:rPr>
      </w:pPr>
    </w:p>
    <w:p w14:paraId="0CD8B7E4" w14:textId="156F22AB" w:rsidR="00935EDA" w:rsidRPr="00127C70" w:rsidRDefault="00935EDA" w:rsidP="00935EDA">
      <w:pPr>
        <w:rPr>
          <w:noProof/>
          <w:u w:val="single"/>
        </w:rPr>
      </w:pPr>
      <w:r>
        <w:rPr>
          <w:noProof/>
          <w:u w:val="single"/>
        </w:rPr>
        <w:t>Modalités de variation des prix</w:t>
      </w:r>
      <w:r w:rsidRPr="00127C70">
        <w:rPr>
          <w:noProof/>
          <w:u w:val="single"/>
        </w:rPr>
        <w:t xml:space="preserve"> </w:t>
      </w:r>
    </w:p>
    <w:p w14:paraId="0769CA44" w14:textId="77777777" w:rsidR="001903A0" w:rsidRPr="00BD72A5" w:rsidRDefault="001903A0" w:rsidP="001903A0">
      <w:pPr>
        <w:jc w:val="both"/>
        <w:rPr>
          <w:noProof/>
        </w:rPr>
      </w:pPr>
      <w:r w:rsidRPr="00BD72A5">
        <w:rPr>
          <w:noProof/>
        </w:rPr>
        <w:lastRenderedPageBreak/>
        <w:t xml:space="preserve">A partir de la deuxième année, les prix sont révisables </w:t>
      </w:r>
      <w:r>
        <w:rPr>
          <w:noProof/>
        </w:rPr>
        <w:t xml:space="preserve">annuellement, </w:t>
      </w:r>
      <w:r w:rsidRPr="00BD72A5">
        <w:rPr>
          <w:noProof/>
        </w:rPr>
        <w:t>à compter de la date de notification de</w:t>
      </w:r>
      <w:r>
        <w:rPr>
          <w:noProof/>
        </w:rPr>
        <w:t xml:space="preserve"> l’</w:t>
      </w:r>
      <w:r w:rsidRPr="00BD72A5">
        <w:rPr>
          <w:noProof/>
        </w:rPr>
        <w:t xml:space="preserve">accord-cadre </w:t>
      </w:r>
      <w:r>
        <w:rPr>
          <w:noProof/>
        </w:rPr>
        <w:t xml:space="preserve">et </w:t>
      </w:r>
      <w:r w:rsidRPr="00BD72A5">
        <w:rPr>
          <w:noProof/>
        </w:rPr>
        <w:t xml:space="preserve">selon </w:t>
      </w:r>
      <w:r>
        <w:rPr>
          <w:noProof/>
        </w:rPr>
        <w:t>la formule paramétrique ci-dessous</w:t>
      </w:r>
      <w:r w:rsidRPr="00BD72A5">
        <w:rPr>
          <w:noProof/>
        </w:rPr>
        <w:t xml:space="preserve">. </w:t>
      </w:r>
    </w:p>
    <w:p w14:paraId="00814702" w14:textId="77777777" w:rsidR="001903A0" w:rsidRPr="00BD72A5" w:rsidRDefault="001903A0" w:rsidP="001903A0">
      <w:pPr>
        <w:jc w:val="both"/>
        <w:rPr>
          <w:noProof/>
        </w:rPr>
      </w:pPr>
    </w:p>
    <w:p w14:paraId="7A8DC2F5" w14:textId="77777777" w:rsidR="001903A0" w:rsidRPr="00BD72A5" w:rsidRDefault="001903A0" w:rsidP="001903A0">
      <w:pPr>
        <w:jc w:val="both"/>
        <w:rPr>
          <w:noProof/>
        </w:rPr>
      </w:pPr>
      <w:r w:rsidRPr="00BD72A5">
        <w:rPr>
          <w:noProof/>
        </w:rPr>
        <w:t>Le titulaire devra transmettre le</w:t>
      </w:r>
      <w:r>
        <w:rPr>
          <w:noProof/>
        </w:rPr>
        <w:t xml:space="preserve"> nouveau coefficient à appliquer et le détail du calcul</w:t>
      </w:r>
      <w:r w:rsidRPr="00BD72A5">
        <w:rPr>
          <w:noProof/>
        </w:rPr>
        <w:t xml:space="preserve"> à l’acheteur, via la plateforme dématérialisée PLACE, avec un préavis d'un mois avant la date effective d’entrée en vigueur de la révision des prix.</w:t>
      </w:r>
    </w:p>
    <w:p w14:paraId="2B7D29CB" w14:textId="77777777" w:rsidR="001903A0" w:rsidRPr="00BD72A5" w:rsidRDefault="001903A0" w:rsidP="001903A0">
      <w:pPr>
        <w:jc w:val="both"/>
        <w:rPr>
          <w:noProof/>
        </w:rPr>
      </w:pPr>
    </w:p>
    <w:p w14:paraId="7BB90844" w14:textId="3A537C96" w:rsidR="001903A0" w:rsidRPr="00BD72A5" w:rsidRDefault="001903A0" w:rsidP="001903A0">
      <w:pPr>
        <w:jc w:val="both"/>
        <w:rPr>
          <w:noProof/>
        </w:rPr>
      </w:pPr>
      <w:r w:rsidRPr="00BD72A5">
        <w:rPr>
          <w:noProof/>
        </w:rPr>
        <w:t>Le BPU actualisé par la révision de prix</w:t>
      </w:r>
      <w:r w:rsidR="00A179D2">
        <w:rPr>
          <w:noProof/>
        </w:rPr>
        <w:t>,</w:t>
      </w:r>
      <w:r w:rsidRPr="00BD72A5">
        <w:rPr>
          <w:noProof/>
        </w:rPr>
        <w:t xml:space="preserve"> accepté par l’acheteur, est considéré comme tarif contractuel de référence dans le cadre de l'exécution du présent accord cadre. L'ajustement se fait à la baisse comme à la hausse. </w:t>
      </w:r>
    </w:p>
    <w:p w14:paraId="69E76276" w14:textId="77777777" w:rsidR="001903A0" w:rsidRDefault="001903A0" w:rsidP="001903A0">
      <w:pPr>
        <w:jc w:val="both"/>
        <w:rPr>
          <w:rFonts w:ascii="Arial Narrow" w:hAnsi="Arial Narrow" w:cs="Arial"/>
        </w:rPr>
      </w:pPr>
    </w:p>
    <w:p w14:paraId="4034E78C" w14:textId="4D4BA435" w:rsidR="001903A0" w:rsidRPr="001903A0" w:rsidRDefault="001903A0" w:rsidP="001903A0">
      <w:pPr>
        <w:jc w:val="both"/>
        <w:rPr>
          <w:noProof/>
        </w:rPr>
      </w:pPr>
      <w:r w:rsidRPr="001903A0">
        <w:rPr>
          <w:noProof/>
        </w:rPr>
        <w:t>En cas de modification de la réglementation applicable aux variations des indices, il est fait usage de la réglementation en vigueur au moment de l'exécution des prestations. La modification sera alors formalisée entre le titulaire et le CNRS.</w:t>
      </w:r>
    </w:p>
    <w:p w14:paraId="047F0966" w14:textId="77777777" w:rsidR="001903A0" w:rsidRPr="00BD72A5" w:rsidRDefault="001903A0" w:rsidP="001903A0">
      <w:pPr>
        <w:jc w:val="both"/>
        <w:rPr>
          <w:noProof/>
        </w:rPr>
      </w:pPr>
    </w:p>
    <w:p w14:paraId="233B34CC" w14:textId="77777777" w:rsidR="001903A0" w:rsidRPr="001903A0" w:rsidRDefault="001903A0" w:rsidP="001903A0">
      <w:pPr>
        <w:suppressAutoHyphens/>
        <w:rPr>
          <w:noProof/>
          <w:u w:val="single"/>
        </w:rPr>
      </w:pPr>
      <w:r w:rsidRPr="001903A0">
        <w:rPr>
          <w:noProof/>
          <w:u w:val="single"/>
        </w:rPr>
        <w:t>Mois d'établissement des prix</w:t>
      </w:r>
    </w:p>
    <w:p w14:paraId="316538F2" w14:textId="36C68498" w:rsidR="001903A0" w:rsidRPr="001903A0" w:rsidRDefault="001903A0" w:rsidP="001903A0">
      <w:pPr>
        <w:spacing w:line="240" w:lineRule="atLeast"/>
        <w:jc w:val="both"/>
        <w:rPr>
          <w:noProof/>
        </w:rPr>
      </w:pPr>
      <w:r w:rsidRPr="001903A0">
        <w:rPr>
          <w:noProof/>
        </w:rPr>
        <w:t xml:space="preserve">Les prix mentionnés dans </w:t>
      </w:r>
      <w:r>
        <w:rPr>
          <w:noProof/>
        </w:rPr>
        <w:t>le BPU</w:t>
      </w:r>
      <w:r w:rsidRPr="001903A0">
        <w:rPr>
          <w:noProof/>
        </w:rPr>
        <w:t xml:space="preserve"> sont réputés établi sur la base des conditions économiques du mois de la remise des offres (mois d</w:t>
      </w:r>
      <w:r>
        <w:rPr>
          <w:noProof/>
        </w:rPr>
        <w:t xml:space="preserve">e </w:t>
      </w:r>
      <w:r w:rsidRPr="00B93742">
        <w:rPr>
          <w:noProof/>
        </w:rPr>
        <w:t>novembre</w:t>
      </w:r>
      <w:r w:rsidRPr="001903A0">
        <w:rPr>
          <w:noProof/>
        </w:rPr>
        <w:t xml:space="preserve"> 2024). Ce mois est appelé " Mois Zéro - Mo".</w:t>
      </w:r>
    </w:p>
    <w:p w14:paraId="189848BA" w14:textId="518D7F60" w:rsidR="001903A0" w:rsidRDefault="001903A0" w:rsidP="001903A0">
      <w:pPr>
        <w:rPr>
          <w:noProof/>
        </w:rPr>
      </w:pPr>
    </w:p>
    <w:p w14:paraId="59DB399E" w14:textId="06CB7C11" w:rsidR="001903A0" w:rsidRPr="00B93742" w:rsidRDefault="001903A0" w:rsidP="00B93742">
      <w:pPr>
        <w:suppressAutoHyphens/>
        <w:rPr>
          <w:noProof/>
          <w:u w:val="single"/>
        </w:rPr>
      </w:pPr>
      <w:r w:rsidRPr="00B93742">
        <w:rPr>
          <w:noProof/>
          <w:u w:val="single"/>
        </w:rPr>
        <w:t xml:space="preserve">Indices de référence : </w:t>
      </w:r>
    </w:p>
    <w:p w14:paraId="1DB5EA75" w14:textId="2E65A271" w:rsidR="0006340E" w:rsidRDefault="003B29E3" w:rsidP="00B93742">
      <w:pPr>
        <w:pStyle w:val="Paragraphedeliste"/>
        <w:numPr>
          <w:ilvl w:val="0"/>
          <w:numId w:val="9"/>
        </w:numPr>
        <w:spacing w:line="240" w:lineRule="atLeast"/>
        <w:ind w:left="567"/>
        <w:contextualSpacing w:val="0"/>
      </w:pPr>
      <w:proofErr w:type="spellStart"/>
      <w:r w:rsidRPr="00B93742">
        <w:t>ICHTrevTS</w:t>
      </w:r>
      <w:proofErr w:type="spellEnd"/>
      <w:r w:rsidRPr="00B93742">
        <w:t xml:space="preserve"> Identifiant 001565187</w:t>
      </w:r>
      <w:r w:rsidR="003D4EE7">
        <w:t xml:space="preserve"> </w:t>
      </w:r>
      <w:r w:rsidRPr="00B93742">
        <w:t>: coût horaire du travail révisé, tous salariés, pour la catégorie</w:t>
      </w:r>
      <w:proofErr w:type="gramStart"/>
      <w:r w:rsidRPr="00B93742">
        <w:t xml:space="preserve"> «Eau</w:t>
      </w:r>
      <w:proofErr w:type="gramEnd"/>
      <w:r w:rsidRPr="00B93742">
        <w:t xml:space="preserve"> ; assainissement, déchets, dépollution»  </w:t>
      </w:r>
    </w:p>
    <w:p w14:paraId="1EA58D28" w14:textId="06957E91" w:rsidR="003B29E3" w:rsidRPr="00B93742" w:rsidRDefault="0006340E" w:rsidP="0006340E">
      <w:pPr>
        <w:pStyle w:val="Paragraphedeliste"/>
        <w:spacing w:line="240" w:lineRule="atLeast"/>
        <w:ind w:left="567"/>
        <w:contextualSpacing w:val="0"/>
      </w:pPr>
      <w:r>
        <w:t>S</w:t>
      </w:r>
      <w:r w:rsidR="003B29E3" w:rsidRPr="00B93742">
        <w:t xml:space="preserve">ource INSEE : </w:t>
      </w:r>
      <w:r w:rsidR="003B29E3" w:rsidRPr="00B93742">
        <w:rPr>
          <w:rStyle w:val="Lienhypertexte"/>
        </w:rPr>
        <w:t>https://www.insee.fr/fr/statistiques/serie/001565187</w:t>
      </w:r>
    </w:p>
    <w:p w14:paraId="534E3065" w14:textId="6B490E32" w:rsidR="0006340E" w:rsidRDefault="00657602" w:rsidP="00B93742">
      <w:pPr>
        <w:pStyle w:val="Paragraphedeliste"/>
        <w:numPr>
          <w:ilvl w:val="0"/>
          <w:numId w:val="9"/>
        </w:numPr>
        <w:ind w:left="567"/>
        <w:contextualSpacing w:val="0"/>
      </w:pPr>
      <w:r w:rsidRPr="00B93742">
        <w:t>EBIQ</w:t>
      </w:r>
      <w:r w:rsidR="000E7067" w:rsidRPr="00B93742">
        <w:t xml:space="preserve"> Identifiant 0107643</w:t>
      </w:r>
      <w:r w:rsidRPr="00B93742">
        <w:t>58</w:t>
      </w:r>
      <w:r w:rsidR="00A83723">
        <w:t xml:space="preserve"> </w:t>
      </w:r>
      <w:r w:rsidR="000E7067" w:rsidRPr="00B93742">
        <w:t>: Production de l’industrie française</w:t>
      </w:r>
      <w:r w:rsidRPr="00B93742">
        <w:rPr>
          <w:lang w:eastAsia="zh-CN"/>
        </w:rPr>
        <w:t>, énergie, biens intermédiaires et biens d’investissements</w:t>
      </w:r>
      <w:r w:rsidR="0006340E">
        <w:rPr>
          <w:lang w:eastAsia="zh-CN"/>
        </w:rPr>
        <w:t>.</w:t>
      </w:r>
    </w:p>
    <w:p w14:paraId="74A63D82" w14:textId="4832FF80" w:rsidR="000E7067" w:rsidRPr="002C4087" w:rsidRDefault="0006340E" w:rsidP="0006340E">
      <w:pPr>
        <w:pStyle w:val="Paragraphedeliste"/>
        <w:ind w:left="567"/>
        <w:contextualSpacing w:val="0"/>
        <w:rPr>
          <w:rStyle w:val="Lienhypertexte"/>
        </w:rPr>
      </w:pPr>
      <w:r>
        <w:t xml:space="preserve">Source </w:t>
      </w:r>
      <w:r w:rsidR="000E7067" w:rsidRPr="00B93742">
        <w:t>INSEE :</w:t>
      </w:r>
      <w:r w:rsidR="000E7067" w:rsidRPr="00B93742">
        <w:rPr>
          <w:i/>
          <w:color w:val="5B9BD5"/>
        </w:rPr>
        <w:t xml:space="preserve"> </w:t>
      </w:r>
      <w:r w:rsidR="002C4087" w:rsidRPr="002C4087">
        <w:rPr>
          <w:rStyle w:val="Lienhypertexte"/>
        </w:rPr>
        <w:t>https://www.insee.fr/fr/statistiques/serie/010764358</w:t>
      </w:r>
      <w:hyperlink w:history="1"/>
    </w:p>
    <w:p w14:paraId="7ECDB5EB" w14:textId="34C8ED69" w:rsidR="000E7067" w:rsidRPr="00B93742" w:rsidRDefault="000E7067" w:rsidP="001903A0">
      <w:pPr>
        <w:rPr>
          <w:noProof/>
        </w:rPr>
      </w:pPr>
    </w:p>
    <w:p w14:paraId="029CC6C7" w14:textId="77777777" w:rsidR="000E7067" w:rsidRPr="00B93742" w:rsidRDefault="000E7067" w:rsidP="001903A0">
      <w:pPr>
        <w:rPr>
          <w:noProof/>
        </w:rPr>
      </w:pPr>
    </w:p>
    <w:p w14:paraId="252AC3AA" w14:textId="3C3C1C5C" w:rsidR="001903A0" w:rsidRPr="00B93742" w:rsidRDefault="001903A0" w:rsidP="001903A0">
      <w:pPr>
        <w:rPr>
          <w:noProof/>
          <w:u w:val="single"/>
        </w:rPr>
      </w:pPr>
      <w:r w:rsidRPr="00B93742">
        <w:rPr>
          <w:noProof/>
          <w:u w:val="single"/>
        </w:rPr>
        <w:t>Formule paramétrique :</w:t>
      </w:r>
    </w:p>
    <w:p w14:paraId="74A11E28" w14:textId="77777777" w:rsidR="001903A0" w:rsidRPr="00B93742" w:rsidRDefault="001903A0" w:rsidP="001903A0">
      <w:pPr>
        <w:rPr>
          <w:noProof/>
        </w:rPr>
      </w:pPr>
    </w:p>
    <w:p w14:paraId="640ED6B8" w14:textId="22ED1614" w:rsidR="001903A0" w:rsidRDefault="001903A0" w:rsidP="002C4087">
      <w:pPr>
        <w:ind w:left="284"/>
        <w:rPr>
          <w:noProof/>
        </w:rPr>
      </w:pPr>
      <w:r w:rsidRPr="00B93742">
        <w:rPr>
          <w:noProof/>
        </w:rPr>
        <w:t xml:space="preserve">P = </w:t>
      </w:r>
      <w:r w:rsidR="003D4EE7">
        <w:rPr>
          <w:noProof/>
        </w:rPr>
        <w:t>Po x</w:t>
      </w:r>
      <w:r w:rsidRPr="00B93742">
        <w:rPr>
          <w:noProof/>
        </w:rPr>
        <w:t xml:space="preserve"> </w:t>
      </w:r>
      <w:r w:rsidR="003D4EE7">
        <w:rPr>
          <w:noProof/>
        </w:rPr>
        <w:t>[</w:t>
      </w:r>
      <w:r w:rsidRPr="00B93742">
        <w:rPr>
          <w:noProof/>
        </w:rPr>
        <w:t>0.70</w:t>
      </w:r>
      <w:r w:rsidR="003D4EE7">
        <w:rPr>
          <w:noProof/>
        </w:rPr>
        <w:t xml:space="preserve"> x</w:t>
      </w:r>
      <w:r w:rsidRPr="00B93742">
        <w:rPr>
          <w:noProof/>
        </w:rPr>
        <w:t xml:space="preserve"> </w:t>
      </w:r>
      <w:r w:rsidR="003D4EE7">
        <w:rPr>
          <w:noProof/>
        </w:rPr>
        <w:t>(</w:t>
      </w:r>
      <w:r w:rsidRPr="00B93742">
        <w:rPr>
          <w:noProof/>
        </w:rPr>
        <w:t>ICHT</w:t>
      </w:r>
      <w:r w:rsidR="00A179D2" w:rsidRPr="00B93742">
        <w:rPr>
          <w:noProof/>
        </w:rPr>
        <w:t>rev</w:t>
      </w:r>
      <w:r w:rsidRPr="00B93742">
        <w:rPr>
          <w:noProof/>
        </w:rPr>
        <w:t>TS/ICHT</w:t>
      </w:r>
      <w:r w:rsidR="00A179D2" w:rsidRPr="00B93742">
        <w:rPr>
          <w:noProof/>
        </w:rPr>
        <w:t>rev</w:t>
      </w:r>
      <w:r w:rsidRPr="00B93742">
        <w:rPr>
          <w:noProof/>
        </w:rPr>
        <w:t>TSo</w:t>
      </w:r>
      <w:r w:rsidR="003D4EE7">
        <w:rPr>
          <w:noProof/>
        </w:rPr>
        <w:t>)</w:t>
      </w:r>
      <w:r w:rsidRPr="00B93742">
        <w:rPr>
          <w:noProof/>
        </w:rPr>
        <w:t xml:space="preserve"> + 0,</w:t>
      </w:r>
      <w:r w:rsidR="003D4EE7">
        <w:rPr>
          <w:noProof/>
        </w:rPr>
        <w:t>30 x</w:t>
      </w:r>
      <w:r w:rsidRPr="00B93742">
        <w:rPr>
          <w:noProof/>
        </w:rPr>
        <w:t xml:space="preserve"> </w:t>
      </w:r>
      <w:r w:rsidR="003D4EE7">
        <w:rPr>
          <w:noProof/>
        </w:rPr>
        <w:t>(</w:t>
      </w:r>
      <w:r w:rsidRPr="00B93742">
        <w:rPr>
          <w:noProof/>
        </w:rPr>
        <w:t xml:space="preserve">EBIQ </w:t>
      </w:r>
      <w:r w:rsidR="00B93742">
        <w:rPr>
          <w:noProof/>
        </w:rPr>
        <w:t>1</w:t>
      </w:r>
      <w:r w:rsidRPr="00B93742">
        <w:rPr>
          <w:noProof/>
        </w:rPr>
        <w:t>/EBIQ</w:t>
      </w:r>
      <w:r w:rsidR="00B93742" w:rsidRPr="00B93742">
        <w:rPr>
          <w:noProof/>
        </w:rPr>
        <w:t>1</w:t>
      </w:r>
      <w:r w:rsidRPr="00B93742">
        <w:rPr>
          <w:noProof/>
        </w:rPr>
        <w:t>o)</w:t>
      </w:r>
      <w:r w:rsidR="003D4EE7">
        <w:rPr>
          <w:noProof/>
        </w:rPr>
        <w:t>]</w:t>
      </w:r>
    </w:p>
    <w:p w14:paraId="7E244D2E" w14:textId="4D6B445B" w:rsidR="00511496" w:rsidRDefault="00511496" w:rsidP="00B93742">
      <w:pPr>
        <w:ind w:left="-142"/>
        <w:rPr>
          <w:noProof/>
        </w:rPr>
      </w:pPr>
    </w:p>
    <w:p w14:paraId="3ED824EF" w14:textId="77777777" w:rsidR="002C4087" w:rsidRPr="002C4087" w:rsidRDefault="002C4087" w:rsidP="002C4087">
      <w:pPr>
        <w:suppressAutoHyphens/>
        <w:rPr>
          <w:lang w:eastAsia="zh-CN"/>
        </w:rPr>
      </w:pPr>
      <w:r w:rsidRPr="002C4087">
        <w:rPr>
          <w:u w:val="single"/>
          <w:lang w:eastAsia="zh-CN"/>
        </w:rPr>
        <w:t>Dans laquelle</w:t>
      </w:r>
      <w:r w:rsidRPr="002C4087">
        <w:rPr>
          <w:lang w:eastAsia="zh-CN"/>
        </w:rPr>
        <w:t xml:space="preserve"> :</w:t>
      </w:r>
    </w:p>
    <w:p w14:paraId="050DB201" w14:textId="77777777" w:rsidR="002C4087" w:rsidRPr="002C4087" w:rsidRDefault="002C4087" w:rsidP="002C4087">
      <w:pPr>
        <w:suppressAutoHyphens/>
        <w:rPr>
          <w:lang w:eastAsia="zh-CN"/>
        </w:rPr>
      </w:pPr>
      <w:r w:rsidRPr="002C4087">
        <w:rPr>
          <w:lang w:eastAsia="zh-CN"/>
        </w:rPr>
        <w:t>P</w:t>
      </w:r>
      <w:r w:rsidRPr="002C4087">
        <w:rPr>
          <w:lang w:eastAsia="zh-CN"/>
        </w:rPr>
        <w:tab/>
      </w:r>
      <w:r w:rsidRPr="002C4087">
        <w:rPr>
          <w:lang w:eastAsia="zh-CN"/>
        </w:rPr>
        <w:tab/>
        <w:t>Prix révisé hors TVA</w:t>
      </w:r>
    </w:p>
    <w:p w14:paraId="79728748" w14:textId="1B6338E7" w:rsidR="002C4087" w:rsidRPr="002C4087" w:rsidRDefault="002C4087" w:rsidP="002C4087">
      <w:pPr>
        <w:suppressAutoHyphens/>
        <w:rPr>
          <w:lang w:eastAsia="zh-CN"/>
        </w:rPr>
      </w:pPr>
      <w:r w:rsidRPr="002C4087">
        <w:rPr>
          <w:lang w:eastAsia="zh-CN"/>
        </w:rPr>
        <w:t>P0</w:t>
      </w:r>
      <w:r w:rsidRPr="002C4087">
        <w:rPr>
          <w:lang w:eastAsia="zh-CN"/>
        </w:rPr>
        <w:tab/>
      </w:r>
      <w:r w:rsidRPr="002C4087">
        <w:rPr>
          <w:lang w:eastAsia="zh-CN"/>
        </w:rPr>
        <w:tab/>
        <w:t>Prix hors TVA en valeur du mois de remise des offres</w:t>
      </w:r>
      <w:r>
        <w:rPr>
          <w:lang w:eastAsia="zh-CN"/>
        </w:rPr>
        <w:t xml:space="preserve"> (novembre 2024</w:t>
      </w:r>
      <w:r w:rsidRPr="002C4087">
        <w:rPr>
          <w:lang w:eastAsia="zh-CN"/>
        </w:rPr>
        <w:t>.</w:t>
      </w:r>
    </w:p>
    <w:p w14:paraId="02553021" w14:textId="40BCC045" w:rsidR="002C4087" w:rsidRPr="002C4087" w:rsidRDefault="002C4087" w:rsidP="002C4087">
      <w:pPr>
        <w:spacing w:line="240" w:lineRule="atLeast"/>
        <w:ind w:left="1440" w:hanging="1440"/>
        <w:jc w:val="both"/>
        <w:rPr>
          <w:lang w:eastAsia="zh-CN"/>
        </w:rPr>
      </w:pPr>
      <w:proofErr w:type="spellStart"/>
      <w:r w:rsidRPr="002C4087">
        <w:rPr>
          <w:lang w:eastAsia="zh-CN"/>
        </w:rPr>
        <w:t>ICHTrevTS</w:t>
      </w:r>
      <w:proofErr w:type="spellEnd"/>
      <w:r w:rsidRPr="002C4087">
        <w:rPr>
          <w:lang w:eastAsia="zh-CN"/>
        </w:rPr>
        <w:t xml:space="preserve"> </w:t>
      </w:r>
      <w:r w:rsidRPr="002C4087">
        <w:rPr>
          <w:lang w:eastAsia="zh-CN"/>
        </w:rPr>
        <w:tab/>
        <w:t>Dernier indice disponible lors du mois de la révision du prix prévu dans l</w:t>
      </w:r>
      <w:r>
        <w:rPr>
          <w:lang w:eastAsia="zh-CN"/>
        </w:rPr>
        <w:t>’accord cadre</w:t>
      </w:r>
      <w:r w:rsidRPr="002C4087">
        <w:rPr>
          <w:lang w:eastAsia="zh-CN"/>
        </w:rPr>
        <w:t>.</w:t>
      </w:r>
    </w:p>
    <w:p w14:paraId="19242534" w14:textId="77777777" w:rsidR="002C4087" w:rsidRPr="002C4087" w:rsidRDefault="002C4087" w:rsidP="002C4087">
      <w:pPr>
        <w:spacing w:line="240" w:lineRule="atLeast"/>
        <w:ind w:left="1440" w:hanging="1440"/>
        <w:jc w:val="both"/>
        <w:rPr>
          <w:lang w:eastAsia="zh-CN"/>
        </w:rPr>
      </w:pPr>
      <w:proofErr w:type="spellStart"/>
      <w:r w:rsidRPr="002C4087">
        <w:rPr>
          <w:lang w:eastAsia="zh-CN"/>
        </w:rPr>
        <w:t>ICHTrevTSo</w:t>
      </w:r>
      <w:proofErr w:type="spellEnd"/>
      <w:r w:rsidRPr="002C4087">
        <w:rPr>
          <w:lang w:eastAsia="zh-CN"/>
        </w:rPr>
        <w:tab/>
        <w:t xml:space="preserve">Sa valeur sera celle de l’indice publié le mois de la remise des offres. </w:t>
      </w:r>
    </w:p>
    <w:p w14:paraId="1AB3ECC0" w14:textId="3E8C4C23" w:rsidR="002C4087" w:rsidRPr="002C4087" w:rsidRDefault="002C4087" w:rsidP="002C4087">
      <w:pPr>
        <w:suppressAutoHyphens/>
        <w:ind w:left="1440" w:hanging="1440"/>
        <w:rPr>
          <w:lang w:eastAsia="zh-CN"/>
        </w:rPr>
      </w:pPr>
      <w:r>
        <w:rPr>
          <w:lang w:eastAsia="zh-CN"/>
        </w:rPr>
        <w:t>EBIQ</w:t>
      </w:r>
      <w:r w:rsidRPr="002C4087">
        <w:rPr>
          <w:lang w:eastAsia="zh-CN"/>
        </w:rPr>
        <w:tab/>
        <w:t xml:space="preserve">Dernier indice disponible lors du mois de la révision du prix prévu dans </w:t>
      </w:r>
      <w:r>
        <w:rPr>
          <w:lang w:eastAsia="zh-CN"/>
        </w:rPr>
        <w:t>l’accord cadre.</w:t>
      </w:r>
    </w:p>
    <w:p w14:paraId="038E365B" w14:textId="52E873C7" w:rsidR="002C4087" w:rsidRPr="002C4087" w:rsidRDefault="002C4087" w:rsidP="002C4087">
      <w:pPr>
        <w:suppressAutoHyphens/>
        <w:ind w:left="1440" w:hanging="1440"/>
        <w:jc w:val="both"/>
        <w:rPr>
          <w:lang w:eastAsia="zh-CN"/>
        </w:rPr>
      </w:pPr>
      <w:proofErr w:type="spellStart"/>
      <w:r>
        <w:rPr>
          <w:lang w:eastAsia="zh-CN"/>
        </w:rPr>
        <w:t>EBIQ</w:t>
      </w:r>
      <w:r w:rsidRPr="002C4087">
        <w:rPr>
          <w:lang w:eastAsia="zh-CN"/>
        </w:rPr>
        <w:t>o</w:t>
      </w:r>
      <w:proofErr w:type="spellEnd"/>
      <w:r w:rsidRPr="002C4087">
        <w:rPr>
          <w:lang w:eastAsia="zh-CN"/>
        </w:rPr>
        <w:t xml:space="preserve"> </w:t>
      </w:r>
      <w:r w:rsidRPr="002C4087">
        <w:rPr>
          <w:lang w:eastAsia="zh-CN"/>
        </w:rPr>
        <w:tab/>
        <w:t>Indice publié, le mois de la remise des offres.</w:t>
      </w:r>
    </w:p>
    <w:p w14:paraId="0340CC01" w14:textId="77777777" w:rsidR="002C4087" w:rsidRDefault="002C4087" w:rsidP="002C4087">
      <w:pPr>
        <w:spacing w:line="240" w:lineRule="atLeast"/>
        <w:jc w:val="both"/>
        <w:rPr>
          <w:lang w:eastAsia="zh-CN"/>
        </w:rPr>
      </w:pPr>
    </w:p>
    <w:p w14:paraId="01C7E1CE" w14:textId="2751AC04" w:rsidR="002C4087" w:rsidRPr="002C4087" w:rsidRDefault="002C4087" w:rsidP="002C4087">
      <w:pPr>
        <w:spacing w:line="240" w:lineRule="atLeast"/>
        <w:jc w:val="both"/>
        <w:rPr>
          <w:lang w:eastAsia="zh-CN"/>
        </w:rPr>
      </w:pPr>
      <w:r w:rsidRPr="002C4087">
        <w:rPr>
          <w:lang w:eastAsia="zh-CN"/>
        </w:rPr>
        <w:t>N.B : Après calcul, le coefficient de révision sera arrêté à la 4ème décimale. Celle-ci sera arrondie à l'unité supérieure si elle dépasse le chiffre 5.</w:t>
      </w:r>
    </w:p>
    <w:p w14:paraId="272A329F" w14:textId="18E4D641" w:rsidR="002C4087" w:rsidRDefault="002C4087" w:rsidP="00B93742">
      <w:pPr>
        <w:ind w:left="-142"/>
        <w:rPr>
          <w:noProof/>
        </w:rPr>
      </w:pPr>
    </w:p>
    <w:p w14:paraId="4093FE64" w14:textId="2C187959" w:rsidR="007D4584" w:rsidRPr="004B4849" w:rsidRDefault="007D4584" w:rsidP="007D4584">
      <w:pPr>
        <w:pStyle w:val="Titre1"/>
      </w:pPr>
      <w:r w:rsidRPr="004B4849">
        <w:t xml:space="preserve">4) DURÉE </w:t>
      </w:r>
    </w:p>
    <w:p w14:paraId="0D6A94C9" w14:textId="41045594" w:rsidR="007D4584" w:rsidRDefault="007D4584" w:rsidP="0063323B">
      <w:pPr>
        <w:jc w:val="both"/>
      </w:pPr>
      <w:r>
        <w:t xml:space="preserve">L’accord cadre prend effet à compter de sa date de notification pour une durée </w:t>
      </w:r>
      <w:r w:rsidRPr="007A4C4B">
        <w:t xml:space="preserve">de </w:t>
      </w:r>
      <w:r w:rsidR="0063323B">
        <w:t>4 ans</w:t>
      </w:r>
      <w:r w:rsidR="00BD167C">
        <w:t xml:space="preserve"> ferme</w:t>
      </w:r>
      <w:r>
        <w:t>.</w:t>
      </w:r>
    </w:p>
    <w:p w14:paraId="68FEA32A" w14:textId="77777777" w:rsidR="005657C6" w:rsidRPr="004B4849" w:rsidRDefault="005657C6" w:rsidP="005657C6">
      <w:pPr>
        <w:pStyle w:val="Titre1"/>
      </w:pPr>
      <w:r w:rsidRPr="004B4849">
        <w:t xml:space="preserve">5) MODALITES D’EXECUTION </w:t>
      </w:r>
    </w:p>
    <w:p w14:paraId="0BC674C0" w14:textId="4837DDEC" w:rsidR="005657C6" w:rsidRPr="00CE7033" w:rsidRDefault="005657C6" w:rsidP="005657C6">
      <w:pPr>
        <w:jc w:val="both"/>
        <w:rPr>
          <w:noProof/>
        </w:rPr>
      </w:pPr>
      <w:r w:rsidRPr="00CE7033">
        <w:rPr>
          <w:noProof/>
        </w:rPr>
        <w:t>L</w:t>
      </w:r>
      <w:r>
        <w:rPr>
          <w:noProof/>
        </w:rPr>
        <w:t>e délai maximum d</w:t>
      </w:r>
      <w:r w:rsidR="00B34339">
        <w:rPr>
          <w:noProof/>
        </w:rPr>
        <w:t>’exécution</w:t>
      </w:r>
      <w:r>
        <w:rPr>
          <w:noProof/>
        </w:rPr>
        <w:t xml:space="preserve"> est fixé</w:t>
      </w:r>
      <w:r w:rsidRPr="00CE7033">
        <w:rPr>
          <w:noProof/>
        </w:rPr>
        <w:t xml:space="preserve"> </w:t>
      </w:r>
      <w:r>
        <w:rPr>
          <w:noProof/>
        </w:rPr>
        <w:t>sur chaque bon de commande</w:t>
      </w:r>
    </w:p>
    <w:p w14:paraId="5779B234" w14:textId="77777777" w:rsidR="005657C6" w:rsidRDefault="005657C6" w:rsidP="005657C6">
      <w:pPr>
        <w:jc w:val="both"/>
        <w:rPr>
          <w:noProof/>
        </w:rPr>
      </w:pPr>
    </w:p>
    <w:p w14:paraId="72B66787" w14:textId="77777777" w:rsidR="005657C6" w:rsidRDefault="005657C6" w:rsidP="005657C6">
      <w:pPr>
        <w:jc w:val="both"/>
        <w:rPr>
          <w:noProof/>
        </w:rPr>
      </w:pPr>
      <w:r>
        <w:rPr>
          <w:noProof/>
        </w:rPr>
        <w:t>Les prestations sont déclenchées par l’envoi d’un bon de commande par le CNRS au regard du BPU.</w:t>
      </w:r>
    </w:p>
    <w:p w14:paraId="5AAEA2CC" w14:textId="77777777" w:rsidR="005657C6" w:rsidRDefault="005657C6" w:rsidP="005657C6">
      <w:pPr>
        <w:jc w:val="both"/>
        <w:rPr>
          <w:noProof/>
        </w:rPr>
      </w:pPr>
      <w:r>
        <w:rPr>
          <w:noProof/>
        </w:rPr>
        <w:t>Il est conclu autant de bon de commande que de besoin.</w:t>
      </w:r>
    </w:p>
    <w:p w14:paraId="78A85694" w14:textId="77777777" w:rsidR="005657C6" w:rsidRPr="00CE7033" w:rsidRDefault="005657C6" w:rsidP="005657C6">
      <w:pPr>
        <w:jc w:val="both"/>
        <w:rPr>
          <w:noProof/>
        </w:rPr>
      </w:pPr>
      <w:r>
        <w:rPr>
          <w:noProof/>
        </w:rPr>
        <w:t>L’émission de bons de commande ne peut se faire que pendant la période de validité de l’accord cadre.</w:t>
      </w:r>
    </w:p>
    <w:p w14:paraId="6D0E703D" w14:textId="77777777" w:rsidR="00A210E0" w:rsidRPr="00CE7033" w:rsidRDefault="00A210E0" w:rsidP="00CE7033">
      <w:pPr>
        <w:jc w:val="both"/>
        <w:rPr>
          <w:noProof/>
        </w:rPr>
      </w:pPr>
    </w:p>
    <w:p w14:paraId="5DF4B364" w14:textId="77777777" w:rsidR="00CE7033" w:rsidRPr="00CE7033" w:rsidRDefault="00CE7033" w:rsidP="00CE7033">
      <w:pPr>
        <w:jc w:val="both"/>
        <w:rPr>
          <w:noProof/>
        </w:rPr>
      </w:pPr>
      <w:r w:rsidRPr="001D4E53">
        <w:rPr>
          <w:noProof/>
        </w:rPr>
        <w:t>Le suivi d’exécution et l’admission s’effectuent comme prévu au C</w:t>
      </w:r>
      <w:r w:rsidR="004C6580" w:rsidRPr="001D4E53">
        <w:rPr>
          <w:noProof/>
        </w:rPr>
        <w:t>C</w:t>
      </w:r>
      <w:r w:rsidRPr="001D4E53">
        <w:rPr>
          <w:noProof/>
        </w:rPr>
        <w:t xml:space="preserve">TP ou, à défaut, conformément </w:t>
      </w:r>
      <w:r w:rsidR="00FA3F04" w:rsidRPr="001D4E53">
        <w:rPr>
          <w:noProof/>
        </w:rPr>
        <w:t xml:space="preserve">à l’article </w:t>
      </w:r>
      <w:r w:rsidR="001D4E53" w:rsidRPr="001D4E53">
        <w:rPr>
          <w:noProof/>
        </w:rPr>
        <w:t>30</w:t>
      </w:r>
      <w:r w:rsidR="00DD2B12" w:rsidRPr="001D4E53">
        <w:rPr>
          <w:noProof/>
        </w:rPr>
        <w:t xml:space="preserve"> du</w:t>
      </w:r>
      <w:r w:rsidRPr="001D4E53">
        <w:rPr>
          <w:noProof/>
        </w:rPr>
        <w:t xml:space="preserve"> CCAG</w:t>
      </w:r>
      <w:r w:rsidR="004C6580" w:rsidRPr="001D4E53">
        <w:rPr>
          <w:noProof/>
        </w:rPr>
        <w:t>/</w:t>
      </w:r>
      <w:r w:rsidRPr="001D4E53">
        <w:rPr>
          <w:noProof/>
        </w:rPr>
        <w:t>FCS.</w:t>
      </w:r>
    </w:p>
    <w:p w14:paraId="0F92FE70" w14:textId="77777777" w:rsidR="00CE7033" w:rsidRDefault="00CE7033" w:rsidP="00CE7033">
      <w:pPr>
        <w:jc w:val="both"/>
        <w:rPr>
          <w:noProof/>
        </w:rPr>
      </w:pPr>
      <w:r w:rsidRPr="00CE7033">
        <w:rPr>
          <w:noProof/>
        </w:rPr>
        <w:t>Le titulaire est responsable de tous les dommages matériels et/ou corporels du fait de l’exé</w:t>
      </w:r>
      <w:r w:rsidR="004F074C">
        <w:rPr>
          <w:noProof/>
        </w:rPr>
        <w:t>cution des prestations objet de l’accord cadre</w:t>
      </w:r>
    </w:p>
    <w:p w14:paraId="1537D2E0" w14:textId="328B2B33" w:rsidR="00FD494A" w:rsidRDefault="00FD494A" w:rsidP="00CE7033">
      <w:pPr>
        <w:jc w:val="both"/>
        <w:rPr>
          <w:noProof/>
        </w:rPr>
      </w:pPr>
    </w:p>
    <w:p w14:paraId="18C77A9C" w14:textId="77777777" w:rsidR="00B34339" w:rsidRPr="00127C70" w:rsidRDefault="00B34339" w:rsidP="00B34339">
      <w:pPr>
        <w:rPr>
          <w:noProof/>
          <w:u w:val="single"/>
        </w:rPr>
      </w:pPr>
      <w:r w:rsidRPr="00127C70">
        <w:rPr>
          <w:noProof/>
          <w:u w:val="single"/>
        </w:rPr>
        <w:t xml:space="preserve">Clause de réexamen </w:t>
      </w:r>
    </w:p>
    <w:p w14:paraId="37B774E9" w14:textId="77777777" w:rsidR="00B34339" w:rsidRPr="00B34339" w:rsidRDefault="00B34339" w:rsidP="00B34339">
      <w:pPr>
        <w:widowControl w:val="0"/>
        <w:autoSpaceDE w:val="0"/>
        <w:autoSpaceDN w:val="0"/>
        <w:adjustRightInd w:val="0"/>
        <w:spacing w:before="100" w:beforeAutospacing="1" w:after="100" w:afterAutospacing="1"/>
        <w:rPr>
          <w:rFonts w:ascii="Cambria" w:hAnsi="Cambria"/>
          <w:b/>
          <w:i/>
          <w:color w:val="2E74B5" w:themeColor="accent1" w:themeShade="BF"/>
          <w:sz w:val="18"/>
          <w:szCs w:val="18"/>
          <w:u w:val="single"/>
        </w:rPr>
      </w:pPr>
      <w:r w:rsidRPr="00B34339">
        <w:rPr>
          <w:noProof/>
          <w:color w:val="2E74B5" w:themeColor="accent1" w:themeShade="BF"/>
          <w:sz w:val="18"/>
          <w:szCs w:val="18"/>
          <w:u w:val="single"/>
        </w:rPr>
        <w:t>Evolutivité du bordereau de prix unitaires</w:t>
      </w:r>
    </w:p>
    <w:p w14:paraId="140CD801" w14:textId="77777777" w:rsidR="00B34339" w:rsidRPr="00127C70" w:rsidRDefault="00B34339" w:rsidP="00B34339">
      <w:pPr>
        <w:suppressAutoHyphens/>
        <w:jc w:val="both"/>
        <w:rPr>
          <w:noProof/>
        </w:rPr>
      </w:pPr>
      <w:r w:rsidRPr="00127C70">
        <w:rPr>
          <w:noProof/>
        </w:rPr>
        <w:t>Le bordereau de prix unitaire est évolutif et permet l’introduction ou la suppression de prestations supplémentaires ou modificatives dont la réalisation est nécessaire au bon achèvement des prestations.</w:t>
      </w:r>
    </w:p>
    <w:p w14:paraId="4BC74B2C" w14:textId="52443CF6" w:rsidR="00B34339" w:rsidRPr="00127C70" w:rsidRDefault="00B34339" w:rsidP="00B34339">
      <w:pPr>
        <w:suppressAutoHyphens/>
        <w:jc w:val="both"/>
        <w:rPr>
          <w:noProof/>
        </w:rPr>
      </w:pPr>
      <w:r w:rsidRPr="00127C70">
        <w:rPr>
          <w:noProof/>
        </w:rPr>
        <w:t xml:space="preserve">Celles-ci sont introduites dans le cadre de l’accord cadre, </w:t>
      </w:r>
      <w:r w:rsidR="00D572C9">
        <w:rPr>
          <w:noProof/>
        </w:rPr>
        <w:t>après accord de l’Acheteur.</w:t>
      </w:r>
    </w:p>
    <w:p w14:paraId="379BA24A" w14:textId="77777777" w:rsidR="00B34339" w:rsidRDefault="00B34339" w:rsidP="00B34339">
      <w:pPr>
        <w:suppressAutoHyphens/>
        <w:jc w:val="both"/>
        <w:rPr>
          <w:noProof/>
        </w:rPr>
      </w:pPr>
      <w:r w:rsidRPr="00127C70">
        <w:rPr>
          <w:noProof/>
        </w:rPr>
        <w:t>Pour ce faire, le titulaire adresse, par messagerie électronique, à l’acheteur, une proposition financière</w:t>
      </w:r>
      <w:r>
        <w:rPr>
          <w:noProof/>
        </w:rPr>
        <w:t xml:space="preserve"> ainsi que le BPU actualisé si la proposition est validée par l’acheteur.</w:t>
      </w:r>
    </w:p>
    <w:p w14:paraId="68ADB969" w14:textId="654F21C3" w:rsidR="00B34339" w:rsidRPr="00127C70" w:rsidRDefault="00B34339" w:rsidP="00B34339">
      <w:pPr>
        <w:suppressAutoHyphens/>
        <w:jc w:val="both"/>
        <w:rPr>
          <w:noProof/>
        </w:rPr>
      </w:pPr>
      <w:r>
        <w:rPr>
          <w:noProof/>
        </w:rPr>
        <w:t>L</w:t>
      </w:r>
      <w:r w:rsidR="00D572C9">
        <w:rPr>
          <w:noProof/>
        </w:rPr>
        <w:t>e nouveau BPU</w:t>
      </w:r>
      <w:r>
        <w:rPr>
          <w:noProof/>
        </w:rPr>
        <w:t xml:space="preserve"> sera notifié via la plateforme </w:t>
      </w:r>
      <w:r w:rsidRPr="00127C70">
        <w:rPr>
          <w:noProof/>
        </w:rPr>
        <w:t>dématérialisée PLACE</w:t>
      </w:r>
      <w:r w:rsidR="00D572C9">
        <w:rPr>
          <w:noProof/>
        </w:rPr>
        <w:t>.</w:t>
      </w:r>
      <w:r w:rsidRPr="00127C70">
        <w:rPr>
          <w:noProof/>
        </w:rPr>
        <w:t xml:space="preserve"> </w:t>
      </w:r>
    </w:p>
    <w:p w14:paraId="6BAEEAC0" w14:textId="77777777" w:rsidR="00B34339" w:rsidRDefault="00B34339" w:rsidP="00B34339">
      <w:pPr>
        <w:suppressAutoHyphens/>
        <w:jc w:val="both"/>
        <w:rPr>
          <w:rFonts w:ascii="Arial Narrow" w:hAnsi="Arial Narrow"/>
        </w:rPr>
      </w:pPr>
    </w:p>
    <w:p w14:paraId="5CC8376F" w14:textId="3FB5FE53" w:rsidR="00657602" w:rsidRPr="000B1D60" w:rsidRDefault="00B34339" w:rsidP="000B1D60">
      <w:pPr>
        <w:widowControl w:val="0"/>
        <w:autoSpaceDE w:val="0"/>
        <w:autoSpaceDN w:val="0"/>
        <w:adjustRightInd w:val="0"/>
        <w:spacing w:before="100" w:beforeAutospacing="1" w:after="100" w:afterAutospacing="1"/>
        <w:rPr>
          <w:noProof/>
        </w:rPr>
      </w:pPr>
      <w:bookmarkStart w:id="5" w:name="_Toc527723770"/>
      <w:r w:rsidRPr="000B1D60">
        <w:rPr>
          <w:noProof/>
          <w:color w:val="2E74B5" w:themeColor="accent1" w:themeShade="BF"/>
          <w:sz w:val="18"/>
          <w:szCs w:val="18"/>
          <w:u w:val="single"/>
        </w:rPr>
        <w:t>Révision des prix</w:t>
      </w:r>
      <w:bookmarkEnd w:id="5"/>
      <w:r w:rsidRPr="00127C70">
        <w:rPr>
          <w:noProof/>
          <w:color w:val="2E74B5" w:themeColor="accent1" w:themeShade="BF"/>
          <w:u w:val="single"/>
        </w:rPr>
        <w:t xml:space="preserve"> </w:t>
      </w:r>
      <w:r w:rsidR="00657602" w:rsidRPr="000B1D60">
        <w:rPr>
          <w:noProof/>
        </w:rPr>
        <w:t xml:space="preserve">annuelle à la date anniversaire de l’accord cadre (selon les conditions de l’article </w:t>
      </w:r>
      <w:r w:rsidR="000B1D60" w:rsidRPr="000B1D60">
        <w:rPr>
          <w:noProof/>
        </w:rPr>
        <w:t>3B</w:t>
      </w:r>
      <w:r w:rsidR="00657602" w:rsidRPr="000B1D60">
        <w:rPr>
          <w:noProof/>
        </w:rPr>
        <w:t xml:space="preserve"> du présent document). </w:t>
      </w:r>
    </w:p>
    <w:p w14:paraId="19A19A18" w14:textId="24139AE9" w:rsidR="00AC2BF2" w:rsidRDefault="00AC2BF2" w:rsidP="006A05A6">
      <w:pPr>
        <w:pStyle w:val="Titre1"/>
        <w:rPr>
          <w:iCs/>
          <w:u w:val="single"/>
        </w:rPr>
      </w:pPr>
      <w:r w:rsidRPr="004B4849">
        <w:rPr>
          <w:iCs/>
          <w:u w:val="single"/>
        </w:rPr>
        <w:t>6) AVANCE</w:t>
      </w:r>
      <w:r w:rsidR="00FA3F04">
        <w:rPr>
          <w:iCs/>
          <w:u w:val="single"/>
        </w:rPr>
        <w:t xml:space="preserve"> </w:t>
      </w:r>
    </w:p>
    <w:p w14:paraId="2831D607" w14:textId="58CEA645" w:rsidR="00415F8D" w:rsidRPr="002A4F2D" w:rsidRDefault="00B93742" w:rsidP="00415F8D">
      <w:pPr>
        <w:jc w:val="both"/>
        <w:rPr>
          <w:noProof/>
        </w:rPr>
      </w:pPr>
      <w:r>
        <w:rPr>
          <w:noProof/>
        </w:rPr>
        <w:t>U</w:t>
      </w:r>
      <w:r w:rsidR="00CB120A" w:rsidRPr="00E856AF">
        <w:rPr>
          <w:noProof/>
        </w:rPr>
        <w:t>ne avance</w:t>
      </w:r>
      <w:r w:rsidR="00754CB6" w:rsidRPr="00E856AF">
        <w:rPr>
          <w:noProof/>
        </w:rPr>
        <w:t xml:space="preserve"> de</w:t>
      </w:r>
      <w:r w:rsidR="00CB120A" w:rsidRPr="00E856AF">
        <w:rPr>
          <w:noProof/>
        </w:rPr>
        <w:t xml:space="preserve"> </w:t>
      </w:r>
      <w:r w:rsidR="0063323B">
        <w:rPr>
          <w:noProof/>
        </w:rPr>
        <w:t>5</w:t>
      </w:r>
      <w:r w:rsidR="00754CB6" w:rsidRPr="00E856AF">
        <w:rPr>
          <w:noProof/>
        </w:rPr>
        <w:t xml:space="preserve"> </w:t>
      </w:r>
      <w:r w:rsidR="00754CB6" w:rsidRPr="00D57206">
        <w:rPr>
          <w:noProof/>
        </w:rPr>
        <w:t xml:space="preserve">% </w:t>
      </w:r>
      <w:r w:rsidR="00CB120A" w:rsidRPr="00E856AF">
        <w:rPr>
          <w:noProof/>
        </w:rPr>
        <w:t xml:space="preserve">du montant toutes taxes comprises du bon de commande est proposée au titulaire </w:t>
      </w:r>
      <w:r w:rsidR="00886522" w:rsidRPr="00E856AF">
        <w:rPr>
          <w:noProof/>
        </w:rPr>
        <w:t>conformément</w:t>
      </w:r>
      <w:r w:rsidR="00135CE2" w:rsidRPr="00E856AF">
        <w:rPr>
          <w:noProof/>
        </w:rPr>
        <w:t xml:space="preserve"> </w:t>
      </w:r>
      <w:r w:rsidR="00403B4D" w:rsidRPr="00E856AF">
        <w:rPr>
          <w:noProof/>
        </w:rPr>
        <w:t xml:space="preserve">à l’article </w:t>
      </w:r>
      <w:r w:rsidR="004B4781" w:rsidRPr="00E856AF">
        <w:rPr>
          <w:noProof/>
        </w:rPr>
        <w:t xml:space="preserve">B </w:t>
      </w:r>
      <w:r w:rsidR="00FA3F04" w:rsidRPr="00E856AF">
        <w:rPr>
          <w:noProof/>
        </w:rPr>
        <w:t xml:space="preserve">11.1 </w:t>
      </w:r>
      <w:r w:rsidR="00B06179">
        <w:rPr>
          <w:noProof/>
        </w:rPr>
        <w:t xml:space="preserve">et suivants </w:t>
      </w:r>
      <w:r w:rsidR="00FA3F04" w:rsidRPr="00E856AF">
        <w:rPr>
          <w:noProof/>
        </w:rPr>
        <w:t>du CCAG/FCS</w:t>
      </w:r>
      <w:r w:rsidR="00CB120A" w:rsidRPr="00E856AF">
        <w:rPr>
          <w:noProof/>
        </w:rPr>
        <w:t>.</w:t>
      </w:r>
    </w:p>
    <w:p w14:paraId="29B17CB0" w14:textId="77777777" w:rsidR="00B85F00" w:rsidRPr="00B85F00" w:rsidRDefault="00B85F00" w:rsidP="00B85F00">
      <w:pPr>
        <w:jc w:val="both"/>
        <w:rPr>
          <w:noProof/>
        </w:rPr>
      </w:pPr>
      <w:r w:rsidRPr="00B85F00">
        <w:rPr>
          <w:noProof/>
        </w:rPr>
        <w:t xml:space="preserve">Au titre du présent accord cadre, l’article R.2191-7 du code de la commande publique s’applique : « Lorsque le titulaire de l’accord cadre public, ou son sous-traitant admis au paiement direct, est une petite ou moyenne entreprise mentionnée à l'article R. 2151-13, le taux minimal (5%) de l'avance est porté à 10 % pour les marchés publics passés par les établissements publics administratifs de l'Etat ». </w:t>
      </w:r>
    </w:p>
    <w:p w14:paraId="0EDAE28B" w14:textId="43E7F6A5" w:rsidR="00CF3356" w:rsidRDefault="00CF3356" w:rsidP="00415F8D">
      <w:pPr>
        <w:jc w:val="both"/>
        <w:rPr>
          <w:noProof/>
        </w:rPr>
      </w:pPr>
    </w:p>
    <w:p w14:paraId="1AEC80DE" w14:textId="1AC4E6E7" w:rsidR="00415F8D" w:rsidRDefault="00415F8D" w:rsidP="00415F8D">
      <w:pPr>
        <w:jc w:val="both"/>
        <w:rPr>
          <w:noProof/>
        </w:rPr>
      </w:pPr>
      <w:r>
        <w:rPr>
          <w:noProof/>
        </w:rPr>
        <w:t>Le titulaire est une PME :</w:t>
      </w:r>
    </w:p>
    <w:p w14:paraId="7E189292" w14:textId="77777777" w:rsidR="00415F8D" w:rsidRPr="00227755" w:rsidRDefault="00415F8D" w:rsidP="00415F8D">
      <w:pPr>
        <w:ind w:left="1701"/>
        <w:jc w:val="both"/>
        <w:rPr>
          <w:noProof/>
        </w:rPr>
      </w:pPr>
      <w:r w:rsidRPr="00227755">
        <w:rPr>
          <w:noProof/>
        </w:rPr>
        <w:fldChar w:fldCharType="begin">
          <w:ffData>
            <w:name w:val="CaseACocher11"/>
            <w:enabled/>
            <w:calcOnExit w:val="0"/>
            <w:checkBox>
              <w:sizeAuto/>
              <w:default w:val="0"/>
            </w:checkBox>
          </w:ffData>
        </w:fldChar>
      </w:r>
      <w:r w:rsidRPr="00227755">
        <w:rPr>
          <w:noProof/>
        </w:rPr>
        <w:instrText xml:space="preserve"> FORMCHECKBOX </w:instrText>
      </w:r>
      <w:r w:rsidR="00953B30">
        <w:rPr>
          <w:noProof/>
        </w:rPr>
      </w:r>
      <w:r w:rsidR="00953B30">
        <w:rPr>
          <w:noProof/>
        </w:rPr>
        <w:fldChar w:fldCharType="separate"/>
      </w:r>
      <w:r w:rsidRPr="00227755">
        <w:rPr>
          <w:noProof/>
        </w:rPr>
        <w:fldChar w:fldCharType="end"/>
      </w:r>
      <w:r w:rsidRPr="00227755">
        <w:rPr>
          <w:noProof/>
        </w:rPr>
        <w:t xml:space="preserve"> </w:t>
      </w:r>
      <w:r>
        <w:rPr>
          <w:noProof/>
        </w:rPr>
        <w:t>OUI</w:t>
      </w:r>
      <w:r w:rsidRPr="00227755">
        <w:rPr>
          <w:noProof/>
        </w:rPr>
        <w:t xml:space="preserve">, </w:t>
      </w:r>
    </w:p>
    <w:p w14:paraId="0FBBE7A6" w14:textId="77777777" w:rsidR="00415F8D" w:rsidRDefault="00415F8D" w:rsidP="00415F8D">
      <w:pPr>
        <w:ind w:left="1701"/>
        <w:jc w:val="both"/>
        <w:rPr>
          <w:noProof/>
        </w:rPr>
      </w:pPr>
      <w:r w:rsidRPr="00227755">
        <w:rPr>
          <w:noProof/>
        </w:rPr>
        <w:fldChar w:fldCharType="begin">
          <w:ffData>
            <w:name w:val="CaseACocher11"/>
            <w:enabled/>
            <w:calcOnExit w:val="0"/>
            <w:checkBox>
              <w:sizeAuto/>
              <w:default w:val="0"/>
            </w:checkBox>
          </w:ffData>
        </w:fldChar>
      </w:r>
      <w:r w:rsidRPr="00227755">
        <w:rPr>
          <w:noProof/>
        </w:rPr>
        <w:instrText xml:space="preserve"> FORMCHECKBOX </w:instrText>
      </w:r>
      <w:r w:rsidR="00953B30">
        <w:rPr>
          <w:noProof/>
        </w:rPr>
      </w:r>
      <w:r w:rsidR="00953B30">
        <w:rPr>
          <w:noProof/>
        </w:rPr>
        <w:fldChar w:fldCharType="separate"/>
      </w:r>
      <w:r w:rsidRPr="00227755">
        <w:rPr>
          <w:noProof/>
        </w:rPr>
        <w:fldChar w:fldCharType="end"/>
      </w:r>
      <w:r w:rsidRPr="00227755">
        <w:rPr>
          <w:noProof/>
        </w:rPr>
        <w:t xml:space="preserve"> </w:t>
      </w:r>
      <w:r>
        <w:rPr>
          <w:noProof/>
        </w:rPr>
        <w:t>NON</w:t>
      </w:r>
    </w:p>
    <w:p w14:paraId="36B2817B" w14:textId="77777777" w:rsidR="00415F8D" w:rsidRDefault="00415F8D" w:rsidP="00415F8D">
      <w:pPr>
        <w:jc w:val="both"/>
        <w:rPr>
          <w:noProof/>
        </w:rPr>
      </w:pPr>
    </w:p>
    <w:p w14:paraId="30493CE2" w14:textId="77777777" w:rsidR="00C44607" w:rsidRPr="00C44607" w:rsidRDefault="00C44607" w:rsidP="00C44607">
      <w:pPr>
        <w:jc w:val="both"/>
        <w:rPr>
          <w:noProof/>
        </w:rPr>
      </w:pPr>
      <w:r w:rsidRPr="00C44607">
        <w:rPr>
          <w:noProof/>
        </w:rPr>
        <w:t xml:space="preserve">Le titulaire : </w:t>
      </w:r>
    </w:p>
    <w:p w14:paraId="04B17123" w14:textId="77777777" w:rsidR="00C44607" w:rsidRPr="00C44607" w:rsidRDefault="00C44607" w:rsidP="00C44607">
      <w:pPr>
        <w:ind w:firstLine="709"/>
        <w:jc w:val="both"/>
        <w:rPr>
          <w:noProof/>
        </w:rPr>
      </w:pPr>
      <w:r w:rsidRPr="00C44607">
        <w:rPr>
          <w:noProof/>
        </w:rPr>
        <w:fldChar w:fldCharType="begin">
          <w:ffData>
            <w:name w:val="CaseACocher11"/>
            <w:enabled/>
            <w:calcOnExit w:val="0"/>
            <w:checkBox>
              <w:sizeAuto/>
              <w:default w:val="0"/>
            </w:checkBox>
          </w:ffData>
        </w:fldChar>
      </w:r>
      <w:r w:rsidRPr="00C44607">
        <w:rPr>
          <w:noProof/>
        </w:rPr>
        <w:instrText xml:space="preserve"> FORMCHECKBOX </w:instrText>
      </w:r>
      <w:r w:rsidR="00953B30">
        <w:rPr>
          <w:noProof/>
        </w:rPr>
      </w:r>
      <w:r w:rsidR="00953B30">
        <w:rPr>
          <w:noProof/>
        </w:rPr>
        <w:fldChar w:fldCharType="separate"/>
      </w:r>
      <w:r w:rsidRPr="00C44607">
        <w:rPr>
          <w:noProof/>
        </w:rPr>
        <w:fldChar w:fldCharType="end"/>
      </w:r>
      <w:r w:rsidRPr="00C44607">
        <w:rPr>
          <w:noProof/>
        </w:rPr>
        <w:t xml:space="preserve"> Accepte l’avance, </w:t>
      </w:r>
    </w:p>
    <w:p w14:paraId="264E06AF" w14:textId="77777777" w:rsidR="00C44607" w:rsidRPr="00C44607" w:rsidRDefault="00C44607" w:rsidP="00C44607">
      <w:pPr>
        <w:ind w:firstLine="709"/>
        <w:jc w:val="both"/>
        <w:rPr>
          <w:noProof/>
        </w:rPr>
      </w:pPr>
      <w:r w:rsidRPr="00C44607">
        <w:rPr>
          <w:noProof/>
        </w:rPr>
        <w:fldChar w:fldCharType="begin">
          <w:ffData>
            <w:name w:val="CaseACocher11"/>
            <w:enabled/>
            <w:calcOnExit w:val="0"/>
            <w:checkBox>
              <w:sizeAuto/>
              <w:default w:val="0"/>
            </w:checkBox>
          </w:ffData>
        </w:fldChar>
      </w:r>
      <w:r w:rsidRPr="00C44607">
        <w:rPr>
          <w:noProof/>
        </w:rPr>
        <w:instrText xml:space="preserve"> FORMCHECKBOX </w:instrText>
      </w:r>
      <w:r w:rsidR="00953B30">
        <w:rPr>
          <w:noProof/>
        </w:rPr>
      </w:r>
      <w:r w:rsidR="00953B30">
        <w:rPr>
          <w:noProof/>
        </w:rPr>
        <w:fldChar w:fldCharType="separate"/>
      </w:r>
      <w:r w:rsidRPr="00C44607">
        <w:rPr>
          <w:noProof/>
        </w:rPr>
        <w:fldChar w:fldCharType="end"/>
      </w:r>
      <w:r w:rsidRPr="00C44607">
        <w:rPr>
          <w:noProof/>
        </w:rPr>
        <w:t xml:space="preserve"> Refuse l’avance.</w:t>
      </w:r>
    </w:p>
    <w:p w14:paraId="1A633F8B" w14:textId="77777777" w:rsidR="00614193" w:rsidRPr="00754CB6" w:rsidRDefault="00614193" w:rsidP="00C44607">
      <w:pPr>
        <w:jc w:val="both"/>
        <w:rPr>
          <w:strike/>
          <w:noProof/>
          <w:highlight w:val="yellow"/>
        </w:rPr>
      </w:pPr>
    </w:p>
    <w:p w14:paraId="6C897469" w14:textId="77777777" w:rsidR="00C44607" w:rsidRPr="005C6D52" w:rsidRDefault="00A4370D" w:rsidP="00C44607">
      <w:pPr>
        <w:jc w:val="both"/>
        <w:rPr>
          <w:noProof/>
        </w:rPr>
      </w:pPr>
      <w:r w:rsidRPr="005C6D52">
        <w:rPr>
          <w:noProof/>
        </w:rPr>
        <w:t>L’avance sera versée dans un délai d’un mois suivant la notification du bon de commande au titulaire.</w:t>
      </w:r>
    </w:p>
    <w:p w14:paraId="7043D3D5" w14:textId="77777777" w:rsidR="006E5288" w:rsidRDefault="006E5288" w:rsidP="006A05A6">
      <w:pPr>
        <w:pStyle w:val="Titre1"/>
      </w:pPr>
      <w:r w:rsidRPr="004B4849">
        <w:t>7) PENALITES</w:t>
      </w:r>
    </w:p>
    <w:p w14:paraId="75227D99" w14:textId="77777777" w:rsidR="00687373" w:rsidRDefault="00BA6F62" w:rsidP="00BA6F62">
      <w:r>
        <w:t>Conformément à l’article 14.1.1</w:t>
      </w:r>
      <w:r w:rsidR="00687373">
        <w:t xml:space="preserve"> </w:t>
      </w:r>
      <w:r w:rsidR="00687373" w:rsidRPr="002A4F2D">
        <w:t>du CCAG/FCS</w:t>
      </w:r>
      <w:r w:rsidRPr="002A4F2D">
        <w:t>,</w:t>
      </w:r>
      <w:r>
        <w:t xml:space="preserve"> </w:t>
      </w:r>
    </w:p>
    <w:p w14:paraId="47395416" w14:textId="77777777" w:rsidR="004729CB" w:rsidRDefault="00687373" w:rsidP="00BA6F62">
      <w:pPr>
        <w:rPr>
          <w:noProof/>
        </w:rPr>
      </w:pPr>
      <w:r w:rsidRPr="00687373">
        <w:rPr>
          <w:noProof/>
        </w:rPr>
        <w:t>Lorsque l’acheteur envisage d’appliquer les pénalités, il invite par écrit, le titulaire à présenter ses observations dans un délai de 15 jours.</w:t>
      </w:r>
    </w:p>
    <w:p w14:paraId="7D5BB36B" w14:textId="77777777" w:rsidR="004729CB" w:rsidRDefault="004729CB" w:rsidP="00BA6F62">
      <w:pPr>
        <w:rPr>
          <w:noProof/>
        </w:rPr>
      </w:pPr>
    </w:p>
    <w:p w14:paraId="41FF117F" w14:textId="230E4993" w:rsidR="004729CB" w:rsidRDefault="001D4E53" w:rsidP="004729CB">
      <w:pPr>
        <w:jc w:val="both"/>
        <w:rPr>
          <w:noProof/>
        </w:rPr>
      </w:pPr>
      <w:r>
        <w:rPr>
          <w:noProof/>
        </w:rPr>
        <w:t>Par dérogation à l’article 14.1.1, e</w:t>
      </w:r>
      <w:r w:rsidR="004729CB" w:rsidRPr="00CE7033">
        <w:rPr>
          <w:noProof/>
        </w:rPr>
        <w:t>n cas de non respect d</w:t>
      </w:r>
      <w:r w:rsidR="004729CB">
        <w:rPr>
          <w:noProof/>
        </w:rPr>
        <w:t>u</w:t>
      </w:r>
      <w:r w:rsidR="004729CB" w:rsidRPr="00CE7033">
        <w:rPr>
          <w:noProof/>
        </w:rPr>
        <w:t xml:space="preserve"> délai contractuel </w:t>
      </w:r>
      <w:r w:rsidR="004729CB">
        <w:rPr>
          <w:noProof/>
        </w:rPr>
        <w:t>indiqué sur chaque bon de commande</w:t>
      </w:r>
      <w:r w:rsidR="004729CB" w:rsidRPr="00CE7033">
        <w:rPr>
          <w:noProof/>
        </w:rPr>
        <w:t xml:space="preserve">, le titulaire se verra appliquer </w:t>
      </w:r>
      <w:r w:rsidR="006A42BE" w:rsidRPr="006A42BE">
        <w:rPr>
          <w:noProof/>
        </w:rPr>
        <w:t xml:space="preserve">une </w:t>
      </w:r>
      <w:r w:rsidR="004729CB" w:rsidRPr="00CE7033">
        <w:rPr>
          <w:noProof/>
        </w:rPr>
        <w:t xml:space="preserve"> pénalité</w:t>
      </w:r>
      <w:r w:rsidR="006A42BE">
        <w:rPr>
          <w:noProof/>
        </w:rPr>
        <w:t xml:space="preserve"> de 5 %</w:t>
      </w:r>
      <w:r w:rsidR="004729CB">
        <w:rPr>
          <w:noProof/>
        </w:rPr>
        <w:t xml:space="preserve"> </w:t>
      </w:r>
      <w:r w:rsidR="006A42BE">
        <w:rPr>
          <w:noProof/>
        </w:rPr>
        <w:t xml:space="preserve">de retard sur </w:t>
      </w:r>
      <w:r w:rsidR="004729CB">
        <w:rPr>
          <w:noProof/>
        </w:rPr>
        <w:t>sur le montant HT du bon de commande concerné.</w:t>
      </w:r>
    </w:p>
    <w:p w14:paraId="714F1844" w14:textId="77777777" w:rsidR="004729CB" w:rsidRPr="00CE7033" w:rsidRDefault="004729CB" w:rsidP="004729CB">
      <w:pPr>
        <w:jc w:val="both"/>
      </w:pPr>
      <w:r w:rsidRPr="00CE7033">
        <w:rPr>
          <w:noProof/>
        </w:rPr>
        <w:t xml:space="preserve">Si une admission ne peut être prononcée, du fait du titulaire, ces mêmes pénalités s’appliquent jusqu'à ce </w:t>
      </w:r>
      <w:r>
        <w:rPr>
          <w:noProof/>
        </w:rPr>
        <w:t>que l’admission</w:t>
      </w:r>
      <w:r w:rsidRPr="00CE7033">
        <w:rPr>
          <w:noProof/>
        </w:rPr>
        <w:t xml:space="preserve"> soit prononcée.</w:t>
      </w:r>
    </w:p>
    <w:p w14:paraId="0262CE76" w14:textId="77777777" w:rsidR="004729CB" w:rsidRDefault="004729CB" w:rsidP="004729CB">
      <w:pPr>
        <w:jc w:val="both"/>
        <w:rPr>
          <w:noProof/>
        </w:rPr>
      </w:pPr>
      <w:r w:rsidRPr="005C47F5">
        <w:rPr>
          <w:noProof/>
        </w:rPr>
        <w:t xml:space="preserve">Toutefois, </w:t>
      </w:r>
      <w:r>
        <w:rPr>
          <w:noProof/>
        </w:rPr>
        <w:t xml:space="preserve">si </w:t>
      </w:r>
      <w:r w:rsidRPr="005C47F5">
        <w:rPr>
          <w:noProof/>
        </w:rPr>
        <w:t xml:space="preserve">le CNRS </w:t>
      </w:r>
      <w:r>
        <w:rPr>
          <w:noProof/>
        </w:rPr>
        <w:t>décide de proroger l</w:t>
      </w:r>
      <w:r w:rsidRPr="005C47F5">
        <w:rPr>
          <w:noProof/>
        </w:rPr>
        <w:t>es délais</w:t>
      </w:r>
      <w:r>
        <w:rPr>
          <w:noProof/>
        </w:rPr>
        <w:t xml:space="preserve"> d’exécution prévus initialement dans le présent accord cadre, i</w:t>
      </w:r>
      <w:r w:rsidRPr="005C47F5">
        <w:rPr>
          <w:noProof/>
        </w:rPr>
        <w:t>l en informe formellement le titulaire.</w:t>
      </w:r>
    </w:p>
    <w:p w14:paraId="23972BC2" w14:textId="77777777" w:rsidR="004729CB" w:rsidRDefault="004729CB" w:rsidP="00BA6F62">
      <w:pPr>
        <w:rPr>
          <w:noProof/>
        </w:rPr>
      </w:pPr>
    </w:p>
    <w:p w14:paraId="79766F5E" w14:textId="1C3B9CDA" w:rsidR="00324262" w:rsidRDefault="00B32A26" w:rsidP="001D4E53">
      <w:pPr>
        <w:jc w:val="both"/>
        <w:rPr>
          <w:noProof/>
        </w:rPr>
      </w:pPr>
      <w:r>
        <w:rPr>
          <w:noProof/>
        </w:rPr>
        <w:t>Conformément à l’article 14.1</w:t>
      </w:r>
      <w:r w:rsidR="00337885">
        <w:rPr>
          <w:noProof/>
        </w:rPr>
        <w:t>.2</w:t>
      </w:r>
      <w:r>
        <w:rPr>
          <w:noProof/>
        </w:rPr>
        <w:t xml:space="preserve"> du CCAG/FCS, l</w:t>
      </w:r>
      <w:r w:rsidR="000F0588" w:rsidRPr="00E856AF">
        <w:rPr>
          <w:noProof/>
        </w:rPr>
        <w:t>e montant des pénalités</w:t>
      </w:r>
      <w:r w:rsidR="005672AD">
        <w:rPr>
          <w:noProof/>
        </w:rPr>
        <w:t xml:space="preserve"> de retard</w:t>
      </w:r>
      <w:r w:rsidR="000F0588" w:rsidRPr="00E856AF">
        <w:rPr>
          <w:noProof/>
        </w:rPr>
        <w:t xml:space="preserve"> cumulées, appliquées par bon de commande, est plafonné à hauteur de </w:t>
      </w:r>
      <w:r w:rsidR="000F0588" w:rsidRPr="00B32A26">
        <w:rPr>
          <w:noProof/>
        </w:rPr>
        <w:t>10% du</w:t>
      </w:r>
      <w:r w:rsidR="000F0588" w:rsidRPr="00E856AF">
        <w:rPr>
          <w:noProof/>
        </w:rPr>
        <w:t xml:space="preserve"> prix HT du bon de commande concerné.</w:t>
      </w:r>
    </w:p>
    <w:p w14:paraId="4F9B5B57" w14:textId="77777777" w:rsidR="000F0588" w:rsidRDefault="000F0588" w:rsidP="00BA6F62">
      <w:pPr>
        <w:rPr>
          <w:noProof/>
        </w:rPr>
      </w:pPr>
    </w:p>
    <w:p w14:paraId="160BEB8E" w14:textId="7921BA37" w:rsidR="00324262" w:rsidRPr="005C47F5" w:rsidRDefault="00B2766E" w:rsidP="005C47F5">
      <w:pPr>
        <w:jc w:val="both"/>
        <w:rPr>
          <w:noProof/>
        </w:rPr>
      </w:pPr>
      <w:r w:rsidRPr="00E856AF">
        <w:rPr>
          <w:noProof/>
        </w:rPr>
        <w:t>En cas de non respect dans la gestion des déchets</w:t>
      </w:r>
      <w:r w:rsidR="00324262" w:rsidRPr="00E856AF">
        <w:rPr>
          <w:noProof/>
        </w:rPr>
        <w:t xml:space="preserve"> (Art 20.4 du CCAG/FCS)</w:t>
      </w:r>
      <w:r w:rsidRPr="00E856AF">
        <w:rPr>
          <w:noProof/>
        </w:rPr>
        <w:t xml:space="preserve">, le titulaire se voit appliquer, après mise en demeure restée infructueuse, une pénalité forfaitaire de </w:t>
      </w:r>
      <w:r w:rsidR="006A42BE" w:rsidRPr="006A42BE">
        <w:rPr>
          <w:noProof/>
        </w:rPr>
        <w:t>20 % du montant du bon de commande.</w:t>
      </w:r>
    </w:p>
    <w:p w14:paraId="62585CFB" w14:textId="77777777" w:rsidR="006143FC" w:rsidRPr="004B4849" w:rsidRDefault="00E42AB9" w:rsidP="006A05A6">
      <w:pPr>
        <w:pStyle w:val="Titre1"/>
      </w:pPr>
      <w:r w:rsidRPr="004B4849">
        <w:t>8</w:t>
      </w:r>
      <w:r w:rsidR="006143FC" w:rsidRPr="004B4849">
        <w:t xml:space="preserve">) MODALITÉS DE </w:t>
      </w:r>
      <w:r w:rsidR="005A685D" w:rsidRPr="004B4849">
        <w:t>PAIE</w:t>
      </w:r>
      <w:r w:rsidR="006143FC" w:rsidRPr="004B4849">
        <w:t>MENT</w:t>
      </w:r>
    </w:p>
    <w:p w14:paraId="72F40470" w14:textId="77777777" w:rsidR="004729CB" w:rsidRPr="004729CB" w:rsidRDefault="00135CE2" w:rsidP="004729CB">
      <w:pPr>
        <w:jc w:val="both"/>
        <w:rPr>
          <w:iCs/>
        </w:rPr>
      </w:pPr>
      <w:r w:rsidRPr="004B4849">
        <w:rPr>
          <w:b/>
          <w:bCs/>
          <w:iCs/>
        </w:rPr>
        <w:t>1</w:t>
      </w:r>
      <w:r w:rsidRPr="004B4849">
        <w:rPr>
          <w:iCs/>
        </w:rPr>
        <w:t xml:space="preserve"> - </w:t>
      </w:r>
      <w:r w:rsidR="004729CB" w:rsidRPr="004729CB">
        <w:rPr>
          <w:iCs/>
        </w:rPr>
        <w:t>Les règlements, par virement, suivent les règles de la comptabilité publique.</w:t>
      </w:r>
    </w:p>
    <w:p w14:paraId="165B352D" w14:textId="77777777" w:rsidR="00135CE2" w:rsidRDefault="004729CB" w:rsidP="004729CB">
      <w:pPr>
        <w:jc w:val="both"/>
        <w:rPr>
          <w:iCs/>
        </w:rPr>
      </w:pPr>
      <w:r w:rsidRPr="004729CB">
        <w:rPr>
          <w:iCs/>
        </w:rPr>
        <w:t>Les bons de commande sont traités à prix unitaire, appliqué aux prestations réellement appliquées sur la base du bordereau de prix unitaire ; annexe 1 au présent document.</w:t>
      </w:r>
    </w:p>
    <w:p w14:paraId="4413B5D2" w14:textId="77777777" w:rsidR="00135CE2" w:rsidRDefault="00135CE2" w:rsidP="00135CE2">
      <w:pPr>
        <w:jc w:val="both"/>
        <w:rPr>
          <w:iCs/>
        </w:rPr>
      </w:pPr>
    </w:p>
    <w:p w14:paraId="43331527" w14:textId="77777777" w:rsidR="00135CE2" w:rsidRDefault="00BA6F62" w:rsidP="00D8288B">
      <w:pPr>
        <w:jc w:val="both"/>
        <w:rPr>
          <w:iCs/>
        </w:rPr>
      </w:pPr>
      <w:r>
        <w:rPr>
          <w:iCs/>
        </w:rPr>
        <w:t>Le</w:t>
      </w:r>
      <w:r w:rsidR="00C411C2">
        <w:rPr>
          <w:iCs/>
        </w:rPr>
        <w:t xml:space="preserve"> titulaire ainsi </w:t>
      </w:r>
      <w:r w:rsidR="00135CE2" w:rsidRPr="00202DAD">
        <w:rPr>
          <w:iCs/>
        </w:rPr>
        <w:t>que, le cas échéant, ses cotraitants et ses sous-traitants concernés, doivent transmettre leurs demandes de paiement sur le portail</w:t>
      </w:r>
      <w:r w:rsidR="00D8288B">
        <w:rPr>
          <w:iCs/>
        </w:rPr>
        <w:t xml:space="preserve"> mutualisé de l’Etat Chorus Pro.</w:t>
      </w:r>
    </w:p>
    <w:p w14:paraId="19BF472C" w14:textId="77777777" w:rsidR="004729CB" w:rsidRDefault="004729CB" w:rsidP="00D8288B">
      <w:pPr>
        <w:jc w:val="both"/>
        <w:rPr>
          <w:iCs/>
        </w:rPr>
      </w:pPr>
    </w:p>
    <w:p w14:paraId="5A1A19D5" w14:textId="77777777" w:rsidR="004729CB" w:rsidRDefault="004729CB" w:rsidP="00D8288B">
      <w:pPr>
        <w:jc w:val="both"/>
        <w:rPr>
          <w:iCs/>
        </w:rPr>
      </w:pPr>
    </w:p>
    <w:p w14:paraId="365DD8B8" w14:textId="77777777" w:rsidR="004729CB" w:rsidRPr="00202DAD" w:rsidRDefault="004729CB" w:rsidP="004729CB">
      <w:pPr>
        <w:jc w:val="both"/>
        <w:rPr>
          <w:b/>
          <w:iCs/>
        </w:rPr>
      </w:pPr>
      <w:r w:rsidRPr="00202DAD">
        <w:rPr>
          <w:b/>
          <w:iCs/>
        </w:rPr>
        <w:t>Facturation électronique</w:t>
      </w:r>
    </w:p>
    <w:p w14:paraId="494FEA9A" w14:textId="77777777" w:rsidR="004729CB" w:rsidRPr="00202DAD" w:rsidRDefault="004729CB" w:rsidP="004729CB">
      <w:pPr>
        <w:jc w:val="both"/>
        <w:rPr>
          <w:iCs/>
        </w:rPr>
      </w:pPr>
      <w:r w:rsidRPr="00202DAD">
        <w:rPr>
          <w:iCs/>
        </w:rPr>
        <w:t>Au choix du créancier, cette transmission est effectuée selon l’une des trois modalités suivantes :</w:t>
      </w:r>
    </w:p>
    <w:p w14:paraId="19E7F508" w14:textId="77777777" w:rsidR="004729CB" w:rsidRPr="00202DAD" w:rsidRDefault="004729CB" w:rsidP="004729CB">
      <w:pPr>
        <w:jc w:val="both"/>
        <w:rPr>
          <w:iCs/>
        </w:rPr>
      </w:pPr>
      <w:r w:rsidRPr="00202DAD">
        <w:rPr>
          <w:iCs/>
        </w:rPr>
        <w:t xml:space="preserve">- Par flux d’échange de données informatisées. Dans ce cas, les formats acceptés sont ceux qui figurent à l’adresse suivante : https://communaute-chorus-pro.finances.gouv.fr/ </w:t>
      </w:r>
    </w:p>
    <w:p w14:paraId="72AFFAA3" w14:textId="77777777" w:rsidR="004729CB" w:rsidRPr="00202DAD" w:rsidRDefault="004729CB" w:rsidP="004729CB">
      <w:pPr>
        <w:jc w:val="both"/>
        <w:rPr>
          <w:iCs/>
        </w:rPr>
      </w:pPr>
      <w:r w:rsidRPr="00202DAD">
        <w:rPr>
          <w:iCs/>
        </w:rPr>
        <w:t>- Par dépôt au format PDF</w:t>
      </w:r>
    </w:p>
    <w:p w14:paraId="642F2B09" w14:textId="77777777" w:rsidR="004729CB" w:rsidRPr="00202DAD" w:rsidRDefault="004729CB" w:rsidP="004729CB">
      <w:pPr>
        <w:jc w:val="both"/>
        <w:rPr>
          <w:iCs/>
        </w:rPr>
      </w:pPr>
      <w:r w:rsidRPr="00202DAD">
        <w:rPr>
          <w:iCs/>
        </w:rPr>
        <w:t>- Par saisie en ligne dans le portail</w:t>
      </w:r>
    </w:p>
    <w:p w14:paraId="0092E0CC" w14:textId="77777777" w:rsidR="004729CB" w:rsidRDefault="004729CB" w:rsidP="00D8288B">
      <w:pPr>
        <w:jc w:val="both"/>
        <w:rPr>
          <w:iCs/>
        </w:rPr>
      </w:pPr>
    </w:p>
    <w:p w14:paraId="6B07436D" w14:textId="77777777" w:rsidR="00FD72FC" w:rsidRPr="00202DAD" w:rsidRDefault="00FD72FC" w:rsidP="00D8288B">
      <w:pPr>
        <w:jc w:val="both"/>
        <w:rPr>
          <w:iCs/>
        </w:rPr>
      </w:pPr>
    </w:p>
    <w:p w14:paraId="10B2A965" w14:textId="77777777" w:rsidR="00DF7722" w:rsidRPr="00DF7722" w:rsidRDefault="00DF7722" w:rsidP="00DF7722">
      <w:pPr>
        <w:jc w:val="both"/>
        <w:rPr>
          <w:iCs/>
        </w:rPr>
      </w:pPr>
      <w:r w:rsidRPr="00DF7722">
        <w:rPr>
          <w:iCs/>
        </w:rPr>
        <w:t xml:space="preserve">Les factures doivent comporter, outre les indications prévues par la réglementation de la comptabilité publique, les renseignements suivants : </w:t>
      </w:r>
    </w:p>
    <w:p w14:paraId="31193C11" w14:textId="77777777" w:rsidR="00DF7722" w:rsidRPr="00DF7722" w:rsidRDefault="00DF7722" w:rsidP="00DF7722">
      <w:pPr>
        <w:jc w:val="both"/>
        <w:rPr>
          <w:iCs/>
        </w:rPr>
      </w:pPr>
      <w:r w:rsidRPr="00DF7722">
        <w:rPr>
          <w:iCs/>
        </w:rPr>
        <w:t xml:space="preserve">- la désignation du titulaire (nom et adresse complète mentionnées lors de la notification </w:t>
      </w:r>
      <w:r w:rsidR="000F0588">
        <w:rPr>
          <w:iCs/>
        </w:rPr>
        <w:t>de l’accord cadre</w:t>
      </w:r>
      <w:r w:rsidRPr="00DF7722">
        <w:rPr>
          <w:iCs/>
        </w:rPr>
        <w:t xml:space="preserve">), </w:t>
      </w:r>
    </w:p>
    <w:p w14:paraId="2AB4B753" w14:textId="3EE379DF" w:rsidR="00DF7722" w:rsidRPr="00DF7722" w:rsidRDefault="00DF7722" w:rsidP="00DF7722">
      <w:pPr>
        <w:jc w:val="both"/>
        <w:rPr>
          <w:iCs/>
        </w:rPr>
      </w:pPr>
      <w:r w:rsidRPr="00DF7722">
        <w:rPr>
          <w:iCs/>
        </w:rPr>
        <w:t xml:space="preserve">- l’objet </w:t>
      </w:r>
      <w:r w:rsidR="00D77F8E">
        <w:rPr>
          <w:iCs/>
        </w:rPr>
        <w:t>de l’acquisition</w:t>
      </w:r>
    </w:p>
    <w:p w14:paraId="71E9BDDF" w14:textId="77777777" w:rsidR="00DF7722" w:rsidRPr="00DF7722" w:rsidRDefault="00DF7722" w:rsidP="00DF7722">
      <w:pPr>
        <w:jc w:val="both"/>
        <w:rPr>
          <w:iCs/>
        </w:rPr>
      </w:pPr>
      <w:r w:rsidRPr="00DF7722">
        <w:rPr>
          <w:iCs/>
        </w:rPr>
        <w:t xml:space="preserve">- la mention CNRS et le nom et adresse de l’unité, </w:t>
      </w:r>
    </w:p>
    <w:p w14:paraId="2F26023C" w14:textId="77777777" w:rsidR="00DF7722" w:rsidRPr="00DF7722" w:rsidRDefault="00DF7722" w:rsidP="00DF7722">
      <w:pPr>
        <w:jc w:val="both"/>
        <w:rPr>
          <w:iCs/>
        </w:rPr>
      </w:pPr>
      <w:r w:rsidRPr="00DF7722">
        <w:rPr>
          <w:iCs/>
        </w:rPr>
        <w:t xml:space="preserve">- le numéro et la date de la facture, </w:t>
      </w:r>
    </w:p>
    <w:p w14:paraId="603072C4" w14:textId="77777777" w:rsidR="00DF7722" w:rsidRPr="00DF7722" w:rsidRDefault="00DF7722" w:rsidP="00DF7722">
      <w:pPr>
        <w:jc w:val="both"/>
        <w:rPr>
          <w:iCs/>
        </w:rPr>
      </w:pPr>
      <w:r w:rsidRPr="00DF7722">
        <w:rPr>
          <w:iCs/>
        </w:rPr>
        <w:t xml:space="preserve">- la date de livraison/ exécution, </w:t>
      </w:r>
    </w:p>
    <w:p w14:paraId="3DAFA12B" w14:textId="77777777" w:rsidR="00DF7722" w:rsidRPr="00DF7722" w:rsidRDefault="00DF7722" w:rsidP="00DF7722">
      <w:pPr>
        <w:jc w:val="both"/>
        <w:rPr>
          <w:iCs/>
        </w:rPr>
      </w:pPr>
      <w:r w:rsidRPr="00DF7722">
        <w:rPr>
          <w:iCs/>
        </w:rPr>
        <w:t xml:space="preserve">- le montant total HT, </w:t>
      </w:r>
    </w:p>
    <w:p w14:paraId="15C6D1E7" w14:textId="77777777" w:rsidR="00DF7722" w:rsidRPr="00DF7722" w:rsidRDefault="00DF7722" w:rsidP="00DF7722">
      <w:pPr>
        <w:jc w:val="both"/>
        <w:rPr>
          <w:iCs/>
        </w:rPr>
      </w:pPr>
      <w:r w:rsidRPr="00DF7722">
        <w:rPr>
          <w:iCs/>
        </w:rPr>
        <w:t xml:space="preserve">- le montant total TTC,  </w:t>
      </w:r>
    </w:p>
    <w:p w14:paraId="076F583F" w14:textId="77777777" w:rsidR="00FD72FC" w:rsidRDefault="00DF7722" w:rsidP="00DF7722">
      <w:pPr>
        <w:jc w:val="both"/>
        <w:rPr>
          <w:iCs/>
        </w:rPr>
      </w:pPr>
      <w:r w:rsidRPr="00DF7722">
        <w:rPr>
          <w:iCs/>
        </w:rPr>
        <w:t>- le numéro d’identification TVA intracommunautaire</w:t>
      </w:r>
    </w:p>
    <w:p w14:paraId="55992DBF" w14:textId="77777777" w:rsidR="00DF7722" w:rsidRDefault="00DF7722" w:rsidP="00DF7722">
      <w:pPr>
        <w:jc w:val="both"/>
        <w:rPr>
          <w:iCs/>
        </w:rPr>
      </w:pPr>
    </w:p>
    <w:p w14:paraId="707CCF73" w14:textId="77777777" w:rsidR="00135CE2" w:rsidRPr="00202DAD" w:rsidRDefault="00135CE2" w:rsidP="00135CE2">
      <w:pPr>
        <w:jc w:val="both"/>
        <w:rPr>
          <w:iCs/>
        </w:rPr>
      </w:pPr>
      <w:r w:rsidRPr="00202DAD">
        <w:rPr>
          <w:iCs/>
        </w:rPr>
        <w:t>Les informations à faire figurer dans l’entête de la demande de paiement sont :</w:t>
      </w:r>
    </w:p>
    <w:p w14:paraId="7F2F7186" w14:textId="77777777" w:rsidR="00135CE2" w:rsidRPr="00202DAD" w:rsidRDefault="00135CE2" w:rsidP="00135CE2">
      <w:pPr>
        <w:jc w:val="both"/>
        <w:rPr>
          <w:iCs/>
        </w:rPr>
      </w:pPr>
      <w:r w:rsidRPr="00202DAD">
        <w:rPr>
          <w:iCs/>
        </w:rPr>
        <w:t>- CNRS (SIRET n°180089013</w:t>
      </w:r>
      <w:r>
        <w:rPr>
          <w:iCs/>
        </w:rPr>
        <w:t xml:space="preserve"> </w:t>
      </w:r>
      <w:r w:rsidRPr="00202DAD">
        <w:rPr>
          <w:iCs/>
        </w:rPr>
        <w:t>03720) ;</w:t>
      </w:r>
    </w:p>
    <w:p w14:paraId="5A232088" w14:textId="16C1159B" w:rsidR="00135CE2" w:rsidRPr="00202DAD" w:rsidRDefault="00135CE2" w:rsidP="00135CE2">
      <w:pPr>
        <w:jc w:val="both"/>
        <w:rPr>
          <w:iCs/>
        </w:rPr>
      </w:pPr>
      <w:r w:rsidRPr="00202DAD">
        <w:rPr>
          <w:iCs/>
        </w:rPr>
        <w:t xml:space="preserve">- Le code </w:t>
      </w:r>
      <w:r w:rsidR="00675590">
        <w:rPr>
          <w:iCs/>
        </w:rPr>
        <w:t>service</w:t>
      </w:r>
      <w:r w:rsidRPr="00202DAD">
        <w:rPr>
          <w:iCs/>
        </w:rPr>
        <w:t xml:space="preserve"> CNRS </w:t>
      </w:r>
      <w:r>
        <w:rPr>
          <w:iCs/>
        </w:rPr>
        <w:t>du laboratoire facturé :</w:t>
      </w:r>
      <w:r w:rsidR="00675590">
        <w:rPr>
          <w:iCs/>
        </w:rPr>
        <w:t xml:space="preserve"> (ex </w:t>
      </w:r>
      <w:proofErr w:type="spellStart"/>
      <w:r w:rsidR="005D4312">
        <w:rPr>
          <w:iCs/>
        </w:rPr>
        <w:t>MOY</w:t>
      </w:r>
      <w:r w:rsidR="00675590">
        <w:rPr>
          <w:iCs/>
        </w:rPr>
        <w:t>xxxx</w:t>
      </w:r>
      <w:proofErr w:type="spellEnd"/>
      <w:r w:rsidR="00380B8F">
        <w:rPr>
          <w:iCs/>
        </w:rPr>
        <w:t xml:space="preserve"> – </w:t>
      </w:r>
      <w:proofErr w:type="spellStart"/>
      <w:r w:rsidR="00380B8F">
        <w:rPr>
          <w:iCs/>
        </w:rPr>
        <w:t>UMR</w:t>
      </w:r>
      <w:r w:rsidR="00210905">
        <w:rPr>
          <w:iCs/>
        </w:rPr>
        <w:t>xxx</w:t>
      </w:r>
      <w:proofErr w:type="spellEnd"/>
      <w:r w:rsidR="00675590">
        <w:rPr>
          <w:iCs/>
        </w:rPr>
        <w:t>)</w:t>
      </w:r>
      <w:r>
        <w:rPr>
          <w:iCs/>
        </w:rPr>
        <w:t xml:space="preserve"> </w:t>
      </w:r>
    </w:p>
    <w:p w14:paraId="10A3EF2E" w14:textId="37C72B17" w:rsidR="00135CE2" w:rsidRDefault="00135CE2" w:rsidP="00135CE2">
      <w:pPr>
        <w:jc w:val="both"/>
        <w:rPr>
          <w:iCs/>
        </w:rPr>
      </w:pPr>
      <w:r w:rsidRPr="00202DAD">
        <w:rPr>
          <w:iCs/>
        </w:rPr>
        <w:t xml:space="preserve">- Le numéro </w:t>
      </w:r>
      <w:r w:rsidR="004729CB">
        <w:rPr>
          <w:iCs/>
        </w:rPr>
        <w:t>de l’accord cadre</w:t>
      </w:r>
      <w:r w:rsidRPr="00202DAD">
        <w:rPr>
          <w:iCs/>
        </w:rPr>
        <w:t xml:space="preserve"> </w:t>
      </w:r>
      <w:r>
        <w:rPr>
          <w:iCs/>
        </w:rPr>
        <w:t>indiqué ci-dessus ou le numéro du bon de commande notifié par le CNRS.</w:t>
      </w:r>
    </w:p>
    <w:p w14:paraId="7C1B6F28" w14:textId="6066D35D" w:rsidR="003F0723" w:rsidRDefault="003F0723" w:rsidP="003F0723">
      <w:pPr>
        <w:jc w:val="both"/>
        <w:rPr>
          <w:iCs/>
        </w:rPr>
      </w:pPr>
      <w:r>
        <w:rPr>
          <w:iCs/>
        </w:rPr>
        <w:t>- l’adresse de facturation : CNRS S</w:t>
      </w:r>
      <w:r w:rsidR="00210905">
        <w:rPr>
          <w:iCs/>
        </w:rPr>
        <w:t>C</w:t>
      </w:r>
      <w:r>
        <w:rPr>
          <w:iCs/>
        </w:rPr>
        <w:t>D, 2 rue Jean Zay, TSA31001, 54</w:t>
      </w:r>
      <w:r w:rsidR="00C30EE0">
        <w:rPr>
          <w:iCs/>
        </w:rPr>
        <w:t>519</w:t>
      </w:r>
      <w:r>
        <w:rPr>
          <w:iCs/>
        </w:rPr>
        <w:t xml:space="preserve"> VANDOEUVRE LES NANCY CEDEX.</w:t>
      </w:r>
    </w:p>
    <w:p w14:paraId="43843B41" w14:textId="77777777" w:rsidR="00A725D8" w:rsidRPr="004B4849" w:rsidRDefault="00A725D8" w:rsidP="00465ED0">
      <w:pPr>
        <w:jc w:val="both"/>
        <w:rPr>
          <w:iCs/>
        </w:rPr>
      </w:pPr>
    </w:p>
    <w:p w14:paraId="708D9AC2" w14:textId="113AD345" w:rsidR="00F0456A" w:rsidRPr="00F0456A" w:rsidRDefault="003E4FC6" w:rsidP="00F0456A">
      <w:pPr>
        <w:jc w:val="both"/>
        <w:rPr>
          <w:noProof/>
        </w:rPr>
      </w:pPr>
      <w:r w:rsidRPr="004B4849">
        <w:rPr>
          <w:b/>
          <w:bCs/>
          <w:iCs/>
        </w:rPr>
        <w:t>2</w:t>
      </w:r>
      <w:r w:rsidRPr="004B4849">
        <w:rPr>
          <w:iCs/>
        </w:rPr>
        <w:t xml:space="preserve"> – </w:t>
      </w:r>
      <w:r w:rsidR="00571352" w:rsidRPr="004B4849">
        <w:rPr>
          <w:iCs/>
        </w:rPr>
        <w:t xml:space="preserve">Les règlements s’effectuent </w:t>
      </w:r>
      <w:r w:rsidR="00BA6F62">
        <w:rPr>
          <w:noProof/>
        </w:rPr>
        <w:t>après service fait</w:t>
      </w:r>
      <w:r w:rsidR="005D4312">
        <w:rPr>
          <w:noProof/>
        </w:rPr>
        <w:t>.</w:t>
      </w:r>
    </w:p>
    <w:p w14:paraId="0376FF5D" w14:textId="77777777" w:rsidR="005E0101" w:rsidRPr="004B4849" w:rsidRDefault="005E0101" w:rsidP="00FD494A">
      <w:pPr>
        <w:pStyle w:val="fcase2metab"/>
        <w:tabs>
          <w:tab w:val="clear" w:pos="426"/>
          <w:tab w:val="clear" w:pos="851"/>
          <w:tab w:val="left" w:pos="120"/>
        </w:tabs>
        <w:rPr>
          <w:rFonts w:ascii="Times New Roman" w:hAnsi="Times New Roman"/>
          <w:i/>
          <w:iCs/>
        </w:rPr>
      </w:pPr>
    </w:p>
    <w:p w14:paraId="072F4212" w14:textId="77777777" w:rsidR="005E0101" w:rsidRPr="004B4849" w:rsidRDefault="005E0101" w:rsidP="00A46A22">
      <w:r w:rsidRPr="004B4849">
        <w:rPr>
          <w:b/>
        </w:rPr>
        <w:t xml:space="preserve">3 </w:t>
      </w:r>
      <w:r w:rsidR="00A46A22" w:rsidRPr="004B4849">
        <w:rPr>
          <w:iCs/>
        </w:rPr>
        <w:t xml:space="preserve">– </w:t>
      </w:r>
      <w:r w:rsidRPr="004B4849">
        <w:t>Le délai global de paiement est de:</w:t>
      </w:r>
    </w:p>
    <w:p w14:paraId="3B065141" w14:textId="77777777" w:rsidR="005E0101" w:rsidRDefault="00A46A22" w:rsidP="005E0101">
      <w:pPr>
        <w:jc w:val="both"/>
      </w:pPr>
      <w:r>
        <w:t xml:space="preserve">- </w:t>
      </w:r>
      <w:r w:rsidR="00A034E7">
        <w:t>30</w:t>
      </w:r>
      <w:r w:rsidR="005E0101" w:rsidRPr="004B4849">
        <w:t xml:space="preserve"> jours à partir de la constatat</w:t>
      </w:r>
      <w:r>
        <w:t xml:space="preserve">ion du service fait par le </w:t>
      </w:r>
      <w:r w:rsidR="00F7019C">
        <w:t>l’acheteur</w:t>
      </w:r>
      <w:r>
        <w:t> </w:t>
      </w:r>
      <w:r w:rsidR="005E0101" w:rsidRPr="004B4849">
        <w:t>;</w:t>
      </w:r>
    </w:p>
    <w:p w14:paraId="7C680499" w14:textId="77777777" w:rsidR="005E0101" w:rsidRPr="004B4849" w:rsidRDefault="00A46A22" w:rsidP="005E0101">
      <w:pPr>
        <w:jc w:val="both"/>
      </w:pPr>
      <w:r>
        <w:t xml:space="preserve">- </w:t>
      </w:r>
      <w:r w:rsidR="00A034E7">
        <w:t>30</w:t>
      </w:r>
      <w:r w:rsidR="005E0101" w:rsidRPr="004B4849">
        <w:t xml:space="preserve"> jours à partir de la réception de la facture du titulaire par le CNRS si celle-ci est postérieure.</w:t>
      </w:r>
    </w:p>
    <w:p w14:paraId="3D85678E" w14:textId="77777777" w:rsidR="00703927" w:rsidRPr="004B4849" w:rsidRDefault="00703927" w:rsidP="00C22015">
      <w:pPr>
        <w:jc w:val="both"/>
        <w:rPr>
          <w:iCs/>
        </w:rPr>
      </w:pPr>
    </w:p>
    <w:p w14:paraId="41E283BC" w14:textId="77777777" w:rsidR="001B449D" w:rsidRPr="001B449D" w:rsidRDefault="005E0101" w:rsidP="001B449D">
      <w:pPr>
        <w:rPr>
          <w:noProof/>
        </w:rPr>
      </w:pPr>
      <w:r w:rsidRPr="004B4849">
        <w:rPr>
          <w:b/>
        </w:rPr>
        <w:t>4 -</w:t>
      </w:r>
      <w:r w:rsidRPr="004B4849">
        <w:t xml:space="preserve"> </w:t>
      </w:r>
      <w:r w:rsidR="001B449D" w:rsidRPr="001B449D">
        <w:rPr>
          <w:noProof/>
        </w:rPr>
        <w:t>Le taux applicable pour le calcul des intérêts moratoires est conforme au droit en vigueur.</w:t>
      </w:r>
    </w:p>
    <w:p w14:paraId="29E49246" w14:textId="77777777" w:rsidR="00A26141" w:rsidRPr="004B4849" w:rsidRDefault="00A26141" w:rsidP="001A798D">
      <w:pPr>
        <w:jc w:val="both"/>
        <w:rPr>
          <w:b/>
        </w:rPr>
      </w:pPr>
    </w:p>
    <w:p w14:paraId="40CC4C24" w14:textId="77777777" w:rsidR="005E0101" w:rsidRDefault="005E0101" w:rsidP="00A725D8">
      <w:pPr>
        <w:jc w:val="both"/>
      </w:pPr>
      <w:r w:rsidRPr="004B4849">
        <w:rPr>
          <w:b/>
        </w:rPr>
        <w:t>5 -</w:t>
      </w:r>
      <w:r w:rsidRPr="004B4849">
        <w:t xml:space="preserve"> L'o</w:t>
      </w:r>
      <w:r w:rsidR="00122F0C">
        <w:t xml:space="preserve">rdonnateur de la dépense est </w:t>
      </w:r>
      <w:r w:rsidRPr="004B4849">
        <w:t>l</w:t>
      </w:r>
      <w:r w:rsidR="00D90027">
        <w:t>e</w:t>
      </w:r>
      <w:r w:rsidRPr="004B4849">
        <w:t xml:space="preserve"> Délégué </w:t>
      </w:r>
      <w:r w:rsidR="00A034E7">
        <w:t>R</w:t>
      </w:r>
      <w:r w:rsidRPr="004B4849">
        <w:t xml:space="preserve">égional de la délégation </w:t>
      </w:r>
      <w:r w:rsidR="0056667E">
        <w:t xml:space="preserve">Ile de France </w:t>
      </w:r>
      <w:r w:rsidR="005C47F5">
        <w:t>Gif sur Yvette</w:t>
      </w:r>
      <w:r w:rsidR="001B449D">
        <w:t xml:space="preserve"> </w:t>
      </w:r>
      <w:r w:rsidRPr="004B4849">
        <w:t>du CNRS.</w:t>
      </w:r>
    </w:p>
    <w:p w14:paraId="7891CA34" w14:textId="77777777" w:rsidR="00A725D8" w:rsidRPr="004B4849" w:rsidRDefault="00A725D8" w:rsidP="00A725D8">
      <w:pPr>
        <w:jc w:val="both"/>
      </w:pPr>
    </w:p>
    <w:p w14:paraId="0C0737E3" w14:textId="77777777" w:rsidR="00801635" w:rsidRDefault="005E0101" w:rsidP="00801635">
      <w:pPr>
        <w:jc w:val="both"/>
      </w:pPr>
      <w:r w:rsidRPr="004B4849">
        <w:rPr>
          <w:b/>
        </w:rPr>
        <w:t>6 -</w:t>
      </w:r>
      <w:r w:rsidRPr="004B4849">
        <w:t xml:space="preserve"> Le comptable assignataire des paiements est l'Agent comptable secondaire de la délégation </w:t>
      </w:r>
      <w:r w:rsidR="0056667E">
        <w:t xml:space="preserve">Ile de France </w:t>
      </w:r>
      <w:r w:rsidR="005C47F5">
        <w:t>Gif sur Yvette</w:t>
      </w:r>
      <w:r w:rsidR="001B449D">
        <w:t xml:space="preserve"> </w:t>
      </w:r>
      <w:r w:rsidRPr="004B4849">
        <w:t>du CNRS.</w:t>
      </w:r>
    </w:p>
    <w:p w14:paraId="0BF7B0D9" w14:textId="77777777" w:rsidR="00D8288B" w:rsidRDefault="00D8288B" w:rsidP="00D8288B">
      <w:pPr>
        <w:jc w:val="both"/>
      </w:pPr>
    </w:p>
    <w:p w14:paraId="3EB448BE" w14:textId="77777777" w:rsidR="00500CB3" w:rsidRDefault="00500CB3" w:rsidP="00D8288B">
      <w:pPr>
        <w:jc w:val="both"/>
      </w:pPr>
    </w:p>
    <w:p w14:paraId="25576476" w14:textId="681C2216" w:rsidR="00E366A3" w:rsidRPr="00D8288B" w:rsidRDefault="00500CB3" w:rsidP="00D8288B">
      <w:pPr>
        <w:jc w:val="both"/>
      </w:pPr>
      <w:r>
        <w:rPr>
          <w:b/>
        </w:rPr>
        <w:t>10</w:t>
      </w:r>
      <w:r w:rsidR="00D8288B">
        <w:rPr>
          <w:b/>
        </w:rPr>
        <w:t>) V</w:t>
      </w:r>
      <w:r w:rsidR="00E366A3" w:rsidRPr="005432A6">
        <w:rPr>
          <w:b/>
        </w:rPr>
        <w:t>ERIFICATION- DECISION</w:t>
      </w:r>
      <w:r w:rsidR="005D4312">
        <w:rPr>
          <w:b/>
        </w:rPr>
        <w:t xml:space="preserve"> d’ADMISSION</w:t>
      </w:r>
    </w:p>
    <w:p w14:paraId="24B5C8A1" w14:textId="405DA851" w:rsidR="00E366A3" w:rsidRDefault="00500CB3" w:rsidP="00E366A3">
      <w:pPr>
        <w:jc w:val="both"/>
      </w:pPr>
      <w:r>
        <w:t>Conformément aux articles</w:t>
      </w:r>
      <w:r w:rsidR="00B32A26">
        <w:t xml:space="preserve"> </w:t>
      </w:r>
      <w:r w:rsidR="00BE06C3">
        <w:t>27</w:t>
      </w:r>
      <w:r>
        <w:t xml:space="preserve"> à </w:t>
      </w:r>
      <w:r w:rsidR="00B32A26">
        <w:t>30</w:t>
      </w:r>
      <w:r w:rsidR="00E366A3" w:rsidRPr="005432A6">
        <w:t xml:space="preserve"> du CCAG/FCS, </w:t>
      </w:r>
      <w:r w:rsidR="00CB1132">
        <w:t>le déroulement des opérations de vérifications,</w:t>
      </w:r>
      <w:r w:rsidR="00E366A3" w:rsidRPr="005432A6">
        <w:t xml:space="preserve"> ainsi que les décisions</w:t>
      </w:r>
      <w:r w:rsidR="00CB1132">
        <w:t xml:space="preserve"> après vérification et les décisions</w:t>
      </w:r>
      <w:r w:rsidR="00E366A3" w:rsidRPr="005432A6">
        <w:t xml:space="preserve"> d’admission d’ajournement, de réfaction ou de rejet sont effectuées par </w:t>
      </w:r>
      <w:r>
        <w:t>l’acheteur</w:t>
      </w:r>
      <w:r w:rsidR="00C24331">
        <w:t>.</w:t>
      </w:r>
    </w:p>
    <w:p w14:paraId="6CDE8015" w14:textId="77777777" w:rsidR="00C24331" w:rsidRPr="005432A6" w:rsidRDefault="00C24331" w:rsidP="00E366A3">
      <w:pPr>
        <w:jc w:val="both"/>
      </w:pPr>
    </w:p>
    <w:p w14:paraId="2EE49D4A" w14:textId="77777777" w:rsidR="00C938B2" w:rsidRDefault="00C24331" w:rsidP="00E366A3">
      <w:pPr>
        <w:jc w:val="both"/>
      </w:pPr>
      <w:r>
        <w:t>Le déroulement des opérations de vérifications se déroule :</w:t>
      </w:r>
    </w:p>
    <w:p w14:paraId="1372FCDF" w14:textId="77777777" w:rsidR="00C24331" w:rsidRDefault="00C24331" w:rsidP="00E366A3">
      <w:pPr>
        <w:jc w:val="both"/>
      </w:pPr>
    </w:p>
    <w:p w14:paraId="3D5BBA73" w14:textId="6ECCEB58" w:rsidR="00E366A3" w:rsidRPr="002A4F2D" w:rsidRDefault="00E366A3" w:rsidP="00E366A3">
      <w:pPr>
        <w:jc w:val="both"/>
      </w:pPr>
      <w:r>
        <w:t>Conformément à</w:t>
      </w:r>
      <w:r w:rsidR="00DE247D">
        <w:t xml:space="preserve"> l’article </w:t>
      </w:r>
      <w:r w:rsidR="00BE06C3">
        <w:t xml:space="preserve">28.2 </w:t>
      </w:r>
      <w:r w:rsidRPr="005432A6">
        <w:t xml:space="preserve">du CCAG/FCS, </w:t>
      </w:r>
      <w:r w:rsidR="00500CB3">
        <w:t>l’acheteur</w:t>
      </w:r>
      <w:r w:rsidRPr="005432A6">
        <w:t xml:space="preserve"> dispose</w:t>
      </w:r>
      <w:r w:rsidR="00500CB3">
        <w:t>, en dehors des opérations de vérifications qualitatives et quantitatives simples,</w:t>
      </w:r>
      <w:r w:rsidRPr="005432A6">
        <w:t xml:space="preserve"> </w:t>
      </w:r>
      <w:r w:rsidRPr="00F7019C">
        <w:rPr>
          <w:b/>
        </w:rPr>
        <w:t>d’un délai de 15 jours</w:t>
      </w:r>
      <w:r w:rsidRPr="00E366A3">
        <w:t xml:space="preserve"> pour</w:t>
      </w:r>
      <w:r w:rsidRPr="005432A6">
        <w:t xml:space="preserve"> effectuer les opérations de </w:t>
      </w:r>
      <w:r w:rsidRPr="002A4F2D">
        <w:t>vérification des prestations, à compter de la mise en service par le titulaire.</w:t>
      </w:r>
    </w:p>
    <w:p w14:paraId="79F21BC8" w14:textId="77777777" w:rsidR="00E366A3" w:rsidRPr="002A4F2D" w:rsidRDefault="00500CB3" w:rsidP="00E366A3">
      <w:pPr>
        <w:keepNext/>
        <w:spacing w:before="240" w:after="60" w:line="276" w:lineRule="auto"/>
        <w:outlineLvl w:val="1"/>
        <w:rPr>
          <w:b/>
          <w:bCs/>
          <w:iCs/>
          <w:color w:val="000000"/>
          <w:u w:val="single"/>
        </w:rPr>
      </w:pPr>
      <w:bookmarkStart w:id="6" w:name="_Toc506912755"/>
      <w:bookmarkStart w:id="7" w:name="_Toc9581384"/>
      <w:bookmarkStart w:id="8" w:name="_Toc15631401"/>
      <w:r w:rsidRPr="002A4F2D">
        <w:rPr>
          <w:b/>
          <w:bCs/>
          <w:iCs/>
          <w:color w:val="000000"/>
          <w:u w:val="single"/>
        </w:rPr>
        <w:t>10</w:t>
      </w:r>
      <w:r w:rsidR="00E366A3" w:rsidRPr="002A4F2D">
        <w:rPr>
          <w:b/>
          <w:bCs/>
          <w:iCs/>
          <w:color w:val="000000"/>
          <w:u w:val="single"/>
        </w:rPr>
        <w:t>.1 Décision</w:t>
      </w:r>
      <w:bookmarkEnd w:id="6"/>
      <w:bookmarkEnd w:id="7"/>
      <w:bookmarkEnd w:id="8"/>
      <w:r w:rsidR="00E366A3" w:rsidRPr="002A4F2D">
        <w:rPr>
          <w:b/>
          <w:bCs/>
          <w:iCs/>
          <w:color w:val="000000"/>
          <w:u w:val="single"/>
        </w:rPr>
        <w:t xml:space="preserve"> </w:t>
      </w:r>
    </w:p>
    <w:p w14:paraId="5820CB87" w14:textId="77777777" w:rsidR="00E366A3" w:rsidRPr="002A4F2D" w:rsidRDefault="00E366A3" w:rsidP="00E366A3">
      <w:pPr>
        <w:widowControl w:val="0"/>
        <w:autoSpaceDE w:val="0"/>
        <w:autoSpaceDN w:val="0"/>
        <w:adjustRightInd w:val="0"/>
        <w:jc w:val="both"/>
      </w:pPr>
      <w:r w:rsidRPr="002A4F2D">
        <w:t xml:space="preserve">Au terme de la phase </w:t>
      </w:r>
      <w:r w:rsidR="00786561" w:rsidRPr="002A4F2D">
        <w:t xml:space="preserve">des opérations de vérification </w:t>
      </w:r>
      <w:r w:rsidRPr="002A4F2D">
        <w:t xml:space="preserve">par </w:t>
      </w:r>
      <w:r w:rsidR="00DE247D" w:rsidRPr="002A4F2D">
        <w:t>l’acheteur</w:t>
      </w:r>
      <w:r w:rsidRPr="002A4F2D">
        <w:t>, ce dernier notifie au titulaire par tous les moyens écrits sa décision</w:t>
      </w:r>
      <w:r w:rsidRPr="002A4F2D">
        <w:rPr>
          <w:color w:val="000000"/>
        </w:rPr>
        <w:t xml:space="preserve"> </w:t>
      </w:r>
      <w:r w:rsidR="00DE247D" w:rsidRPr="002A4F2D">
        <w:rPr>
          <w:color w:val="000000"/>
        </w:rPr>
        <w:t xml:space="preserve">au titulaire, dans les conditions fixées à l’article 29 </w:t>
      </w:r>
      <w:r w:rsidR="00786561" w:rsidRPr="002A4F2D">
        <w:rPr>
          <w:color w:val="000000"/>
        </w:rPr>
        <w:t xml:space="preserve">et 30 </w:t>
      </w:r>
      <w:r w:rsidR="00DE247D" w:rsidRPr="002A4F2D">
        <w:rPr>
          <w:color w:val="000000"/>
        </w:rPr>
        <w:t>du CCAG/FCS.</w:t>
      </w:r>
    </w:p>
    <w:p w14:paraId="7D2CEE41" w14:textId="77777777" w:rsidR="00E366A3" w:rsidRPr="002A4F2D" w:rsidRDefault="00E366A3" w:rsidP="00E366A3">
      <w:pPr>
        <w:widowControl w:val="0"/>
        <w:autoSpaceDE w:val="0"/>
        <w:autoSpaceDN w:val="0"/>
        <w:adjustRightInd w:val="0"/>
        <w:jc w:val="both"/>
        <w:rPr>
          <w:color w:val="000000"/>
        </w:rPr>
      </w:pPr>
    </w:p>
    <w:p w14:paraId="3FBD2940" w14:textId="77777777" w:rsidR="00E366A3" w:rsidRPr="002A4F2D" w:rsidRDefault="00E366A3" w:rsidP="00E366A3">
      <w:pPr>
        <w:widowControl w:val="0"/>
        <w:autoSpaceDE w:val="0"/>
        <w:autoSpaceDN w:val="0"/>
        <w:adjustRightInd w:val="0"/>
        <w:jc w:val="both"/>
        <w:rPr>
          <w:color w:val="000000"/>
        </w:rPr>
      </w:pPr>
      <w:r w:rsidRPr="002A4F2D">
        <w:rPr>
          <w:color w:val="000000"/>
        </w:rPr>
        <w:t xml:space="preserve">Si le CNRS ne notifie pas sa décision dans les délais de vérification prévus </w:t>
      </w:r>
      <w:r w:rsidR="00786561" w:rsidRPr="002A4F2D">
        <w:rPr>
          <w:color w:val="000000"/>
        </w:rPr>
        <w:t>aux articles</w:t>
      </w:r>
      <w:r w:rsidRPr="002A4F2D">
        <w:rPr>
          <w:color w:val="000000"/>
        </w:rPr>
        <w:t xml:space="preserve"> ci-dessus, les fournitures sont réputées reçues et conformes aux exigences </w:t>
      </w:r>
      <w:r w:rsidR="00404477">
        <w:rPr>
          <w:color w:val="000000"/>
        </w:rPr>
        <w:t>de l’accord cadre</w:t>
      </w:r>
      <w:r w:rsidRPr="002A4F2D">
        <w:rPr>
          <w:color w:val="000000"/>
        </w:rPr>
        <w:t xml:space="preserve">, sans qu’aucune formalité particulière ne soit nécessaire. </w:t>
      </w:r>
    </w:p>
    <w:p w14:paraId="56E45CFB" w14:textId="77777777" w:rsidR="00E366A3" w:rsidRPr="002A4F2D" w:rsidRDefault="00E366A3" w:rsidP="00E366A3">
      <w:pPr>
        <w:widowControl w:val="0"/>
        <w:autoSpaceDE w:val="0"/>
        <w:autoSpaceDN w:val="0"/>
        <w:adjustRightInd w:val="0"/>
        <w:jc w:val="both"/>
        <w:rPr>
          <w:color w:val="000000"/>
        </w:rPr>
      </w:pPr>
    </w:p>
    <w:p w14:paraId="11CFF622" w14:textId="77777777" w:rsidR="00E366A3" w:rsidRPr="002A4F2D" w:rsidRDefault="00E366A3" w:rsidP="00E366A3">
      <w:pPr>
        <w:jc w:val="both"/>
      </w:pPr>
      <w:r w:rsidRPr="002A4F2D">
        <w:rPr>
          <w:u w:val="single"/>
        </w:rPr>
        <w:t>Le transfert de propriété</w:t>
      </w:r>
      <w:r w:rsidRPr="002A4F2D">
        <w:t xml:space="preserve"> intervient après l’admission </w:t>
      </w:r>
      <w:r w:rsidR="001A1FE5" w:rsidRPr="002A4F2D">
        <w:t xml:space="preserve">définitive </w:t>
      </w:r>
      <w:r w:rsidRPr="002A4F2D">
        <w:t>de l’ensemble des prestations livrées, installées et mis en service et le complet règlement de celles-ci.</w:t>
      </w:r>
    </w:p>
    <w:p w14:paraId="72222DDF" w14:textId="660B9134" w:rsidR="006B4F46" w:rsidRDefault="006B4F46" w:rsidP="00E366A3">
      <w:pPr>
        <w:jc w:val="both"/>
      </w:pPr>
    </w:p>
    <w:p w14:paraId="64CE546D" w14:textId="7C29F12E" w:rsidR="00D8541B" w:rsidRPr="00D8541B" w:rsidRDefault="00D8541B" w:rsidP="00E366A3">
      <w:pPr>
        <w:jc w:val="both"/>
        <w:rPr>
          <w:b/>
        </w:rPr>
      </w:pPr>
      <w:r>
        <w:rPr>
          <w:b/>
        </w:rPr>
        <w:t xml:space="preserve">11) </w:t>
      </w:r>
      <w:r w:rsidRPr="00D8541B">
        <w:rPr>
          <w:b/>
        </w:rPr>
        <w:t>CLAUSES PARTICULIERES D’EXECUTION DE L’ACCORD CADRE</w:t>
      </w:r>
    </w:p>
    <w:p w14:paraId="60E5E82D" w14:textId="27F86B59" w:rsidR="00D8541B" w:rsidRPr="00D8541B" w:rsidRDefault="00D8541B" w:rsidP="00D8541B">
      <w:pPr>
        <w:pStyle w:val="Titre2"/>
        <w:rPr>
          <w:rFonts w:ascii="Times New Roman" w:hAnsi="Times New Roman"/>
          <w:bCs/>
          <w:iCs/>
          <w:sz w:val="20"/>
          <w:u w:val="single"/>
        </w:rPr>
      </w:pPr>
      <w:bookmarkStart w:id="9" w:name="_Toc170110769"/>
      <w:bookmarkStart w:id="10" w:name="_Toc78880609"/>
      <w:r w:rsidRPr="00D8541B">
        <w:rPr>
          <w:rFonts w:ascii="Times New Roman" w:hAnsi="Times New Roman"/>
          <w:bCs/>
          <w:i w:val="0"/>
          <w:iCs/>
          <w:color w:val="000000"/>
          <w:sz w:val="20"/>
          <w:u w:val="single"/>
        </w:rPr>
        <w:t>1</w:t>
      </w:r>
      <w:r>
        <w:rPr>
          <w:rFonts w:ascii="Times New Roman" w:hAnsi="Times New Roman"/>
          <w:bCs/>
          <w:i w:val="0"/>
          <w:iCs/>
          <w:color w:val="000000"/>
          <w:sz w:val="20"/>
          <w:u w:val="single"/>
        </w:rPr>
        <w:t>1</w:t>
      </w:r>
      <w:r w:rsidRPr="00D8541B">
        <w:rPr>
          <w:rFonts w:ascii="Times New Roman" w:hAnsi="Times New Roman"/>
          <w:bCs/>
          <w:i w:val="0"/>
          <w:iCs/>
          <w:color w:val="000000"/>
          <w:sz w:val="20"/>
          <w:u w:val="single"/>
        </w:rPr>
        <w:t>.1 Clause particulière pour les sites sont classés en Zone à Régime Restrictif (ZRR</w:t>
      </w:r>
      <w:r w:rsidRPr="00D8541B">
        <w:rPr>
          <w:rFonts w:ascii="Times New Roman" w:hAnsi="Times New Roman"/>
          <w:bCs/>
          <w:iCs/>
          <w:sz w:val="20"/>
          <w:u w:val="single"/>
        </w:rPr>
        <w:t>)</w:t>
      </w:r>
      <w:bookmarkEnd w:id="9"/>
      <w:r w:rsidRPr="00D8541B">
        <w:rPr>
          <w:rFonts w:ascii="Times New Roman" w:hAnsi="Times New Roman"/>
          <w:bCs/>
          <w:iCs/>
          <w:sz w:val="20"/>
          <w:u w:val="single"/>
        </w:rPr>
        <w:t xml:space="preserve"> </w:t>
      </w:r>
    </w:p>
    <w:bookmarkEnd w:id="10"/>
    <w:p w14:paraId="6F08F52A" w14:textId="77777777" w:rsidR="00D8541B" w:rsidRPr="00D8541B" w:rsidRDefault="00D8541B" w:rsidP="00D8541B">
      <w:pPr>
        <w:jc w:val="both"/>
      </w:pPr>
      <w:r w:rsidRPr="00D8541B">
        <w:t>Certaines zones des unités sont des ZRR (zone à régime restrictif) et leur accès pour les visiteurs est réglementé avec des conditions particulières pour accéder au site. Le titulaire doit prendre toutes les dispositions nécessaires pour respecter ces conditions.</w:t>
      </w:r>
    </w:p>
    <w:p w14:paraId="45B23EE6" w14:textId="77777777" w:rsidR="00D8541B" w:rsidRPr="00D8541B" w:rsidRDefault="00D8541B" w:rsidP="00D8541B">
      <w:pPr>
        <w:ind w:left="426"/>
        <w:jc w:val="both"/>
      </w:pPr>
      <w:r w:rsidRPr="00D8541B">
        <w:t xml:space="preserve"> </w:t>
      </w:r>
    </w:p>
    <w:p w14:paraId="6223D418" w14:textId="77777777" w:rsidR="00D8541B" w:rsidRPr="00D8541B" w:rsidRDefault="00D8541B" w:rsidP="00D8541B">
      <w:pPr>
        <w:jc w:val="both"/>
      </w:pPr>
      <w:r w:rsidRPr="00D8541B">
        <w:t xml:space="preserve">Seul, le personnel intervenant dans les zones ZRR des unités doit être préalablement autorisé à accéder aux zones protégées. </w:t>
      </w:r>
      <w:r w:rsidRPr="00D8541B">
        <w:lastRenderedPageBreak/>
        <w:t>L’instruction d’un dossier de demande d’autorisation, pour les cas les plus complexes, est estimée à 10 semaines.</w:t>
      </w:r>
    </w:p>
    <w:p w14:paraId="133F08FD" w14:textId="71A5A07A" w:rsidR="00D8541B" w:rsidRPr="00D8541B" w:rsidRDefault="00D8541B" w:rsidP="00D8541B">
      <w:pPr>
        <w:pStyle w:val="Titre2"/>
        <w:rPr>
          <w:rFonts w:ascii="Times New Roman" w:hAnsi="Times New Roman"/>
          <w:bCs/>
          <w:i w:val="0"/>
          <w:iCs/>
          <w:color w:val="000000"/>
          <w:sz w:val="20"/>
          <w:u w:val="single"/>
        </w:rPr>
      </w:pPr>
      <w:bookmarkStart w:id="11" w:name="_Toc78880610"/>
      <w:bookmarkStart w:id="12" w:name="_Toc170110770"/>
      <w:r w:rsidRPr="00D8541B">
        <w:rPr>
          <w:rFonts w:ascii="Times New Roman" w:hAnsi="Times New Roman"/>
          <w:bCs/>
          <w:i w:val="0"/>
          <w:iCs/>
          <w:color w:val="000000"/>
          <w:sz w:val="20"/>
          <w:u w:val="single"/>
        </w:rPr>
        <w:t>11.2 Mesures de sécurité</w:t>
      </w:r>
      <w:bookmarkEnd w:id="11"/>
      <w:bookmarkEnd w:id="12"/>
    </w:p>
    <w:p w14:paraId="74488FA6" w14:textId="77777777" w:rsidR="00D8541B" w:rsidRPr="00D8541B" w:rsidRDefault="00D8541B" w:rsidP="00D8541B">
      <w:pPr>
        <w:jc w:val="both"/>
      </w:pPr>
      <w:r w:rsidRPr="00D8541B">
        <w:t>En complément de l’article 5 du CCAG/FCS, il est précisé que lorsque les prestations sont à exécuter dans un lieu où des mesures de sécurité s’appliquent, ou sur des données considérées comme sensibles au titre des différents documents constitutifs de l’accord cadre, le Titulaire est tenu de se conformer aux dispositions édictées.</w:t>
      </w:r>
    </w:p>
    <w:p w14:paraId="1EBBC6EC" w14:textId="77777777" w:rsidR="00D8541B" w:rsidRPr="00D8541B" w:rsidRDefault="00D8541B" w:rsidP="00D8541B">
      <w:pPr>
        <w:ind w:left="426"/>
        <w:jc w:val="both"/>
      </w:pPr>
    </w:p>
    <w:p w14:paraId="24CB09B4" w14:textId="77777777" w:rsidR="00D8541B" w:rsidRPr="00D8541B" w:rsidRDefault="00D8541B" w:rsidP="00D8541B">
      <w:pPr>
        <w:jc w:val="both"/>
      </w:pPr>
      <w:r w:rsidRPr="00D8541B">
        <w:t>La réglementation sur la protection du potentiel scientifique et technique introduite par les dispositions du code pénal citées à l’article 5 du CCAG/FCS et du décret du 2 novembre 2011 prévoit des dispositions de contrôle de l'accès à des Zones à Régime Restrictif. À ce titre le Titulaire peut être soumis aux procédures correspondantes d'autorisation préalables d'accès lorsque les prestations sont susceptibles de concerner les informations relevant de telles zones.</w:t>
      </w:r>
    </w:p>
    <w:p w14:paraId="1C3FFA30" w14:textId="77777777" w:rsidR="00D8541B" w:rsidRPr="00E27622" w:rsidRDefault="00D8541B" w:rsidP="00D8541B">
      <w:pPr>
        <w:ind w:left="426"/>
        <w:jc w:val="both"/>
        <w:rPr>
          <w:rFonts w:ascii="Arial Narrow" w:hAnsi="Arial Narrow"/>
        </w:rPr>
      </w:pPr>
    </w:p>
    <w:p w14:paraId="5D6DB4F7" w14:textId="7F722F26" w:rsidR="00D8541B" w:rsidRPr="00D8541B" w:rsidRDefault="00D8541B" w:rsidP="00D8541B">
      <w:pPr>
        <w:pStyle w:val="Titre2"/>
        <w:rPr>
          <w:rFonts w:ascii="Times New Roman" w:hAnsi="Times New Roman"/>
          <w:bCs/>
          <w:i w:val="0"/>
          <w:iCs/>
          <w:color w:val="000000"/>
          <w:sz w:val="20"/>
          <w:u w:val="single"/>
        </w:rPr>
      </w:pPr>
      <w:bookmarkStart w:id="13" w:name="_Toc78880611"/>
      <w:bookmarkStart w:id="14" w:name="_Toc170110771"/>
      <w:r w:rsidRPr="00D8541B">
        <w:rPr>
          <w:rFonts w:ascii="Times New Roman" w:hAnsi="Times New Roman"/>
          <w:bCs/>
          <w:i w:val="0"/>
          <w:iCs/>
          <w:color w:val="000000"/>
          <w:sz w:val="20"/>
          <w:u w:val="single"/>
        </w:rPr>
        <w:t>11.3 Certification et sécurité des personnels</w:t>
      </w:r>
      <w:bookmarkEnd w:id="13"/>
      <w:bookmarkEnd w:id="14"/>
    </w:p>
    <w:p w14:paraId="54C4440B" w14:textId="77777777" w:rsidR="00D8541B" w:rsidRPr="00424279" w:rsidRDefault="00D8541B" w:rsidP="00D8541B">
      <w:pPr>
        <w:jc w:val="both"/>
      </w:pPr>
      <w:r w:rsidRPr="00424279">
        <w:t>Si la protection des intérêts essentiels de l’acheteur l'exige, l’acheteur peut soumettre l'accès à certaines informations, données ou à certains composants sensibles des systèmes et applications de l’acheteur à l'agrément préalable des personnels du Titulaire et des sous-traitants éventuels y ayant accès, par le Fonctionnaire de Sécurité et de Défense (FSD) du CNRS.</w:t>
      </w:r>
    </w:p>
    <w:p w14:paraId="08732B72" w14:textId="77777777" w:rsidR="00D8541B" w:rsidRPr="00424279" w:rsidRDefault="00D8541B" w:rsidP="00D8541B">
      <w:pPr>
        <w:jc w:val="both"/>
      </w:pPr>
    </w:p>
    <w:p w14:paraId="455678E6" w14:textId="77777777" w:rsidR="00D8541B" w:rsidRPr="00424279" w:rsidRDefault="00D8541B" w:rsidP="00D8541B">
      <w:pPr>
        <w:jc w:val="both"/>
      </w:pPr>
      <w:r w:rsidRPr="00424279">
        <w:t>Afin de permettre au CNRS d'effectuer les vérifications nécessaires, le Titulaire s'engage à fournir les informations suivantes concernant les personnes dont il sollicite l'agrément :</w:t>
      </w:r>
    </w:p>
    <w:p w14:paraId="50EB5812" w14:textId="77777777" w:rsidR="00D8541B" w:rsidRPr="00424279" w:rsidRDefault="00D8541B" w:rsidP="00D8541B">
      <w:pPr>
        <w:numPr>
          <w:ilvl w:val="0"/>
          <w:numId w:val="11"/>
        </w:numPr>
        <w:jc w:val="both"/>
      </w:pPr>
      <w:r w:rsidRPr="00424279">
        <w:t>Le patronyme et les prénoms de son agent ;</w:t>
      </w:r>
    </w:p>
    <w:p w14:paraId="6F9E8114" w14:textId="77777777" w:rsidR="00D8541B" w:rsidRPr="00424279" w:rsidRDefault="00D8541B" w:rsidP="00D8541B">
      <w:pPr>
        <w:numPr>
          <w:ilvl w:val="0"/>
          <w:numId w:val="11"/>
        </w:numPr>
        <w:jc w:val="both"/>
      </w:pPr>
      <w:r w:rsidRPr="00424279">
        <w:t>Une photocopie lisible et recto-verso d’un titre d'identité dont la nature varie selon la situation individuelle de l'agent visé :</w:t>
      </w:r>
    </w:p>
    <w:p w14:paraId="2ECAD49A" w14:textId="77777777" w:rsidR="00D8541B" w:rsidRPr="00424279" w:rsidRDefault="00D8541B" w:rsidP="00D8541B">
      <w:pPr>
        <w:numPr>
          <w:ilvl w:val="0"/>
          <w:numId w:val="11"/>
        </w:numPr>
        <w:jc w:val="both"/>
      </w:pPr>
      <w:r w:rsidRPr="00424279">
        <w:t>Carte nationale d’identité (CNI) ou passeport en cours de validité pour les ressortissants français et communautaires ;</w:t>
      </w:r>
    </w:p>
    <w:p w14:paraId="364AE6FF" w14:textId="77777777" w:rsidR="00D8541B" w:rsidRPr="00424279" w:rsidRDefault="00D8541B" w:rsidP="00D8541B">
      <w:pPr>
        <w:numPr>
          <w:ilvl w:val="0"/>
          <w:numId w:val="11"/>
        </w:numPr>
        <w:jc w:val="both"/>
      </w:pPr>
      <w:r w:rsidRPr="00424279">
        <w:t>Titre de séjour en cours de validité avec une autorisation de travail valable ou carte de résident pour les étrangers extracommunautaires ;</w:t>
      </w:r>
    </w:p>
    <w:p w14:paraId="728C9050" w14:textId="77777777" w:rsidR="00D8541B" w:rsidRDefault="00D8541B" w:rsidP="00D8541B">
      <w:pPr>
        <w:ind w:left="426"/>
        <w:jc w:val="both"/>
        <w:rPr>
          <w:rFonts w:ascii="Arial Narrow" w:hAnsi="Arial Narrow"/>
        </w:rPr>
      </w:pPr>
      <w:r w:rsidRPr="00424279">
        <w:t>•</w:t>
      </w:r>
      <w:r w:rsidRPr="00424279">
        <w:tab/>
        <w:t>Adresse actuelle de l'agent si celle-ci diffère de celle portée sur le titre d'identité fourni</w:t>
      </w:r>
      <w:r w:rsidRPr="00E27622">
        <w:rPr>
          <w:rFonts w:ascii="Arial Narrow" w:hAnsi="Arial Narrow"/>
        </w:rPr>
        <w:t>.</w:t>
      </w:r>
    </w:p>
    <w:p w14:paraId="15893870" w14:textId="77777777" w:rsidR="00D8541B" w:rsidRDefault="00D8541B" w:rsidP="00D8541B">
      <w:pPr>
        <w:ind w:left="426"/>
        <w:jc w:val="both"/>
        <w:rPr>
          <w:rFonts w:ascii="Arial Narrow" w:hAnsi="Arial Narrow"/>
        </w:rPr>
      </w:pPr>
    </w:p>
    <w:p w14:paraId="4C46DF67" w14:textId="77777777" w:rsidR="00D8541B" w:rsidRPr="00424279" w:rsidRDefault="00D8541B" w:rsidP="00D8541B">
      <w:pPr>
        <w:jc w:val="both"/>
      </w:pPr>
      <w:r w:rsidRPr="00424279">
        <w:t>Par ailleurs, le CNRS se réserve le droit de solliciter toute autre information qu'il juge nécessaire à l'évaluation du risque en considération du niveau de sensibilité des données concernées, en rapport direct avec la prestation ou l'intervention demandée au titre de l'exécution des prestations objet de l’accord cadre.</w:t>
      </w:r>
    </w:p>
    <w:p w14:paraId="55F54D88" w14:textId="77777777" w:rsidR="00D8541B" w:rsidRPr="00424279" w:rsidRDefault="00D8541B" w:rsidP="00D8541B">
      <w:pPr>
        <w:jc w:val="both"/>
      </w:pPr>
    </w:p>
    <w:p w14:paraId="3EAC2F73" w14:textId="77777777" w:rsidR="00D8541B" w:rsidRPr="00424279" w:rsidRDefault="00D8541B" w:rsidP="00D8541B">
      <w:pPr>
        <w:jc w:val="both"/>
      </w:pPr>
      <w:r w:rsidRPr="00424279">
        <w:t>Les informations demandées ne sont pas utilisées à d'autres fins que celles décrites dans le présent paragraphe, et ne sont pas conservées par le CNRS une fois connue la décision prise par le FSD pour le CNRS, d'agréer ou non la personne physique intervenant pour réaliser la prestation.</w:t>
      </w:r>
    </w:p>
    <w:p w14:paraId="6EA52ED5" w14:textId="77777777" w:rsidR="00D8541B" w:rsidRPr="00424279" w:rsidRDefault="00D8541B" w:rsidP="00D8541B">
      <w:pPr>
        <w:jc w:val="both"/>
      </w:pPr>
    </w:p>
    <w:p w14:paraId="52029C56" w14:textId="77777777" w:rsidR="00D8541B" w:rsidRPr="00424279" w:rsidRDefault="00D8541B" w:rsidP="00D8541B">
      <w:pPr>
        <w:jc w:val="both"/>
      </w:pPr>
      <w:r w:rsidRPr="00424279">
        <w:t>A l’issue de la procédure interne d’agrément, le CNRS peut refuser au demandeur, sans indiquer le motif, l’accès aux bâtiments concernés par l’objet du présent accord cadre. Seule la décision d'agrément ou de refus d'agrément prise sur la base des renseignements fournis est conservée par le CNRS.</w:t>
      </w:r>
    </w:p>
    <w:p w14:paraId="49346BEE" w14:textId="77777777" w:rsidR="00D8541B" w:rsidRPr="00424279" w:rsidRDefault="00D8541B" w:rsidP="00D8541B">
      <w:pPr>
        <w:jc w:val="both"/>
      </w:pPr>
    </w:p>
    <w:p w14:paraId="7B1D5762" w14:textId="77777777" w:rsidR="00D8541B" w:rsidRPr="00424279" w:rsidRDefault="00D8541B" w:rsidP="00D8541B">
      <w:pPr>
        <w:jc w:val="both"/>
      </w:pPr>
      <w:r w:rsidRPr="00424279">
        <w:t xml:space="preserve">Le refus d’agrément notifié par le CNRS vaut interdiction pour le demandeur d’accéder aux bâtiments concernés par l’objet du </w:t>
      </w:r>
      <w:r w:rsidRPr="00424279">
        <w:t>présent accord cadre. Le CNRS peut retirer son agrément à tout moment sans avoir à énoncer ses motifs, le titulaire doit alors proposer immédiatement un remplaçant de niveau équivalent qui fera l’objet de la procédure d’agrément décrite ci-dessous.</w:t>
      </w:r>
    </w:p>
    <w:p w14:paraId="2FAE4735" w14:textId="77777777" w:rsidR="00D8541B" w:rsidRPr="00424279" w:rsidRDefault="00D8541B" w:rsidP="00D8541B">
      <w:pPr>
        <w:jc w:val="both"/>
      </w:pPr>
    </w:p>
    <w:p w14:paraId="4BEE98CA" w14:textId="77777777" w:rsidR="00D8541B" w:rsidRPr="00424279" w:rsidRDefault="00D8541B" w:rsidP="00D8541B">
      <w:pPr>
        <w:jc w:val="both"/>
      </w:pPr>
      <w:r w:rsidRPr="00424279">
        <w:t>Le maintien dans les équipes du Titulaire d’un personnel dont l’agrément a été refusé selon la procédure décrite ci- dessus expose le Titulaire et la personne physique concernée à des poursuites pénales.</w:t>
      </w:r>
    </w:p>
    <w:p w14:paraId="1B6863BD" w14:textId="77777777" w:rsidR="00D8541B" w:rsidRPr="00424279" w:rsidRDefault="00D8541B" w:rsidP="00D8541B">
      <w:pPr>
        <w:jc w:val="both"/>
      </w:pPr>
    </w:p>
    <w:p w14:paraId="0EC701C9" w14:textId="77777777" w:rsidR="00D8541B" w:rsidRPr="00424279" w:rsidRDefault="00D8541B" w:rsidP="00D8541B">
      <w:pPr>
        <w:jc w:val="both"/>
      </w:pPr>
      <w:r w:rsidRPr="00424279">
        <w:t>Le Titulaire ne peut prétendre, de ce chef, ni à prolongation du délai d’exécution, ni à indemnité, ni à supplément de prix.</w:t>
      </w:r>
    </w:p>
    <w:p w14:paraId="039C315F" w14:textId="77777777" w:rsidR="00D8541B" w:rsidRPr="00E27622" w:rsidRDefault="00D8541B" w:rsidP="00D8541B">
      <w:pPr>
        <w:ind w:left="426"/>
        <w:jc w:val="both"/>
        <w:rPr>
          <w:rFonts w:ascii="Arial Narrow" w:hAnsi="Arial Narrow"/>
        </w:rPr>
      </w:pPr>
    </w:p>
    <w:p w14:paraId="1A1EC994" w14:textId="5E0832B7" w:rsidR="00D8541B" w:rsidRPr="00D8541B" w:rsidRDefault="00D8541B" w:rsidP="00D8541B">
      <w:pPr>
        <w:pStyle w:val="Titre2"/>
        <w:rPr>
          <w:rFonts w:ascii="Times New Roman" w:hAnsi="Times New Roman"/>
          <w:bCs/>
          <w:i w:val="0"/>
          <w:iCs/>
          <w:color w:val="000000"/>
          <w:sz w:val="20"/>
          <w:u w:val="single"/>
        </w:rPr>
      </w:pPr>
      <w:bookmarkStart w:id="15" w:name="_Toc78880612"/>
      <w:bookmarkStart w:id="16" w:name="_Toc170110772"/>
      <w:r w:rsidRPr="00D8541B">
        <w:rPr>
          <w:rFonts w:ascii="Times New Roman" w:hAnsi="Times New Roman"/>
          <w:bCs/>
          <w:i w:val="0"/>
          <w:iCs/>
          <w:color w:val="000000"/>
          <w:sz w:val="20"/>
          <w:u w:val="single"/>
        </w:rPr>
        <w:t>11.4 Mesures de portée générale</w:t>
      </w:r>
      <w:bookmarkEnd w:id="15"/>
      <w:bookmarkEnd w:id="16"/>
    </w:p>
    <w:p w14:paraId="2A27F1DB" w14:textId="77777777" w:rsidR="00D8541B" w:rsidRPr="00424279" w:rsidRDefault="00D8541B" w:rsidP="00D8541B">
      <w:pPr>
        <w:jc w:val="both"/>
      </w:pPr>
      <w:r w:rsidRPr="00424279">
        <w:t>Le Titulaire avise ses sous-traitants de ce que les obligations énoncées au présent article leur sont applicables et reste responsable du respect de celles-ci envers le CNRS.</w:t>
      </w:r>
    </w:p>
    <w:p w14:paraId="59763626" w14:textId="77777777" w:rsidR="00D8541B" w:rsidRDefault="00D8541B" w:rsidP="00D8541B">
      <w:pPr>
        <w:jc w:val="both"/>
        <w:rPr>
          <w:rFonts w:ascii="Arial Narrow" w:hAnsi="Arial Narrow"/>
        </w:rPr>
      </w:pPr>
    </w:p>
    <w:p w14:paraId="2708369C" w14:textId="77777777" w:rsidR="00D8541B" w:rsidRPr="00424279" w:rsidRDefault="00D8541B" w:rsidP="00D8541B">
      <w:pPr>
        <w:jc w:val="both"/>
      </w:pPr>
      <w:r w:rsidRPr="00424279">
        <w:t>A cette fin, le Titulaire doit préalablement informer le CNRS par écrit des raisons du recours envisagé à un sous- traitant. Le CNRS se réserve le droit de refuser le sous-traitant sans avoir à se justifier d'une quelconque manière ou de l'autoriser, le cas échéant sous réserve que le sous-traitant s'engage à respecter des clauses de sécurité supplémentaires à celles imposées au Titulaire.</w:t>
      </w:r>
    </w:p>
    <w:p w14:paraId="0123BA3E" w14:textId="77777777" w:rsidR="00D8541B" w:rsidRDefault="00D8541B" w:rsidP="00D8541B">
      <w:pPr>
        <w:jc w:val="both"/>
        <w:rPr>
          <w:rFonts w:ascii="Arial Narrow" w:hAnsi="Arial Narrow"/>
        </w:rPr>
      </w:pPr>
    </w:p>
    <w:p w14:paraId="52AC9F82" w14:textId="77777777" w:rsidR="00D8541B" w:rsidRPr="00424279" w:rsidRDefault="00D8541B" w:rsidP="00D8541B">
      <w:pPr>
        <w:jc w:val="both"/>
      </w:pPr>
      <w:r w:rsidRPr="00424279">
        <w:t>En tout état de cause, le Titulaire s'engage à insérer dans les documents contractuels régissant ses rapports avec son sous-traitant, l'obligation pour celui-ci de respecter l'ensemble des règles de protection de la sécurité des données et systèmes d'information auxquelles le Titulaire est lui-même soumis aux termes de l’accord cadre.</w:t>
      </w:r>
    </w:p>
    <w:p w14:paraId="437026E7" w14:textId="77777777" w:rsidR="00D8541B" w:rsidRPr="00424279" w:rsidRDefault="00D8541B" w:rsidP="00D8541B">
      <w:pPr>
        <w:jc w:val="both"/>
      </w:pPr>
    </w:p>
    <w:p w14:paraId="409147B5" w14:textId="77777777" w:rsidR="00D8541B" w:rsidRPr="00424279" w:rsidRDefault="00D8541B" w:rsidP="00D8541B">
      <w:pPr>
        <w:jc w:val="both"/>
      </w:pPr>
      <w:r w:rsidRPr="00424279">
        <w:t>Toute sous-traitance non-autorisée préalablement par le CNRS autorise celui-ci à résilier sans indemnités l’accord cadre, aux frais et risques du Titulaire.</w:t>
      </w:r>
    </w:p>
    <w:p w14:paraId="2078B1CA" w14:textId="77777777" w:rsidR="00D8541B" w:rsidRPr="00424279" w:rsidRDefault="00D8541B" w:rsidP="00D8541B">
      <w:pPr>
        <w:jc w:val="both"/>
      </w:pPr>
    </w:p>
    <w:p w14:paraId="51494D5A" w14:textId="77777777" w:rsidR="00D8541B" w:rsidRPr="00424279" w:rsidRDefault="00D8541B" w:rsidP="00D8541B">
      <w:pPr>
        <w:jc w:val="both"/>
      </w:pPr>
      <w:r w:rsidRPr="00424279">
        <w:t>Les personnels du Titulaire participant aux prestations de l’accord cadre, ne devront en aucune façon accéder à des informations classifiées. Ils devront se conformer strictement aux règles de protection des informations sensibles qu’ils pourraient avoir à connaître au titre de l’exécution de l’accord cadre, ainsi qu’au règlement intérieur, aux règles de sécurité et de contrôle en vigueur dans l’établissement du contractant. Ces personnels ne doivent accéder qu’aux seuls locaux et installations concernés par l’accord cadre.</w:t>
      </w:r>
    </w:p>
    <w:p w14:paraId="04294DAA" w14:textId="77777777" w:rsidR="00D8541B" w:rsidRPr="00424279" w:rsidRDefault="00D8541B" w:rsidP="00D8541B">
      <w:pPr>
        <w:jc w:val="both"/>
      </w:pPr>
    </w:p>
    <w:p w14:paraId="3F952FAD" w14:textId="77777777" w:rsidR="00D8541B" w:rsidRPr="00424279" w:rsidRDefault="00D8541B" w:rsidP="00D8541B">
      <w:pPr>
        <w:jc w:val="both"/>
      </w:pPr>
      <w:r w:rsidRPr="00424279">
        <w:t>Le Titulaire s’engage à informer ces personnels de l’ensemble des obligations auxquelles ils sont soumis au titre de l’accord cadre. L’exécution de l’accord cadre peut conduire le Titulaire et certains de ses personnels à avoir connaissance d’informations sensibles qui, sans être couvertes par le secret de défense, ne doivent pas être rendues publiques.</w:t>
      </w:r>
    </w:p>
    <w:p w14:paraId="5952CD2C" w14:textId="77777777" w:rsidR="00D8541B" w:rsidRPr="00424279" w:rsidRDefault="00D8541B" w:rsidP="00D8541B">
      <w:pPr>
        <w:jc w:val="both"/>
      </w:pPr>
    </w:p>
    <w:p w14:paraId="5895FC35" w14:textId="77777777" w:rsidR="00D8541B" w:rsidRPr="00424279" w:rsidRDefault="00D8541B" w:rsidP="00D8541B">
      <w:pPr>
        <w:jc w:val="both"/>
      </w:pPr>
      <w:r w:rsidRPr="00424279">
        <w:t>Le Titulaire s’engage et engage ses personnels à ne faire aucune divulgation, sous quelque forme que ce soit, sans autorisation du Service contractant, de tout élément connu dans le cadre de l’accord cadre, en dehors des communications strictement indispensables à l’exécution du présent accord cadre.</w:t>
      </w:r>
    </w:p>
    <w:p w14:paraId="0CF95453" w14:textId="77777777" w:rsidR="00D8541B" w:rsidRPr="00424279" w:rsidRDefault="00D8541B" w:rsidP="00D8541B">
      <w:pPr>
        <w:jc w:val="both"/>
      </w:pPr>
    </w:p>
    <w:p w14:paraId="5424AA2D" w14:textId="77777777" w:rsidR="00D8541B" w:rsidRPr="00424279" w:rsidRDefault="00D8541B" w:rsidP="00D8541B">
      <w:pPr>
        <w:jc w:val="both"/>
      </w:pPr>
      <w:r w:rsidRPr="00424279">
        <w:t>Le non-respect par le Titulaire des prescriptions de sécurité pourra entraîner la résiliation sans indemnité de l’accord cadre à ses torts.</w:t>
      </w:r>
    </w:p>
    <w:p w14:paraId="1DA158C4" w14:textId="77777777" w:rsidR="00D8541B" w:rsidRDefault="00D8541B" w:rsidP="00D8541B">
      <w:pPr>
        <w:jc w:val="both"/>
        <w:rPr>
          <w:rFonts w:ascii="Arial Narrow" w:hAnsi="Arial Narrow"/>
        </w:rPr>
      </w:pPr>
    </w:p>
    <w:p w14:paraId="51D71791" w14:textId="77777777" w:rsidR="00D8541B" w:rsidRPr="00424279" w:rsidRDefault="00D8541B" w:rsidP="00D8541B">
      <w:pPr>
        <w:jc w:val="both"/>
      </w:pPr>
      <w:r w:rsidRPr="00424279">
        <w:lastRenderedPageBreak/>
        <w:t>L’émission, la reproduction et l’acheminement des documents protégés seront conformes aux règlements en vigueur. Les documents protégés de toutes natures et de tous types ayant servi à la réalisation de l’accord cadre sont restitués au CNRS.</w:t>
      </w:r>
    </w:p>
    <w:p w14:paraId="43AFF0A4" w14:textId="77777777" w:rsidR="00D8541B" w:rsidRPr="00424279" w:rsidRDefault="00D8541B" w:rsidP="00D8541B">
      <w:pPr>
        <w:jc w:val="both"/>
      </w:pPr>
    </w:p>
    <w:p w14:paraId="4FAF8AAF" w14:textId="77777777" w:rsidR="00D8541B" w:rsidRPr="00424279" w:rsidRDefault="00D8541B" w:rsidP="00D8541B">
      <w:pPr>
        <w:jc w:val="both"/>
      </w:pPr>
      <w:r w:rsidRPr="00424279">
        <w:t>Aucune donnée de l’accord cadre ne peut être partagée ou communiquée par le titulaire à un tiers sans le consentement express et préalable du CNRS propriétaire des données.</w:t>
      </w:r>
    </w:p>
    <w:p w14:paraId="1C6843E0" w14:textId="77777777" w:rsidR="00D8541B" w:rsidRPr="00424279" w:rsidRDefault="00D8541B" w:rsidP="00D8541B">
      <w:pPr>
        <w:jc w:val="both"/>
      </w:pPr>
    </w:p>
    <w:p w14:paraId="0B814C85" w14:textId="6700BC38" w:rsidR="00D8541B" w:rsidRDefault="00D8541B" w:rsidP="00D8541B">
      <w:pPr>
        <w:jc w:val="both"/>
      </w:pPr>
      <w:r w:rsidRPr="00424279">
        <w:t>Les obligations définies ci-dessus doivent continuer à s’appliquer pendant les 10 ans qui suivent la date d’expiration de l’accord cadre.</w:t>
      </w:r>
    </w:p>
    <w:p w14:paraId="5D5A97B0" w14:textId="2930E357" w:rsidR="00590F52" w:rsidRPr="002A4F2D" w:rsidRDefault="00500CB3" w:rsidP="006A05A6">
      <w:pPr>
        <w:keepNext/>
        <w:spacing w:before="360"/>
        <w:jc w:val="both"/>
        <w:rPr>
          <w:b/>
        </w:rPr>
      </w:pPr>
      <w:r w:rsidRPr="002A4F2D">
        <w:rPr>
          <w:b/>
        </w:rPr>
        <w:t>1</w:t>
      </w:r>
      <w:r w:rsidR="00D8541B">
        <w:rPr>
          <w:b/>
        </w:rPr>
        <w:t>2</w:t>
      </w:r>
      <w:r w:rsidR="00590F52" w:rsidRPr="002A4F2D">
        <w:rPr>
          <w:b/>
        </w:rPr>
        <w:t>) RESILIATION</w:t>
      </w:r>
    </w:p>
    <w:p w14:paraId="777A2EB3" w14:textId="77777777" w:rsidR="00590F52" w:rsidRPr="002A4F2D" w:rsidRDefault="004423AF" w:rsidP="006A05A6">
      <w:pPr>
        <w:keepNext/>
        <w:tabs>
          <w:tab w:val="left" w:pos="3240"/>
          <w:tab w:val="left" w:pos="5400"/>
        </w:tabs>
        <w:ind w:right="-11"/>
        <w:jc w:val="both"/>
        <w:rPr>
          <w:strike/>
          <w:color w:val="000000"/>
        </w:rPr>
      </w:pPr>
      <w:r w:rsidRPr="002A4F2D">
        <w:rPr>
          <w:color w:val="000000"/>
        </w:rPr>
        <w:t>L’acheteur</w:t>
      </w:r>
      <w:r w:rsidR="00590F52" w:rsidRPr="002A4F2D">
        <w:rPr>
          <w:color w:val="000000"/>
        </w:rPr>
        <w:t xml:space="preserve"> peut</w:t>
      </w:r>
      <w:r w:rsidR="00F804F2" w:rsidRPr="002A4F2D">
        <w:rPr>
          <w:color w:val="000000"/>
        </w:rPr>
        <w:t xml:space="preserve"> mettre fin à l’exécution des prestations du présent </w:t>
      </w:r>
      <w:r w:rsidR="004816EA">
        <w:rPr>
          <w:color w:val="000000"/>
        </w:rPr>
        <w:t>accord cadre</w:t>
      </w:r>
      <w:r w:rsidR="00F804F2" w:rsidRPr="002A4F2D">
        <w:rPr>
          <w:color w:val="000000"/>
        </w:rPr>
        <w:t xml:space="preserve"> avant l’achèvement de celles-ci, et notamment </w:t>
      </w:r>
      <w:r w:rsidR="006B4F46" w:rsidRPr="002A4F2D">
        <w:rPr>
          <w:color w:val="000000"/>
        </w:rPr>
        <w:t>à la demande</w:t>
      </w:r>
      <w:r w:rsidR="00F34AF3" w:rsidRPr="002A4F2D">
        <w:rPr>
          <w:color w:val="000000"/>
        </w:rPr>
        <w:t xml:space="preserve"> du titulaire</w:t>
      </w:r>
      <w:r w:rsidR="002F49BF" w:rsidRPr="002A4F2D">
        <w:rPr>
          <w:color w:val="000000"/>
        </w:rPr>
        <w:t xml:space="preserve"> tel que prévu au chapitre 7 : résiliation </w:t>
      </w:r>
      <w:r w:rsidR="002240AC">
        <w:rPr>
          <w:color w:val="000000"/>
        </w:rPr>
        <w:t xml:space="preserve">du CCAG/FCS </w:t>
      </w:r>
      <w:r w:rsidR="002F49BF" w:rsidRPr="002A4F2D">
        <w:rPr>
          <w:color w:val="000000"/>
        </w:rPr>
        <w:t>(Articles 38 à 45</w:t>
      </w:r>
      <w:r w:rsidR="002240AC">
        <w:rPr>
          <w:color w:val="000000"/>
        </w:rPr>
        <w:t>)</w:t>
      </w:r>
      <w:r w:rsidR="006A05A6" w:rsidRPr="002A4F2D">
        <w:rPr>
          <w:strike/>
          <w:color w:val="000000"/>
        </w:rPr>
        <w:t xml:space="preserve"> </w:t>
      </w:r>
    </w:p>
    <w:p w14:paraId="255E7B38" w14:textId="1661A266" w:rsidR="00801635" w:rsidRPr="002A4F2D" w:rsidRDefault="00590F52" w:rsidP="006A05A6">
      <w:pPr>
        <w:pStyle w:val="Titre1"/>
      </w:pPr>
      <w:r w:rsidRPr="002A4F2D">
        <w:t>1</w:t>
      </w:r>
      <w:r w:rsidR="00D8541B">
        <w:t>3</w:t>
      </w:r>
      <w:r w:rsidRPr="002A4F2D">
        <w:t>) GARANTIE</w:t>
      </w:r>
      <w:r w:rsidR="00602F23" w:rsidRPr="002A4F2D">
        <w:t xml:space="preserve"> </w:t>
      </w:r>
    </w:p>
    <w:p w14:paraId="34A9E64A" w14:textId="77777777" w:rsidR="00590F52" w:rsidRPr="002A4F2D" w:rsidRDefault="009F1F8F" w:rsidP="0058125B">
      <w:pPr>
        <w:jc w:val="both"/>
      </w:pPr>
      <w:r w:rsidRPr="002A4F2D">
        <w:t>Conformément à l’</w:t>
      </w:r>
      <w:r w:rsidR="004423AF" w:rsidRPr="002A4F2D">
        <w:t>article 33</w:t>
      </w:r>
      <w:r w:rsidR="00122F0C" w:rsidRPr="002A4F2D">
        <w:t xml:space="preserve"> du CCAG/</w:t>
      </w:r>
      <w:r w:rsidR="0015358B" w:rsidRPr="002A4F2D">
        <w:t xml:space="preserve">FCS, </w:t>
      </w:r>
      <w:r w:rsidR="00590F52" w:rsidRPr="002A4F2D">
        <w:t>Les fournitures sont garanties</w:t>
      </w:r>
      <w:r w:rsidR="0015358B" w:rsidRPr="002A4F2D">
        <w:t xml:space="preserve"> un an minimum. Dans le cadre du présent contrat les fournitures sont garanties pour une durée de</w:t>
      </w:r>
      <w:r w:rsidR="00590F52" w:rsidRPr="002A4F2D">
        <w:t xml:space="preserve"> </w:t>
      </w:r>
      <w:r w:rsidR="005D6704">
        <w:t>deux ans</w:t>
      </w:r>
      <w:r w:rsidR="00590F52" w:rsidRPr="002A4F2D">
        <w:t xml:space="preserve"> à compter de l</w:t>
      </w:r>
      <w:r w:rsidR="004423AF" w:rsidRPr="002A4F2D">
        <w:t>a date de notification de la décision d’</w:t>
      </w:r>
      <w:r w:rsidR="00590F52" w:rsidRPr="002A4F2D">
        <w:t>admission par l</w:t>
      </w:r>
      <w:r w:rsidR="004423AF" w:rsidRPr="002A4F2D">
        <w:t>’acheteur</w:t>
      </w:r>
      <w:r w:rsidR="00590F52" w:rsidRPr="002A4F2D">
        <w:t>.</w:t>
      </w:r>
    </w:p>
    <w:p w14:paraId="74F481A4" w14:textId="251D813B" w:rsidR="00590F52" w:rsidRPr="002A4F2D" w:rsidRDefault="00590F52" w:rsidP="006A05A6">
      <w:pPr>
        <w:pStyle w:val="Titre1"/>
      </w:pPr>
      <w:r w:rsidRPr="002A4F2D">
        <w:t>1</w:t>
      </w:r>
      <w:r w:rsidR="00D8541B">
        <w:t>4</w:t>
      </w:r>
      <w:r w:rsidR="00A44940" w:rsidRPr="002A4F2D">
        <w:t>)</w:t>
      </w:r>
      <w:r w:rsidRPr="002A4F2D">
        <w:t xml:space="preserve"> LITIGES</w:t>
      </w:r>
    </w:p>
    <w:p w14:paraId="631E6BD5" w14:textId="77777777" w:rsidR="00590F52" w:rsidRPr="002A4F2D" w:rsidRDefault="00590F52" w:rsidP="00590F52">
      <w:pPr>
        <w:jc w:val="both"/>
      </w:pPr>
      <w:r w:rsidRPr="002A4F2D">
        <w:t xml:space="preserve">Les contestations qui peuvent survenir entre le CNRS et le titulaire ne peuvent être invoquées par ce dernier comme cause d’arrêt ou de suspension de la prestation. Les parties s’efforceront de résoudre leur différend à l’amiable. </w:t>
      </w:r>
    </w:p>
    <w:p w14:paraId="211BC2F1" w14:textId="77777777" w:rsidR="00415F8D" w:rsidRPr="002A4F2D" w:rsidRDefault="00590F52" w:rsidP="0058125B">
      <w:pPr>
        <w:jc w:val="both"/>
      </w:pPr>
      <w:r w:rsidRPr="002A4F2D">
        <w:t xml:space="preserve">En cas de litige, la loi française est seule applicable et le tribunal administratif </w:t>
      </w:r>
      <w:r w:rsidR="004423AF" w:rsidRPr="002A4F2D">
        <w:t>de Versailles</w:t>
      </w:r>
      <w:r w:rsidR="00F62E79" w:rsidRPr="002A4F2D">
        <w:t xml:space="preserve"> </w:t>
      </w:r>
      <w:r w:rsidRPr="002A4F2D">
        <w:t>est seul compétent.</w:t>
      </w:r>
    </w:p>
    <w:p w14:paraId="411254FE" w14:textId="514A9747" w:rsidR="00590F52" w:rsidRPr="002A4F2D" w:rsidRDefault="00590F52" w:rsidP="006A05A6">
      <w:pPr>
        <w:pStyle w:val="Titre1"/>
        <w:rPr>
          <w:color w:val="000000"/>
        </w:rPr>
      </w:pPr>
      <w:r w:rsidRPr="002A4F2D">
        <w:t>1</w:t>
      </w:r>
      <w:r w:rsidR="00D8541B">
        <w:t>5</w:t>
      </w:r>
      <w:r w:rsidR="00A44940" w:rsidRPr="002A4F2D">
        <w:t>)</w:t>
      </w:r>
      <w:r w:rsidRPr="002A4F2D">
        <w:t xml:space="preserve"> ATTESTATIONS</w:t>
      </w:r>
      <w:r w:rsidRPr="002A4F2D">
        <w:rPr>
          <w:color w:val="000000"/>
        </w:rPr>
        <w:t xml:space="preserve"> - ASSURANCES</w:t>
      </w:r>
    </w:p>
    <w:p w14:paraId="77536C03" w14:textId="77777777" w:rsidR="00590F52" w:rsidRPr="002A4F2D" w:rsidRDefault="00590F52" w:rsidP="00A44940">
      <w:pPr>
        <w:jc w:val="both"/>
      </w:pPr>
      <w:r w:rsidRPr="002A4F2D">
        <w:t xml:space="preserve">Conformément à la réglementation applicable le titulaire atteste sur l’honneur qu’il ne lui est pas interdit de soumissionner au </w:t>
      </w:r>
      <w:r w:rsidRPr="002A4F2D">
        <w:t xml:space="preserve">présent </w:t>
      </w:r>
      <w:r w:rsidR="006E3094">
        <w:t>accord cadre</w:t>
      </w:r>
      <w:r w:rsidRPr="002A4F2D">
        <w:t>, s'engage à respecter le code du travail durant son exécution et assure qu'il respecte les 8</w:t>
      </w:r>
      <w:r w:rsidR="00A44940" w:rsidRPr="002A4F2D">
        <w:t> </w:t>
      </w:r>
      <w:r w:rsidRPr="002A4F2D">
        <w:t>conventions fondamentales de l'OIT. En outre, sur demande, il fournit une attestation d’assura</w:t>
      </w:r>
      <w:r w:rsidR="006E3094">
        <w:t>nce valable pour la durée de l’accord cadre</w:t>
      </w:r>
    </w:p>
    <w:p w14:paraId="5663A3D4" w14:textId="0123E40A" w:rsidR="00590F52" w:rsidRPr="002A4F2D" w:rsidRDefault="00801635" w:rsidP="006A05A6">
      <w:pPr>
        <w:pStyle w:val="Titre1"/>
      </w:pPr>
      <w:r w:rsidRPr="002A4F2D">
        <w:t>1</w:t>
      </w:r>
      <w:r w:rsidR="00D8541B">
        <w:t>6</w:t>
      </w:r>
      <w:r w:rsidR="004423AF" w:rsidRPr="002A4F2D">
        <w:t>) DEROGATIONS AU CCAG-</w:t>
      </w:r>
      <w:r w:rsidRPr="002A4F2D">
        <w:t>FCS</w:t>
      </w:r>
      <w:r w:rsidR="004423AF" w:rsidRPr="002A4F2D">
        <w:t xml:space="preserve"> </w:t>
      </w:r>
    </w:p>
    <w:p w14:paraId="4790D5DB" w14:textId="77777777" w:rsidR="005E72EB" w:rsidRDefault="005E72EB" w:rsidP="00BB1F6B">
      <w:pPr>
        <w:jc w:val="both"/>
        <w:rPr>
          <w:noProof/>
        </w:rPr>
      </w:pPr>
      <w:r>
        <w:rPr>
          <w:noProof/>
        </w:rPr>
        <w:t>L’article 2</w:t>
      </w:r>
      <w:r w:rsidRPr="005E72EB">
        <w:rPr>
          <w:noProof/>
        </w:rPr>
        <w:t xml:space="preserve"> du présent accord cadre déroge à l’article </w:t>
      </w:r>
      <w:r>
        <w:rPr>
          <w:noProof/>
        </w:rPr>
        <w:t>4.2.1</w:t>
      </w:r>
      <w:r w:rsidRPr="005E72EB">
        <w:rPr>
          <w:noProof/>
        </w:rPr>
        <w:t xml:space="preserve"> du CCAG/FCS sur </w:t>
      </w:r>
      <w:r>
        <w:rPr>
          <w:noProof/>
        </w:rPr>
        <w:t>la notification de l’accord cadre</w:t>
      </w:r>
    </w:p>
    <w:p w14:paraId="6A9580E0" w14:textId="24A5216A" w:rsidR="00415F8D" w:rsidRPr="002A4F2D" w:rsidRDefault="007E2387" w:rsidP="005D4312">
      <w:pPr>
        <w:jc w:val="both"/>
        <w:rPr>
          <w:b/>
          <w:noProof/>
        </w:rPr>
      </w:pPr>
      <w:r>
        <w:rPr>
          <w:noProof/>
        </w:rPr>
        <w:t>L’article 7</w:t>
      </w:r>
      <w:r w:rsidRPr="007E2387">
        <w:rPr>
          <w:noProof/>
        </w:rPr>
        <w:t xml:space="preserve"> du présent accord cadre déroge à l’article </w:t>
      </w:r>
      <w:r>
        <w:rPr>
          <w:noProof/>
        </w:rPr>
        <w:t>14.1.1</w:t>
      </w:r>
      <w:r w:rsidRPr="007E2387">
        <w:rPr>
          <w:noProof/>
        </w:rPr>
        <w:t xml:space="preserve"> du CCAG/FCS</w:t>
      </w:r>
      <w:r>
        <w:rPr>
          <w:noProof/>
        </w:rPr>
        <w:t xml:space="preserve"> sur le montant des pénalités applicables.</w:t>
      </w:r>
      <w:r w:rsidRPr="007E2387">
        <w:t xml:space="preserve"> </w:t>
      </w:r>
    </w:p>
    <w:p w14:paraId="047E037F" w14:textId="1DF1B7FC" w:rsidR="00415F8D" w:rsidRDefault="00415F8D" w:rsidP="00122F0C">
      <w:pPr>
        <w:jc w:val="both"/>
        <w:rPr>
          <w:b/>
          <w:noProof/>
        </w:rPr>
      </w:pPr>
    </w:p>
    <w:p w14:paraId="5D2BF684" w14:textId="7A9D1A17" w:rsidR="004456E2" w:rsidRDefault="004456E2" w:rsidP="00122F0C">
      <w:pPr>
        <w:jc w:val="both"/>
        <w:rPr>
          <w:b/>
          <w:noProof/>
        </w:rPr>
      </w:pPr>
    </w:p>
    <w:p w14:paraId="77FED305" w14:textId="05F271F6" w:rsidR="004456E2" w:rsidRDefault="004456E2" w:rsidP="00122F0C">
      <w:pPr>
        <w:jc w:val="both"/>
        <w:rPr>
          <w:b/>
          <w:noProof/>
        </w:rPr>
      </w:pPr>
    </w:p>
    <w:p w14:paraId="25957554" w14:textId="71C2D9D3" w:rsidR="004456E2" w:rsidRDefault="004456E2" w:rsidP="00122F0C">
      <w:pPr>
        <w:jc w:val="both"/>
        <w:rPr>
          <w:b/>
          <w:noProof/>
        </w:rPr>
      </w:pPr>
    </w:p>
    <w:p w14:paraId="7158C4BF" w14:textId="77777777" w:rsidR="00C411C2" w:rsidRPr="002A4F2D" w:rsidRDefault="00C411C2" w:rsidP="00590F52"/>
    <w:p w14:paraId="7580DAA1" w14:textId="77777777" w:rsidR="00C411C2" w:rsidRPr="002A4F2D" w:rsidRDefault="00C411C2" w:rsidP="00590F52">
      <w:r w:rsidRPr="002A4F2D">
        <w:t xml:space="preserve">Date : </w:t>
      </w:r>
    </w:p>
    <w:p w14:paraId="6B504D71" w14:textId="77777777" w:rsidR="00590F52" w:rsidRPr="002A4F2D" w:rsidRDefault="00590F52" w:rsidP="00590F52">
      <w:r w:rsidRPr="002A4F2D">
        <w:rPr>
          <w:b/>
          <w:bCs/>
        </w:rPr>
        <w:t>Pour le titulaire</w:t>
      </w:r>
      <w:r w:rsidRPr="002A4F2D">
        <w:t xml:space="preserve"> ____________________</w:t>
      </w:r>
    </w:p>
    <w:p w14:paraId="02B7EB1B" w14:textId="77777777" w:rsidR="00590F52" w:rsidRPr="002A4F2D" w:rsidRDefault="00590F52" w:rsidP="00590F52">
      <w:r w:rsidRPr="002A4F2D">
        <w:t>(</w:t>
      </w:r>
      <w:r w:rsidR="00DE247D" w:rsidRPr="002A4F2D">
        <w:t>Signature</w:t>
      </w:r>
      <w:r w:rsidRPr="002A4F2D">
        <w:t>, nom de la personne habilitée à signer et cachet commercial)</w:t>
      </w:r>
    </w:p>
    <w:p w14:paraId="64C31272" w14:textId="77777777" w:rsidR="00590F52" w:rsidRPr="002A4F2D" w:rsidRDefault="00590F52" w:rsidP="00590F52"/>
    <w:p w14:paraId="2AA77CA1" w14:textId="0DEE6722" w:rsidR="00511224" w:rsidRDefault="00511224" w:rsidP="00590F52"/>
    <w:p w14:paraId="0DF739FA" w14:textId="6077EF41" w:rsidR="004456E2" w:rsidRDefault="004456E2" w:rsidP="00590F52"/>
    <w:p w14:paraId="74227CBB" w14:textId="6A181641" w:rsidR="004456E2" w:rsidRDefault="004456E2" w:rsidP="00590F52"/>
    <w:p w14:paraId="391AB36D" w14:textId="50622115" w:rsidR="004456E2" w:rsidRDefault="004456E2" w:rsidP="00590F52"/>
    <w:p w14:paraId="5F9BFD37" w14:textId="7E4E17F8" w:rsidR="004456E2" w:rsidRDefault="004456E2" w:rsidP="00590F52"/>
    <w:p w14:paraId="14FA8201" w14:textId="695A0C0B" w:rsidR="004456E2" w:rsidRDefault="004456E2" w:rsidP="00590F52"/>
    <w:p w14:paraId="3E8CFE3A" w14:textId="77777777" w:rsidR="004456E2" w:rsidRPr="002A4F2D" w:rsidRDefault="004456E2" w:rsidP="00590F52"/>
    <w:p w14:paraId="7664F577" w14:textId="77777777" w:rsidR="00511224" w:rsidRPr="002A4F2D" w:rsidRDefault="00511224" w:rsidP="00590F52"/>
    <w:p w14:paraId="1A29D34A" w14:textId="77777777" w:rsidR="00511224" w:rsidRPr="002A4F2D" w:rsidRDefault="00511224" w:rsidP="00590F52"/>
    <w:p w14:paraId="519B7780" w14:textId="77777777" w:rsidR="00511224" w:rsidRPr="002A4F2D" w:rsidRDefault="00DE247D" w:rsidP="00590F52">
      <w:r w:rsidRPr="002A4F2D">
        <w:t xml:space="preserve">Date : </w:t>
      </w:r>
    </w:p>
    <w:p w14:paraId="54445D7D" w14:textId="77777777" w:rsidR="00DE247D" w:rsidRPr="002A4F2D" w:rsidRDefault="00801635" w:rsidP="00135CE2">
      <w:pPr>
        <w:pStyle w:val="Titre1"/>
        <w:spacing w:before="0"/>
      </w:pPr>
      <w:r w:rsidRPr="002A4F2D">
        <w:t xml:space="preserve">Pour </w:t>
      </w:r>
      <w:r w:rsidR="00DE247D" w:rsidRPr="002A4F2D">
        <w:t>l’acheteur</w:t>
      </w:r>
      <w:r w:rsidRPr="002A4F2D">
        <w:t xml:space="preserve">, </w:t>
      </w:r>
    </w:p>
    <w:p w14:paraId="5DC36524" w14:textId="235CBBBC" w:rsidR="00135CE2" w:rsidRDefault="00DE247D" w:rsidP="00135CE2">
      <w:pPr>
        <w:pStyle w:val="Titre1"/>
        <w:spacing w:before="0"/>
      </w:pPr>
      <w:r w:rsidRPr="002A4F2D">
        <w:t>L</w:t>
      </w:r>
      <w:r w:rsidR="00135CE2" w:rsidRPr="002A4F2D">
        <w:t>e</w:t>
      </w:r>
      <w:r w:rsidR="005D4312">
        <w:t xml:space="preserve"> Délégué Régional</w:t>
      </w:r>
      <w:r w:rsidR="00B93742">
        <w:t>,</w:t>
      </w:r>
    </w:p>
    <w:p w14:paraId="2C0C0307" w14:textId="03672770" w:rsidR="00DE247D" w:rsidRDefault="00B93742" w:rsidP="00DE247D">
      <w:r>
        <w:t>Benoit FORET</w:t>
      </w:r>
    </w:p>
    <w:p w14:paraId="63DCDB10" w14:textId="77777777" w:rsidR="00DE247D" w:rsidRDefault="00DE247D" w:rsidP="00DE247D"/>
    <w:p w14:paraId="2ACCE582" w14:textId="77777777" w:rsidR="00DE247D" w:rsidRDefault="00DE247D" w:rsidP="00DE247D"/>
    <w:p w14:paraId="118D66E6" w14:textId="77777777" w:rsidR="00DE247D" w:rsidRDefault="00DE247D" w:rsidP="00DE247D"/>
    <w:p w14:paraId="78B141A5" w14:textId="77777777" w:rsidR="00DE247D" w:rsidRDefault="00DE247D" w:rsidP="00DE247D"/>
    <w:p w14:paraId="43304AB5" w14:textId="77777777" w:rsidR="00DE247D" w:rsidRPr="00DE247D" w:rsidRDefault="00DE247D" w:rsidP="00DE247D"/>
    <w:p w14:paraId="2EAECDA8" w14:textId="77777777" w:rsidR="006143FC" w:rsidRPr="004B4849" w:rsidRDefault="006143FC" w:rsidP="00465ED0">
      <w:pPr>
        <w:sectPr w:rsidR="006143FC" w:rsidRPr="004B4849" w:rsidSect="0058125B">
          <w:type w:val="continuous"/>
          <w:pgSz w:w="11909" w:h="16834"/>
          <w:pgMar w:top="360" w:right="427" w:bottom="600" w:left="567" w:header="720" w:footer="720" w:gutter="0"/>
          <w:cols w:num="2" w:space="720" w:equalWidth="0">
            <w:col w:w="5103" w:space="708"/>
            <w:col w:w="5103" w:space="399"/>
          </w:cols>
        </w:sectPr>
      </w:pPr>
    </w:p>
    <w:p w14:paraId="03147FF3" w14:textId="77777777" w:rsidR="00415F8D" w:rsidRPr="004B4849" w:rsidRDefault="00415F8D" w:rsidP="006A05A6"/>
    <w:sectPr w:rsidR="00415F8D" w:rsidRPr="004B4849" w:rsidSect="0058125B">
      <w:type w:val="continuous"/>
      <w:pgSz w:w="11909" w:h="16834"/>
      <w:pgMar w:top="862" w:right="285" w:bottom="851" w:left="794" w:header="720" w:footer="720" w:gutter="0"/>
      <w:cols w:num="2" w:space="720" w:equalWidth="0">
        <w:col w:w="5061" w:space="708"/>
        <w:col w:w="5061" w:space="25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066FB" w14:textId="77777777" w:rsidR="00343096" w:rsidRDefault="00343096">
      <w:r>
        <w:separator/>
      </w:r>
    </w:p>
  </w:endnote>
  <w:endnote w:type="continuationSeparator" w:id="0">
    <w:p w14:paraId="5F9599FA" w14:textId="77777777" w:rsidR="00343096" w:rsidRDefault="00343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Segoe UI 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4350627"/>
      <w:docPartObj>
        <w:docPartGallery w:val="Page Numbers (Bottom of Page)"/>
        <w:docPartUnique/>
      </w:docPartObj>
    </w:sdtPr>
    <w:sdtEndPr/>
    <w:sdtContent>
      <w:sdt>
        <w:sdtPr>
          <w:id w:val="1728636285"/>
          <w:docPartObj>
            <w:docPartGallery w:val="Page Numbers (Top of Page)"/>
            <w:docPartUnique/>
          </w:docPartObj>
        </w:sdtPr>
        <w:sdtEndPr/>
        <w:sdtContent>
          <w:p w14:paraId="1D606BE9" w14:textId="67729A53" w:rsidR="00774A9A" w:rsidRDefault="00774A9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E566F7">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566F7">
              <w:rPr>
                <w:b/>
                <w:bCs/>
                <w:noProof/>
              </w:rPr>
              <w:t>4</w:t>
            </w:r>
            <w:r>
              <w:rPr>
                <w:b/>
                <w:bCs/>
                <w:sz w:val="24"/>
                <w:szCs w:val="24"/>
              </w:rPr>
              <w:fldChar w:fldCharType="end"/>
            </w:r>
          </w:p>
        </w:sdtContent>
      </w:sdt>
    </w:sdtContent>
  </w:sdt>
  <w:p w14:paraId="3FCCA639" w14:textId="2AECEEE1" w:rsidR="00E566F7" w:rsidRDefault="00FD494A">
    <w:pPr>
      <w:pStyle w:val="Pieddepage"/>
    </w:pPr>
    <w:r>
      <w:t xml:space="preserve">Version </w:t>
    </w:r>
    <w:r w:rsidR="000F31D8">
      <w:t>décembre</w:t>
    </w:r>
    <w:r w:rsidR="00FC16B4">
      <w:t xml:space="preserve"> </w:t>
    </w:r>
    <w:r w:rsidR="00E566F7">
      <w:t>202</w:t>
    </w:r>
    <w:r w:rsidR="000F31D8">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A97E3" w14:textId="77777777" w:rsidR="00343096" w:rsidRDefault="00343096">
      <w:r>
        <w:separator/>
      </w:r>
    </w:p>
  </w:footnote>
  <w:footnote w:type="continuationSeparator" w:id="0">
    <w:p w14:paraId="71FE3C87" w14:textId="77777777" w:rsidR="00343096" w:rsidRDefault="003430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lvl w:ilvl="0">
      <w:numFmt w:val="bullet"/>
      <w:lvlText w:val="-"/>
      <w:lvlJc w:val="left"/>
      <w:pPr>
        <w:tabs>
          <w:tab w:val="num" w:pos="1616"/>
        </w:tabs>
        <w:ind w:left="1616" w:hanging="420"/>
      </w:pPr>
      <w:rPr>
        <w:rFonts w:ascii="StarSymbol" w:hAnsi="StarSymbol"/>
      </w:rPr>
    </w:lvl>
  </w:abstractNum>
  <w:abstractNum w:abstractNumId="1" w15:restartNumberingAfterBreak="0">
    <w:nsid w:val="112146C0"/>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2E4637C"/>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CAA67D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388507A0"/>
    <w:multiLevelType w:val="singleLevel"/>
    <w:tmpl w:val="6D1AD7AE"/>
    <w:lvl w:ilvl="0">
      <w:start w:val="4"/>
      <w:numFmt w:val="bullet"/>
      <w:lvlText w:val="-"/>
      <w:lvlJc w:val="left"/>
      <w:pPr>
        <w:tabs>
          <w:tab w:val="num" w:pos="360"/>
        </w:tabs>
        <w:ind w:left="360" w:hanging="360"/>
      </w:pPr>
      <w:rPr>
        <w:rFonts w:hint="default"/>
      </w:rPr>
    </w:lvl>
  </w:abstractNum>
  <w:abstractNum w:abstractNumId="5" w15:restartNumberingAfterBreak="0">
    <w:nsid w:val="57674EBC"/>
    <w:multiLevelType w:val="hybridMultilevel"/>
    <w:tmpl w:val="2A267E42"/>
    <w:lvl w:ilvl="0" w:tplc="1E32D9EC">
      <w:start w:val="4"/>
      <w:numFmt w:val="bullet"/>
      <w:lvlText w:val="-"/>
      <w:lvlJc w:val="left"/>
      <w:pPr>
        <w:ind w:left="1080" w:hanging="360"/>
      </w:pPr>
      <w:rPr>
        <w:rFonts w:ascii="Arial Narrow" w:eastAsia="Times New Roman" w:hAnsi="Arial Narrow" w:cs="Arial Narro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62BB629F"/>
    <w:multiLevelType w:val="singleLevel"/>
    <w:tmpl w:val="77CC3DE4"/>
    <w:lvl w:ilvl="0">
      <w:start w:val="1"/>
      <w:numFmt w:val="bullet"/>
      <w:lvlText w:val="-"/>
      <w:lvlJc w:val="left"/>
      <w:pPr>
        <w:tabs>
          <w:tab w:val="num" w:pos="360"/>
        </w:tabs>
        <w:ind w:left="360" w:hanging="360"/>
      </w:pPr>
      <w:rPr>
        <w:rFonts w:hint="default"/>
      </w:rPr>
    </w:lvl>
  </w:abstractNum>
  <w:abstractNum w:abstractNumId="7" w15:restartNumberingAfterBreak="0">
    <w:nsid w:val="7314225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4F2443D"/>
    <w:multiLevelType w:val="hybridMultilevel"/>
    <w:tmpl w:val="2BA010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5860C9"/>
    <w:multiLevelType w:val="singleLevel"/>
    <w:tmpl w:val="040C000D"/>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7C423921"/>
    <w:multiLevelType w:val="hybridMultilevel"/>
    <w:tmpl w:val="AF106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3"/>
  </w:num>
  <w:num w:numId="5">
    <w:abstractNumId w:val="9"/>
  </w:num>
  <w:num w:numId="6">
    <w:abstractNumId w:val="6"/>
  </w:num>
  <w:num w:numId="7">
    <w:abstractNumId w:val="4"/>
  </w:num>
  <w:num w:numId="8">
    <w:abstractNumId w:val="10"/>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3FC"/>
    <w:rsid w:val="0000710F"/>
    <w:rsid w:val="00044651"/>
    <w:rsid w:val="0006340E"/>
    <w:rsid w:val="0007503A"/>
    <w:rsid w:val="0007553F"/>
    <w:rsid w:val="00080800"/>
    <w:rsid w:val="00082766"/>
    <w:rsid w:val="000A3D1F"/>
    <w:rsid w:val="000B1D60"/>
    <w:rsid w:val="000C4B95"/>
    <w:rsid w:val="000E7067"/>
    <w:rsid w:val="000F0588"/>
    <w:rsid w:val="000F31D8"/>
    <w:rsid w:val="0010016D"/>
    <w:rsid w:val="0010729A"/>
    <w:rsid w:val="001122ED"/>
    <w:rsid w:val="001219A7"/>
    <w:rsid w:val="00122F0C"/>
    <w:rsid w:val="00127C70"/>
    <w:rsid w:val="00130179"/>
    <w:rsid w:val="00132B5A"/>
    <w:rsid w:val="00135CE2"/>
    <w:rsid w:val="00143351"/>
    <w:rsid w:val="00150335"/>
    <w:rsid w:val="0015358B"/>
    <w:rsid w:val="00177921"/>
    <w:rsid w:val="00187DEB"/>
    <w:rsid w:val="001903A0"/>
    <w:rsid w:val="00193EBA"/>
    <w:rsid w:val="001A1AFD"/>
    <w:rsid w:val="001A1FE5"/>
    <w:rsid w:val="001A4A8C"/>
    <w:rsid w:val="001A798D"/>
    <w:rsid w:val="001B449D"/>
    <w:rsid w:val="001D4E53"/>
    <w:rsid w:val="001E0211"/>
    <w:rsid w:val="001E38FE"/>
    <w:rsid w:val="001E5BB1"/>
    <w:rsid w:val="001F7A43"/>
    <w:rsid w:val="00210905"/>
    <w:rsid w:val="00211551"/>
    <w:rsid w:val="00221453"/>
    <w:rsid w:val="002240AC"/>
    <w:rsid w:val="002277A9"/>
    <w:rsid w:val="00254C59"/>
    <w:rsid w:val="00286246"/>
    <w:rsid w:val="002871FD"/>
    <w:rsid w:val="002A4F2D"/>
    <w:rsid w:val="002B4FA3"/>
    <w:rsid w:val="002C18C1"/>
    <w:rsid w:val="002C4087"/>
    <w:rsid w:val="002C50F8"/>
    <w:rsid w:val="002D17D7"/>
    <w:rsid w:val="002D67B5"/>
    <w:rsid w:val="002E4521"/>
    <w:rsid w:val="002F49BF"/>
    <w:rsid w:val="002F54E7"/>
    <w:rsid w:val="00321A8E"/>
    <w:rsid w:val="00324262"/>
    <w:rsid w:val="00337885"/>
    <w:rsid w:val="00343096"/>
    <w:rsid w:val="003538FF"/>
    <w:rsid w:val="00367045"/>
    <w:rsid w:val="003722FB"/>
    <w:rsid w:val="00374C99"/>
    <w:rsid w:val="00380B8F"/>
    <w:rsid w:val="003B29E3"/>
    <w:rsid w:val="003B4220"/>
    <w:rsid w:val="003C7A89"/>
    <w:rsid w:val="003D4EE7"/>
    <w:rsid w:val="003E4FC6"/>
    <w:rsid w:val="003F0723"/>
    <w:rsid w:val="003F61B8"/>
    <w:rsid w:val="00403B4D"/>
    <w:rsid w:val="004042B1"/>
    <w:rsid w:val="00404477"/>
    <w:rsid w:val="0040494E"/>
    <w:rsid w:val="00406DD7"/>
    <w:rsid w:val="004074D0"/>
    <w:rsid w:val="0041533F"/>
    <w:rsid w:val="00415F8D"/>
    <w:rsid w:val="00424279"/>
    <w:rsid w:val="00425503"/>
    <w:rsid w:val="00430801"/>
    <w:rsid w:val="0043618D"/>
    <w:rsid w:val="004423AF"/>
    <w:rsid w:val="004456E2"/>
    <w:rsid w:val="00457E45"/>
    <w:rsid w:val="00465ED0"/>
    <w:rsid w:val="004729CB"/>
    <w:rsid w:val="004816EA"/>
    <w:rsid w:val="0049221A"/>
    <w:rsid w:val="00492CF9"/>
    <w:rsid w:val="00495E69"/>
    <w:rsid w:val="004A4171"/>
    <w:rsid w:val="004B4781"/>
    <w:rsid w:val="004B4849"/>
    <w:rsid w:val="004C6580"/>
    <w:rsid w:val="004D2298"/>
    <w:rsid w:val="004D34A5"/>
    <w:rsid w:val="004F074C"/>
    <w:rsid w:val="004F6E90"/>
    <w:rsid w:val="00500CB3"/>
    <w:rsid w:val="00500E71"/>
    <w:rsid w:val="00504022"/>
    <w:rsid w:val="005100A0"/>
    <w:rsid w:val="00511224"/>
    <w:rsid w:val="005112A7"/>
    <w:rsid w:val="00511496"/>
    <w:rsid w:val="00525542"/>
    <w:rsid w:val="0052587D"/>
    <w:rsid w:val="00553CCB"/>
    <w:rsid w:val="005657C6"/>
    <w:rsid w:val="0056667E"/>
    <w:rsid w:val="005672AD"/>
    <w:rsid w:val="00571352"/>
    <w:rsid w:val="00572AE1"/>
    <w:rsid w:val="0057636B"/>
    <w:rsid w:val="00580147"/>
    <w:rsid w:val="0058125B"/>
    <w:rsid w:val="005873B4"/>
    <w:rsid w:val="00590F52"/>
    <w:rsid w:val="005933C0"/>
    <w:rsid w:val="005A1394"/>
    <w:rsid w:val="005A4E59"/>
    <w:rsid w:val="005A685D"/>
    <w:rsid w:val="005C47F5"/>
    <w:rsid w:val="005C6347"/>
    <w:rsid w:val="005C6D52"/>
    <w:rsid w:val="005C7C0A"/>
    <w:rsid w:val="005D150F"/>
    <w:rsid w:val="005D3A97"/>
    <w:rsid w:val="005D4312"/>
    <w:rsid w:val="005D5F4F"/>
    <w:rsid w:val="005D6704"/>
    <w:rsid w:val="005E0101"/>
    <w:rsid w:val="005E72EB"/>
    <w:rsid w:val="005F21F0"/>
    <w:rsid w:val="0060052D"/>
    <w:rsid w:val="00602F23"/>
    <w:rsid w:val="00614193"/>
    <w:rsid w:val="006143FC"/>
    <w:rsid w:val="0061510F"/>
    <w:rsid w:val="00627A05"/>
    <w:rsid w:val="0063323B"/>
    <w:rsid w:val="006365FC"/>
    <w:rsid w:val="006465F3"/>
    <w:rsid w:val="00656327"/>
    <w:rsid w:val="00657602"/>
    <w:rsid w:val="00661AAB"/>
    <w:rsid w:val="006637BE"/>
    <w:rsid w:val="00675590"/>
    <w:rsid w:val="0068342C"/>
    <w:rsid w:val="00687373"/>
    <w:rsid w:val="006A05A6"/>
    <w:rsid w:val="006A42BE"/>
    <w:rsid w:val="006B3AFB"/>
    <w:rsid w:val="006B4F46"/>
    <w:rsid w:val="006C0C2A"/>
    <w:rsid w:val="006C3658"/>
    <w:rsid w:val="006D4B00"/>
    <w:rsid w:val="006E2ADE"/>
    <w:rsid w:val="006E3094"/>
    <w:rsid w:val="006E5288"/>
    <w:rsid w:val="006E562F"/>
    <w:rsid w:val="006F0E14"/>
    <w:rsid w:val="006F3943"/>
    <w:rsid w:val="00703927"/>
    <w:rsid w:val="00712BC1"/>
    <w:rsid w:val="0071799D"/>
    <w:rsid w:val="0073272A"/>
    <w:rsid w:val="00735774"/>
    <w:rsid w:val="00737C66"/>
    <w:rsid w:val="00751ACD"/>
    <w:rsid w:val="00754CB6"/>
    <w:rsid w:val="00757DC6"/>
    <w:rsid w:val="00774A9A"/>
    <w:rsid w:val="00777D61"/>
    <w:rsid w:val="00785F23"/>
    <w:rsid w:val="00786561"/>
    <w:rsid w:val="0078772C"/>
    <w:rsid w:val="00794896"/>
    <w:rsid w:val="007956E4"/>
    <w:rsid w:val="007B43EC"/>
    <w:rsid w:val="007B548F"/>
    <w:rsid w:val="007D2223"/>
    <w:rsid w:val="007D4584"/>
    <w:rsid w:val="007E2387"/>
    <w:rsid w:val="007E4318"/>
    <w:rsid w:val="007F3703"/>
    <w:rsid w:val="007F7885"/>
    <w:rsid w:val="00801635"/>
    <w:rsid w:val="00806128"/>
    <w:rsid w:val="00806FB2"/>
    <w:rsid w:val="00827C84"/>
    <w:rsid w:val="00833268"/>
    <w:rsid w:val="0084124A"/>
    <w:rsid w:val="00843E3E"/>
    <w:rsid w:val="008440A5"/>
    <w:rsid w:val="0085663E"/>
    <w:rsid w:val="00881400"/>
    <w:rsid w:val="00886522"/>
    <w:rsid w:val="008952EC"/>
    <w:rsid w:val="008A01C6"/>
    <w:rsid w:val="008A13A7"/>
    <w:rsid w:val="008A14D5"/>
    <w:rsid w:val="008B7A9D"/>
    <w:rsid w:val="008C3289"/>
    <w:rsid w:val="008C57E9"/>
    <w:rsid w:val="008F7CA6"/>
    <w:rsid w:val="00924EB0"/>
    <w:rsid w:val="009254FE"/>
    <w:rsid w:val="00935EDA"/>
    <w:rsid w:val="009462C2"/>
    <w:rsid w:val="00953B30"/>
    <w:rsid w:val="00953FEC"/>
    <w:rsid w:val="00957875"/>
    <w:rsid w:val="009672AF"/>
    <w:rsid w:val="00975B49"/>
    <w:rsid w:val="00984326"/>
    <w:rsid w:val="0099795F"/>
    <w:rsid w:val="009A26B3"/>
    <w:rsid w:val="009B0D69"/>
    <w:rsid w:val="009D0342"/>
    <w:rsid w:val="009D49C7"/>
    <w:rsid w:val="009D55B8"/>
    <w:rsid w:val="009E3163"/>
    <w:rsid w:val="009F1F8F"/>
    <w:rsid w:val="00A034E7"/>
    <w:rsid w:val="00A16FDC"/>
    <w:rsid w:val="00A179D2"/>
    <w:rsid w:val="00A210E0"/>
    <w:rsid w:val="00A26141"/>
    <w:rsid w:val="00A32E06"/>
    <w:rsid w:val="00A33297"/>
    <w:rsid w:val="00A36F73"/>
    <w:rsid w:val="00A4370D"/>
    <w:rsid w:val="00A43E2F"/>
    <w:rsid w:val="00A44940"/>
    <w:rsid w:val="00A46A22"/>
    <w:rsid w:val="00A55CDF"/>
    <w:rsid w:val="00A725D8"/>
    <w:rsid w:val="00A83723"/>
    <w:rsid w:val="00A87706"/>
    <w:rsid w:val="00AA3EEB"/>
    <w:rsid w:val="00AB3F1B"/>
    <w:rsid w:val="00AB4649"/>
    <w:rsid w:val="00AC2BF2"/>
    <w:rsid w:val="00AD1CCD"/>
    <w:rsid w:val="00AD7CAC"/>
    <w:rsid w:val="00AE031D"/>
    <w:rsid w:val="00AE5BA9"/>
    <w:rsid w:val="00AF6621"/>
    <w:rsid w:val="00AF6C24"/>
    <w:rsid w:val="00B06179"/>
    <w:rsid w:val="00B10C72"/>
    <w:rsid w:val="00B12DFF"/>
    <w:rsid w:val="00B202BB"/>
    <w:rsid w:val="00B221CD"/>
    <w:rsid w:val="00B262F1"/>
    <w:rsid w:val="00B2766E"/>
    <w:rsid w:val="00B3212D"/>
    <w:rsid w:val="00B32600"/>
    <w:rsid w:val="00B32A26"/>
    <w:rsid w:val="00B34339"/>
    <w:rsid w:val="00B42894"/>
    <w:rsid w:val="00B70ED5"/>
    <w:rsid w:val="00B85F00"/>
    <w:rsid w:val="00B861E8"/>
    <w:rsid w:val="00B93742"/>
    <w:rsid w:val="00BA3396"/>
    <w:rsid w:val="00BA6F62"/>
    <w:rsid w:val="00BB12E5"/>
    <w:rsid w:val="00BB1F6B"/>
    <w:rsid w:val="00BB5A3E"/>
    <w:rsid w:val="00BC1F4A"/>
    <w:rsid w:val="00BD167C"/>
    <w:rsid w:val="00BD3C21"/>
    <w:rsid w:val="00BD5315"/>
    <w:rsid w:val="00BD72A5"/>
    <w:rsid w:val="00BE06C3"/>
    <w:rsid w:val="00BE739F"/>
    <w:rsid w:val="00C053E2"/>
    <w:rsid w:val="00C06382"/>
    <w:rsid w:val="00C07E33"/>
    <w:rsid w:val="00C1657D"/>
    <w:rsid w:val="00C2003A"/>
    <w:rsid w:val="00C22015"/>
    <w:rsid w:val="00C2258F"/>
    <w:rsid w:val="00C24331"/>
    <w:rsid w:val="00C30EE0"/>
    <w:rsid w:val="00C3780E"/>
    <w:rsid w:val="00C411C2"/>
    <w:rsid w:val="00C433D3"/>
    <w:rsid w:val="00C44607"/>
    <w:rsid w:val="00C44E93"/>
    <w:rsid w:val="00C45DB1"/>
    <w:rsid w:val="00C731ED"/>
    <w:rsid w:val="00C938B2"/>
    <w:rsid w:val="00C95A1E"/>
    <w:rsid w:val="00CB1132"/>
    <w:rsid w:val="00CB120A"/>
    <w:rsid w:val="00CB72F2"/>
    <w:rsid w:val="00CC15C2"/>
    <w:rsid w:val="00CE7033"/>
    <w:rsid w:val="00CF3356"/>
    <w:rsid w:val="00D073B4"/>
    <w:rsid w:val="00D3745B"/>
    <w:rsid w:val="00D57206"/>
    <w:rsid w:val="00D572C9"/>
    <w:rsid w:val="00D66D68"/>
    <w:rsid w:val="00D701F4"/>
    <w:rsid w:val="00D73411"/>
    <w:rsid w:val="00D77F8E"/>
    <w:rsid w:val="00D8288B"/>
    <w:rsid w:val="00D8541B"/>
    <w:rsid w:val="00D86738"/>
    <w:rsid w:val="00D90027"/>
    <w:rsid w:val="00D92C39"/>
    <w:rsid w:val="00DA4790"/>
    <w:rsid w:val="00DA6294"/>
    <w:rsid w:val="00DA7422"/>
    <w:rsid w:val="00DD2B12"/>
    <w:rsid w:val="00DE247D"/>
    <w:rsid w:val="00DF3867"/>
    <w:rsid w:val="00DF7722"/>
    <w:rsid w:val="00E106C1"/>
    <w:rsid w:val="00E11C44"/>
    <w:rsid w:val="00E1330E"/>
    <w:rsid w:val="00E20355"/>
    <w:rsid w:val="00E25647"/>
    <w:rsid w:val="00E366A3"/>
    <w:rsid w:val="00E40F9B"/>
    <w:rsid w:val="00E42AB9"/>
    <w:rsid w:val="00E43EBC"/>
    <w:rsid w:val="00E52B20"/>
    <w:rsid w:val="00E55877"/>
    <w:rsid w:val="00E566F7"/>
    <w:rsid w:val="00E73D3B"/>
    <w:rsid w:val="00E81C1D"/>
    <w:rsid w:val="00E856AF"/>
    <w:rsid w:val="00E86968"/>
    <w:rsid w:val="00EA09B5"/>
    <w:rsid w:val="00ED3359"/>
    <w:rsid w:val="00F032AB"/>
    <w:rsid w:val="00F043F5"/>
    <w:rsid w:val="00F0456A"/>
    <w:rsid w:val="00F34AF3"/>
    <w:rsid w:val="00F41067"/>
    <w:rsid w:val="00F4126E"/>
    <w:rsid w:val="00F43736"/>
    <w:rsid w:val="00F56C3B"/>
    <w:rsid w:val="00F576E4"/>
    <w:rsid w:val="00F5770D"/>
    <w:rsid w:val="00F62E79"/>
    <w:rsid w:val="00F7019C"/>
    <w:rsid w:val="00F74CF5"/>
    <w:rsid w:val="00F804F2"/>
    <w:rsid w:val="00F877C5"/>
    <w:rsid w:val="00F978FF"/>
    <w:rsid w:val="00FA3F04"/>
    <w:rsid w:val="00FC0D5E"/>
    <w:rsid w:val="00FC16B4"/>
    <w:rsid w:val="00FC3239"/>
    <w:rsid w:val="00FC3D4E"/>
    <w:rsid w:val="00FC7DDA"/>
    <w:rsid w:val="00FC7DE8"/>
    <w:rsid w:val="00FD494A"/>
    <w:rsid w:val="00FD72FC"/>
    <w:rsid w:val="00FF56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360D34"/>
  <w15:chartTrackingRefBased/>
  <w15:docId w15:val="{5AB7CF3E-39AF-49CC-A78F-E15348BC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autoRedefine/>
    <w:qFormat/>
    <w:rsid w:val="006A05A6"/>
    <w:pPr>
      <w:keepNext/>
      <w:spacing w:before="360"/>
      <w:jc w:val="both"/>
      <w:outlineLvl w:val="0"/>
    </w:pPr>
    <w:rPr>
      <w:b/>
      <w:bCs/>
    </w:rPr>
  </w:style>
  <w:style w:type="paragraph" w:styleId="Titre2">
    <w:name w:val="heading 2"/>
    <w:basedOn w:val="Normal"/>
    <w:next w:val="Normal"/>
    <w:qFormat/>
    <w:pPr>
      <w:keepNext/>
      <w:spacing w:before="240" w:after="60"/>
      <w:outlineLvl w:val="1"/>
    </w:pPr>
    <w:rPr>
      <w:rFonts w:ascii="Arial" w:hAnsi="Arial"/>
      <w:b/>
      <w:i/>
      <w:sz w:val="24"/>
    </w:rPr>
  </w:style>
  <w:style w:type="paragraph" w:styleId="Titre3">
    <w:name w:val="heading 3"/>
    <w:basedOn w:val="Normal"/>
    <w:next w:val="Normal"/>
    <w:qFormat/>
    <w:pPr>
      <w:keepNext/>
      <w:pBdr>
        <w:top w:val="single" w:sz="4" w:space="1" w:color="auto" w:shadow="1"/>
        <w:left w:val="single" w:sz="4" w:space="4" w:color="auto" w:shadow="1"/>
        <w:bottom w:val="single" w:sz="4" w:space="1" w:color="auto" w:shadow="1"/>
        <w:right w:val="single" w:sz="4" w:space="4" w:color="auto" w:shadow="1"/>
      </w:pBdr>
      <w:jc w:val="center"/>
      <w:outlineLvl w:val="2"/>
    </w:pPr>
    <w:rPr>
      <w:i/>
      <w:sz w:val="18"/>
    </w:rPr>
  </w:style>
  <w:style w:type="paragraph" w:styleId="Titre4">
    <w:name w:val="heading 4"/>
    <w:basedOn w:val="Normal"/>
    <w:next w:val="Normal"/>
    <w:qFormat/>
    <w:pPr>
      <w:keepNext/>
      <w:ind w:left="3828"/>
      <w:jc w:val="center"/>
      <w:outlineLvl w:val="3"/>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spacing w:after="120"/>
      <w:ind w:right="-149"/>
    </w:pPr>
    <w:rPr>
      <w:sz w:val="24"/>
    </w:rPr>
  </w:style>
  <w:style w:type="paragraph" w:styleId="Retraitcorpsdetexte2">
    <w:name w:val="Body Text Indent 2"/>
    <w:basedOn w:val="Normal"/>
    <w:pPr>
      <w:ind w:firstLine="708"/>
      <w:jc w:val="both"/>
    </w:pPr>
    <w:rPr>
      <w:sz w:val="22"/>
    </w:rPr>
  </w:style>
  <w:style w:type="paragraph" w:styleId="Corpsdetexte">
    <w:name w:val="Body Text"/>
    <w:basedOn w:val="Normal"/>
    <w:pPr>
      <w:jc w:val="right"/>
    </w:pPr>
    <w:rPr>
      <w:sz w:val="18"/>
    </w:rPr>
  </w:style>
  <w:style w:type="paragraph" w:styleId="Corpsdetexte3">
    <w:name w:val="Body Text 3"/>
    <w:basedOn w:val="Normal"/>
    <w:pPr>
      <w:ind w:right="15"/>
      <w:jc w:val="both"/>
    </w:pPr>
    <w:rPr>
      <w:sz w:val="18"/>
    </w:rPr>
  </w:style>
  <w:style w:type="paragraph" w:customStyle="1" w:styleId="HTMLBody">
    <w:name w:val="HTML Body"/>
    <w:rPr>
      <w:rFonts w:ascii="Arial" w:hAnsi="Arial"/>
      <w:snapToGrid w:val="0"/>
    </w:rPr>
  </w:style>
  <w:style w:type="paragraph" w:customStyle="1" w:styleId="fcasegauche">
    <w:name w:val="f_case_gauche"/>
    <w:basedOn w:val="Normal"/>
    <w:pPr>
      <w:spacing w:after="60"/>
      <w:ind w:left="284" w:hanging="284"/>
      <w:jc w:val="both"/>
    </w:pPr>
    <w:rPr>
      <w:rFonts w:ascii="Univers (WN)" w:hAnsi="Univers (WN)"/>
    </w:rPr>
  </w:style>
  <w:style w:type="paragraph" w:styleId="Textedebulles">
    <w:name w:val="Balloon Text"/>
    <w:basedOn w:val="Normal"/>
    <w:semiHidden/>
    <w:rsid w:val="00F877C5"/>
    <w:rPr>
      <w:rFonts w:ascii="Tahoma" w:hAnsi="Tahoma" w:cs="Tahoma"/>
      <w:sz w:val="16"/>
      <w:szCs w:val="16"/>
    </w:rPr>
  </w:style>
  <w:style w:type="character" w:styleId="Marquedecommentaire">
    <w:name w:val="annotation reference"/>
    <w:semiHidden/>
    <w:rsid w:val="00221453"/>
    <w:rPr>
      <w:sz w:val="16"/>
      <w:szCs w:val="16"/>
    </w:rPr>
  </w:style>
  <w:style w:type="paragraph" w:styleId="Commentaire">
    <w:name w:val="annotation text"/>
    <w:basedOn w:val="Normal"/>
    <w:semiHidden/>
    <w:rsid w:val="00221453"/>
  </w:style>
  <w:style w:type="paragraph" w:styleId="Objetducommentaire">
    <w:name w:val="annotation subject"/>
    <w:basedOn w:val="Commentaire"/>
    <w:next w:val="Commentaire"/>
    <w:semiHidden/>
    <w:rsid w:val="00221453"/>
    <w:rPr>
      <w:b/>
      <w:bCs/>
    </w:rPr>
  </w:style>
  <w:style w:type="paragraph" w:customStyle="1" w:styleId="fcase2metab">
    <w:name w:val="f_case_2èmetab"/>
    <w:basedOn w:val="Normal"/>
    <w:rsid w:val="00703927"/>
    <w:pPr>
      <w:tabs>
        <w:tab w:val="left" w:pos="426"/>
        <w:tab w:val="left" w:pos="851"/>
      </w:tabs>
      <w:ind w:left="1134" w:hanging="1134"/>
      <w:jc w:val="both"/>
    </w:pPr>
    <w:rPr>
      <w:rFonts w:ascii="Univers (WN)" w:hAnsi="Univers (WN)"/>
    </w:rPr>
  </w:style>
  <w:style w:type="table" w:styleId="Grilledutableau">
    <w:name w:val="Table Grid"/>
    <w:basedOn w:val="TableauNormal"/>
    <w:rsid w:val="007039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5E0101"/>
    <w:rPr>
      <w:color w:val="0000FF"/>
      <w:u w:val="single"/>
    </w:rPr>
  </w:style>
  <w:style w:type="character" w:styleId="Lienhypertextesuivivisit">
    <w:name w:val="FollowedHyperlink"/>
    <w:rsid w:val="00DA7422"/>
    <w:rPr>
      <w:color w:val="800080"/>
      <w:u w:val="single"/>
    </w:rPr>
  </w:style>
  <w:style w:type="paragraph" w:styleId="Notedebasdepage">
    <w:name w:val="footnote text"/>
    <w:basedOn w:val="Normal"/>
    <w:link w:val="NotedebasdepageCar"/>
    <w:uiPriority w:val="99"/>
    <w:rsid w:val="004B4849"/>
  </w:style>
  <w:style w:type="character" w:styleId="Appelnotedebasdep">
    <w:name w:val="footnote reference"/>
    <w:semiHidden/>
    <w:rsid w:val="004B4849"/>
    <w:rPr>
      <w:vertAlign w:val="superscript"/>
    </w:rPr>
  </w:style>
  <w:style w:type="character" w:styleId="lev">
    <w:name w:val="Strong"/>
    <w:uiPriority w:val="22"/>
    <w:qFormat/>
    <w:rsid w:val="00CE7033"/>
    <w:rPr>
      <w:b/>
      <w:bCs/>
    </w:rPr>
  </w:style>
  <w:style w:type="paragraph" w:customStyle="1" w:styleId="DecimalAligned">
    <w:name w:val="Decimal Aligned"/>
    <w:basedOn w:val="Normal"/>
    <w:uiPriority w:val="40"/>
    <w:qFormat/>
    <w:rsid w:val="00A33297"/>
    <w:pPr>
      <w:tabs>
        <w:tab w:val="decimal" w:pos="360"/>
      </w:tabs>
      <w:spacing w:after="200" w:line="276" w:lineRule="auto"/>
    </w:pPr>
    <w:rPr>
      <w:rFonts w:ascii="Calibri" w:eastAsia="Calibri" w:hAnsi="Calibri"/>
      <w:sz w:val="22"/>
      <w:szCs w:val="22"/>
    </w:rPr>
  </w:style>
  <w:style w:type="character" w:customStyle="1" w:styleId="NotedebasdepageCar">
    <w:name w:val="Note de bas de page Car"/>
    <w:link w:val="Notedebasdepage"/>
    <w:uiPriority w:val="99"/>
    <w:rsid w:val="00A33297"/>
  </w:style>
  <w:style w:type="character" w:styleId="Accentuationlgre">
    <w:name w:val="Subtle Emphasis"/>
    <w:uiPriority w:val="19"/>
    <w:qFormat/>
    <w:rsid w:val="00A33297"/>
    <w:rPr>
      <w:i/>
      <w:iCs/>
      <w:color w:val="000000"/>
    </w:rPr>
  </w:style>
  <w:style w:type="table" w:styleId="Trameclaire-Accent1">
    <w:name w:val="Light Shading Accent 1"/>
    <w:basedOn w:val="TableauNormal"/>
    <w:uiPriority w:val="60"/>
    <w:rsid w:val="00A33297"/>
    <w:rPr>
      <w:rFonts w:ascii="Calibri" w:hAnsi="Calibri"/>
      <w:color w:val="4F81BD"/>
      <w:sz w:val="22"/>
      <w:szCs w:val="22"/>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steclaire-Accent1">
    <w:name w:val="Light List Accent 1"/>
    <w:basedOn w:val="TableauNormal"/>
    <w:uiPriority w:val="61"/>
    <w:rsid w:val="001B449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tte">
    <w:name w:val="header"/>
    <w:basedOn w:val="Normal"/>
    <w:link w:val="En-tteCar"/>
    <w:uiPriority w:val="99"/>
    <w:unhideWhenUsed/>
    <w:rsid w:val="00122F0C"/>
    <w:pPr>
      <w:tabs>
        <w:tab w:val="center" w:pos="4536"/>
        <w:tab w:val="right" w:pos="9072"/>
      </w:tabs>
    </w:pPr>
  </w:style>
  <w:style w:type="character" w:customStyle="1" w:styleId="En-tteCar">
    <w:name w:val="En-tête Car"/>
    <w:basedOn w:val="Policepardfaut"/>
    <w:link w:val="En-tte"/>
    <w:uiPriority w:val="99"/>
    <w:rsid w:val="00122F0C"/>
  </w:style>
  <w:style w:type="paragraph" w:styleId="Pieddepage">
    <w:name w:val="footer"/>
    <w:basedOn w:val="Normal"/>
    <w:link w:val="PieddepageCar"/>
    <w:uiPriority w:val="99"/>
    <w:unhideWhenUsed/>
    <w:rsid w:val="00122F0C"/>
    <w:pPr>
      <w:tabs>
        <w:tab w:val="center" w:pos="4536"/>
        <w:tab w:val="right" w:pos="9072"/>
      </w:tabs>
    </w:pPr>
  </w:style>
  <w:style w:type="character" w:customStyle="1" w:styleId="PieddepageCar">
    <w:name w:val="Pied de page Car"/>
    <w:basedOn w:val="Policepardfaut"/>
    <w:link w:val="Pieddepage"/>
    <w:uiPriority w:val="99"/>
    <w:rsid w:val="00122F0C"/>
  </w:style>
  <w:style w:type="paragraph" w:styleId="Notedefin">
    <w:name w:val="endnote text"/>
    <w:basedOn w:val="Normal"/>
    <w:link w:val="NotedefinCar"/>
    <w:uiPriority w:val="99"/>
    <w:semiHidden/>
    <w:unhideWhenUsed/>
    <w:rsid w:val="00122F0C"/>
  </w:style>
  <w:style w:type="character" w:customStyle="1" w:styleId="NotedefinCar">
    <w:name w:val="Note de fin Car"/>
    <w:basedOn w:val="Policepardfaut"/>
    <w:link w:val="Notedefin"/>
    <w:uiPriority w:val="99"/>
    <w:semiHidden/>
    <w:rsid w:val="00122F0C"/>
  </w:style>
  <w:style w:type="character" w:styleId="Appeldenotedefin">
    <w:name w:val="endnote reference"/>
    <w:basedOn w:val="Policepardfaut"/>
    <w:uiPriority w:val="99"/>
    <w:semiHidden/>
    <w:unhideWhenUsed/>
    <w:rsid w:val="00122F0C"/>
    <w:rPr>
      <w:vertAlign w:val="superscript"/>
    </w:rPr>
  </w:style>
  <w:style w:type="paragraph" w:styleId="Paragraphedeliste">
    <w:name w:val="List Paragraph"/>
    <w:basedOn w:val="Normal"/>
    <w:link w:val="ParagraphedelisteCar"/>
    <w:uiPriority w:val="34"/>
    <w:qFormat/>
    <w:rsid w:val="00177921"/>
    <w:pPr>
      <w:ind w:left="720"/>
      <w:contextualSpacing/>
    </w:pPr>
  </w:style>
  <w:style w:type="character" w:customStyle="1" w:styleId="Titre1Car">
    <w:name w:val="Titre 1 Car"/>
    <w:basedOn w:val="Policepardfaut"/>
    <w:link w:val="Titre1"/>
    <w:rsid w:val="007D4584"/>
    <w:rPr>
      <w:b/>
      <w:bCs/>
    </w:rPr>
  </w:style>
  <w:style w:type="paragraph" w:customStyle="1" w:styleId="a">
    <w:uiPriority w:val="21"/>
    <w:qFormat/>
    <w:rsid w:val="00127C70"/>
  </w:style>
  <w:style w:type="character" w:styleId="Accentuationintense">
    <w:name w:val="Intense Emphasis"/>
    <w:basedOn w:val="Policepardfaut"/>
    <w:uiPriority w:val="21"/>
    <w:qFormat/>
    <w:rsid w:val="00127C70"/>
    <w:rPr>
      <w:i/>
      <w:iCs/>
      <w:color w:val="5B9BD5" w:themeColor="accent1"/>
    </w:rPr>
  </w:style>
  <w:style w:type="paragraph" w:customStyle="1" w:styleId="a0">
    <w:uiPriority w:val="21"/>
    <w:qFormat/>
    <w:rsid w:val="00127C70"/>
  </w:style>
  <w:style w:type="character" w:customStyle="1" w:styleId="ParagraphedelisteCar">
    <w:name w:val="Paragraphe de liste Car"/>
    <w:link w:val="Paragraphedeliste"/>
    <w:uiPriority w:val="34"/>
    <w:locked/>
    <w:rsid w:val="001903A0"/>
  </w:style>
  <w:style w:type="paragraph" w:customStyle="1" w:styleId="a1">
    <w:uiPriority w:val="21"/>
    <w:qFormat/>
    <w:rsid w:val="00D854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64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cahiers-clauses-administratives-generales-et-techniqu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5D1B27D82EBA4895AD5FA25C10968B" ma:contentTypeVersion="" ma:contentTypeDescription="Crée un document." ma:contentTypeScope="" ma:versionID="4376aa27ac01fb62903dd0a868caaa85">
  <xsd:schema xmlns:xsd="http://www.w3.org/2001/XMLSchema" xmlns:xs="http://www.w3.org/2001/XMLSchema" xmlns:p="http://schemas.microsoft.com/office/2006/metadata/properties" xmlns:ns1="http://schemas.microsoft.com/sharepoint/v3" targetNamespace="http://schemas.microsoft.com/office/2006/metadata/properties" ma:root="true" ma:fieldsID="34be24dabbb21a3570e7bf0528c7ba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internalName="PublishingStartDate">
      <xsd:simpleType>
        <xsd:restriction base="dms:Unknown"/>
      </xsd:simpleType>
    </xsd:element>
    <xsd:element name="PublishingExpirationDate" ma:index="9" nillable="true" ma:displayName="Date de fin de planifica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18487-F729-43D3-BB38-0E0F9C23C308}">
  <ds:schemaRefs>
    <ds:schemaRef ds:uri="http://schemas.microsoft.com/sharepoint/v3/contenttype/forms"/>
  </ds:schemaRefs>
</ds:datastoreItem>
</file>

<file path=customXml/itemProps2.xml><?xml version="1.0" encoding="utf-8"?>
<ds:datastoreItem xmlns:ds="http://schemas.openxmlformats.org/officeDocument/2006/customXml" ds:itemID="{78912F0D-14E2-4AA7-B39B-934312DD558E}">
  <ds:schemaRefs>
    <ds:schemaRef ds:uri="http://schemas.microsoft.com/office/2006/documentManagement/types"/>
    <ds:schemaRef ds:uri="http://schemas.microsoft.com/office/2006/metadata/properties"/>
    <ds:schemaRef ds:uri="http://purl.org/dc/dcmitype/"/>
    <ds:schemaRef ds:uri="http://www.w3.org/XML/1998/namespace"/>
    <ds:schemaRef ds:uri="http://purl.org/dc/elements/1.1/"/>
    <ds:schemaRef ds:uri="http://purl.org/dc/terms/"/>
    <ds:schemaRef ds:uri="http://schemas.openxmlformats.org/package/2006/metadata/core-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6E32B61-E1A4-4E17-8F2F-729761F4B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0D3A0D-40DB-4142-918E-BCAFD11A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884</TotalTime>
  <Pages>5</Pages>
  <Words>3437</Words>
  <Characters>19035</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LE CENTRE NATIONAL DE LA RECHERCHE SCIENTIFIQUE</vt:lpstr>
    </vt:vector>
  </TitlesOfParts>
  <Company>CNRS</Company>
  <LinksUpToDate>false</LinksUpToDate>
  <CharactersWithSpaces>22428</CharactersWithSpaces>
  <SharedDoc>false</SharedDoc>
  <HLinks>
    <vt:vector size="6" baseType="variant">
      <vt:variant>
        <vt:i4>851992</vt:i4>
      </vt:variant>
      <vt:variant>
        <vt:i4>27</vt:i4>
      </vt:variant>
      <vt:variant>
        <vt:i4>0</vt:i4>
      </vt:variant>
      <vt:variant>
        <vt:i4>5</vt:i4>
      </vt:variant>
      <vt:variant>
        <vt:lpwstr>http://www.economie.gouv.fr/daj/Cahiers-des-Clauses-Administratives-Generales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dc:title>
  <dc:subject/>
  <dc:creator>debeire_c</dc:creator>
  <cp:keywords/>
  <dc:description>mis à jour le 2 septembre  2010_x000d_
Masha Albertini - DDA</dc:description>
  <cp:lastModifiedBy>RIEUX Sylvie</cp:lastModifiedBy>
  <cp:revision>29</cp:revision>
  <cp:lastPrinted>2019-12-17T13:10:00Z</cp:lastPrinted>
  <dcterms:created xsi:type="dcterms:W3CDTF">2024-09-27T12:38:00Z</dcterms:created>
  <dcterms:modified xsi:type="dcterms:W3CDTF">2024-10-24T12:35:00Z</dcterms:modified>
</cp:coreProperties>
</file>