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38D3" w14:textId="10934248" w:rsidR="00E7429A" w:rsidRDefault="00947617" w:rsidP="00947617">
      <w:pPr>
        <w:rPr>
          <w:b/>
          <w:bCs/>
          <w:sz w:val="28"/>
          <w:szCs w:val="28"/>
        </w:rPr>
      </w:pPr>
      <w:r>
        <w:rPr>
          <w:noProof/>
        </w:rPr>
        <w:drawing>
          <wp:anchor distT="0" distB="0" distL="114300" distR="114300" simplePos="0" relativeHeight="251659264" behindDoc="0" locked="0" layoutInCell="1" allowOverlap="1" wp14:anchorId="10AE99AB" wp14:editId="40A7C1E3">
            <wp:simplePos x="0" y="0"/>
            <wp:positionH relativeFrom="column">
              <wp:posOffset>4786630</wp:posOffset>
            </wp:positionH>
            <wp:positionV relativeFrom="paragraph">
              <wp:posOffset>5080</wp:posOffset>
            </wp:positionV>
            <wp:extent cx="1160780" cy="962025"/>
            <wp:effectExtent l="0" t="0" r="127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078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2506782" wp14:editId="2EE86C40">
            <wp:extent cx="923925" cy="89371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7852" cy="897513"/>
                    </a:xfrm>
                    <a:prstGeom prst="rect">
                      <a:avLst/>
                    </a:prstGeom>
                    <a:noFill/>
                    <a:ln>
                      <a:noFill/>
                    </a:ln>
                  </pic:spPr>
                </pic:pic>
              </a:graphicData>
            </a:graphic>
          </wp:inline>
        </w:drawing>
      </w:r>
    </w:p>
    <w:p w14:paraId="15E7DA96" w14:textId="1DD2BE82" w:rsidR="005008D7" w:rsidRPr="00E7429A" w:rsidRDefault="00E7429A" w:rsidP="00E7429A">
      <w:pPr>
        <w:jc w:val="center"/>
        <w:rPr>
          <w:b/>
          <w:bCs/>
          <w:sz w:val="28"/>
          <w:szCs w:val="28"/>
        </w:rPr>
      </w:pPr>
      <w:r w:rsidRPr="00E7429A">
        <w:rPr>
          <w:b/>
          <w:bCs/>
          <w:sz w:val="28"/>
          <w:szCs w:val="28"/>
        </w:rPr>
        <w:t>Marché n°2024DAC0022L01/L04</w:t>
      </w:r>
    </w:p>
    <w:p w14:paraId="6F1FCD71" w14:textId="0007C7F4" w:rsidR="00E7429A" w:rsidRDefault="00E7429A" w:rsidP="00E7429A">
      <w:pPr>
        <w:jc w:val="center"/>
        <w:rPr>
          <w:b/>
          <w:bCs/>
          <w:sz w:val="28"/>
          <w:szCs w:val="28"/>
        </w:rPr>
      </w:pPr>
      <w:r w:rsidRPr="00E7429A">
        <w:rPr>
          <w:b/>
          <w:bCs/>
          <w:sz w:val="28"/>
          <w:szCs w:val="28"/>
        </w:rPr>
        <w:t>Gestion et traitement des déchets de l’Université Clermont Auvergne et Clermont Auvergne INP</w:t>
      </w:r>
    </w:p>
    <w:p w14:paraId="458E9230" w14:textId="098B1E46" w:rsidR="00E7429A" w:rsidRDefault="00E7429A" w:rsidP="00E7429A">
      <w:pPr>
        <w:jc w:val="center"/>
        <w:rPr>
          <w:b/>
          <w:bCs/>
          <w:sz w:val="28"/>
          <w:szCs w:val="28"/>
        </w:rPr>
      </w:pPr>
    </w:p>
    <w:p w14:paraId="39151495" w14:textId="34D02A0A" w:rsidR="00E7429A" w:rsidRDefault="00E7429A" w:rsidP="00E7429A">
      <w:pPr>
        <w:jc w:val="center"/>
        <w:rPr>
          <w:b/>
          <w:bCs/>
          <w:sz w:val="28"/>
          <w:szCs w:val="28"/>
        </w:rPr>
      </w:pPr>
      <w:r>
        <w:rPr>
          <w:b/>
          <w:bCs/>
          <w:sz w:val="28"/>
          <w:szCs w:val="28"/>
        </w:rPr>
        <w:t xml:space="preserve">ANNEXE 1 AU CCAP </w:t>
      </w:r>
    </w:p>
    <w:p w14:paraId="30E9867E" w14:textId="26969A4D" w:rsidR="00E7429A" w:rsidRDefault="00E7429A" w:rsidP="00E7429A">
      <w:pPr>
        <w:jc w:val="center"/>
        <w:rPr>
          <w:b/>
          <w:bCs/>
          <w:sz w:val="28"/>
          <w:szCs w:val="28"/>
        </w:rPr>
      </w:pPr>
      <w:r>
        <w:rPr>
          <w:b/>
          <w:bCs/>
          <w:sz w:val="28"/>
          <w:szCs w:val="28"/>
        </w:rPr>
        <w:t xml:space="preserve">CLAUSE D’INSERTION PAR L’ECONOMIQUE </w:t>
      </w:r>
    </w:p>
    <w:p w14:paraId="7AAA4087" w14:textId="707A82F6" w:rsidR="00947617" w:rsidRDefault="00947617" w:rsidP="00E7429A">
      <w:pPr>
        <w:jc w:val="center"/>
        <w:rPr>
          <w:b/>
          <w:bCs/>
          <w:sz w:val="28"/>
          <w:szCs w:val="28"/>
        </w:rPr>
      </w:pPr>
    </w:p>
    <w:p w14:paraId="20582EE5" w14:textId="77777777" w:rsidR="00947617" w:rsidRDefault="00947617" w:rsidP="00947617">
      <w:pPr>
        <w:pStyle w:val="Paragraphedeliste"/>
        <w:numPr>
          <w:ilvl w:val="0"/>
          <w:numId w:val="1"/>
        </w:numPr>
        <w:spacing w:after="0" w:line="276" w:lineRule="auto"/>
        <w:jc w:val="both"/>
        <w:rPr>
          <w:rFonts w:eastAsiaTheme="minorEastAsia"/>
          <w:b/>
          <w:bCs/>
          <w:color w:val="000000" w:themeColor="text1"/>
          <w:sz w:val="24"/>
          <w:szCs w:val="24"/>
          <w:u w:val="single"/>
        </w:rPr>
      </w:pPr>
      <w:r w:rsidRPr="6A98C613">
        <w:rPr>
          <w:rFonts w:eastAsiaTheme="minorEastAsia"/>
          <w:b/>
          <w:bCs/>
          <w:color w:val="000000" w:themeColor="text1"/>
          <w:sz w:val="24"/>
          <w:szCs w:val="24"/>
          <w:u w:val="single"/>
        </w:rPr>
        <w:t>Favoriser l’insertion professionnelle des personnes éloignées de l’emploi</w:t>
      </w:r>
    </w:p>
    <w:p w14:paraId="720BD45D" w14:textId="77777777" w:rsidR="00947617" w:rsidRDefault="00947617" w:rsidP="00947617">
      <w:pPr>
        <w:jc w:val="both"/>
        <w:rPr>
          <w:rFonts w:eastAsiaTheme="minorEastAsia"/>
          <w:sz w:val="24"/>
          <w:szCs w:val="24"/>
        </w:rPr>
      </w:pPr>
    </w:p>
    <w:p w14:paraId="4ADEF76F" w14:textId="77777777" w:rsidR="00947617" w:rsidRDefault="00947617" w:rsidP="00947617">
      <w:pPr>
        <w:jc w:val="both"/>
        <w:rPr>
          <w:rFonts w:eastAsiaTheme="minorEastAsia"/>
          <w:color w:val="000000" w:themeColor="text1"/>
          <w:sz w:val="24"/>
          <w:szCs w:val="24"/>
        </w:rPr>
      </w:pPr>
      <w:r w:rsidRPr="37B67152">
        <w:rPr>
          <w:rFonts w:eastAsiaTheme="minorEastAsia"/>
          <w:color w:val="000000" w:themeColor="text1"/>
          <w:sz w:val="24"/>
          <w:szCs w:val="24"/>
        </w:rPr>
        <w:t>Conformément à l'article L2112-2 du Code de la Commande Publique applicable au 1</w:t>
      </w:r>
      <w:r w:rsidRPr="37B67152">
        <w:rPr>
          <w:rFonts w:eastAsiaTheme="minorEastAsia"/>
          <w:color w:val="000000" w:themeColor="text1"/>
          <w:sz w:val="24"/>
          <w:szCs w:val="24"/>
          <w:vertAlign w:val="superscript"/>
        </w:rPr>
        <w:t>er</w:t>
      </w:r>
      <w:r w:rsidRPr="37B67152">
        <w:rPr>
          <w:rFonts w:eastAsiaTheme="minorEastAsia"/>
          <w:color w:val="000000" w:themeColor="text1"/>
          <w:sz w:val="24"/>
          <w:szCs w:val="24"/>
        </w:rPr>
        <w:t xml:space="preserve"> avril 2019, l'acheteur public fixe dans cette opération une </w:t>
      </w:r>
      <w:r w:rsidRPr="37B67152">
        <w:rPr>
          <w:rFonts w:eastAsiaTheme="minorEastAsia"/>
          <w:b/>
          <w:bCs/>
          <w:color w:val="000000" w:themeColor="text1"/>
          <w:sz w:val="24"/>
          <w:szCs w:val="24"/>
        </w:rPr>
        <w:t>clause sociale d’insertion</w:t>
      </w:r>
      <w:r w:rsidRPr="37B67152">
        <w:rPr>
          <w:rFonts w:eastAsiaTheme="minorEastAsia"/>
          <w:color w:val="000000" w:themeColor="text1"/>
          <w:sz w:val="24"/>
          <w:szCs w:val="24"/>
        </w:rPr>
        <w:t xml:space="preserve"> considérée par la présente annexe au CCAP comme une </w:t>
      </w:r>
      <w:r w:rsidRPr="37B67152">
        <w:rPr>
          <w:rFonts w:eastAsiaTheme="minorEastAsia"/>
          <w:b/>
          <w:bCs/>
          <w:color w:val="000000" w:themeColor="text1"/>
          <w:sz w:val="24"/>
          <w:szCs w:val="24"/>
        </w:rPr>
        <w:t xml:space="preserve">condition d’exécution </w:t>
      </w:r>
      <w:r w:rsidRPr="37B67152">
        <w:rPr>
          <w:rFonts w:eastAsiaTheme="minorEastAsia"/>
          <w:color w:val="000000" w:themeColor="text1"/>
          <w:sz w:val="24"/>
          <w:szCs w:val="24"/>
        </w:rPr>
        <w:t xml:space="preserve">du marché. En ce sens, </w:t>
      </w:r>
      <w:r w:rsidRPr="37B67152">
        <w:rPr>
          <w:rFonts w:ascii="Calibri" w:eastAsia="Calibri" w:hAnsi="Calibri" w:cs="Calibri"/>
          <w:color w:val="000000" w:themeColor="text1"/>
          <w:sz w:val="24"/>
          <w:szCs w:val="24"/>
        </w:rPr>
        <w:t xml:space="preserve">l’entreprise titulaire devra réaliser </w:t>
      </w:r>
      <w:r w:rsidRPr="37B67152">
        <w:rPr>
          <w:rFonts w:ascii="Calibri" w:eastAsia="Calibri" w:hAnsi="Calibri" w:cs="Calibri"/>
          <w:b/>
          <w:bCs/>
          <w:color w:val="000000" w:themeColor="text1"/>
          <w:sz w:val="24"/>
          <w:szCs w:val="24"/>
        </w:rPr>
        <w:t>un nombre d’heures d’insertion figurant dans l’Acte d’Engagement</w:t>
      </w:r>
      <w:r w:rsidRPr="37B67152">
        <w:rPr>
          <w:rFonts w:ascii="Calibri" w:eastAsia="Calibri" w:hAnsi="Calibri" w:cs="Calibri"/>
          <w:color w:val="000000" w:themeColor="text1"/>
          <w:sz w:val="24"/>
          <w:szCs w:val="24"/>
        </w:rPr>
        <w:t>,</w:t>
      </w:r>
      <w:r w:rsidRPr="37B67152">
        <w:rPr>
          <w:rFonts w:ascii="Calibri" w:eastAsia="Calibri" w:hAnsi="Calibri" w:cs="Calibri"/>
          <w:b/>
          <w:bCs/>
          <w:color w:val="000000" w:themeColor="text1"/>
          <w:sz w:val="24"/>
          <w:szCs w:val="24"/>
        </w:rPr>
        <w:t xml:space="preserve"> </w:t>
      </w:r>
      <w:r w:rsidRPr="37B67152">
        <w:rPr>
          <w:rFonts w:ascii="Calibri" w:eastAsia="Calibri" w:hAnsi="Calibri" w:cs="Calibri"/>
          <w:color w:val="000000" w:themeColor="text1"/>
          <w:sz w:val="24"/>
          <w:szCs w:val="24"/>
        </w:rPr>
        <w:t>sur la durée totale du marché,</w:t>
      </w:r>
      <w:r w:rsidRPr="37B67152">
        <w:rPr>
          <w:rFonts w:eastAsiaTheme="minorEastAsia"/>
          <w:color w:val="000000" w:themeColor="text1"/>
          <w:sz w:val="24"/>
          <w:szCs w:val="24"/>
        </w:rPr>
        <w:t xml:space="preserve"> visant à favoriser l’accès ou le retour à l’emploi de personnes rencontrant des difficultés sociales et/ou professionnelles (publics détaillés ci-après).</w:t>
      </w:r>
    </w:p>
    <w:p w14:paraId="66C73CB5" w14:textId="77777777" w:rsidR="00947617" w:rsidRDefault="00947617" w:rsidP="00947617">
      <w:pPr>
        <w:spacing w:after="0"/>
        <w:jc w:val="both"/>
        <w:rPr>
          <w:rFonts w:eastAsiaTheme="minorEastAsia"/>
          <w:sz w:val="24"/>
          <w:szCs w:val="24"/>
        </w:rPr>
      </w:pPr>
    </w:p>
    <w:p w14:paraId="0470CE5D" w14:textId="77777777" w:rsidR="00947617" w:rsidRDefault="00947617" w:rsidP="00947617">
      <w:pPr>
        <w:pStyle w:val="Paragraphedeliste"/>
        <w:numPr>
          <w:ilvl w:val="0"/>
          <w:numId w:val="7"/>
        </w:numPr>
        <w:spacing w:after="0" w:line="276" w:lineRule="auto"/>
        <w:jc w:val="both"/>
        <w:rPr>
          <w:rFonts w:eastAsiaTheme="minorEastAsia"/>
          <w:b/>
          <w:bCs/>
          <w:color w:val="000000" w:themeColor="text1"/>
          <w:sz w:val="24"/>
          <w:szCs w:val="24"/>
          <w:u w:val="single"/>
        </w:rPr>
      </w:pPr>
      <w:r w:rsidRPr="119B0035">
        <w:rPr>
          <w:rFonts w:eastAsiaTheme="minorEastAsia"/>
          <w:b/>
          <w:bCs/>
          <w:color w:val="000000" w:themeColor="text1"/>
          <w:sz w:val="24"/>
          <w:szCs w:val="24"/>
          <w:u w:val="single"/>
        </w:rPr>
        <w:t>Critères d’éligibilité à l’insertion</w:t>
      </w:r>
    </w:p>
    <w:p w14:paraId="76A97AC2" w14:textId="77777777" w:rsidR="00947617" w:rsidRDefault="00947617" w:rsidP="00947617">
      <w:pPr>
        <w:spacing w:after="0" w:line="276" w:lineRule="auto"/>
        <w:jc w:val="both"/>
        <w:rPr>
          <w:rFonts w:eastAsiaTheme="minorEastAsia"/>
          <w:b/>
          <w:bCs/>
          <w:color w:val="000000" w:themeColor="text1"/>
          <w:sz w:val="24"/>
          <w:szCs w:val="24"/>
          <w:u w:val="single"/>
        </w:rPr>
      </w:pPr>
    </w:p>
    <w:p w14:paraId="5ED74E6C" w14:textId="77777777" w:rsidR="00947617" w:rsidRDefault="00947617" w:rsidP="00947617">
      <w:pPr>
        <w:spacing w:line="276" w:lineRule="auto"/>
        <w:jc w:val="both"/>
        <w:rPr>
          <w:rFonts w:eastAsiaTheme="minorEastAsia"/>
          <w:color w:val="000000" w:themeColor="text1"/>
          <w:sz w:val="24"/>
          <w:szCs w:val="24"/>
        </w:rPr>
      </w:pPr>
      <w:r w:rsidRPr="23FE1217">
        <w:rPr>
          <w:rFonts w:eastAsiaTheme="minorEastAsia"/>
          <w:color w:val="000000" w:themeColor="text1"/>
          <w:sz w:val="24"/>
          <w:szCs w:val="24"/>
        </w:rPr>
        <w:t>Les personnes visées par l'action d'insertion professionnelle relèvent notamment de l'une des catégories suivantes :</w:t>
      </w:r>
    </w:p>
    <w:p w14:paraId="04E87F72" w14:textId="77777777" w:rsidR="00947617" w:rsidRDefault="00947617" w:rsidP="00947617">
      <w:pPr>
        <w:spacing w:after="0"/>
        <w:jc w:val="both"/>
        <w:rPr>
          <w:rFonts w:eastAsiaTheme="minorEastAsia"/>
          <w:b/>
          <w:bCs/>
          <w:sz w:val="24"/>
          <w:szCs w:val="24"/>
        </w:rPr>
      </w:pPr>
      <w:r w:rsidRPr="1F9791EF">
        <w:rPr>
          <w:rFonts w:eastAsiaTheme="minorEastAsia"/>
          <w:b/>
          <w:bCs/>
          <w:sz w:val="24"/>
          <w:szCs w:val="24"/>
        </w:rPr>
        <w:t>Personnes recrutées et accompagnées dans une structure reconnue par l’Etat :</w:t>
      </w:r>
      <w:r>
        <w:br/>
      </w:r>
    </w:p>
    <w:p w14:paraId="666DF5B4" w14:textId="77777777" w:rsidR="00947617" w:rsidRDefault="00947617" w:rsidP="00947617">
      <w:pPr>
        <w:pStyle w:val="Paragraphedeliste"/>
        <w:numPr>
          <w:ilvl w:val="0"/>
          <w:numId w:val="6"/>
        </w:numPr>
        <w:spacing w:after="0"/>
        <w:jc w:val="both"/>
        <w:rPr>
          <w:rFonts w:eastAsiaTheme="minorEastAsia"/>
          <w:sz w:val="24"/>
          <w:szCs w:val="24"/>
        </w:rPr>
      </w:pPr>
      <w:r w:rsidRPr="465DD3F8">
        <w:rPr>
          <w:rFonts w:eastAsiaTheme="minorEastAsia"/>
          <w:sz w:val="24"/>
          <w:szCs w:val="24"/>
        </w:rPr>
        <w:t>Personnes prises en charge dans les secteurs adapté ou protégé : salariés des entreprises adaptées (EA), des entreprises adaptées de travail temporaire (EATT) ou usagers des ESAT</w:t>
      </w:r>
    </w:p>
    <w:p w14:paraId="2377EA8F" w14:textId="77777777" w:rsidR="00947617" w:rsidRDefault="00947617" w:rsidP="00947617">
      <w:pPr>
        <w:pStyle w:val="Paragraphedeliste"/>
        <w:numPr>
          <w:ilvl w:val="0"/>
          <w:numId w:val="6"/>
        </w:numPr>
        <w:spacing w:after="0"/>
        <w:jc w:val="both"/>
        <w:rPr>
          <w:sz w:val="24"/>
          <w:szCs w:val="24"/>
        </w:rPr>
      </w:pPr>
      <w:r w:rsidRPr="465DD3F8">
        <w:rPr>
          <w:rFonts w:eastAsiaTheme="minorEastAsia"/>
          <w:sz w:val="24"/>
          <w:szCs w:val="24"/>
        </w:rPr>
        <w:t>Personnes prises en charge dans les structures d’insertion par l’activité économique (IAE) mentionnée à l’article L. 5132-4 du code du travail, c’est- à-dire :</w:t>
      </w:r>
    </w:p>
    <w:p w14:paraId="4A6E4691" w14:textId="77777777" w:rsidR="00947617" w:rsidRDefault="00947617" w:rsidP="00947617">
      <w:pPr>
        <w:pStyle w:val="Paragraphedeliste"/>
        <w:numPr>
          <w:ilvl w:val="0"/>
          <w:numId w:val="5"/>
        </w:numPr>
        <w:spacing w:after="0"/>
        <w:jc w:val="both"/>
        <w:rPr>
          <w:rFonts w:eastAsiaTheme="minorEastAsia"/>
          <w:sz w:val="24"/>
          <w:szCs w:val="24"/>
        </w:rPr>
      </w:pPr>
      <w:r w:rsidRPr="465DD3F8">
        <w:rPr>
          <w:rFonts w:eastAsiaTheme="minorEastAsia"/>
          <w:sz w:val="24"/>
          <w:szCs w:val="24"/>
        </w:rPr>
        <w:t>Mises à disposition par une association intermédiaire (AI) ou une entreprise de travail temporaire d’insertion (ETTI) ;</w:t>
      </w:r>
    </w:p>
    <w:p w14:paraId="0396019F" w14:textId="77777777" w:rsidR="00947617" w:rsidRDefault="00947617" w:rsidP="00947617">
      <w:pPr>
        <w:pStyle w:val="Paragraphedeliste"/>
        <w:numPr>
          <w:ilvl w:val="0"/>
          <w:numId w:val="5"/>
        </w:numPr>
        <w:spacing w:after="0"/>
        <w:jc w:val="both"/>
        <w:rPr>
          <w:rFonts w:eastAsiaTheme="minorEastAsia"/>
          <w:sz w:val="24"/>
          <w:szCs w:val="24"/>
        </w:rPr>
      </w:pPr>
      <w:r w:rsidRPr="465DD3F8">
        <w:rPr>
          <w:rFonts w:eastAsiaTheme="minorEastAsia"/>
          <w:sz w:val="24"/>
          <w:szCs w:val="24"/>
        </w:rPr>
        <w:t>Salariées d’une entreprise d’insertion (EI), d’un atelier chantier d’insertion (ACI)</w:t>
      </w:r>
    </w:p>
    <w:p w14:paraId="2CC8D52E" w14:textId="77777777" w:rsidR="00947617" w:rsidRDefault="00947617" w:rsidP="00947617">
      <w:pPr>
        <w:pStyle w:val="Paragraphedeliste"/>
        <w:numPr>
          <w:ilvl w:val="0"/>
          <w:numId w:val="6"/>
        </w:numPr>
        <w:spacing w:after="0"/>
        <w:jc w:val="both"/>
        <w:rPr>
          <w:rFonts w:eastAsiaTheme="minorEastAsia"/>
          <w:sz w:val="24"/>
          <w:szCs w:val="24"/>
        </w:rPr>
      </w:pPr>
      <w:r w:rsidRPr="49CF1F9D">
        <w:rPr>
          <w:rFonts w:eastAsiaTheme="minorEastAsia"/>
          <w:sz w:val="24"/>
          <w:szCs w:val="24"/>
        </w:rPr>
        <w:t>Personnes employées par une régie de quartier ou de territoire agréée ;</w:t>
      </w:r>
    </w:p>
    <w:p w14:paraId="2FA703D4" w14:textId="77777777" w:rsidR="00947617" w:rsidRDefault="00947617" w:rsidP="00947617">
      <w:pPr>
        <w:pStyle w:val="Paragraphedeliste"/>
        <w:numPr>
          <w:ilvl w:val="0"/>
          <w:numId w:val="6"/>
        </w:numPr>
        <w:spacing w:after="0"/>
        <w:jc w:val="both"/>
        <w:rPr>
          <w:rFonts w:eastAsiaTheme="minorEastAsia"/>
          <w:sz w:val="24"/>
          <w:szCs w:val="24"/>
        </w:rPr>
      </w:pPr>
      <w:r w:rsidRPr="1F9791EF">
        <w:rPr>
          <w:rFonts w:eastAsiaTheme="minorEastAsia"/>
          <w:sz w:val="24"/>
          <w:szCs w:val="24"/>
        </w:rPr>
        <w:t>Personnes prises en charge dans des dispositifs particuliers, notamment les Etablissements Publics d’Insertion de la Défense (EPIDE) et les Ecoles de la deuxième Chance (E2C) ;</w:t>
      </w:r>
    </w:p>
    <w:p w14:paraId="354AA5BF" w14:textId="77777777" w:rsidR="00947617" w:rsidRDefault="00947617" w:rsidP="00947617">
      <w:pPr>
        <w:pStyle w:val="Paragraphedeliste"/>
        <w:numPr>
          <w:ilvl w:val="0"/>
          <w:numId w:val="6"/>
        </w:numPr>
        <w:spacing w:after="0"/>
        <w:jc w:val="both"/>
        <w:rPr>
          <w:rFonts w:eastAsiaTheme="minorEastAsia"/>
          <w:sz w:val="24"/>
          <w:szCs w:val="24"/>
        </w:rPr>
      </w:pPr>
      <w:r w:rsidRPr="6A98C613">
        <w:rPr>
          <w:sz w:val="24"/>
          <w:szCs w:val="24"/>
        </w:rPr>
        <w:t>Personnes en parcours d’insertion au sein des groupements d’employeurs pour l’insertion et la qualification (GEIQ) ;</w:t>
      </w:r>
    </w:p>
    <w:p w14:paraId="0BC5600A" w14:textId="77777777" w:rsidR="00947617" w:rsidRDefault="00947617" w:rsidP="00947617">
      <w:pPr>
        <w:pStyle w:val="Paragraphedeliste"/>
        <w:numPr>
          <w:ilvl w:val="0"/>
          <w:numId w:val="6"/>
        </w:numPr>
        <w:spacing w:after="0"/>
        <w:jc w:val="both"/>
        <w:rPr>
          <w:sz w:val="24"/>
          <w:szCs w:val="24"/>
        </w:rPr>
      </w:pPr>
      <w:r w:rsidRPr="465DD3F8">
        <w:rPr>
          <w:sz w:val="24"/>
          <w:szCs w:val="24"/>
        </w:rPr>
        <w:lastRenderedPageBreak/>
        <w:t>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2E021655" w14:textId="77777777" w:rsidR="00947617" w:rsidRDefault="00947617" w:rsidP="00947617">
      <w:pPr>
        <w:spacing w:after="0"/>
        <w:jc w:val="both"/>
      </w:pPr>
    </w:p>
    <w:p w14:paraId="211F8549" w14:textId="77777777" w:rsidR="00947617" w:rsidRDefault="00947617" w:rsidP="00947617">
      <w:pPr>
        <w:spacing w:after="0"/>
        <w:jc w:val="both"/>
      </w:pPr>
    </w:p>
    <w:p w14:paraId="51490328" w14:textId="77777777" w:rsidR="00947617" w:rsidRDefault="00947617" w:rsidP="00947617">
      <w:pPr>
        <w:spacing w:after="0"/>
        <w:jc w:val="both"/>
        <w:rPr>
          <w:b/>
          <w:bCs/>
        </w:rPr>
      </w:pPr>
      <w:r w:rsidRPr="465DD3F8">
        <w:rPr>
          <w:b/>
          <w:bCs/>
          <w:sz w:val="24"/>
          <w:szCs w:val="24"/>
        </w:rPr>
        <w:t>Personnes répondant à des critères d’éloignement du marché du travail :</w:t>
      </w:r>
    </w:p>
    <w:p w14:paraId="790AF3DD" w14:textId="77777777" w:rsidR="00947617" w:rsidRDefault="00947617" w:rsidP="00947617">
      <w:pPr>
        <w:spacing w:after="0"/>
        <w:jc w:val="both"/>
      </w:pPr>
    </w:p>
    <w:p w14:paraId="343A596D" w14:textId="77777777" w:rsidR="00947617" w:rsidRDefault="00947617" w:rsidP="00947617">
      <w:pPr>
        <w:pStyle w:val="Paragraphedeliste"/>
        <w:numPr>
          <w:ilvl w:val="0"/>
          <w:numId w:val="4"/>
        </w:numPr>
        <w:spacing w:after="0"/>
        <w:jc w:val="both"/>
        <w:rPr>
          <w:sz w:val="24"/>
          <w:szCs w:val="24"/>
        </w:rPr>
      </w:pPr>
      <w:r w:rsidRPr="465DD3F8">
        <w:rPr>
          <w:sz w:val="24"/>
          <w:szCs w:val="24"/>
        </w:rPr>
        <w:t>Demandeurs d’emploi de longue durée (plus de 12 mois d’inscription au chômage) sans activité ou en activité partielle (moins de 6 mois dans les 12 derniers mois) ;</w:t>
      </w:r>
    </w:p>
    <w:p w14:paraId="3D85730E" w14:textId="77777777" w:rsidR="00947617" w:rsidRDefault="00947617" w:rsidP="00947617">
      <w:pPr>
        <w:pStyle w:val="Paragraphedeliste"/>
        <w:numPr>
          <w:ilvl w:val="0"/>
          <w:numId w:val="4"/>
        </w:numPr>
        <w:spacing w:after="0"/>
        <w:jc w:val="both"/>
        <w:rPr>
          <w:sz w:val="24"/>
          <w:szCs w:val="24"/>
        </w:rPr>
      </w:pPr>
      <w:r w:rsidRPr="465DD3F8">
        <w:rPr>
          <w:sz w:val="24"/>
          <w:szCs w:val="24"/>
        </w:rPr>
        <w:t>Bénéficiaires du RSA en recherche d’emploi ;</w:t>
      </w:r>
    </w:p>
    <w:p w14:paraId="439BAC5D" w14:textId="77777777" w:rsidR="00947617" w:rsidRDefault="00947617" w:rsidP="00947617">
      <w:pPr>
        <w:pStyle w:val="Paragraphedeliste"/>
        <w:numPr>
          <w:ilvl w:val="0"/>
          <w:numId w:val="4"/>
        </w:numPr>
        <w:spacing w:after="0"/>
        <w:jc w:val="both"/>
        <w:rPr>
          <w:sz w:val="24"/>
          <w:szCs w:val="24"/>
        </w:rPr>
      </w:pPr>
      <w:r w:rsidRPr="41A3BCDE">
        <w:rPr>
          <w:sz w:val="24"/>
          <w:szCs w:val="24"/>
        </w:rPr>
        <w:t>Personnes ayant obtenu la reconnaissance de la qualité de travailleurs handicapés au sens de l’article L. 5212-13 du code du travail orientés en milieu ordinaire et demandeurs d’emploi fixant la liste des bénéficiaires de l’obligation d’emploi ;</w:t>
      </w:r>
    </w:p>
    <w:p w14:paraId="4630422D" w14:textId="77777777" w:rsidR="00947617" w:rsidRDefault="00947617" w:rsidP="00947617">
      <w:pPr>
        <w:pStyle w:val="Paragraphedeliste"/>
        <w:numPr>
          <w:ilvl w:val="0"/>
          <w:numId w:val="4"/>
        </w:numPr>
        <w:spacing w:after="0"/>
        <w:jc w:val="both"/>
        <w:rPr>
          <w:sz w:val="24"/>
          <w:szCs w:val="24"/>
        </w:rPr>
      </w:pPr>
      <w:r w:rsidRPr="465DD3F8">
        <w:rPr>
          <w:sz w:val="24"/>
          <w:szCs w:val="24"/>
        </w:rPr>
        <w:t>Bénéficiaires de l’allocation spécifique de solidarité (ASS), de l’allocation adulte handicapé (AAH), de l’allocation d’Insertion (AI), de l’allocation veuvage, ou de l’allocation d’invalidité ;</w:t>
      </w:r>
    </w:p>
    <w:p w14:paraId="4467A2BF" w14:textId="77777777" w:rsidR="00947617" w:rsidRDefault="00947617" w:rsidP="00947617">
      <w:pPr>
        <w:pStyle w:val="Paragraphedeliste"/>
        <w:numPr>
          <w:ilvl w:val="0"/>
          <w:numId w:val="4"/>
        </w:numPr>
        <w:spacing w:after="0"/>
        <w:jc w:val="both"/>
        <w:rPr>
          <w:sz w:val="24"/>
          <w:szCs w:val="24"/>
        </w:rPr>
      </w:pPr>
      <w:r w:rsidRPr="465DD3F8">
        <w:rPr>
          <w:sz w:val="24"/>
          <w:szCs w:val="24"/>
        </w:rPr>
        <w:t>Jeunes de moins de 26 ans en recherche d’emploi :</w:t>
      </w:r>
    </w:p>
    <w:p w14:paraId="56DB5087" w14:textId="77777777" w:rsidR="00947617" w:rsidRDefault="00947617" w:rsidP="00947617">
      <w:pPr>
        <w:pStyle w:val="Paragraphedeliste"/>
        <w:numPr>
          <w:ilvl w:val="0"/>
          <w:numId w:val="3"/>
        </w:numPr>
        <w:spacing w:after="0"/>
        <w:jc w:val="both"/>
        <w:rPr>
          <w:sz w:val="28"/>
          <w:szCs w:val="28"/>
        </w:rPr>
      </w:pPr>
      <w:r w:rsidRPr="6A98C613">
        <w:rPr>
          <w:sz w:val="24"/>
          <w:szCs w:val="24"/>
        </w:rPr>
        <w:t>Sans qualification (infra niveau 3, soit niveau inférieur au CAP/BEP) et sortis du système scolaire depuis au moins 6 mois ;</w:t>
      </w:r>
    </w:p>
    <w:p w14:paraId="36AD2E66" w14:textId="77777777" w:rsidR="00947617" w:rsidRDefault="00947617" w:rsidP="00947617">
      <w:pPr>
        <w:pStyle w:val="Paragraphedeliste"/>
        <w:numPr>
          <w:ilvl w:val="0"/>
          <w:numId w:val="3"/>
        </w:numPr>
        <w:spacing w:after="0"/>
        <w:jc w:val="both"/>
        <w:rPr>
          <w:sz w:val="28"/>
          <w:szCs w:val="28"/>
        </w:rPr>
      </w:pPr>
      <w:r w:rsidRPr="49CF1F9D">
        <w:rPr>
          <w:sz w:val="24"/>
          <w:szCs w:val="24"/>
        </w:rPr>
        <w:t>Diplômés, justifiant d’une période d’inactivité de 6 mois depuis leur sortie du système scolaire ou de l’enseignement supérieur ;</w:t>
      </w:r>
    </w:p>
    <w:p w14:paraId="2CD9D35A" w14:textId="77777777" w:rsidR="00947617" w:rsidRDefault="00947617" w:rsidP="00947617">
      <w:pPr>
        <w:pStyle w:val="Paragraphedeliste"/>
        <w:numPr>
          <w:ilvl w:val="0"/>
          <w:numId w:val="4"/>
        </w:numPr>
        <w:spacing w:after="0"/>
        <w:jc w:val="both"/>
        <w:rPr>
          <w:sz w:val="24"/>
          <w:szCs w:val="24"/>
        </w:rPr>
      </w:pPr>
      <w:r w:rsidRPr="6A98C613">
        <w:rPr>
          <w:sz w:val="24"/>
          <w:szCs w:val="24"/>
        </w:rPr>
        <w:t>Demandeurs d’emploi seniors (plus de 50 ans) ;</w:t>
      </w:r>
    </w:p>
    <w:p w14:paraId="3B8DE46F" w14:textId="77777777" w:rsidR="00947617" w:rsidRDefault="00947617" w:rsidP="00947617">
      <w:pPr>
        <w:pStyle w:val="Paragraphedeliste"/>
        <w:numPr>
          <w:ilvl w:val="0"/>
          <w:numId w:val="4"/>
        </w:numPr>
        <w:spacing w:after="0"/>
        <w:jc w:val="both"/>
        <w:rPr>
          <w:sz w:val="24"/>
          <w:szCs w:val="24"/>
        </w:rPr>
      </w:pPr>
      <w:r w:rsidRPr="49CF1F9D">
        <w:rPr>
          <w:sz w:val="24"/>
          <w:szCs w:val="24"/>
        </w:rPr>
        <w:t>Jeunes en suivi renforcé de type Parcours Contractualisé d'Accompagnement vers l'Emploi et l'Autonomie (PACEA), Service Militaire Adapté (SMA), Service Militaire Volontaire (SMV), en parcours Contrat Engagement Jeune (CEJ) ;</w:t>
      </w:r>
    </w:p>
    <w:p w14:paraId="4D814DC4" w14:textId="77777777" w:rsidR="00947617" w:rsidRDefault="00947617" w:rsidP="00947617">
      <w:pPr>
        <w:pStyle w:val="Paragraphedeliste"/>
        <w:numPr>
          <w:ilvl w:val="0"/>
          <w:numId w:val="4"/>
        </w:numPr>
        <w:spacing w:after="0"/>
        <w:jc w:val="both"/>
        <w:rPr>
          <w:sz w:val="24"/>
          <w:szCs w:val="24"/>
        </w:rPr>
      </w:pPr>
      <w:r w:rsidRPr="49CF1F9D">
        <w:rPr>
          <w:sz w:val="24"/>
          <w:szCs w:val="24"/>
        </w:rPr>
        <w:t>Habitants des quartiers prioritaires de la politique de la ville éloignés de l’emploi ;</w:t>
      </w:r>
    </w:p>
    <w:p w14:paraId="74913111" w14:textId="77777777" w:rsidR="00947617" w:rsidRDefault="00947617" w:rsidP="00947617">
      <w:pPr>
        <w:pStyle w:val="Paragraphedeliste"/>
        <w:numPr>
          <w:ilvl w:val="0"/>
          <w:numId w:val="4"/>
        </w:numPr>
        <w:spacing w:after="0"/>
        <w:jc w:val="both"/>
        <w:rPr>
          <w:sz w:val="24"/>
          <w:szCs w:val="24"/>
        </w:rPr>
      </w:pPr>
      <w:r w:rsidRPr="49CF1F9D">
        <w:rPr>
          <w:sz w:val="24"/>
          <w:szCs w:val="24"/>
        </w:rPr>
        <w:t>Personnes ayant le statut de réfugié ou bénéficiaires de la protection subsidiaire ;</w:t>
      </w:r>
    </w:p>
    <w:p w14:paraId="0114435A" w14:textId="77777777" w:rsidR="00947617" w:rsidRDefault="00947617" w:rsidP="00947617">
      <w:pPr>
        <w:pStyle w:val="Paragraphedeliste"/>
        <w:numPr>
          <w:ilvl w:val="0"/>
          <w:numId w:val="4"/>
        </w:numPr>
        <w:spacing w:after="0"/>
        <w:jc w:val="both"/>
        <w:rPr>
          <w:sz w:val="24"/>
          <w:szCs w:val="24"/>
        </w:rPr>
      </w:pPr>
      <w:r w:rsidRPr="49CF1F9D">
        <w:rPr>
          <w:sz w:val="24"/>
          <w:szCs w:val="24"/>
        </w:rPr>
        <w:t>Personnes rencontrant des difficultés particulières sur proposition motivée de France Travail, des maisons de l’emploi, des plans locaux pour l’insertion et l’emploi (PLIE), des missions locales, de Cap emploi ou des maisons départementales des personnes handicapées (MDPH). L’éligibilité des publics doit être établie préalablement à la mise en œuvre du dispositif et à la réalisation des heures d’insertion.</w:t>
      </w:r>
    </w:p>
    <w:p w14:paraId="01689603" w14:textId="77777777" w:rsidR="00947617" w:rsidRDefault="00947617" w:rsidP="00947617">
      <w:pPr>
        <w:spacing w:after="0"/>
        <w:jc w:val="both"/>
      </w:pPr>
    </w:p>
    <w:p w14:paraId="244F9B0E" w14:textId="77777777" w:rsidR="00947617" w:rsidRDefault="00947617" w:rsidP="00947617">
      <w:pPr>
        <w:spacing w:after="0" w:line="276" w:lineRule="auto"/>
        <w:jc w:val="both"/>
        <w:rPr>
          <w:rFonts w:eastAsiaTheme="minorEastAsia"/>
          <w:b/>
          <w:bCs/>
          <w:color w:val="000000" w:themeColor="text1"/>
          <w:sz w:val="24"/>
          <w:szCs w:val="24"/>
        </w:rPr>
      </w:pPr>
      <w:r w:rsidRPr="37B67152">
        <w:rPr>
          <w:rFonts w:eastAsiaTheme="minorEastAsia"/>
          <w:b/>
          <w:bCs/>
          <w:color w:val="000000" w:themeColor="text1"/>
          <w:sz w:val="24"/>
          <w:szCs w:val="24"/>
        </w:rPr>
        <w:t xml:space="preserve">L’éligibilité des candidats à la clause sociale d’insertion doit être validée par un </w:t>
      </w:r>
      <w:r w:rsidRPr="37B67152">
        <w:rPr>
          <w:rFonts w:eastAsiaTheme="minorEastAsia"/>
          <w:b/>
          <w:bCs/>
          <w:color w:val="000000" w:themeColor="text1"/>
          <w:sz w:val="24"/>
          <w:szCs w:val="24"/>
          <w:u w:val="single"/>
        </w:rPr>
        <w:t>facilitateur de clauses sociales de la Cellule Emploi Grands Chantiers (CEGC) de Clermont Auvergne Métropole</w:t>
      </w:r>
      <w:r w:rsidRPr="37B67152">
        <w:rPr>
          <w:rFonts w:eastAsiaTheme="minorEastAsia"/>
          <w:b/>
          <w:bCs/>
          <w:color w:val="000000" w:themeColor="text1"/>
          <w:sz w:val="24"/>
          <w:szCs w:val="24"/>
        </w:rPr>
        <w:t xml:space="preserve"> en amont de toute réalisation d’heures d’insertion.</w:t>
      </w:r>
    </w:p>
    <w:p w14:paraId="1CFC1C46" w14:textId="78C81345" w:rsidR="00947617" w:rsidRDefault="00947617" w:rsidP="00947617">
      <w:pPr>
        <w:spacing w:after="0" w:line="276" w:lineRule="auto"/>
        <w:jc w:val="both"/>
        <w:rPr>
          <w:rFonts w:eastAsiaTheme="minorEastAsia"/>
          <w:b/>
          <w:bCs/>
          <w:color w:val="000000" w:themeColor="text1"/>
          <w:sz w:val="24"/>
          <w:szCs w:val="24"/>
        </w:rPr>
      </w:pPr>
    </w:p>
    <w:p w14:paraId="2E9827DE" w14:textId="77777777" w:rsidR="0055451B" w:rsidRDefault="0055451B" w:rsidP="00947617">
      <w:pPr>
        <w:spacing w:after="0" w:line="276" w:lineRule="auto"/>
        <w:jc w:val="both"/>
        <w:rPr>
          <w:rFonts w:eastAsiaTheme="minorEastAsia"/>
          <w:b/>
          <w:bCs/>
          <w:color w:val="000000" w:themeColor="text1"/>
          <w:sz w:val="24"/>
          <w:szCs w:val="24"/>
        </w:rPr>
      </w:pPr>
    </w:p>
    <w:p w14:paraId="0ED56CC2" w14:textId="77777777" w:rsidR="00947617" w:rsidRDefault="00947617" w:rsidP="00947617">
      <w:pPr>
        <w:pStyle w:val="Paragraphedeliste"/>
        <w:numPr>
          <w:ilvl w:val="0"/>
          <w:numId w:val="7"/>
        </w:numPr>
        <w:spacing w:after="0" w:line="276" w:lineRule="auto"/>
        <w:jc w:val="both"/>
        <w:rPr>
          <w:rFonts w:eastAsiaTheme="minorEastAsia"/>
          <w:b/>
          <w:bCs/>
          <w:color w:val="000000" w:themeColor="text1"/>
          <w:sz w:val="24"/>
          <w:szCs w:val="24"/>
          <w:u w:val="single"/>
        </w:rPr>
      </w:pPr>
      <w:r w:rsidRPr="119B0035">
        <w:rPr>
          <w:rFonts w:eastAsiaTheme="minorEastAsia"/>
          <w:b/>
          <w:bCs/>
          <w:color w:val="000000" w:themeColor="text1"/>
          <w:sz w:val="24"/>
          <w:szCs w:val="24"/>
          <w:u w:val="single"/>
        </w:rPr>
        <w:t>Durée d’éligibilité à la clause sociale d’insertion</w:t>
      </w:r>
    </w:p>
    <w:p w14:paraId="2CB9F69A" w14:textId="77777777" w:rsidR="00947617" w:rsidRDefault="00947617" w:rsidP="00947617">
      <w:pPr>
        <w:spacing w:after="0" w:line="276" w:lineRule="auto"/>
        <w:jc w:val="both"/>
        <w:rPr>
          <w:rFonts w:eastAsiaTheme="minorEastAsia"/>
          <w:b/>
          <w:bCs/>
          <w:color w:val="000000" w:themeColor="text1"/>
          <w:sz w:val="24"/>
          <w:szCs w:val="24"/>
          <w:u w:val="single"/>
        </w:rPr>
      </w:pPr>
    </w:p>
    <w:p w14:paraId="753642E7" w14:textId="77777777" w:rsidR="00947617" w:rsidRDefault="00947617" w:rsidP="00947617">
      <w:pPr>
        <w:jc w:val="both"/>
        <w:rPr>
          <w:sz w:val="24"/>
          <w:szCs w:val="24"/>
        </w:rPr>
      </w:pPr>
      <w:r w:rsidRPr="1F9791EF">
        <w:rPr>
          <w:sz w:val="24"/>
          <w:szCs w:val="24"/>
        </w:rPr>
        <w:t xml:space="preserve">A compter de sa première embauche dans une entreprise, quelle que soit la nature du contrat, la personne recrutée en application d’une clause sociale d’insertion dans un marché reste éligible au dispositif des clauses sociales pour une durée de 24 mois. Ainsi, les actions </w:t>
      </w:r>
      <w:r w:rsidRPr="1F9791EF">
        <w:rPr>
          <w:sz w:val="24"/>
          <w:szCs w:val="24"/>
        </w:rPr>
        <w:lastRenderedPageBreak/>
        <w:t>d’insertion réalisées par celle-ci peuvent être valorisées dans le cadre des clauses sociales d’insertion durant toute cette période.</w:t>
      </w:r>
    </w:p>
    <w:p w14:paraId="32D34082" w14:textId="77777777" w:rsidR="00947617" w:rsidRDefault="00947617" w:rsidP="00947617">
      <w:pPr>
        <w:spacing w:after="0"/>
        <w:jc w:val="both"/>
        <w:rPr>
          <w:sz w:val="24"/>
          <w:szCs w:val="24"/>
        </w:rPr>
      </w:pPr>
      <w:r w:rsidRPr="49CF1F9D">
        <w:rPr>
          <w:sz w:val="24"/>
          <w:szCs w:val="24"/>
        </w:rPr>
        <w:t>Dans le cas d’une embauche en CDI à la suite d'un CDD ou d’une mise à disposition, les heures de travail réalisées pourront être valorisées 12 mois de plus, dans une limite d’éligibilité de 36 mois.</w:t>
      </w:r>
    </w:p>
    <w:p w14:paraId="6172545F" w14:textId="77777777" w:rsidR="00947617" w:rsidRDefault="00947617" w:rsidP="00947617">
      <w:pPr>
        <w:spacing w:after="0"/>
        <w:jc w:val="both"/>
        <w:rPr>
          <w:sz w:val="24"/>
          <w:szCs w:val="24"/>
        </w:rPr>
      </w:pPr>
    </w:p>
    <w:p w14:paraId="274B0E6F" w14:textId="6D5E9B22" w:rsidR="00947617" w:rsidRDefault="00947617" w:rsidP="00947617">
      <w:pPr>
        <w:spacing w:after="0"/>
        <w:jc w:val="both"/>
        <w:rPr>
          <w:rFonts w:eastAsiaTheme="minorEastAsia"/>
          <w:b/>
          <w:bCs/>
          <w:color w:val="000000" w:themeColor="text1"/>
          <w:sz w:val="24"/>
          <w:szCs w:val="24"/>
          <w:u w:val="single"/>
        </w:rPr>
      </w:pPr>
      <w:r w:rsidRPr="5A06AE3E">
        <w:rPr>
          <w:rFonts w:eastAsiaTheme="minorEastAsia"/>
          <w:b/>
          <w:bCs/>
          <w:color w:val="000000" w:themeColor="text1"/>
          <w:sz w:val="24"/>
          <w:szCs w:val="24"/>
          <w:u w:val="single"/>
        </w:rPr>
        <w:t>Principe de mutualisation des heures d’insertion</w:t>
      </w:r>
      <w:r>
        <w:tab/>
      </w:r>
      <w:r>
        <w:tab/>
      </w:r>
      <w:r>
        <w:tab/>
      </w:r>
      <w:r>
        <w:tab/>
      </w:r>
    </w:p>
    <w:p w14:paraId="05759085" w14:textId="77777777" w:rsidR="00947617" w:rsidRDefault="00947617" w:rsidP="00947617">
      <w:pPr>
        <w:spacing w:after="0" w:line="276" w:lineRule="auto"/>
        <w:jc w:val="both"/>
        <w:rPr>
          <w:rFonts w:eastAsiaTheme="minorEastAsia"/>
          <w:b/>
          <w:bCs/>
          <w:color w:val="000000" w:themeColor="text1"/>
          <w:sz w:val="24"/>
          <w:szCs w:val="24"/>
        </w:rPr>
      </w:pPr>
    </w:p>
    <w:p w14:paraId="0A35E9C7" w14:textId="77777777" w:rsidR="00947617" w:rsidRDefault="00947617" w:rsidP="00947617">
      <w:pPr>
        <w:spacing w:line="276" w:lineRule="auto"/>
        <w:jc w:val="both"/>
        <w:rPr>
          <w:rFonts w:eastAsiaTheme="minorEastAsia"/>
          <w:color w:val="000000" w:themeColor="text1"/>
          <w:sz w:val="24"/>
          <w:szCs w:val="24"/>
        </w:rPr>
      </w:pPr>
      <w:r w:rsidRPr="32A2F6F3">
        <w:rPr>
          <w:rFonts w:eastAsiaTheme="minorEastAsia"/>
          <w:color w:val="000000" w:themeColor="text1"/>
          <w:sz w:val="24"/>
          <w:szCs w:val="24"/>
        </w:rPr>
        <w:t xml:space="preserve">Afin de favoriser la construction de parcours longs, qualifiants et menant à l’emploi durable, les acheteurs publics du territoire valident un principe de mutualisation des heures d’insertion. Ainsi, le contrat de travail d’un candidat embauché par une entreprise dans le cadre d’une clause sociale, pourra être valorisé lors de son intervention sur ses autres marchés comportant une même clause, même si l’embauche n’est pas postérieure à la notification du marché. </w:t>
      </w:r>
    </w:p>
    <w:p w14:paraId="51563841" w14:textId="77777777" w:rsidR="00947617" w:rsidRDefault="00947617" w:rsidP="00947617">
      <w:pPr>
        <w:spacing w:line="276" w:lineRule="auto"/>
        <w:jc w:val="both"/>
        <w:rPr>
          <w:rFonts w:eastAsiaTheme="minorEastAsia"/>
          <w:color w:val="000000" w:themeColor="text1"/>
          <w:sz w:val="24"/>
          <w:szCs w:val="24"/>
        </w:rPr>
      </w:pPr>
      <w:r w:rsidRPr="709C4B6D">
        <w:rPr>
          <w:rFonts w:eastAsiaTheme="minorEastAsia"/>
          <w:color w:val="000000" w:themeColor="text1"/>
          <w:sz w:val="24"/>
          <w:szCs w:val="24"/>
        </w:rPr>
        <w:t xml:space="preserve">La première embauche effectuée dans le cadre d’une mutualisation, devra se faire post-notification d’un marché comportant une clause sociale. </w:t>
      </w:r>
    </w:p>
    <w:p w14:paraId="73B901F5" w14:textId="77777777" w:rsidR="00947617" w:rsidRDefault="00947617" w:rsidP="00947617">
      <w:pPr>
        <w:spacing w:line="276" w:lineRule="auto"/>
        <w:jc w:val="both"/>
        <w:rPr>
          <w:rFonts w:eastAsiaTheme="minorEastAsia"/>
          <w:color w:val="000000" w:themeColor="text1"/>
          <w:sz w:val="24"/>
          <w:szCs w:val="24"/>
        </w:rPr>
      </w:pPr>
      <w:r w:rsidRPr="69157809">
        <w:rPr>
          <w:rFonts w:eastAsiaTheme="minorEastAsia"/>
          <w:color w:val="000000" w:themeColor="text1"/>
          <w:sz w:val="24"/>
          <w:szCs w:val="24"/>
        </w:rPr>
        <w:t>La valorisation d’heures dans le cadre de la mutualisation devra être actée après validation de l’éligibilité du candidat par un facilitateur de la CEGC.</w:t>
      </w:r>
    </w:p>
    <w:p w14:paraId="1B8D06DF" w14:textId="77777777" w:rsidR="00947617" w:rsidRDefault="00947617" w:rsidP="00947617">
      <w:pPr>
        <w:spacing w:after="0"/>
        <w:jc w:val="both"/>
        <w:rPr>
          <w:rFonts w:eastAsiaTheme="minorEastAsia"/>
          <w:b/>
          <w:bCs/>
          <w:color w:val="000000" w:themeColor="text1"/>
          <w:sz w:val="24"/>
          <w:szCs w:val="24"/>
          <w:u w:val="single"/>
        </w:rPr>
      </w:pPr>
    </w:p>
    <w:p w14:paraId="0C4D5E06" w14:textId="77777777" w:rsidR="00947617" w:rsidRDefault="00947617" w:rsidP="00947617">
      <w:pPr>
        <w:pStyle w:val="Paragraphedeliste"/>
        <w:numPr>
          <w:ilvl w:val="0"/>
          <w:numId w:val="7"/>
        </w:numPr>
        <w:spacing w:after="0"/>
        <w:jc w:val="both"/>
      </w:pPr>
      <w:r w:rsidRPr="23FE1217">
        <w:rPr>
          <w:rFonts w:eastAsiaTheme="minorEastAsia"/>
          <w:b/>
          <w:bCs/>
          <w:color w:val="000000" w:themeColor="text1"/>
          <w:sz w:val="24"/>
          <w:szCs w:val="24"/>
          <w:u w:val="single"/>
        </w:rPr>
        <w:t>Qualification de l’action d’insertion</w:t>
      </w:r>
    </w:p>
    <w:p w14:paraId="0F1CCAD3" w14:textId="77777777" w:rsidR="00947617" w:rsidRDefault="00947617" w:rsidP="00947617">
      <w:pPr>
        <w:spacing w:after="0" w:line="276" w:lineRule="auto"/>
        <w:jc w:val="both"/>
      </w:pPr>
    </w:p>
    <w:p w14:paraId="5E9DAE6F" w14:textId="77777777" w:rsidR="00947617" w:rsidRDefault="00947617" w:rsidP="00947617">
      <w:pPr>
        <w:spacing w:after="0" w:line="276" w:lineRule="auto"/>
        <w:jc w:val="both"/>
        <w:rPr>
          <w:rFonts w:ascii="Calibri" w:eastAsia="Calibri" w:hAnsi="Calibri" w:cs="Calibri"/>
          <w:b/>
          <w:bCs/>
          <w:color w:val="000000" w:themeColor="text1"/>
          <w:sz w:val="24"/>
          <w:szCs w:val="24"/>
        </w:rPr>
      </w:pPr>
      <w:r w:rsidRPr="37B67152">
        <w:rPr>
          <w:rFonts w:ascii="Calibri" w:eastAsia="Calibri" w:hAnsi="Calibri" w:cs="Calibri"/>
          <w:b/>
          <w:bCs/>
          <w:color w:val="000000" w:themeColor="text1"/>
          <w:sz w:val="24"/>
          <w:szCs w:val="24"/>
        </w:rPr>
        <w:t xml:space="preserve">Condition d’exécution : Heures d’insertion </w:t>
      </w:r>
    </w:p>
    <w:p w14:paraId="6239B17D" w14:textId="77777777" w:rsidR="00947617" w:rsidRDefault="00947617" w:rsidP="00947617">
      <w:pPr>
        <w:spacing w:after="0" w:line="276" w:lineRule="auto"/>
        <w:jc w:val="both"/>
        <w:rPr>
          <w:rFonts w:eastAsiaTheme="minorEastAsia"/>
          <w:color w:val="000000" w:themeColor="text1"/>
          <w:sz w:val="24"/>
          <w:szCs w:val="24"/>
        </w:rPr>
      </w:pPr>
      <w:r w:rsidRPr="37B67152">
        <w:rPr>
          <w:rFonts w:eastAsiaTheme="minorEastAsia"/>
          <w:color w:val="000000" w:themeColor="text1"/>
          <w:sz w:val="24"/>
          <w:szCs w:val="24"/>
        </w:rPr>
        <w:t>Les entreprises titulaires des marchés comportant une clause sociale d’insertion s’engagent à réaliser le nombre d’heures d'insertion figurant dans l’Acte d’Engagement sur la durée totale du marché.</w:t>
      </w:r>
    </w:p>
    <w:p w14:paraId="5A5AE818" w14:textId="77777777" w:rsidR="00947617" w:rsidRDefault="00947617" w:rsidP="00947617">
      <w:pPr>
        <w:spacing w:after="0" w:line="276" w:lineRule="auto"/>
        <w:jc w:val="both"/>
        <w:rPr>
          <w:rFonts w:eastAsiaTheme="minorEastAsia"/>
          <w:color w:val="000000" w:themeColor="text1"/>
          <w:sz w:val="24"/>
          <w:szCs w:val="24"/>
        </w:rPr>
      </w:pPr>
    </w:p>
    <w:p w14:paraId="6C86B8D5" w14:textId="77777777" w:rsidR="00947617" w:rsidRDefault="00947617" w:rsidP="00947617">
      <w:pPr>
        <w:spacing w:after="0" w:line="276" w:lineRule="auto"/>
        <w:jc w:val="both"/>
        <w:rPr>
          <w:rFonts w:eastAsiaTheme="minorEastAsia"/>
          <w:color w:val="000000" w:themeColor="text1"/>
          <w:sz w:val="24"/>
          <w:szCs w:val="24"/>
        </w:rPr>
      </w:pPr>
    </w:p>
    <w:p w14:paraId="076DB499" w14:textId="77777777" w:rsidR="00947617" w:rsidRDefault="00947617" w:rsidP="00947617">
      <w:pPr>
        <w:pStyle w:val="Paragraphedeliste"/>
        <w:numPr>
          <w:ilvl w:val="0"/>
          <w:numId w:val="7"/>
        </w:numPr>
        <w:spacing w:line="276" w:lineRule="auto"/>
        <w:jc w:val="both"/>
        <w:rPr>
          <w:rFonts w:eastAsiaTheme="minorEastAsia"/>
          <w:b/>
          <w:bCs/>
          <w:color w:val="000000" w:themeColor="text1"/>
          <w:sz w:val="24"/>
          <w:szCs w:val="24"/>
          <w:u w:val="single"/>
        </w:rPr>
      </w:pPr>
      <w:r w:rsidRPr="49CF1F9D">
        <w:rPr>
          <w:rFonts w:eastAsiaTheme="minorEastAsia"/>
          <w:b/>
          <w:bCs/>
          <w:color w:val="000000" w:themeColor="text1"/>
          <w:sz w:val="24"/>
          <w:szCs w:val="24"/>
          <w:u w:val="single"/>
        </w:rPr>
        <w:t>Les modalités d'exécution de l’action d’insertion par le titulaire</w:t>
      </w:r>
    </w:p>
    <w:p w14:paraId="16B616BE" w14:textId="77777777" w:rsidR="00947617" w:rsidRDefault="00947617" w:rsidP="00947617">
      <w:pPr>
        <w:spacing w:after="0" w:line="276" w:lineRule="auto"/>
        <w:jc w:val="both"/>
        <w:rPr>
          <w:rFonts w:eastAsiaTheme="minorEastAsia"/>
          <w:color w:val="000000" w:themeColor="text1"/>
          <w:sz w:val="24"/>
          <w:szCs w:val="24"/>
        </w:rPr>
      </w:pPr>
      <w:r w:rsidRPr="41A3BCDE">
        <w:rPr>
          <w:rFonts w:eastAsiaTheme="minorEastAsia"/>
          <w:color w:val="000000" w:themeColor="text1"/>
          <w:sz w:val="24"/>
          <w:szCs w:val="24"/>
        </w:rPr>
        <w:t>Dans le cadre de la réalisation des actions insertion par l’entreprise, trois modalités de mise en œuvre sont possibles pour les entreprises. L’entreprise a la possibilité de coupler ces modalités.</w:t>
      </w:r>
    </w:p>
    <w:p w14:paraId="62934399" w14:textId="77777777" w:rsidR="00947617" w:rsidRDefault="00947617" w:rsidP="00947617">
      <w:pPr>
        <w:spacing w:after="0" w:line="276" w:lineRule="auto"/>
        <w:jc w:val="both"/>
        <w:rPr>
          <w:rFonts w:eastAsiaTheme="minorEastAsia"/>
          <w:color w:val="000000" w:themeColor="text1"/>
          <w:sz w:val="24"/>
          <w:szCs w:val="24"/>
        </w:rPr>
      </w:pPr>
    </w:p>
    <w:p w14:paraId="469536D9"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75A030BF">
        <w:rPr>
          <w:rFonts w:eastAsiaTheme="minorEastAsia"/>
          <w:b/>
          <w:bCs/>
          <w:color w:val="000000" w:themeColor="text1"/>
          <w:sz w:val="24"/>
          <w:szCs w:val="24"/>
        </w:rPr>
        <w:t>1</w:t>
      </w:r>
      <w:r w:rsidRPr="75A030BF">
        <w:rPr>
          <w:rFonts w:eastAsiaTheme="minorEastAsia"/>
          <w:b/>
          <w:bCs/>
          <w:color w:val="000000" w:themeColor="text1"/>
          <w:sz w:val="24"/>
          <w:szCs w:val="24"/>
          <w:vertAlign w:val="superscript"/>
        </w:rPr>
        <w:t>e</w:t>
      </w:r>
      <w:r w:rsidRPr="75A030BF">
        <w:rPr>
          <w:rFonts w:eastAsiaTheme="minorEastAsia"/>
          <w:b/>
          <w:bCs/>
          <w:color w:val="000000" w:themeColor="text1"/>
          <w:sz w:val="24"/>
          <w:szCs w:val="24"/>
        </w:rPr>
        <w:t xml:space="preserve"> modalité</w:t>
      </w:r>
      <w:r w:rsidRPr="75A030BF">
        <w:rPr>
          <w:rFonts w:eastAsiaTheme="minorEastAsia"/>
          <w:color w:val="000000" w:themeColor="text1"/>
          <w:sz w:val="24"/>
          <w:szCs w:val="24"/>
        </w:rPr>
        <w:t xml:space="preserve"> : </w:t>
      </w:r>
      <w:r>
        <w:tab/>
      </w:r>
      <w:r w:rsidRPr="75A030BF">
        <w:rPr>
          <w:rFonts w:eastAsiaTheme="minorEastAsia"/>
          <w:b/>
          <w:bCs/>
          <w:color w:val="000000" w:themeColor="text1"/>
          <w:sz w:val="24"/>
          <w:szCs w:val="24"/>
        </w:rPr>
        <w:t xml:space="preserve">Embauche directe </w:t>
      </w:r>
      <w:r w:rsidRPr="75A030BF">
        <w:rPr>
          <w:rFonts w:eastAsiaTheme="minorEastAsia"/>
          <w:color w:val="000000" w:themeColor="text1"/>
          <w:sz w:val="24"/>
          <w:szCs w:val="24"/>
        </w:rPr>
        <w:t>par l’entreprise titulaire du marché, ou par ses sous-traitants</w:t>
      </w:r>
      <w:r>
        <w:tab/>
      </w:r>
    </w:p>
    <w:p w14:paraId="6565FCBE" w14:textId="77777777" w:rsidR="00947617" w:rsidRDefault="00947617" w:rsidP="00947617">
      <w:pPr>
        <w:spacing w:line="276" w:lineRule="auto"/>
        <w:jc w:val="both"/>
        <w:rPr>
          <w:rFonts w:eastAsiaTheme="minorEastAsia"/>
          <w:color w:val="000000" w:themeColor="text1"/>
          <w:sz w:val="24"/>
          <w:szCs w:val="24"/>
        </w:rPr>
      </w:pPr>
      <w:r w:rsidRPr="1F9791EF">
        <w:rPr>
          <w:rFonts w:eastAsiaTheme="minorEastAsia"/>
          <w:color w:val="000000" w:themeColor="text1"/>
          <w:sz w:val="24"/>
          <w:szCs w:val="24"/>
        </w:rPr>
        <w:t>Cette embauche peut se réaliser par tous les types de contrats de travail : CDD, CDI, contrats en alternance (d’apprentissage ou de professionnalisation), contrats aidés...</w:t>
      </w:r>
    </w:p>
    <w:p w14:paraId="149E0408" w14:textId="77777777" w:rsidR="00947617" w:rsidRDefault="00947617" w:rsidP="00947617">
      <w:pPr>
        <w:spacing w:line="276" w:lineRule="auto"/>
        <w:jc w:val="both"/>
        <w:rPr>
          <w:rFonts w:eastAsiaTheme="minorEastAsia"/>
          <w:color w:val="000000" w:themeColor="text1"/>
          <w:sz w:val="24"/>
          <w:szCs w:val="24"/>
        </w:rPr>
      </w:pPr>
      <w:r w:rsidRPr="0C2DD9FF">
        <w:rPr>
          <w:rFonts w:eastAsiaTheme="minorEastAsia"/>
          <w:color w:val="000000" w:themeColor="text1"/>
          <w:sz w:val="24"/>
          <w:szCs w:val="24"/>
        </w:rPr>
        <w:t>A noter que dans le cadre des contrats en alternance, les heures de formation réalisées durant le contrat sont valorisables au titre de la clause sociale d’insertion.</w:t>
      </w:r>
    </w:p>
    <w:p w14:paraId="0D0D55D1" w14:textId="77777777" w:rsidR="00947617" w:rsidRDefault="00947617" w:rsidP="00947617">
      <w:pPr>
        <w:spacing w:line="276" w:lineRule="auto"/>
        <w:jc w:val="both"/>
        <w:rPr>
          <w:rFonts w:eastAsiaTheme="minorEastAsia"/>
          <w:color w:val="000000" w:themeColor="text1"/>
          <w:sz w:val="24"/>
          <w:szCs w:val="24"/>
        </w:rPr>
      </w:pPr>
      <w:r w:rsidRPr="32A2F6F3">
        <w:rPr>
          <w:rFonts w:eastAsiaTheme="minorEastAsia"/>
          <w:color w:val="000000" w:themeColor="text1"/>
          <w:sz w:val="24"/>
          <w:szCs w:val="24"/>
        </w:rPr>
        <w:lastRenderedPageBreak/>
        <w:t xml:space="preserve">Le titulaire est libre du choix du profil embauché, sous réserve de son éligibilité, mais il s’engage dans la définition des missions et son intégration au sein de l’entreprise, de sorte que le candidat bénéficie d’une véritable insertion professionnelle. </w:t>
      </w:r>
    </w:p>
    <w:p w14:paraId="53A1DB29" w14:textId="77777777" w:rsidR="00947617" w:rsidRDefault="00947617" w:rsidP="00947617">
      <w:pPr>
        <w:spacing w:line="276" w:lineRule="auto"/>
        <w:jc w:val="both"/>
        <w:rPr>
          <w:rFonts w:eastAsiaTheme="minorEastAsia"/>
          <w:color w:val="000000" w:themeColor="text1"/>
          <w:sz w:val="24"/>
          <w:szCs w:val="24"/>
        </w:rPr>
      </w:pPr>
    </w:p>
    <w:p w14:paraId="0361A27E"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1F9791EF">
        <w:rPr>
          <w:rFonts w:eastAsiaTheme="minorEastAsia"/>
          <w:b/>
          <w:bCs/>
          <w:color w:val="000000" w:themeColor="text1"/>
          <w:sz w:val="24"/>
          <w:szCs w:val="24"/>
        </w:rPr>
        <w:t>2</w:t>
      </w:r>
      <w:r w:rsidRPr="1F9791EF">
        <w:rPr>
          <w:rFonts w:eastAsiaTheme="minorEastAsia"/>
          <w:b/>
          <w:bCs/>
          <w:color w:val="000000" w:themeColor="text1"/>
          <w:sz w:val="24"/>
          <w:szCs w:val="24"/>
          <w:vertAlign w:val="superscript"/>
        </w:rPr>
        <w:t>e</w:t>
      </w:r>
      <w:r w:rsidRPr="1F9791EF">
        <w:rPr>
          <w:rFonts w:eastAsiaTheme="minorEastAsia"/>
          <w:b/>
          <w:bCs/>
          <w:color w:val="000000" w:themeColor="text1"/>
          <w:sz w:val="24"/>
          <w:szCs w:val="24"/>
        </w:rPr>
        <w:t xml:space="preserve"> modalité</w:t>
      </w:r>
      <w:r w:rsidRPr="1F9791EF">
        <w:rPr>
          <w:rFonts w:eastAsiaTheme="minorEastAsia"/>
          <w:color w:val="000000" w:themeColor="text1"/>
          <w:sz w:val="24"/>
          <w:szCs w:val="24"/>
        </w:rPr>
        <w:t xml:space="preserve"> : </w:t>
      </w:r>
      <w:r w:rsidRPr="1F9791EF">
        <w:rPr>
          <w:rFonts w:eastAsiaTheme="minorEastAsia"/>
          <w:b/>
          <w:bCs/>
          <w:color w:val="000000" w:themeColor="text1"/>
          <w:sz w:val="24"/>
          <w:szCs w:val="24"/>
        </w:rPr>
        <w:t xml:space="preserve">Mise à disposition du titulaire de personnel éligible </w:t>
      </w:r>
      <w:r w:rsidRPr="1F9791EF">
        <w:rPr>
          <w:rFonts w:eastAsiaTheme="minorEastAsia"/>
          <w:color w:val="000000" w:themeColor="text1"/>
          <w:sz w:val="24"/>
          <w:szCs w:val="24"/>
        </w:rPr>
        <w:t xml:space="preserve">par une structure qualifiée </w:t>
      </w:r>
    </w:p>
    <w:p w14:paraId="53A37325" w14:textId="77777777" w:rsidR="00947617" w:rsidRDefault="00947617" w:rsidP="00947617">
      <w:pPr>
        <w:jc w:val="both"/>
        <w:rPr>
          <w:rFonts w:eastAsiaTheme="minorEastAsia"/>
          <w:color w:val="000000" w:themeColor="text1"/>
          <w:sz w:val="24"/>
          <w:szCs w:val="24"/>
        </w:rPr>
      </w:pPr>
      <w:r w:rsidRPr="32A2F6F3">
        <w:rPr>
          <w:rFonts w:eastAsiaTheme="minorEastAsia"/>
          <w:color w:val="000000" w:themeColor="text1"/>
          <w:sz w:val="24"/>
          <w:szCs w:val="24"/>
        </w:rPr>
        <w:t>Il peut s’agir d’une entreprise de travail temporaire d’insertion (ETTI), d’une entreprise adaptée de travail temporaire (EATT), d’une entreprise de travail temporaire (ETT), d’un groupement d’employeurs pour l’insertion et la qualification (GEIQ), d’une association intermédiaire (AI) ou d’un Etablissement et Services d’Aide par le Travail (ESAT).</w:t>
      </w:r>
    </w:p>
    <w:p w14:paraId="40853532" w14:textId="77777777" w:rsidR="00947617" w:rsidRDefault="00947617" w:rsidP="00947617">
      <w:pPr>
        <w:spacing w:after="0"/>
        <w:jc w:val="both"/>
        <w:rPr>
          <w:rFonts w:eastAsiaTheme="minorEastAsia"/>
          <w:color w:val="000000" w:themeColor="text1"/>
          <w:sz w:val="24"/>
          <w:szCs w:val="24"/>
        </w:rPr>
      </w:pPr>
      <w:r w:rsidRPr="4D5C07B8">
        <w:rPr>
          <w:rFonts w:eastAsiaTheme="minorEastAsia"/>
          <w:color w:val="000000" w:themeColor="text1"/>
          <w:sz w:val="24"/>
          <w:szCs w:val="24"/>
        </w:rPr>
        <w:t>Cet organisme se chargera du recrutement, du suivi et de l’accompagnement du personnel éligible à l’insertion mis à disposition, qui sera encadré par le titulaire.</w:t>
      </w:r>
    </w:p>
    <w:p w14:paraId="5156A870" w14:textId="77777777" w:rsidR="00947617" w:rsidRDefault="00947617" w:rsidP="00947617">
      <w:pPr>
        <w:spacing w:after="0"/>
        <w:jc w:val="both"/>
        <w:rPr>
          <w:rFonts w:eastAsiaTheme="minorEastAsia"/>
          <w:color w:val="000000" w:themeColor="text1"/>
          <w:sz w:val="24"/>
          <w:szCs w:val="24"/>
        </w:rPr>
      </w:pPr>
    </w:p>
    <w:p w14:paraId="0488B266" w14:textId="77777777" w:rsidR="00947617" w:rsidRDefault="00947617" w:rsidP="00947617">
      <w:pPr>
        <w:pStyle w:val="Paragraphedeliste"/>
        <w:numPr>
          <w:ilvl w:val="0"/>
          <w:numId w:val="8"/>
        </w:numPr>
        <w:spacing w:after="0" w:line="276" w:lineRule="auto"/>
        <w:jc w:val="both"/>
        <w:rPr>
          <w:rFonts w:eastAsiaTheme="minorEastAsia"/>
          <w:b/>
          <w:bCs/>
          <w:color w:val="000000" w:themeColor="text1"/>
          <w:sz w:val="24"/>
          <w:szCs w:val="24"/>
        </w:rPr>
      </w:pPr>
      <w:r w:rsidRPr="75A030BF">
        <w:rPr>
          <w:rFonts w:eastAsiaTheme="minorEastAsia"/>
          <w:b/>
          <w:bCs/>
          <w:color w:val="000000" w:themeColor="text1"/>
          <w:sz w:val="24"/>
          <w:szCs w:val="24"/>
        </w:rPr>
        <w:t>3</w:t>
      </w:r>
      <w:r w:rsidRPr="75A030BF">
        <w:rPr>
          <w:rFonts w:eastAsiaTheme="minorEastAsia"/>
          <w:b/>
          <w:bCs/>
          <w:color w:val="000000" w:themeColor="text1"/>
          <w:sz w:val="24"/>
          <w:szCs w:val="24"/>
          <w:vertAlign w:val="superscript"/>
        </w:rPr>
        <w:t>e</w:t>
      </w:r>
      <w:r w:rsidRPr="75A030BF">
        <w:rPr>
          <w:rFonts w:eastAsiaTheme="minorEastAsia"/>
          <w:b/>
          <w:bCs/>
          <w:color w:val="000000" w:themeColor="text1"/>
          <w:sz w:val="24"/>
          <w:szCs w:val="24"/>
        </w:rPr>
        <w:t xml:space="preserve"> modalité : Recours à la co-traitance et à la sous-traitance </w:t>
      </w:r>
      <w:r w:rsidRPr="75A030BF">
        <w:rPr>
          <w:rFonts w:eastAsiaTheme="minorEastAsia"/>
          <w:color w:val="000000" w:themeColor="text1"/>
          <w:sz w:val="24"/>
          <w:szCs w:val="24"/>
        </w:rPr>
        <w:t>à une structure qualifiée</w:t>
      </w:r>
    </w:p>
    <w:p w14:paraId="0B30A124" w14:textId="77777777" w:rsidR="00947617" w:rsidRDefault="00947617" w:rsidP="00947617">
      <w:pPr>
        <w:spacing w:after="0" w:line="276" w:lineRule="auto"/>
        <w:jc w:val="both"/>
        <w:rPr>
          <w:rFonts w:eastAsiaTheme="minorEastAsia"/>
          <w:color w:val="000000" w:themeColor="text1"/>
          <w:sz w:val="24"/>
          <w:szCs w:val="24"/>
          <w:highlight w:val="yellow"/>
        </w:rPr>
      </w:pPr>
      <w:r w:rsidRPr="37B67152">
        <w:rPr>
          <w:rFonts w:eastAsiaTheme="minorEastAsia"/>
          <w:color w:val="000000" w:themeColor="text1"/>
          <w:sz w:val="24"/>
          <w:szCs w:val="24"/>
        </w:rPr>
        <w:t>Il peut s’agir du recours à une Entreprise d’Insertion (EI), à un Atelier Chantier d’Insertion (ACI), à une Entreprise Adaptée (EA), à un Etablissement et Services d’Aide par le Travail (ESAT), à une Entreprise d'Insertion par le Travail Indépendant (EITI) ou à un Travailleur Indépendant Handicapé (TIH).</w:t>
      </w:r>
    </w:p>
    <w:p w14:paraId="63A28A63" w14:textId="77777777" w:rsidR="00947617" w:rsidRDefault="00947617" w:rsidP="00947617">
      <w:pPr>
        <w:spacing w:after="0" w:line="276" w:lineRule="auto"/>
        <w:jc w:val="both"/>
        <w:rPr>
          <w:rFonts w:eastAsiaTheme="minorEastAsia"/>
          <w:color w:val="000000" w:themeColor="text1"/>
          <w:sz w:val="24"/>
          <w:szCs w:val="24"/>
        </w:rPr>
      </w:pPr>
      <w:r w:rsidRPr="0C2DD9FF">
        <w:rPr>
          <w:rFonts w:eastAsiaTheme="minorEastAsia"/>
          <w:color w:val="000000" w:themeColor="text1"/>
          <w:sz w:val="24"/>
          <w:szCs w:val="24"/>
        </w:rPr>
        <w:t>Le titulaire peut sous-traiter en partie ou totalité la part de travail réservée à l’action d’insertion. Il s’engage à informer le facilitateur afin de recueillir au préalable sa validation quant à la répartition de la volumétrie d’insertion entre titulaire et sous-traitant (qui doit être cohérente au regard des volumes financiers et de la nature des prestations confiées au sous-traitant). Le titulaire restant responsable de l’exécution du marché, de l’obligation d’insertion et des pénalités prévues en cas de manquement.</w:t>
      </w:r>
    </w:p>
    <w:p w14:paraId="6DA3ED86" w14:textId="77777777" w:rsidR="00947617" w:rsidRDefault="00947617" w:rsidP="00947617">
      <w:pPr>
        <w:spacing w:after="0" w:line="276" w:lineRule="auto"/>
        <w:jc w:val="both"/>
        <w:rPr>
          <w:rFonts w:eastAsiaTheme="minorEastAsia"/>
          <w:color w:val="000000" w:themeColor="text1"/>
          <w:sz w:val="24"/>
          <w:szCs w:val="24"/>
        </w:rPr>
      </w:pPr>
    </w:p>
    <w:p w14:paraId="44DC2DA8" w14:textId="77777777" w:rsidR="00947617" w:rsidRDefault="00947617" w:rsidP="00947617">
      <w:pPr>
        <w:spacing w:after="0" w:line="276" w:lineRule="auto"/>
        <w:jc w:val="both"/>
        <w:rPr>
          <w:rFonts w:eastAsiaTheme="minorEastAsia"/>
          <w:b/>
          <w:bCs/>
          <w:color w:val="000000" w:themeColor="text1"/>
          <w:sz w:val="24"/>
          <w:szCs w:val="24"/>
        </w:rPr>
      </w:pPr>
      <w:r w:rsidRPr="37B67152">
        <w:rPr>
          <w:rFonts w:eastAsiaTheme="minorEastAsia"/>
          <w:color w:val="000000" w:themeColor="text1"/>
          <w:sz w:val="24"/>
          <w:szCs w:val="24"/>
        </w:rPr>
        <w:t>La liste des structures du handicap et de l’insertion par l’activité économique est communicable, à titre indicatif, par le facilitateur.</w:t>
      </w:r>
      <w:r w:rsidRPr="37B67152">
        <w:rPr>
          <w:rFonts w:eastAsiaTheme="minorEastAsia"/>
          <w:b/>
          <w:bCs/>
          <w:color w:val="000000" w:themeColor="text1"/>
          <w:sz w:val="24"/>
          <w:szCs w:val="24"/>
        </w:rPr>
        <w:t xml:space="preserve"> </w:t>
      </w:r>
      <w:r>
        <w:tab/>
      </w:r>
      <w:r>
        <w:tab/>
      </w:r>
    </w:p>
    <w:p w14:paraId="4DD06929" w14:textId="77777777" w:rsidR="00947617" w:rsidRDefault="00947617" w:rsidP="00947617">
      <w:pPr>
        <w:spacing w:after="0" w:line="276" w:lineRule="auto"/>
        <w:jc w:val="both"/>
      </w:pPr>
    </w:p>
    <w:p w14:paraId="4F5F2FA6" w14:textId="77777777" w:rsidR="00947617" w:rsidRDefault="00947617" w:rsidP="00947617">
      <w:pPr>
        <w:spacing w:after="0" w:line="276" w:lineRule="auto"/>
        <w:jc w:val="both"/>
      </w:pPr>
    </w:p>
    <w:p w14:paraId="11B3C069" w14:textId="77777777" w:rsidR="00947617" w:rsidRDefault="00947617" w:rsidP="00947617">
      <w:pPr>
        <w:spacing w:after="0" w:line="276" w:lineRule="auto"/>
        <w:jc w:val="both"/>
      </w:pPr>
    </w:p>
    <w:p w14:paraId="37E92C19" w14:textId="77777777" w:rsidR="00947617" w:rsidRDefault="00947617" w:rsidP="00947617">
      <w:pPr>
        <w:pStyle w:val="Paragraphedeliste"/>
        <w:numPr>
          <w:ilvl w:val="0"/>
          <w:numId w:val="1"/>
        </w:numPr>
        <w:spacing w:after="0" w:line="276" w:lineRule="auto"/>
        <w:rPr>
          <w:rFonts w:eastAsiaTheme="minorEastAsia"/>
          <w:b/>
          <w:bCs/>
          <w:color w:val="000000" w:themeColor="text1"/>
          <w:sz w:val="24"/>
          <w:szCs w:val="24"/>
          <w:u w:val="single"/>
        </w:rPr>
      </w:pPr>
      <w:r w:rsidRPr="6A98C613">
        <w:rPr>
          <w:rFonts w:eastAsiaTheme="minorEastAsia"/>
          <w:b/>
          <w:bCs/>
          <w:color w:val="000000" w:themeColor="text1"/>
          <w:sz w:val="24"/>
          <w:szCs w:val="24"/>
          <w:u w:val="single"/>
        </w:rPr>
        <w:t>Rôle et coordonnées des facilitateurs de clauses sociales de la Cellule Emploi Grands Chantiers (CEGC)</w:t>
      </w:r>
    </w:p>
    <w:p w14:paraId="074D9E84" w14:textId="77777777" w:rsidR="00947617" w:rsidRDefault="00947617" w:rsidP="00947617">
      <w:pPr>
        <w:spacing w:after="0" w:line="276" w:lineRule="auto"/>
        <w:jc w:val="both"/>
        <w:rPr>
          <w:rFonts w:eastAsiaTheme="minorEastAsia"/>
          <w:b/>
          <w:bCs/>
          <w:color w:val="000000" w:themeColor="text1"/>
          <w:sz w:val="24"/>
          <w:szCs w:val="24"/>
          <w:u w:val="single"/>
        </w:rPr>
      </w:pPr>
    </w:p>
    <w:p w14:paraId="47C6E2DA" w14:textId="77777777" w:rsidR="00947617" w:rsidRDefault="00947617" w:rsidP="00947617">
      <w:pPr>
        <w:spacing w:line="276" w:lineRule="auto"/>
        <w:jc w:val="both"/>
        <w:rPr>
          <w:rFonts w:eastAsiaTheme="minorEastAsia"/>
          <w:color w:val="000000" w:themeColor="text1"/>
          <w:sz w:val="24"/>
          <w:szCs w:val="24"/>
        </w:rPr>
      </w:pPr>
      <w:r w:rsidRPr="32A2F6F3">
        <w:rPr>
          <w:rFonts w:eastAsiaTheme="minorEastAsia"/>
          <w:color w:val="000000" w:themeColor="text1"/>
          <w:sz w:val="24"/>
          <w:szCs w:val="24"/>
        </w:rPr>
        <w:t>L’accompagnement des entreprises à la réalisation de la clause sociale, le suivi de son exécution et son évaluation est confiée, par l’acheteur public, aux facilitateurs de clauses sociales de la CEGC qui constituent les interlocuteurs uniques du titulaire du marché dans la mise en œuvre de celle-ci.</w:t>
      </w:r>
    </w:p>
    <w:p w14:paraId="33F9A82D" w14:textId="77777777" w:rsidR="00947617" w:rsidRDefault="00947617" w:rsidP="00947617">
      <w:pPr>
        <w:spacing w:after="0" w:line="276" w:lineRule="auto"/>
        <w:jc w:val="both"/>
        <w:rPr>
          <w:rFonts w:eastAsiaTheme="minorEastAsia"/>
          <w:color w:val="000000" w:themeColor="text1"/>
          <w:sz w:val="24"/>
          <w:szCs w:val="24"/>
        </w:rPr>
      </w:pPr>
      <w:r w:rsidRPr="2FDE6FD5">
        <w:rPr>
          <w:rFonts w:eastAsiaTheme="minorEastAsia"/>
          <w:color w:val="000000" w:themeColor="text1"/>
          <w:sz w:val="24"/>
          <w:szCs w:val="24"/>
        </w:rPr>
        <w:t xml:space="preserve">Les facilitateurs de la CEGC apportent un soutien méthodologique au titulaire du marché public pour l’aider à satisfaire les actions d’insertion. Ils répondent également aux demandes </w:t>
      </w:r>
      <w:r w:rsidRPr="2FDE6FD5">
        <w:rPr>
          <w:rFonts w:eastAsiaTheme="minorEastAsia"/>
          <w:color w:val="000000" w:themeColor="text1"/>
          <w:sz w:val="24"/>
          <w:szCs w:val="24"/>
        </w:rPr>
        <w:lastRenderedPageBreak/>
        <w:t xml:space="preserve">de conseils ou d’appuis formulées par le titulaire dans le cadre de la mise en œuvre de son action d’insertion. </w:t>
      </w:r>
    </w:p>
    <w:p w14:paraId="0BB59E2B" w14:textId="77777777" w:rsidR="00947617" w:rsidRDefault="00947617" w:rsidP="00947617">
      <w:pPr>
        <w:spacing w:after="0" w:line="276" w:lineRule="auto"/>
        <w:jc w:val="both"/>
        <w:rPr>
          <w:rFonts w:eastAsiaTheme="minorEastAsia"/>
          <w:color w:val="000000" w:themeColor="text1"/>
          <w:sz w:val="24"/>
          <w:szCs w:val="24"/>
        </w:rPr>
      </w:pPr>
    </w:p>
    <w:p w14:paraId="5181869A" w14:textId="77777777" w:rsidR="00947617" w:rsidRDefault="00947617" w:rsidP="00947617">
      <w:pPr>
        <w:spacing w:after="0" w:line="276" w:lineRule="auto"/>
        <w:jc w:val="both"/>
        <w:rPr>
          <w:rFonts w:eastAsiaTheme="minorEastAsia"/>
          <w:color w:val="000000" w:themeColor="text1"/>
          <w:sz w:val="24"/>
          <w:szCs w:val="24"/>
        </w:rPr>
      </w:pPr>
      <w:r w:rsidRPr="5A06AE3E">
        <w:rPr>
          <w:rFonts w:eastAsiaTheme="minorEastAsia"/>
          <w:color w:val="000000" w:themeColor="text1"/>
          <w:sz w:val="24"/>
          <w:szCs w:val="24"/>
        </w:rPr>
        <w:t xml:space="preserve">Pour ce faire, ils peuvent : </w:t>
      </w:r>
    </w:p>
    <w:p w14:paraId="71159783"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41A3BCDE">
        <w:rPr>
          <w:rFonts w:eastAsiaTheme="minorEastAsia"/>
          <w:color w:val="000000" w:themeColor="text1"/>
          <w:sz w:val="24"/>
          <w:szCs w:val="24"/>
        </w:rPr>
        <w:t>Accompagner les entreprises dans leurs recrutements par la diffusion d’offres d’emploi, la recherche et la présentation de candidats ;</w:t>
      </w:r>
    </w:p>
    <w:p w14:paraId="64626710"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41A3BCDE">
        <w:rPr>
          <w:rFonts w:eastAsiaTheme="minorEastAsia"/>
          <w:color w:val="000000" w:themeColor="text1"/>
          <w:sz w:val="24"/>
          <w:szCs w:val="24"/>
        </w:rPr>
        <w:t>S’assurer, si nécessaire, de la mise en place d’un accompagnement favorisant l’accueil et l’intégration ;</w:t>
      </w:r>
    </w:p>
    <w:p w14:paraId="2E18AF00"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69157809">
        <w:rPr>
          <w:rFonts w:eastAsiaTheme="minorEastAsia"/>
          <w:color w:val="000000" w:themeColor="text1"/>
          <w:sz w:val="24"/>
          <w:szCs w:val="24"/>
        </w:rPr>
        <w:t>Apporter, si besoin est, des réponses en matière d’ingénierie de formation pour satisfaire aux besoins de compétences définis avec les entreprises.</w:t>
      </w:r>
    </w:p>
    <w:p w14:paraId="03FE52D8" w14:textId="77777777" w:rsidR="00947617" w:rsidRDefault="00947617" w:rsidP="00947617">
      <w:pPr>
        <w:spacing w:after="0" w:line="276" w:lineRule="auto"/>
        <w:jc w:val="both"/>
        <w:rPr>
          <w:rFonts w:eastAsiaTheme="minorEastAsia"/>
          <w:color w:val="000000" w:themeColor="text1"/>
          <w:sz w:val="24"/>
          <w:szCs w:val="24"/>
        </w:rPr>
      </w:pPr>
    </w:p>
    <w:p w14:paraId="4EBCD2A7" w14:textId="77777777" w:rsidR="00947617" w:rsidRDefault="00947617" w:rsidP="00947617">
      <w:pPr>
        <w:spacing w:after="0"/>
        <w:jc w:val="both"/>
        <w:rPr>
          <w:rFonts w:eastAsiaTheme="minorEastAsia"/>
          <w:color w:val="000000" w:themeColor="text1"/>
          <w:sz w:val="24"/>
          <w:szCs w:val="24"/>
        </w:rPr>
      </w:pPr>
      <w:r w:rsidRPr="2FDE6FD5">
        <w:rPr>
          <w:rFonts w:eastAsiaTheme="minorEastAsia"/>
          <w:color w:val="000000" w:themeColor="text1"/>
          <w:sz w:val="24"/>
          <w:szCs w:val="24"/>
        </w:rPr>
        <w:t>L’accompagnement par les facilitateurs de clauses sociales offrira l’opportunité de :</w:t>
      </w:r>
    </w:p>
    <w:p w14:paraId="3CEA349F" w14:textId="77777777" w:rsidR="00947617" w:rsidRDefault="00947617" w:rsidP="00947617">
      <w:pPr>
        <w:spacing w:after="0"/>
        <w:jc w:val="both"/>
        <w:rPr>
          <w:rFonts w:eastAsiaTheme="minorEastAsia"/>
          <w:color w:val="000000" w:themeColor="text1"/>
          <w:sz w:val="24"/>
          <w:szCs w:val="24"/>
        </w:rPr>
      </w:pPr>
    </w:p>
    <w:p w14:paraId="7FF19D70" w14:textId="77777777" w:rsidR="00947617" w:rsidRDefault="00947617" w:rsidP="00947617">
      <w:pPr>
        <w:pStyle w:val="Paragraphedeliste"/>
        <w:numPr>
          <w:ilvl w:val="0"/>
          <w:numId w:val="8"/>
        </w:numPr>
        <w:spacing w:after="0"/>
        <w:jc w:val="both"/>
        <w:rPr>
          <w:rFonts w:eastAsiaTheme="minorEastAsia"/>
          <w:color w:val="000000" w:themeColor="text1"/>
          <w:sz w:val="24"/>
          <w:szCs w:val="24"/>
        </w:rPr>
      </w:pPr>
      <w:r w:rsidRPr="41A3BCDE">
        <w:rPr>
          <w:rFonts w:eastAsiaTheme="minorEastAsia"/>
          <w:color w:val="000000" w:themeColor="text1"/>
          <w:sz w:val="24"/>
          <w:szCs w:val="24"/>
        </w:rPr>
        <w:t>Faciliter et favoriser le recrutement local par les entreprises et répondre à leurs besoins de main d’œuvre qualifiée pour la bonne réalisation de l'ensemble des prestations ;</w:t>
      </w:r>
    </w:p>
    <w:p w14:paraId="7331BE2E" w14:textId="77777777" w:rsidR="00947617" w:rsidRDefault="00947617" w:rsidP="00947617">
      <w:pPr>
        <w:pStyle w:val="Paragraphedeliste"/>
        <w:numPr>
          <w:ilvl w:val="0"/>
          <w:numId w:val="8"/>
        </w:numPr>
        <w:spacing w:after="0"/>
        <w:jc w:val="both"/>
        <w:rPr>
          <w:rFonts w:eastAsiaTheme="minorEastAsia"/>
          <w:color w:val="000000" w:themeColor="text1"/>
          <w:sz w:val="24"/>
          <w:szCs w:val="24"/>
        </w:rPr>
      </w:pPr>
      <w:r w:rsidRPr="41A3BCDE">
        <w:rPr>
          <w:rFonts w:eastAsiaTheme="minorEastAsia"/>
          <w:color w:val="000000" w:themeColor="text1"/>
          <w:sz w:val="24"/>
          <w:szCs w:val="24"/>
        </w:rPr>
        <w:t>Contribuer à une meilleure insertion des demandeurs d'emploi, et participer, ainsi, à la lutte contre le chômage et l’exclusion ;</w:t>
      </w:r>
    </w:p>
    <w:p w14:paraId="5659EB83" w14:textId="77777777" w:rsidR="00947617" w:rsidRDefault="00947617" w:rsidP="00947617">
      <w:pPr>
        <w:pStyle w:val="Paragraphedeliste"/>
        <w:numPr>
          <w:ilvl w:val="0"/>
          <w:numId w:val="8"/>
        </w:numPr>
        <w:spacing w:after="0"/>
        <w:jc w:val="both"/>
        <w:rPr>
          <w:rFonts w:eastAsiaTheme="minorEastAsia"/>
          <w:color w:val="000000" w:themeColor="text1"/>
          <w:sz w:val="24"/>
          <w:szCs w:val="24"/>
        </w:rPr>
      </w:pPr>
      <w:r w:rsidRPr="41A3BCDE">
        <w:rPr>
          <w:rFonts w:eastAsiaTheme="minorEastAsia"/>
          <w:color w:val="000000" w:themeColor="text1"/>
          <w:sz w:val="24"/>
          <w:szCs w:val="24"/>
        </w:rPr>
        <w:t>Qualifier les publics en fonction des besoins exprimés par les professionnels et valider leurs acquis ;</w:t>
      </w:r>
    </w:p>
    <w:p w14:paraId="52ACE3B8" w14:textId="77777777" w:rsidR="00947617" w:rsidRDefault="00947617" w:rsidP="00947617">
      <w:pPr>
        <w:pStyle w:val="Paragraphedeliste"/>
        <w:numPr>
          <w:ilvl w:val="0"/>
          <w:numId w:val="8"/>
        </w:numPr>
        <w:spacing w:after="0"/>
        <w:jc w:val="both"/>
        <w:rPr>
          <w:rFonts w:eastAsiaTheme="minorEastAsia"/>
          <w:color w:val="000000" w:themeColor="text1"/>
          <w:sz w:val="24"/>
          <w:szCs w:val="24"/>
        </w:rPr>
      </w:pPr>
      <w:r w:rsidRPr="5A06AE3E">
        <w:rPr>
          <w:rFonts w:eastAsiaTheme="minorEastAsia"/>
          <w:color w:val="000000" w:themeColor="text1"/>
          <w:sz w:val="24"/>
          <w:szCs w:val="24"/>
        </w:rPr>
        <w:t>Sécuriser les parcours d'insertion par la pérennisation des emplois.</w:t>
      </w:r>
    </w:p>
    <w:p w14:paraId="4DA8EF99" w14:textId="77777777" w:rsidR="00947617" w:rsidRDefault="00947617" w:rsidP="00947617">
      <w:pPr>
        <w:jc w:val="both"/>
      </w:pPr>
    </w:p>
    <w:p w14:paraId="64FC8DAE" w14:textId="77777777" w:rsidR="00947617" w:rsidRDefault="00947617" w:rsidP="00947617">
      <w:pPr>
        <w:jc w:val="both"/>
        <w:rPr>
          <w:rFonts w:eastAsiaTheme="minorEastAsia"/>
          <w:b/>
          <w:bCs/>
          <w:color w:val="000000" w:themeColor="text1"/>
          <w:sz w:val="24"/>
          <w:szCs w:val="24"/>
        </w:rPr>
      </w:pPr>
      <w:r w:rsidRPr="49CF1F9D">
        <w:rPr>
          <w:rFonts w:eastAsiaTheme="minorEastAsia"/>
          <w:b/>
          <w:bCs/>
          <w:color w:val="000000" w:themeColor="text1"/>
          <w:sz w:val="24"/>
          <w:szCs w:val="24"/>
        </w:rPr>
        <w:t>Coordonnées Cellule Emploi Grands Chantiers</w:t>
      </w:r>
    </w:p>
    <w:p w14:paraId="47D448E4" w14:textId="77777777" w:rsidR="00947617" w:rsidRDefault="00947617" w:rsidP="00947617">
      <w:pPr>
        <w:jc w:val="both"/>
        <w:rPr>
          <w:rFonts w:eastAsiaTheme="minorEastAsia"/>
          <w:color w:val="000000" w:themeColor="text1"/>
          <w:sz w:val="24"/>
          <w:szCs w:val="24"/>
        </w:rPr>
      </w:pPr>
      <w:r w:rsidRPr="41A3BCDE">
        <w:rPr>
          <w:rFonts w:eastAsiaTheme="minorEastAsia"/>
          <w:color w:val="000000" w:themeColor="text1"/>
          <w:sz w:val="24"/>
          <w:szCs w:val="24"/>
        </w:rPr>
        <w:t>Adresse : 67 Boulevard François Mitterrand, 63000 Clermont-Ferrand</w:t>
      </w:r>
    </w:p>
    <w:p w14:paraId="35FD3642" w14:textId="77777777" w:rsidR="00947617" w:rsidRDefault="00947617" w:rsidP="00947617">
      <w:pPr>
        <w:jc w:val="both"/>
        <w:rPr>
          <w:rFonts w:eastAsiaTheme="minorEastAsia"/>
          <w:color w:val="000000" w:themeColor="text1"/>
          <w:sz w:val="24"/>
          <w:szCs w:val="24"/>
        </w:rPr>
      </w:pPr>
      <w:r w:rsidRPr="41A3BCDE">
        <w:rPr>
          <w:rFonts w:eastAsiaTheme="minorEastAsia"/>
          <w:sz w:val="24"/>
          <w:szCs w:val="24"/>
        </w:rPr>
        <w:t xml:space="preserve">Adresse électronique de contact : </w:t>
      </w:r>
      <w:hyperlink r:id="rId9">
        <w:r w:rsidRPr="41A3BCDE">
          <w:rPr>
            <w:rStyle w:val="Lienhypertexte"/>
            <w:rFonts w:eastAsiaTheme="minorEastAsia"/>
            <w:sz w:val="24"/>
            <w:szCs w:val="24"/>
          </w:rPr>
          <w:t>plie@clermontmetropole.eu</w:t>
        </w:r>
      </w:hyperlink>
    </w:p>
    <w:p w14:paraId="4E175D3D" w14:textId="77777777" w:rsidR="00947617" w:rsidRDefault="00947617" w:rsidP="00947617">
      <w:pPr>
        <w:jc w:val="both"/>
        <w:rPr>
          <w:rFonts w:eastAsiaTheme="minorEastAsia"/>
          <w:color w:val="000000" w:themeColor="text1"/>
          <w:sz w:val="24"/>
          <w:szCs w:val="24"/>
        </w:rPr>
      </w:pPr>
      <w:r w:rsidRPr="37B67152">
        <w:rPr>
          <w:rFonts w:eastAsiaTheme="minorEastAsia"/>
          <w:sz w:val="24"/>
          <w:szCs w:val="24"/>
        </w:rPr>
        <w:t xml:space="preserve">Téléphone : 04 73 98 35 79 </w:t>
      </w:r>
    </w:p>
    <w:p w14:paraId="7160D023" w14:textId="77777777" w:rsidR="00947617" w:rsidRDefault="00947617" w:rsidP="00947617">
      <w:pPr>
        <w:jc w:val="both"/>
        <w:rPr>
          <w:rFonts w:ascii="Calibri" w:eastAsia="Calibri" w:hAnsi="Calibri" w:cs="Calibri"/>
          <w:color w:val="000000" w:themeColor="text1"/>
          <w:sz w:val="24"/>
          <w:szCs w:val="24"/>
        </w:rPr>
      </w:pPr>
      <w:r w:rsidRPr="37B67152">
        <w:rPr>
          <w:rFonts w:ascii="Calibri" w:eastAsia="Calibri" w:hAnsi="Calibri" w:cs="Calibri"/>
          <w:color w:val="000000" w:themeColor="text1"/>
          <w:sz w:val="24"/>
          <w:szCs w:val="24"/>
        </w:rPr>
        <w:t xml:space="preserve">Yassin BOUMALLASSA, </w:t>
      </w:r>
      <w:r w:rsidRPr="37B67152">
        <w:rPr>
          <w:rFonts w:ascii="Calibri" w:eastAsia="Calibri" w:hAnsi="Calibri" w:cs="Calibri"/>
          <w:i/>
          <w:iCs/>
          <w:color w:val="000000" w:themeColor="text1"/>
          <w:sz w:val="24"/>
          <w:szCs w:val="24"/>
        </w:rPr>
        <w:t>Coordinateur de la clause sociale</w:t>
      </w:r>
    </w:p>
    <w:p w14:paraId="2A1DCCE5" w14:textId="77777777" w:rsidR="00947617" w:rsidRDefault="00947617" w:rsidP="00947617">
      <w:pPr>
        <w:jc w:val="both"/>
        <w:rPr>
          <w:rFonts w:eastAsiaTheme="minorEastAsia"/>
          <w:sz w:val="24"/>
          <w:szCs w:val="24"/>
        </w:rPr>
      </w:pPr>
    </w:p>
    <w:p w14:paraId="544A4289" w14:textId="77777777" w:rsidR="00947617" w:rsidRDefault="00947617" w:rsidP="00947617">
      <w:pPr>
        <w:spacing w:line="276" w:lineRule="auto"/>
        <w:jc w:val="both"/>
        <w:rPr>
          <w:rFonts w:eastAsiaTheme="minorEastAsia"/>
          <w:i/>
          <w:iCs/>
          <w:color w:val="000000" w:themeColor="text1"/>
          <w:sz w:val="24"/>
          <w:szCs w:val="24"/>
        </w:rPr>
      </w:pPr>
    </w:p>
    <w:p w14:paraId="3FE75757" w14:textId="77777777" w:rsidR="00947617" w:rsidRDefault="00947617" w:rsidP="00947617">
      <w:pPr>
        <w:pStyle w:val="Paragraphedeliste"/>
        <w:numPr>
          <w:ilvl w:val="0"/>
          <w:numId w:val="1"/>
        </w:numPr>
        <w:spacing w:line="276" w:lineRule="auto"/>
        <w:jc w:val="both"/>
        <w:rPr>
          <w:rFonts w:eastAsiaTheme="minorEastAsia"/>
          <w:b/>
          <w:bCs/>
          <w:color w:val="000000" w:themeColor="text1"/>
          <w:sz w:val="24"/>
          <w:szCs w:val="24"/>
          <w:u w:val="single"/>
        </w:rPr>
      </w:pPr>
      <w:r w:rsidRPr="6A98C613">
        <w:rPr>
          <w:rFonts w:eastAsiaTheme="minorEastAsia"/>
          <w:b/>
          <w:bCs/>
          <w:color w:val="000000" w:themeColor="text1"/>
          <w:sz w:val="24"/>
          <w:szCs w:val="24"/>
          <w:u w:val="single"/>
        </w:rPr>
        <w:t>Suivi et contrôle de la clause sociale d’insertion</w:t>
      </w:r>
    </w:p>
    <w:p w14:paraId="290E68B8" w14:textId="77777777" w:rsidR="00947617" w:rsidRDefault="00947617" w:rsidP="00947617">
      <w:pPr>
        <w:spacing w:line="276" w:lineRule="auto"/>
        <w:jc w:val="both"/>
        <w:rPr>
          <w:rFonts w:eastAsiaTheme="minorEastAsia"/>
          <w:b/>
          <w:bCs/>
          <w:color w:val="000000" w:themeColor="text1"/>
          <w:sz w:val="24"/>
          <w:szCs w:val="24"/>
          <w:u w:val="single"/>
        </w:rPr>
      </w:pPr>
    </w:p>
    <w:p w14:paraId="28D41298" w14:textId="77777777" w:rsidR="00947617" w:rsidRDefault="00947617" w:rsidP="00947617">
      <w:pPr>
        <w:spacing w:line="276" w:lineRule="auto"/>
        <w:jc w:val="both"/>
        <w:rPr>
          <w:rFonts w:eastAsiaTheme="minorEastAsia"/>
          <w:color w:val="000000" w:themeColor="text1"/>
          <w:sz w:val="24"/>
          <w:szCs w:val="24"/>
        </w:rPr>
      </w:pPr>
      <w:r w:rsidRPr="5A06AE3E">
        <w:rPr>
          <w:rFonts w:eastAsiaTheme="minorEastAsia"/>
          <w:color w:val="000000" w:themeColor="text1"/>
          <w:sz w:val="24"/>
          <w:szCs w:val="24"/>
        </w:rPr>
        <w:t>Dans un délai d’un mois maximum suivant la notification du marché, le titulaire prend contact avec la CEGC afin de définir les modalités opérationnelles d’exécution de la clause.</w:t>
      </w:r>
    </w:p>
    <w:p w14:paraId="6ADA0A16" w14:textId="77777777" w:rsidR="00947617" w:rsidRDefault="00947617" w:rsidP="00947617">
      <w:pPr>
        <w:spacing w:line="276" w:lineRule="auto"/>
        <w:jc w:val="both"/>
        <w:rPr>
          <w:rFonts w:eastAsiaTheme="minorEastAsia"/>
          <w:color w:val="000000" w:themeColor="text1"/>
          <w:sz w:val="24"/>
          <w:szCs w:val="24"/>
        </w:rPr>
      </w:pPr>
      <w:r w:rsidRPr="32A2F6F3">
        <w:rPr>
          <w:rFonts w:eastAsiaTheme="minorEastAsia"/>
          <w:color w:val="000000" w:themeColor="text1"/>
          <w:sz w:val="24"/>
          <w:szCs w:val="24"/>
        </w:rPr>
        <w:t xml:space="preserve">La CEGC, dont la mission lui a été confiée par l'acheteur public, procède au contrôle de l’exécution des actions d’insertion pour lesquelles le titulaire s’est engagé. </w:t>
      </w:r>
    </w:p>
    <w:p w14:paraId="49C1E906" w14:textId="77777777" w:rsidR="00947617" w:rsidRDefault="00947617" w:rsidP="00947617">
      <w:pPr>
        <w:spacing w:after="0" w:line="276" w:lineRule="auto"/>
        <w:jc w:val="both"/>
        <w:rPr>
          <w:rFonts w:ascii="Calibri" w:eastAsia="Calibri" w:hAnsi="Calibri" w:cs="Calibri"/>
          <w:color w:val="000000" w:themeColor="text1"/>
          <w:sz w:val="24"/>
          <w:szCs w:val="24"/>
        </w:rPr>
      </w:pPr>
      <w:r w:rsidRPr="6FAF4C39">
        <w:rPr>
          <w:rFonts w:eastAsiaTheme="minorEastAsia"/>
          <w:color w:val="000000" w:themeColor="text1"/>
          <w:sz w:val="24"/>
          <w:szCs w:val="24"/>
        </w:rPr>
        <w:lastRenderedPageBreak/>
        <w:t xml:space="preserve">Pour le suivi et l’évaluation du volume insertion, le titulaire, le sous-traitant ou la structure employeuse, produisent et transmettent à la CEGC tous les renseignements permettant la vérification de l’éligibilité à la clause sociale d’insertion et ceux relatifs à l’exécution des heures d’insertion, à savoir : </w:t>
      </w:r>
      <w:r w:rsidRPr="6FAF4C39">
        <w:rPr>
          <w:rFonts w:ascii="Calibri" w:eastAsia="Calibri" w:hAnsi="Calibri" w:cs="Calibri"/>
          <w:color w:val="000000" w:themeColor="text1"/>
          <w:sz w:val="24"/>
          <w:szCs w:val="24"/>
        </w:rPr>
        <w:t xml:space="preserve">le Nom/Prénom, la date de naissance, l’adresse, la nationalité, le niveau de qualification, au besoin le numéro de sécurité sociale, le type de contrat, la date de début et de fin de contrat, le poste occupé ainsi que les heures réalisées mensuellement. Ces informations peuvent être retrouvées dans les documents ci-dessous, pouvant être adressés au facilitateur : </w:t>
      </w:r>
    </w:p>
    <w:p w14:paraId="2F156EE9"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6FAF4C39">
        <w:rPr>
          <w:rFonts w:eastAsiaTheme="minorEastAsia"/>
          <w:color w:val="000000" w:themeColor="text1"/>
          <w:sz w:val="24"/>
          <w:szCs w:val="24"/>
        </w:rPr>
        <w:t>Le CV</w:t>
      </w:r>
    </w:p>
    <w:p w14:paraId="644CB16A"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6FAF4C39">
        <w:rPr>
          <w:rFonts w:eastAsiaTheme="minorEastAsia"/>
          <w:color w:val="000000" w:themeColor="text1"/>
          <w:sz w:val="24"/>
          <w:szCs w:val="24"/>
        </w:rPr>
        <w:t>Le contrat de travail (reprenant les éléments liés à l’embauche, le type de contrat, la date d’embauche et la date de fin éventuelle et les heures de travail mensuelles).</w:t>
      </w:r>
    </w:p>
    <w:p w14:paraId="6D3F285D" w14:textId="77777777" w:rsidR="00947617" w:rsidRDefault="00947617" w:rsidP="00947617">
      <w:pPr>
        <w:pStyle w:val="Paragraphedeliste"/>
        <w:numPr>
          <w:ilvl w:val="0"/>
          <w:numId w:val="8"/>
        </w:numPr>
        <w:spacing w:after="0" w:line="276" w:lineRule="auto"/>
        <w:jc w:val="both"/>
        <w:rPr>
          <w:rFonts w:eastAsiaTheme="minorEastAsia"/>
          <w:color w:val="000000" w:themeColor="text1"/>
          <w:sz w:val="24"/>
          <w:szCs w:val="24"/>
        </w:rPr>
      </w:pPr>
      <w:r w:rsidRPr="6FAF4C39">
        <w:rPr>
          <w:rFonts w:eastAsiaTheme="minorEastAsia"/>
          <w:color w:val="000000" w:themeColor="text1"/>
          <w:sz w:val="24"/>
          <w:szCs w:val="24"/>
        </w:rPr>
        <w:t>Les fiches de paie, au besoin.</w:t>
      </w:r>
    </w:p>
    <w:p w14:paraId="2AFC7777" w14:textId="77777777" w:rsidR="00947617" w:rsidRDefault="00947617" w:rsidP="00947617">
      <w:pPr>
        <w:spacing w:after="0" w:line="276" w:lineRule="auto"/>
        <w:jc w:val="both"/>
        <w:rPr>
          <w:rFonts w:eastAsiaTheme="minorEastAsia"/>
          <w:color w:val="000000" w:themeColor="text1"/>
          <w:sz w:val="24"/>
          <w:szCs w:val="24"/>
        </w:rPr>
      </w:pPr>
    </w:p>
    <w:p w14:paraId="327FD77D" w14:textId="77777777" w:rsidR="00947617" w:rsidRDefault="00947617" w:rsidP="00947617">
      <w:pPr>
        <w:spacing w:line="276" w:lineRule="auto"/>
        <w:jc w:val="both"/>
        <w:rPr>
          <w:rFonts w:eastAsiaTheme="minorEastAsia"/>
          <w:color w:val="000000" w:themeColor="text1"/>
          <w:sz w:val="24"/>
          <w:szCs w:val="24"/>
        </w:rPr>
      </w:pPr>
      <w:r w:rsidRPr="6A98C613">
        <w:rPr>
          <w:rFonts w:eastAsiaTheme="minorEastAsia"/>
          <w:color w:val="000000" w:themeColor="text1"/>
          <w:sz w:val="24"/>
          <w:szCs w:val="24"/>
        </w:rPr>
        <w:t>Le manquement avéré du titulaire à son action d'insertion, ou le refus caractérisé de transmission d'information, peut entraîner l'application de pénalités par l’acheteur public.</w:t>
      </w:r>
    </w:p>
    <w:p w14:paraId="6D7AA648" w14:textId="77777777" w:rsidR="00947617" w:rsidRDefault="00947617" w:rsidP="00947617">
      <w:pPr>
        <w:spacing w:line="276" w:lineRule="auto"/>
        <w:jc w:val="both"/>
        <w:rPr>
          <w:rFonts w:eastAsiaTheme="minorEastAsia"/>
          <w:color w:val="000000" w:themeColor="text1"/>
          <w:sz w:val="24"/>
          <w:szCs w:val="24"/>
        </w:rPr>
      </w:pPr>
    </w:p>
    <w:p w14:paraId="154A0A20" w14:textId="77777777" w:rsidR="00947617" w:rsidRDefault="00947617" w:rsidP="00947617">
      <w:pPr>
        <w:jc w:val="both"/>
        <w:rPr>
          <w:rFonts w:eastAsiaTheme="minorEastAsia"/>
          <w:b/>
          <w:bCs/>
          <w:color w:val="000000" w:themeColor="text1"/>
          <w:sz w:val="24"/>
          <w:szCs w:val="24"/>
        </w:rPr>
      </w:pPr>
      <w:bookmarkStart w:id="0" w:name="_Int_xFbEa4O2"/>
      <w:r w:rsidRPr="41A3BCDE">
        <w:rPr>
          <w:rFonts w:eastAsiaTheme="minorEastAsia"/>
          <w:b/>
          <w:bCs/>
          <w:color w:val="000000" w:themeColor="text1"/>
          <w:sz w:val="24"/>
          <w:szCs w:val="24"/>
        </w:rPr>
        <w:t xml:space="preserve">Pénalités relatives à la clause sociale d’insertion </w:t>
      </w:r>
      <w:bookmarkEnd w:id="0"/>
    </w:p>
    <w:p w14:paraId="54732BBD" w14:textId="77777777" w:rsidR="00947617" w:rsidRDefault="00947617" w:rsidP="00947617">
      <w:pPr>
        <w:jc w:val="both"/>
        <w:rPr>
          <w:rFonts w:eastAsiaTheme="minorEastAsia"/>
          <w:color w:val="000000" w:themeColor="text1"/>
          <w:sz w:val="24"/>
          <w:szCs w:val="24"/>
        </w:rPr>
      </w:pPr>
      <w:r w:rsidRPr="2FDE6FD5">
        <w:rPr>
          <w:rFonts w:eastAsiaTheme="minorEastAsia"/>
          <w:color w:val="000000" w:themeColor="text1"/>
          <w:sz w:val="24"/>
          <w:szCs w:val="24"/>
        </w:rPr>
        <w:t>Lors des contrôles mensuels ou trimestriels de l’action d’insertion et à l’occasion de l’échéance du marché, un bilan intermédiaire et/ou final des opérations d’insertion sera dressé.</w:t>
      </w:r>
    </w:p>
    <w:p w14:paraId="6161E1C0" w14:textId="77777777" w:rsidR="00947617" w:rsidRDefault="00947617" w:rsidP="00947617">
      <w:pPr>
        <w:jc w:val="both"/>
      </w:pPr>
      <w:r w:rsidRPr="2FDE6FD5">
        <w:rPr>
          <w:rFonts w:ascii="Calibri" w:eastAsia="Calibri" w:hAnsi="Calibri" w:cs="Calibri"/>
          <w:sz w:val="24"/>
          <w:szCs w:val="24"/>
        </w:rPr>
        <w:t>En cas de manquement du titulaire à ses obligations relatives à la clause sociale d'insertion, constaté par la CEGC et l'acheteur public, des pénalités seront appliquées, correspondant à deux fois le SMIC horaire brut pour chaque heure d'insertion non réalisée.</w:t>
      </w:r>
    </w:p>
    <w:p w14:paraId="031E78C4" w14:textId="77777777" w:rsidR="00947617" w:rsidRDefault="00947617" w:rsidP="00947617">
      <w:pPr>
        <w:spacing w:line="276" w:lineRule="auto"/>
        <w:jc w:val="both"/>
        <w:rPr>
          <w:rFonts w:eastAsiaTheme="minorEastAsia"/>
          <w:color w:val="000000" w:themeColor="text1"/>
          <w:sz w:val="24"/>
          <w:szCs w:val="24"/>
        </w:rPr>
      </w:pPr>
      <w:bookmarkStart w:id="1" w:name="_Int_CL5YG0IR"/>
      <w:r w:rsidRPr="4D5C07B8">
        <w:rPr>
          <w:rFonts w:eastAsiaTheme="minorEastAsia"/>
          <w:color w:val="000000" w:themeColor="text1"/>
          <w:sz w:val="24"/>
          <w:szCs w:val="24"/>
        </w:rPr>
        <w:t>Sur avis du facilitateur, le titulaire pourra être exonéré de pénalités si la non-réalisation de l'obligation n'incombe pas à l'entreprise.</w:t>
      </w:r>
      <w:bookmarkEnd w:id="1"/>
    </w:p>
    <w:p w14:paraId="430BADE7" w14:textId="77777777" w:rsidR="00947617" w:rsidRDefault="00947617" w:rsidP="00947617">
      <w:pPr>
        <w:spacing w:line="276" w:lineRule="auto"/>
        <w:jc w:val="both"/>
        <w:rPr>
          <w:rFonts w:eastAsiaTheme="minorEastAsia"/>
          <w:color w:val="000000" w:themeColor="text1"/>
          <w:sz w:val="24"/>
          <w:szCs w:val="24"/>
        </w:rPr>
      </w:pPr>
    </w:p>
    <w:p w14:paraId="321B4153" w14:textId="77777777" w:rsidR="00947617" w:rsidRDefault="00947617" w:rsidP="00947617">
      <w:pPr>
        <w:spacing w:line="276" w:lineRule="auto"/>
        <w:jc w:val="both"/>
        <w:rPr>
          <w:rFonts w:eastAsiaTheme="minorEastAsia"/>
          <w:b/>
          <w:bCs/>
          <w:color w:val="000000" w:themeColor="text1"/>
          <w:sz w:val="24"/>
          <w:szCs w:val="24"/>
        </w:rPr>
      </w:pPr>
      <w:r w:rsidRPr="4D5C07B8">
        <w:rPr>
          <w:rFonts w:eastAsiaTheme="minorEastAsia"/>
          <w:b/>
          <w:bCs/>
          <w:color w:val="000000" w:themeColor="text1"/>
          <w:sz w:val="24"/>
          <w:szCs w:val="24"/>
        </w:rPr>
        <w:t>Cas particulier menant à la suspension ou à la suppression de la clause sociale, sans application de pénalités</w:t>
      </w:r>
    </w:p>
    <w:p w14:paraId="5AA5E5CB" w14:textId="77777777" w:rsidR="00947617" w:rsidRDefault="00947617" w:rsidP="00947617">
      <w:pPr>
        <w:jc w:val="both"/>
        <w:rPr>
          <w:rFonts w:eastAsiaTheme="minorEastAsia"/>
          <w:b/>
          <w:bCs/>
          <w:color w:val="000000" w:themeColor="text1"/>
          <w:sz w:val="24"/>
          <w:szCs w:val="24"/>
        </w:rPr>
      </w:pPr>
      <w:r w:rsidRPr="32A2F6F3">
        <w:rPr>
          <w:rFonts w:eastAsiaTheme="minorEastAsia"/>
          <w:color w:val="000000" w:themeColor="text1"/>
          <w:sz w:val="24"/>
          <w:szCs w:val="24"/>
        </w:rPr>
        <w:t>En cas de difficultés rencontrées par le titulaire dans la mise en œuvre de son engagement, celui-ci doit les porter à la connaissance de l’acheteur public et du facilitateur de la CEGC.</w:t>
      </w:r>
      <w:r w:rsidRPr="32A2F6F3">
        <w:rPr>
          <w:rFonts w:eastAsiaTheme="minorEastAsia"/>
          <w:b/>
          <w:bCs/>
          <w:color w:val="000000" w:themeColor="text1"/>
          <w:sz w:val="24"/>
          <w:szCs w:val="24"/>
        </w:rPr>
        <w:t xml:space="preserve"> </w:t>
      </w:r>
    </w:p>
    <w:p w14:paraId="296D7204" w14:textId="77777777" w:rsidR="00947617" w:rsidRDefault="00947617" w:rsidP="00947617">
      <w:pPr>
        <w:jc w:val="both"/>
        <w:rPr>
          <w:rFonts w:eastAsiaTheme="minorEastAsia"/>
          <w:color w:val="000000" w:themeColor="text1"/>
          <w:sz w:val="24"/>
          <w:szCs w:val="24"/>
        </w:rPr>
      </w:pPr>
      <w:r w:rsidRPr="6A98C613">
        <w:rPr>
          <w:rFonts w:eastAsiaTheme="minorEastAsia"/>
          <w:color w:val="000000" w:themeColor="text1"/>
          <w:sz w:val="24"/>
          <w:szCs w:val="24"/>
        </w:rPr>
        <w:t>Dans ce cas, l'acheteur public et le facilitateur, étudient au cas par cas avec le titulaire les moyens à mettre en œuvre pour atteindre les objectifs d’insertion.</w:t>
      </w:r>
    </w:p>
    <w:p w14:paraId="66BBD20D" w14:textId="77777777" w:rsidR="00947617" w:rsidRDefault="00947617" w:rsidP="00947617">
      <w:pPr>
        <w:pStyle w:val="Paragraphedeliste"/>
        <w:numPr>
          <w:ilvl w:val="0"/>
          <w:numId w:val="2"/>
        </w:numPr>
        <w:jc w:val="both"/>
        <w:rPr>
          <w:rFonts w:eastAsiaTheme="minorEastAsia"/>
          <w:color w:val="000000" w:themeColor="text1"/>
          <w:sz w:val="24"/>
          <w:szCs w:val="24"/>
        </w:rPr>
      </w:pPr>
      <w:r w:rsidRPr="6A98C613">
        <w:rPr>
          <w:rFonts w:eastAsiaTheme="minorEastAsia"/>
          <w:color w:val="000000" w:themeColor="text1"/>
          <w:sz w:val="24"/>
          <w:szCs w:val="24"/>
        </w:rPr>
        <w:t>En cas de difficultés économiques, établies par un faisceau d’indices, l’entreprise attributaire peut demander à l’acheteur public la suspension ou la suppression de la clause d’insertion.</w:t>
      </w:r>
    </w:p>
    <w:p w14:paraId="4E762B51" w14:textId="77777777" w:rsidR="00947617" w:rsidRDefault="00947617" w:rsidP="00947617">
      <w:pPr>
        <w:pStyle w:val="Paragraphedeliste"/>
        <w:numPr>
          <w:ilvl w:val="0"/>
          <w:numId w:val="2"/>
        </w:numPr>
        <w:jc w:val="both"/>
        <w:rPr>
          <w:rFonts w:eastAsiaTheme="minorEastAsia"/>
          <w:color w:val="000000" w:themeColor="text1"/>
          <w:sz w:val="24"/>
          <w:szCs w:val="24"/>
        </w:rPr>
      </w:pPr>
      <w:r w:rsidRPr="6A98C613">
        <w:rPr>
          <w:rFonts w:eastAsiaTheme="minorEastAsia"/>
          <w:color w:val="000000" w:themeColor="text1"/>
          <w:sz w:val="24"/>
          <w:szCs w:val="24"/>
        </w:rPr>
        <w:t xml:space="preserve">En cas de difficultés économiques qui se traduisent par le recours à de l’activité partielle, à l’engagement d’une procédure de licenciement pour motif économique ou </w:t>
      </w:r>
      <w:r w:rsidRPr="6A98C613">
        <w:rPr>
          <w:rFonts w:eastAsiaTheme="minorEastAsia"/>
          <w:color w:val="000000" w:themeColor="text1"/>
          <w:sz w:val="24"/>
          <w:szCs w:val="24"/>
        </w:rPr>
        <w:lastRenderedPageBreak/>
        <w:t>à l’ouverture d’une procédure de redressement judiciaire, l’acheteur annule la clause d’insertion sociale.</w:t>
      </w:r>
    </w:p>
    <w:p w14:paraId="2668A02A" w14:textId="77777777" w:rsidR="00947617" w:rsidRDefault="00947617" w:rsidP="00947617">
      <w:pPr>
        <w:jc w:val="both"/>
        <w:rPr>
          <w:rFonts w:eastAsiaTheme="minorEastAsia"/>
          <w:color w:val="000000" w:themeColor="text1"/>
          <w:sz w:val="24"/>
          <w:szCs w:val="24"/>
        </w:rPr>
      </w:pPr>
      <w:r w:rsidRPr="4D5C07B8">
        <w:rPr>
          <w:rFonts w:eastAsiaTheme="minorEastAsia"/>
          <w:color w:val="000000" w:themeColor="text1"/>
          <w:sz w:val="24"/>
          <w:szCs w:val="24"/>
        </w:rPr>
        <w:t>Après réception de la demande et des justificatifs, la CEGC procède à l’instruction de la demande et précise la période de suspension des stipulations de la clause sociale.</w:t>
      </w:r>
    </w:p>
    <w:p w14:paraId="16D527A7" w14:textId="77777777" w:rsidR="00947617" w:rsidRDefault="00947617" w:rsidP="00947617">
      <w:pPr>
        <w:jc w:val="both"/>
        <w:rPr>
          <w:rFonts w:eastAsiaTheme="minorEastAsia"/>
          <w:b/>
          <w:bCs/>
          <w:color w:val="000000" w:themeColor="text1"/>
          <w:sz w:val="24"/>
          <w:szCs w:val="24"/>
          <w:highlight w:val="yellow"/>
          <w:u w:val="single"/>
        </w:rPr>
      </w:pPr>
      <w:r w:rsidRPr="6FAF4C39">
        <w:rPr>
          <w:rFonts w:eastAsiaTheme="minorEastAsia"/>
          <w:color w:val="000000" w:themeColor="text1"/>
          <w:sz w:val="24"/>
          <w:szCs w:val="24"/>
        </w:rPr>
        <w:t>Dès lors, le titulaire peut bénéficier de la suspension de l’application des stipulations de la clause d’insertion sociale si les fonctions impactées par la mesure en cause correspondent à celles prévues au marché. Par ailleurs, la durée de la mesure en cause doit intervenir pendant la durée d’exécution effective du marché.</w:t>
      </w:r>
    </w:p>
    <w:p w14:paraId="26FF0464" w14:textId="77777777" w:rsidR="00947617" w:rsidRPr="00E7429A" w:rsidRDefault="00947617" w:rsidP="00947617">
      <w:pPr>
        <w:jc w:val="both"/>
        <w:rPr>
          <w:b/>
          <w:bCs/>
          <w:sz w:val="28"/>
          <w:szCs w:val="28"/>
        </w:rPr>
      </w:pPr>
    </w:p>
    <w:sectPr w:rsidR="00947617" w:rsidRPr="00E742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03DF4" w14:textId="77777777" w:rsidR="0055451B" w:rsidRDefault="0055451B" w:rsidP="0055451B">
      <w:pPr>
        <w:spacing w:after="0" w:line="240" w:lineRule="auto"/>
      </w:pPr>
      <w:r>
        <w:separator/>
      </w:r>
    </w:p>
  </w:endnote>
  <w:endnote w:type="continuationSeparator" w:id="0">
    <w:p w14:paraId="78B181D7" w14:textId="77777777" w:rsidR="0055451B" w:rsidRDefault="0055451B" w:rsidP="00554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412A" w14:textId="7385F810" w:rsidR="0055451B" w:rsidRDefault="0055451B">
    <w:pPr>
      <w:pStyle w:val="Pieddepage"/>
    </w:pPr>
    <w:r>
      <w:t>2024DAC0022L01/L04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59C0F" w14:textId="77777777" w:rsidR="0055451B" w:rsidRDefault="0055451B" w:rsidP="0055451B">
      <w:pPr>
        <w:spacing w:after="0" w:line="240" w:lineRule="auto"/>
      </w:pPr>
      <w:r>
        <w:separator/>
      </w:r>
    </w:p>
  </w:footnote>
  <w:footnote w:type="continuationSeparator" w:id="0">
    <w:p w14:paraId="5AB438A9" w14:textId="77777777" w:rsidR="0055451B" w:rsidRDefault="0055451B" w:rsidP="00554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C6C7"/>
    <w:multiLevelType w:val="hybridMultilevel"/>
    <w:tmpl w:val="ED8E14DE"/>
    <w:lvl w:ilvl="0" w:tplc="07A6E832">
      <w:start w:val="1"/>
      <w:numFmt w:val="upperRoman"/>
      <w:lvlText w:val="%1."/>
      <w:lvlJc w:val="left"/>
      <w:pPr>
        <w:ind w:left="720" w:hanging="360"/>
      </w:pPr>
    </w:lvl>
    <w:lvl w:ilvl="1" w:tplc="83222F20">
      <w:start w:val="1"/>
      <w:numFmt w:val="lowerLetter"/>
      <w:lvlText w:val="%2."/>
      <w:lvlJc w:val="left"/>
      <w:pPr>
        <w:ind w:left="1440" w:hanging="360"/>
      </w:pPr>
    </w:lvl>
    <w:lvl w:ilvl="2" w:tplc="55D43CF8">
      <w:start w:val="1"/>
      <w:numFmt w:val="lowerRoman"/>
      <w:lvlText w:val="%3."/>
      <w:lvlJc w:val="right"/>
      <w:pPr>
        <w:ind w:left="2160" w:hanging="180"/>
      </w:pPr>
    </w:lvl>
    <w:lvl w:ilvl="3" w:tplc="5978A7B6">
      <w:start w:val="1"/>
      <w:numFmt w:val="decimal"/>
      <w:lvlText w:val="%4."/>
      <w:lvlJc w:val="left"/>
      <w:pPr>
        <w:ind w:left="2880" w:hanging="360"/>
      </w:pPr>
    </w:lvl>
    <w:lvl w:ilvl="4" w:tplc="8EF4A762">
      <w:start w:val="1"/>
      <w:numFmt w:val="lowerLetter"/>
      <w:lvlText w:val="%5."/>
      <w:lvlJc w:val="left"/>
      <w:pPr>
        <w:ind w:left="3600" w:hanging="360"/>
      </w:pPr>
    </w:lvl>
    <w:lvl w:ilvl="5" w:tplc="071289F4">
      <w:start w:val="1"/>
      <w:numFmt w:val="lowerRoman"/>
      <w:lvlText w:val="%6."/>
      <w:lvlJc w:val="right"/>
      <w:pPr>
        <w:ind w:left="4320" w:hanging="180"/>
      </w:pPr>
    </w:lvl>
    <w:lvl w:ilvl="6" w:tplc="BFF822BA">
      <w:start w:val="1"/>
      <w:numFmt w:val="decimal"/>
      <w:lvlText w:val="%7."/>
      <w:lvlJc w:val="left"/>
      <w:pPr>
        <w:ind w:left="5040" w:hanging="360"/>
      </w:pPr>
    </w:lvl>
    <w:lvl w:ilvl="7" w:tplc="C0FE6B14">
      <w:start w:val="1"/>
      <w:numFmt w:val="lowerLetter"/>
      <w:lvlText w:val="%8."/>
      <w:lvlJc w:val="left"/>
      <w:pPr>
        <w:ind w:left="5760" w:hanging="360"/>
      </w:pPr>
    </w:lvl>
    <w:lvl w:ilvl="8" w:tplc="67C66C40">
      <w:start w:val="1"/>
      <w:numFmt w:val="lowerRoman"/>
      <w:lvlText w:val="%9."/>
      <w:lvlJc w:val="right"/>
      <w:pPr>
        <w:ind w:left="6480" w:hanging="180"/>
      </w:pPr>
    </w:lvl>
  </w:abstractNum>
  <w:abstractNum w:abstractNumId="1" w15:restartNumberingAfterBreak="0">
    <w:nsid w:val="17A63C1F"/>
    <w:multiLevelType w:val="hybridMultilevel"/>
    <w:tmpl w:val="1B642912"/>
    <w:lvl w:ilvl="0" w:tplc="F63E51A2">
      <w:start w:val="1"/>
      <w:numFmt w:val="bullet"/>
      <w:lvlText w:val=""/>
      <w:lvlJc w:val="left"/>
      <w:pPr>
        <w:ind w:left="720" w:hanging="360"/>
      </w:pPr>
      <w:rPr>
        <w:rFonts w:ascii="Symbol" w:hAnsi="Symbol" w:hint="default"/>
      </w:rPr>
    </w:lvl>
    <w:lvl w:ilvl="1" w:tplc="4268EBF2">
      <w:start w:val="1"/>
      <w:numFmt w:val="bullet"/>
      <w:lvlText w:val="o"/>
      <w:lvlJc w:val="left"/>
      <w:pPr>
        <w:ind w:left="1440" w:hanging="360"/>
      </w:pPr>
      <w:rPr>
        <w:rFonts w:ascii="Courier New" w:hAnsi="Courier New" w:hint="default"/>
      </w:rPr>
    </w:lvl>
    <w:lvl w:ilvl="2" w:tplc="6226C366">
      <w:start w:val="1"/>
      <w:numFmt w:val="bullet"/>
      <w:lvlText w:val=""/>
      <w:lvlJc w:val="left"/>
      <w:pPr>
        <w:ind w:left="2160" w:hanging="360"/>
      </w:pPr>
      <w:rPr>
        <w:rFonts w:ascii="Wingdings" w:hAnsi="Wingdings" w:hint="default"/>
      </w:rPr>
    </w:lvl>
    <w:lvl w:ilvl="3" w:tplc="B596E09E">
      <w:start w:val="1"/>
      <w:numFmt w:val="bullet"/>
      <w:lvlText w:val=""/>
      <w:lvlJc w:val="left"/>
      <w:pPr>
        <w:ind w:left="2880" w:hanging="360"/>
      </w:pPr>
      <w:rPr>
        <w:rFonts w:ascii="Symbol" w:hAnsi="Symbol" w:hint="default"/>
      </w:rPr>
    </w:lvl>
    <w:lvl w:ilvl="4" w:tplc="C67C1CA2">
      <w:start w:val="1"/>
      <w:numFmt w:val="bullet"/>
      <w:lvlText w:val="o"/>
      <w:lvlJc w:val="left"/>
      <w:pPr>
        <w:ind w:left="3600" w:hanging="360"/>
      </w:pPr>
      <w:rPr>
        <w:rFonts w:ascii="Courier New" w:hAnsi="Courier New" w:hint="default"/>
      </w:rPr>
    </w:lvl>
    <w:lvl w:ilvl="5" w:tplc="DF9A9E4A">
      <w:start w:val="1"/>
      <w:numFmt w:val="bullet"/>
      <w:lvlText w:val=""/>
      <w:lvlJc w:val="left"/>
      <w:pPr>
        <w:ind w:left="4320" w:hanging="360"/>
      </w:pPr>
      <w:rPr>
        <w:rFonts w:ascii="Wingdings" w:hAnsi="Wingdings" w:hint="default"/>
      </w:rPr>
    </w:lvl>
    <w:lvl w:ilvl="6" w:tplc="2BA82A46">
      <w:start w:val="1"/>
      <w:numFmt w:val="bullet"/>
      <w:lvlText w:val=""/>
      <w:lvlJc w:val="left"/>
      <w:pPr>
        <w:ind w:left="5040" w:hanging="360"/>
      </w:pPr>
      <w:rPr>
        <w:rFonts w:ascii="Symbol" w:hAnsi="Symbol" w:hint="default"/>
      </w:rPr>
    </w:lvl>
    <w:lvl w:ilvl="7" w:tplc="2E026348">
      <w:start w:val="1"/>
      <w:numFmt w:val="bullet"/>
      <w:lvlText w:val="o"/>
      <w:lvlJc w:val="left"/>
      <w:pPr>
        <w:ind w:left="5760" w:hanging="360"/>
      </w:pPr>
      <w:rPr>
        <w:rFonts w:ascii="Courier New" w:hAnsi="Courier New" w:hint="default"/>
      </w:rPr>
    </w:lvl>
    <w:lvl w:ilvl="8" w:tplc="3F309BF2">
      <w:start w:val="1"/>
      <w:numFmt w:val="bullet"/>
      <w:lvlText w:val=""/>
      <w:lvlJc w:val="left"/>
      <w:pPr>
        <w:ind w:left="6480" w:hanging="360"/>
      </w:pPr>
      <w:rPr>
        <w:rFonts w:ascii="Wingdings" w:hAnsi="Wingdings" w:hint="default"/>
      </w:rPr>
    </w:lvl>
  </w:abstractNum>
  <w:abstractNum w:abstractNumId="2" w15:restartNumberingAfterBreak="0">
    <w:nsid w:val="1DC46E74"/>
    <w:multiLevelType w:val="hybridMultilevel"/>
    <w:tmpl w:val="A6440926"/>
    <w:lvl w:ilvl="0" w:tplc="4814AC78">
      <w:start w:val="1"/>
      <w:numFmt w:val="decimal"/>
      <w:lvlText w:val="%1."/>
      <w:lvlJc w:val="left"/>
      <w:pPr>
        <w:ind w:left="360" w:hanging="360"/>
      </w:pPr>
    </w:lvl>
    <w:lvl w:ilvl="1" w:tplc="ECBA2762">
      <w:start w:val="1"/>
      <w:numFmt w:val="lowerLetter"/>
      <w:lvlText w:val="%2."/>
      <w:lvlJc w:val="left"/>
      <w:pPr>
        <w:ind w:left="1080" w:hanging="360"/>
      </w:pPr>
    </w:lvl>
    <w:lvl w:ilvl="2" w:tplc="656EBE22">
      <w:start w:val="1"/>
      <w:numFmt w:val="lowerRoman"/>
      <w:lvlText w:val="%3."/>
      <w:lvlJc w:val="right"/>
      <w:pPr>
        <w:ind w:left="1800" w:hanging="180"/>
      </w:pPr>
    </w:lvl>
    <w:lvl w:ilvl="3" w:tplc="D2A45E3A">
      <w:start w:val="1"/>
      <w:numFmt w:val="decimal"/>
      <w:lvlText w:val="%4."/>
      <w:lvlJc w:val="left"/>
      <w:pPr>
        <w:ind w:left="2520" w:hanging="360"/>
      </w:pPr>
    </w:lvl>
    <w:lvl w:ilvl="4" w:tplc="52F26824">
      <w:start w:val="1"/>
      <w:numFmt w:val="lowerLetter"/>
      <w:lvlText w:val="%5."/>
      <w:lvlJc w:val="left"/>
      <w:pPr>
        <w:ind w:left="3240" w:hanging="360"/>
      </w:pPr>
    </w:lvl>
    <w:lvl w:ilvl="5" w:tplc="AAFAEB38">
      <w:start w:val="1"/>
      <w:numFmt w:val="lowerRoman"/>
      <w:lvlText w:val="%6."/>
      <w:lvlJc w:val="right"/>
      <w:pPr>
        <w:ind w:left="3960" w:hanging="180"/>
      </w:pPr>
    </w:lvl>
    <w:lvl w:ilvl="6" w:tplc="798A0130">
      <w:start w:val="1"/>
      <w:numFmt w:val="decimal"/>
      <w:lvlText w:val="%7."/>
      <w:lvlJc w:val="left"/>
      <w:pPr>
        <w:ind w:left="4680" w:hanging="360"/>
      </w:pPr>
    </w:lvl>
    <w:lvl w:ilvl="7" w:tplc="018A67A2">
      <w:start w:val="1"/>
      <w:numFmt w:val="lowerLetter"/>
      <w:lvlText w:val="%8."/>
      <w:lvlJc w:val="left"/>
      <w:pPr>
        <w:ind w:left="5400" w:hanging="360"/>
      </w:pPr>
    </w:lvl>
    <w:lvl w:ilvl="8" w:tplc="2586F5C0">
      <w:start w:val="1"/>
      <w:numFmt w:val="lowerRoman"/>
      <w:lvlText w:val="%9."/>
      <w:lvlJc w:val="right"/>
      <w:pPr>
        <w:ind w:left="6120" w:hanging="180"/>
      </w:pPr>
    </w:lvl>
  </w:abstractNum>
  <w:abstractNum w:abstractNumId="3" w15:restartNumberingAfterBreak="0">
    <w:nsid w:val="45DAEC92"/>
    <w:multiLevelType w:val="hybridMultilevel"/>
    <w:tmpl w:val="4C467D94"/>
    <w:lvl w:ilvl="0" w:tplc="23D87310">
      <w:start w:val="1"/>
      <w:numFmt w:val="bullet"/>
      <w:lvlText w:val=""/>
      <w:lvlJc w:val="left"/>
      <w:pPr>
        <w:ind w:left="720" w:hanging="360"/>
      </w:pPr>
      <w:rPr>
        <w:rFonts w:ascii="Symbol" w:hAnsi="Symbol" w:hint="default"/>
      </w:rPr>
    </w:lvl>
    <w:lvl w:ilvl="1" w:tplc="C06450B0">
      <w:start w:val="1"/>
      <w:numFmt w:val="bullet"/>
      <w:lvlText w:val="o"/>
      <w:lvlJc w:val="left"/>
      <w:pPr>
        <w:ind w:left="1440" w:hanging="360"/>
      </w:pPr>
      <w:rPr>
        <w:rFonts w:ascii="Courier New" w:hAnsi="Courier New" w:hint="default"/>
      </w:rPr>
    </w:lvl>
    <w:lvl w:ilvl="2" w:tplc="DC624EE2">
      <w:start w:val="1"/>
      <w:numFmt w:val="bullet"/>
      <w:lvlText w:val=""/>
      <w:lvlJc w:val="left"/>
      <w:pPr>
        <w:ind w:left="2160" w:hanging="360"/>
      </w:pPr>
      <w:rPr>
        <w:rFonts w:ascii="Wingdings" w:hAnsi="Wingdings" w:hint="default"/>
      </w:rPr>
    </w:lvl>
    <w:lvl w:ilvl="3" w:tplc="CBE46658">
      <w:start w:val="1"/>
      <w:numFmt w:val="bullet"/>
      <w:lvlText w:val=""/>
      <w:lvlJc w:val="left"/>
      <w:pPr>
        <w:ind w:left="2880" w:hanging="360"/>
      </w:pPr>
      <w:rPr>
        <w:rFonts w:ascii="Symbol" w:hAnsi="Symbol" w:hint="default"/>
      </w:rPr>
    </w:lvl>
    <w:lvl w:ilvl="4" w:tplc="CED8F4A6">
      <w:start w:val="1"/>
      <w:numFmt w:val="bullet"/>
      <w:lvlText w:val="o"/>
      <w:lvlJc w:val="left"/>
      <w:pPr>
        <w:ind w:left="3600" w:hanging="360"/>
      </w:pPr>
      <w:rPr>
        <w:rFonts w:ascii="Courier New" w:hAnsi="Courier New" w:hint="default"/>
      </w:rPr>
    </w:lvl>
    <w:lvl w:ilvl="5" w:tplc="4D7A9908">
      <w:start w:val="1"/>
      <w:numFmt w:val="bullet"/>
      <w:lvlText w:val=""/>
      <w:lvlJc w:val="left"/>
      <w:pPr>
        <w:ind w:left="4320" w:hanging="360"/>
      </w:pPr>
      <w:rPr>
        <w:rFonts w:ascii="Wingdings" w:hAnsi="Wingdings" w:hint="default"/>
      </w:rPr>
    </w:lvl>
    <w:lvl w:ilvl="6" w:tplc="70B669A4">
      <w:start w:val="1"/>
      <w:numFmt w:val="bullet"/>
      <w:lvlText w:val=""/>
      <w:lvlJc w:val="left"/>
      <w:pPr>
        <w:ind w:left="5040" w:hanging="360"/>
      </w:pPr>
      <w:rPr>
        <w:rFonts w:ascii="Symbol" w:hAnsi="Symbol" w:hint="default"/>
      </w:rPr>
    </w:lvl>
    <w:lvl w:ilvl="7" w:tplc="2B826126">
      <w:start w:val="1"/>
      <w:numFmt w:val="bullet"/>
      <w:lvlText w:val="o"/>
      <w:lvlJc w:val="left"/>
      <w:pPr>
        <w:ind w:left="5760" w:hanging="360"/>
      </w:pPr>
      <w:rPr>
        <w:rFonts w:ascii="Courier New" w:hAnsi="Courier New" w:hint="default"/>
      </w:rPr>
    </w:lvl>
    <w:lvl w:ilvl="8" w:tplc="726066E0">
      <w:start w:val="1"/>
      <w:numFmt w:val="bullet"/>
      <w:lvlText w:val=""/>
      <w:lvlJc w:val="left"/>
      <w:pPr>
        <w:ind w:left="6480" w:hanging="360"/>
      </w:pPr>
      <w:rPr>
        <w:rFonts w:ascii="Wingdings" w:hAnsi="Wingdings" w:hint="default"/>
      </w:rPr>
    </w:lvl>
  </w:abstractNum>
  <w:abstractNum w:abstractNumId="4" w15:restartNumberingAfterBreak="0">
    <w:nsid w:val="5A7BDB7A"/>
    <w:multiLevelType w:val="hybridMultilevel"/>
    <w:tmpl w:val="3758BB88"/>
    <w:lvl w:ilvl="0" w:tplc="C8BA3660">
      <w:start w:val="1"/>
      <w:numFmt w:val="lowerLetter"/>
      <w:lvlText w:val="%1)"/>
      <w:lvlJc w:val="left"/>
      <w:pPr>
        <w:ind w:left="360" w:hanging="360"/>
      </w:pPr>
    </w:lvl>
    <w:lvl w:ilvl="1" w:tplc="6F74486E">
      <w:start w:val="1"/>
      <w:numFmt w:val="lowerLetter"/>
      <w:lvlText w:val="%2."/>
      <w:lvlJc w:val="left"/>
      <w:pPr>
        <w:ind w:left="1080" w:hanging="360"/>
      </w:pPr>
    </w:lvl>
    <w:lvl w:ilvl="2" w:tplc="FA6227FC">
      <w:start w:val="1"/>
      <w:numFmt w:val="lowerRoman"/>
      <w:lvlText w:val="%3."/>
      <w:lvlJc w:val="right"/>
      <w:pPr>
        <w:ind w:left="1800" w:hanging="180"/>
      </w:pPr>
    </w:lvl>
    <w:lvl w:ilvl="3" w:tplc="4C7EEA80">
      <w:start w:val="1"/>
      <w:numFmt w:val="decimal"/>
      <w:lvlText w:val="%4."/>
      <w:lvlJc w:val="left"/>
      <w:pPr>
        <w:ind w:left="2520" w:hanging="360"/>
      </w:pPr>
    </w:lvl>
    <w:lvl w:ilvl="4" w:tplc="CAEEA7F2">
      <w:start w:val="1"/>
      <w:numFmt w:val="lowerLetter"/>
      <w:lvlText w:val="%5."/>
      <w:lvlJc w:val="left"/>
      <w:pPr>
        <w:ind w:left="3240" w:hanging="360"/>
      </w:pPr>
    </w:lvl>
    <w:lvl w:ilvl="5" w:tplc="8CA048E6">
      <w:start w:val="1"/>
      <w:numFmt w:val="lowerRoman"/>
      <w:lvlText w:val="%6."/>
      <w:lvlJc w:val="right"/>
      <w:pPr>
        <w:ind w:left="3960" w:hanging="180"/>
      </w:pPr>
    </w:lvl>
    <w:lvl w:ilvl="6" w:tplc="F9F24C5E">
      <w:start w:val="1"/>
      <w:numFmt w:val="decimal"/>
      <w:lvlText w:val="%7."/>
      <w:lvlJc w:val="left"/>
      <w:pPr>
        <w:ind w:left="4680" w:hanging="360"/>
      </w:pPr>
    </w:lvl>
    <w:lvl w:ilvl="7" w:tplc="0624DE18">
      <w:start w:val="1"/>
      <w:numFmt w:val="lowerLetter"/>
      <w:lvlText w:val="%8."/>
      <w:lvlJc w:val="left"/>
      <w:pPr>
        <w:ind w:left="5400" w:hanging="360"/>
      </w:pPr>
    </w:lvl>
    <w:lvl w:ilvl="8" w:tplc="D3807496">
      <w:start w:val="1"/>
      <w:numFmt w:val="lowerRoman"/>
      <w:lvlText w:val="%9."/>
      <w:lvlJc w:val="right"/>
      <w:pPr>
        <w:ind w:left="6120" w:hanging="180"/>
      </w:pPr>
    </w:lvl>
  </w:abstractNum>
  <w:abstractNum w:abstractNumId="5" w15:restartNumberingAfterBreak="0">
    <w:nsid w:val="6B9607F0"/>
    <w:multiLevelType w:val="hybridMultilevel"/>
    <w:tmpl w:val="9D8ED1B8"/>
    <w:lvl w:ilvl="0" w:tplc="2E107490">
      <w:start w:val="1"/>
      <w:numFmt w:val="bullet"/>
      <w:lvlText w:val=""/>
      <w:lvlJc w:val="left"/>
      <w:pPr>
        <w:ind w:left="720" w:hanging="360"/>
      </w:pPr>
      <w:rPr>
        <w:rFonts w:ascii="Symbol" w:hAnsi="Symbol" w:hint="default"/>
      </w:rPr>
    </w:lvl>
    <w:lvl w:ilvl="1" w:tplc="50A4F598">
      <w:start w:val="1"/>
      <w:numFmt w:val="bullet"/>
      <w:lvlText w:val="o"/>
      <w:lvlJc w:val="left"/>
      <w:pPr>
        <w:ind w:left="1440" w:hanging="360"/>
      </w:pPr>
      <w:rPr>
        <w:rFonts w:ascii="Courier New" w:hAnsi="Courier New" w:hint="default"/>
      </w:rPr>
    </w:lvl>
    <w:lvl w:ilvl="2" w:tplc="6B50464E">
      <w:start w:val="1"/>
      <w:numFmt w:val="bullet"/>
      <w:lvlText w:val=""/>
      <w:lvlJc w:val="left"/>
      <w:pPr>
        <w:ind w:left="2160" w:hanging="360"/>
      </w:pPr>
      <w:rPr>
        <w:rFonts w:ascii="Wingdings" w:hAnsi="Wingdings" w:hint="default"/>
      </w:rPr>
    </w:lvl>
    <w:lvl w:ilvl="3" w:tplc="B0DC7D3A">
      <w:start w:val="1"/>
      <w:numFmt w:val="bullet"/>
      <w:lvlText w:val=""/>
      <w:lvlJc w:val="left"/>
      <w:pPr>
        <w:ind w:left="2880" w:hanging="360"/>
      </w:pPr>
      <w:rPr>
        <w:rFonts w:ascii="Symbol" w:hAnsi="Symbol" w:hint="default"/>
      </w:rPr>
    </w:lvl>
    <w:lvl w:ilvl="4" w:tplc="7C0446C6">
      <w:start w:val="1"/>
      <w:numFmt w:val="bullet"/>
      <w:lvlText w:val="o"/>
      <w:lvlJc w:val="left"/>
      <w:pPr>
        <w:ind w:left="3600" w:hanging="360"/>
      </w:pPr>
      <w:rPr>
        <w:rFonts w:ascii="Courier New" w:hAnsi="Courier New" w:hint="default"/>
      </w:rPr>
    </w:lvl>
    <w:lvl w:ilvl="5" w:tplc="664AABB6">
      <w:start w:val="1"/>
      <w:numFmt w:val="bullet"/>
      <w:lvlText w:val=""/>
      <w:lvlJc w:val="left"/>
      <w:pPr>
        <w:ind w:left="4320" w:hanging="360"/>
      </w:pPr>
      <w:rPr>
        <w:rFonts w:ascii="Wingdings" w:hAnsi="Wingdings" w:hint="default"/>
      </w:rPr>
    </w:lvl>
    <w:lvl w:ilvl="6" w:tplc="12FCA6DC">
      <w:start w:val="1"/>
      <w:numFmt w:val="bullet"/>
      <w:lvlText w:val=""/>
      <w:lvlJc w:val="left"/>
      <w:pPr>
        <w:ind w:left="5040" w:hanging="360"/>
      </w:pPr>
      <w:rPr>
        <w:rFonts w:ascii="Symbol" w:hAnsi="Symbol" w:hint="default"/>
      </w:rPr>
    </w:lvl>
    <w:lvl w:ilvl="7" w:tplc="D71E4348">
      <w:start w:val="1"/>
      <w:numFmt w:val="bullet"/>
      <w:lvlText w:val="o"/>
      <w:lvlJc w:val="left"/>
      <w:pPr>
        <w:ind w:left="5760" w:hanging="360"/>
      </w:pPr>
      <w:rPr>
        <w:rFonts w:ascii="Courier New" w:hAnsi="Courier New" w:hint="default"/>
      </w:rPr>
    </w:lvl>
    <w:lvl w:ilvl="8" w:tplc="809E950A">
      <w:start w:val="1"/>
      <w:numFmt w:val="bullet"/>
      <w:lvlText w:val=""/>
      <w:lvlJc w:val="left"/>
      <w:pPr>
        <w:ind w:left="6480" w:hanging="360"/>
      </w:pPr>
      <w:rPr>
        <w:rFonts w:ascii="Wingdings" w:hAnsi="Wingdings" w:hint="default"/>
      </w:rPr>
    </w:lvl>
  </w:abstractNum>
  <w:abstractNum w:abstractNumId="6" w15:restartNumberingAfterBreak="0">
    <w:nsid w:val="6C7B1048"/>
    <w:multiLevelType w:val="hybridMultilevel"/>
    <w:tmpl w:val="8FEE1F52"/>
    <w:lvl w:ilvl="0" w:tplc="EC96C884">
      <w:start w:val="1"/>
      <w:numFmt w:val="bullet"/>
      <w:lvlText w:val=""/>
      <w:lvlJc w:val="left"/>
      <w:pPr>
        <w:ind w:left="720" w:hanging="360"/>
      </w:pPr>
      <w:rPr>
        <w:rFonts w:ascii="Symbol" w:hAnsi="Symbol" w:hint="default"/>
      </w:rPr>
    </w:lvl>
    <w:lvl w:ilvl="1" w:tplc="F54CE8EC">
      <w:start w:val="1"/>
      <w:numFmt w:val="bullet"/>
      <w:lvlText w:val="o"/>
      <w:lvlJc w:val="left"/>
      <w:pPr>
        <w:ind w:left="1440" w:hanging="360"/>
      </w:pPr>
      <w:rPr>
        <w:rFonts w:ascii="Courier New" w:hAnsi="Courier New" w:hint="default"/>
      </w:rPr>
    </w:lvl>
    <w:lvl w:ilvl="2" w:tplc="68725774">
      <w:start w:val="1"/>
      <w:numFmt w:val="bullet"/>
      <w:lvlText w:val=""/>
      <w:lvlJc w:val="left"/>
      <w:pPr>
        <w:ind w:left="2160" w:hanging="360"/>
      </w:pPr>
      <w:rPr>
        <w:rFonts w:ascii="Wingdings" w:hAnsi="Wingdings" w:hint="default"/>
      </w:rPr>
    </w:lvl>
    <w:lvl w:ilvl="3" w:tplc="893EB2C8">
      <w:start w:val="1"/>
      <w:numFmt w:val="bullet"/>
      <w:lvlText w:val=""/>
      <w:lvlJc w:val="left"/>
      <w:pPr>
        <w:ind w:left="2880" w:hanging="360"/>
      </w:pPr>
      <w:rPr>
        <w:rFonts w:ascii="Symbol" w:hAnsi="Symbol" w:hint="default"/>
      </w:rPr>
    </w:lvl>
    <w:lvl w:ilvl="4" w:tplc="27740EE2">
      <w:start w:val="1"/>
      <w:numFmt w:val="bullet"/>
      <w:lvlText w:val="o"/>
      <w:lvlJc w:val="left"/>
      <w:pPr>
        <w:ind w:left="3600" w:hanging="360"/>
      </w:pPr>
      <w:rPr>
        <w:rFonts w:ascii="Courier New" w:hAnsi="Courier New" w:hint="default"/>
      </w:rPr>
    </w:lvl>
    <w:lvl w:ilvl="5" w:tplc="43F0A698">
      <w:start w:val="1"/>
      <w:numFmt w:val="bullet"/>
      <w:lvlText w:val=""/>
      <w:lvlJc w:val="left"/>
      <w:pPr>
        <w:ind w:left="4320" w:hanging="360"/>
      </w:pPr>
      <w:rPr>
        <w:rFonts w:ascii="Wingdings" w:hAnsi="Wingdings" w:hint="default"/>
      </w:rPr>
    </w:lvl>
    <w:lvl w:ilvl="6" w:tplc="C144EC72">
      <w:start w:val="1"/>
      <w:numFmt w:val="bullet"/>
      <w:lvlText w:val=""/>
      <w:lvlJc w:val="left"/>
      <w:pPr>
        <w:ind w:left="5040" w:hanging="360"/>
      </w:pPr>
      <w:rPr>
        <w:rFonts w:ascii="Symbol" w:hAnsi="Symbol" w:hint="default"/>
      </w:rPr>
    </w:lvl>
    <w:lvl w:ilvl="7" w:tplc="9042E166">
      <w:start w:val="1"/>
      <w:numFmt w:val="bullet"/>
      <w:lvlText w:val="o"/>
      <w:lvlJc w:val="left"/>
      <w:pPr>
        <w:ind w:left="5760" w:hanging="360"/>
      </w:pPr>
      <w:rPr>
        <w:rFonts w:ascii="Courier New" w:hAnsi="Courier New" w:hint="default"/>
      </w:rPr>
    </w:lvl>
    <w:lvl w:ilvl="8" w:tplc="AC04BC52">
      <w:start w:val="1"/>
      <w:numFmt w:val="bullet"/>
      <w:lvlText w:val=""/>
      <w:lvlJc w:val="left"/>
      <w:pPr>
        <w:ind w:left="6480" w:hanging="360"/>
      </w:pPr>
      <w:rPr>
        <w:rFonts w:ascii="Wingdings" w:hAnsi="Wingdings" w:hint="default"/>
      </w:rPr>
    </w:lvl>
  </w:abstractNum>
  <w:abstractNum w:abstractNumId="7" w15:restartNumberingAfterBreak="0">
    <w:nsid w:val="6FDA7326"/>
    <w:multiLevelType w:val="hybridMultilevel"/>
    <w:tmpl w:val="FD706744"/>
    <w:lvl w:ilvl="0" w:tplc="2A58D2B4">
      <w:start w:val="1"/>
      <w:numFmt w:val="lowerLetter"/>
      <w:lvlText w:val="%1)"/>
      <w:lvlJc w:val="left"/>
      <w:pPr>
        <w:ind w:left="360" w:hanging="360"/>
      </w:pPr>
    </w:lvl>
    <w:lvl w:ilvl="1" w:tplc="E8A23696">
      <w:start w:val="1"/>
      <w:numFmt w:val="lowerLetter"/>
      <w:lvlText w:val="%2."/>
      <w:lvlJc w:val="left"/>
      <w:pPr>
        <w:ind w:left="1080" w:hanging="360"/>
      </w:pPr>
    </w:lvl>
    <w:lvl w:ilvl="2" w:tplc="65644CC4">
      <w:start w:val="1"/>
      <w:numFmt w:val="lowerRoman"/>
      <w:lvlText w:val="%3."/>
      <w:lvlJc w:val="right"/>
      <w:pPr>
        <w:ind w:left="1800" w:hanging="180"/>
      </w:pPr>
    </w:lvl>
    <w:lvl w:ilvl="3" w:tplc="6DD2A9B4">
      <w:start w:val="1"/>
      <w:numFmt w:val="decimal"/>
      <w:lvlText w:val="%4."/>
      <w:lvlJc w:val="left"/>
      <w:pPr>
        <w:ind w:left="2520" w:hanging="360"/>
      </w:pPr>
    </w:lvl>
    <w:lvl w:ilvl="4" w:tplc="0E96DED8">
      <w:start w:val="1"/>
      <w:numFmt w:val="lowerLetter"/>
      <w:lvlText w:val="%5."/>
      <w:lvlJc w:val="left"/>
      <w:pPr>
        <w:ind w:left="3240" w:hanging="360"/>
      </w:pPr>
    </w:lvl>
    <w:lvl w:ilvl="5" w:tplc="BDF0397E">
      <w:start w:val="1"/>
      <w:numFmt w:val="lowerRoman"/>
      <w:lvlText w:val="%6."/>
      <w:lvlJc w:val="right"/>
      <w:pPr>
        <w:ind w:left="3960" w:hanging="180"/>
      </w:pPr>
    </w:lvl>
    <w:lvl w:ilvl="6" w:tplc="1B24B044">
      <w:start w:val="1"/>
      <w:numFmt w:val="decimal"/>
      <w:lvlText w:val="%7."/>
      <w:lvlJc w:val="left"/>
      <w:pPr>
        <w:ind w:left="4680" w:hanging="360"/>
      </w:pPr>
    </w:lvl>
    <w:lvl w:ilvl="7" w:tplc="C172A6A4">
      <w:start w:val="1"/>
      <w:numFmt w:val="lowerLetter"/>
      <w:lvlText w:val="%8."/>
      <w:lvlJc w:val="left"/>
      <w:pPr>
        <w:ind w:left="5400" w:hanging="360"/>
      </w:pPr>
    </w:lvl>
    <w:lvl w:ilvl="8" w:tplc="8B12C008">
      <w:start w:val="1"/>
      <w:numFmt w:val="lowerRoman"/>
      <w:lvlText w:val="%9."/>
      <w:lvlJc w:val="right"/>
      <w:pPr>
        <w:ind w:left="6120" w:hanging="180"/>
      </w:pPr>
    </w:lvl>
  </w:abstractNum>
  <w:num w:numId="1">
    <w:abstractNumId w:val="0"/>
  </w:num>
  <w:num w:numId="2">
    <w:abstractNumId w:val="5"/>
  </w:num>
  <w:num w:numId="3">
    <w:abstractNumId w:val="3"/>
  </w:num>
  <w:num w:numId="4">
    <w:abstractNumId w:val="7"/>
  </w:num>
  <w:num w:numId="5">
    <w:abstractNumId w:val="6"/>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29A"/>
    <w:rsid w:val="005008D7"/>
    <w:rsid w:val="0055451B"/>
    <w:rsid w:val="00947617"/>
    <w:rsid w:val="00E742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725A"/>
  <w15:chartTrackingRefBased/>
  <w15:docId w15:val="{778E6C2C-F4BD-4C60-B491-7903D8E1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7617"/>
    <w:pPr>
      <w:ind w:left="720"/>
      <w:contextualSpacing/>
    </w:pPr>
  </w:style>
  <w:style w:type="character" w:styleId="Lienhypertexte">
    <w:name w:val="Hyperlink"/>
    <w:basedOn w:val="Policepardfaut"/>
    <w:uiPriority w:val="99"/>
    <w:unhideWhenUsed/>
    <w:rsid w:val="00947617"/>
    <w:rPr>
      <w:color w:val="0563C1" w:themeColor="hyperlink"/>
      <w:u w:val="single"/>
    </w:rPr>
  </w:style>
  <w:style w:type="paragraph" w:styleId="En-tte">
    <w:name w:val="header"/>
    <w:basedOn w:val="Normal"/>
    <w:link w:val="En-tteCar"/>
    <w:uiPriority w:val="99"/>
    <w:unhideWhenUsed/>
    <w:rsid w:val="0055451B"/>
    <w:pPr>
      <w:tabs>
        <w:tab w:val="center" w:pos="4536"/>
        <w:tab w:val="right" w:pos="9072"/>
      </w:tabs>
      <w:spacing w:after="0" w:line="240" w:lineRule="auto"/>
    </w:pPr>
  </w:style>
  <w:style w:type="character" w:customStyle="1" w:styleId="En-tteCar">
    <w:name w:val="En-tête Car"/>
    <w:basedOn w:val="Policepardfaut"/>
    <w:link w:val="En-tte"/>
    <w:uiPriority w:val="99"/>
    <w:rsid w:val="0055451B"/>
  </w:style>
  <w:style w:type="paragraph" w:styleId="Pieddepage">
    <w:name w:val="footer"/>
    <w:basedOn w:val="Normal"/>
    <w:link w:val="PieddepageCar"/>
    <w:uiPriority w:val="99"/>
    <w:unhideWhenUsed/>
    <w:rsid w:val="005545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4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lie@clermontmetropole.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2199</Words>
  <Characters>12100</Characters>
  <Application>Microsoft Office Word</Application>
  <DocSecurity>0</DocSecurity>
  <Lines>100</Lines>
  <Paragraphs>28</Paragraphs>
  <ScaleCrop>false</ScaleCrop>
  <Company>Universite Clermont Auvergne</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BABULE</dc:creator>
  <cp:keywords/>
  <dc:description/>
  <cp:lastModifiedBy>Caroline BABULE</cp:lastModifiedBy>
  <cp:revision>3</cp:revision>
  <dcterms:created xsi:type="dcterms:W3CDTF">2024-10-14T13:34:00Z</dcterms:created>
  <dcterms:modified xsi:type="dcterms:W3CDTF">2024-10-14T13:54:00Z</dcterms:modified>
</cp:coreProperties>
</file>