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FE3605">
      <w:pPr>
        <w:spacing w:line="249" w:lineRule="exact"/>
        <w:ind w:left="332"/>
        <w:jc w:val="both"/>
        <w:rPr>
          <w:b/>
          <w:sz w:val="18"/>
        </w:rPr>
      </w:pPr>
      <w:hyperlink r:id="rId10">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1">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2">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2" w:history="1">
        <w:r w:rsidRPr="002521CA">
          <w:rPr>
            <w:rFonts w:ascii="Marianne" w:hAnsi="Marianne" w:cs="Arial"/>
          </w:rPr>
          <w:t>marches.ssic-sg@justice.gouv.fr</w:t>
        </w:r>
      </w:hyperlink>
    </w:p>
    <w:p w14:paraId="378F118B"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Code NUTS : FR</w:t>
      </w:r>
    </w:p>
    <w:p w14:paraId="6A88F37F"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internet : </w:t>
      </w:r>
      <w:hyperlink r:id="rId23" w:history="1">
        <w:r w:rsidRPr="002521CA">
          <w:rPr>
            <w:rFonts w:ascii="Marianne" w:hAnsi="Marianne" w:cs="Arial"/>
          </w:rPr>
          <w:t>http://justice.gouv.fr</w:t>
        </w:r>
      </w:hyperlink>
    </w:p>
    <w:p w14:paraId="5D2500AA"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lastRenderedPageBreak/>
        <w:t xml:space="preserve">Adresse principale : </w:t>
      </w:r>
      <w:hyperlink r:id="rId24" w:history="1">
        <w:r w:rsidRPr="002521CA">
          <w:rPr>
            <w:rFonts w:ascii="Marianne" w:hAnsi="Marianne" w:cs="Arial"/>
          </w:rPr>
          <w:t>http://marches-publics.gouv.fr</w:t>
        </w:r>
      </w:hyperlink>
      <w:r w:rsidRPr="002521CA">
        <w:rPr>
          <w:rFonts w:ascii="Marianne" w:hAnsi="Marianne" w:cs="Arial"/>
          <w:b/>
          <w:bCs/>
        </w:rPr>
        <w:t>:?</w:t>
      </w:r>
    </w:p>
    <w:p w14:paraId="60C5CE20" w14:textId="067B3649" w:rsidR="00534A60"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du profil acheteur : </w:t>
      </w:r>
      <w:hyperlink r:id="rId25" w:history="1">
        <w:r w:rsidRPr="002521CA">
          <w:rPr>
            <w:rFonts w:ascii="Marianne" w:hAnsi="Marianne" w:cs="Arial"/>
          </w:rPr>
          <w:t>https://www.marches-publics.gouv.fr/app.php/entreprise</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7FBDC47F" w14:textId="77777777" w:rsidR="00DE4025" w:rsidRDefault="00DE4025" w:rsidP="00DE402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Accord-cadre relatif aux services de management de l’écosystème </w:t>
      </w:r>
      <w:r>
        <w:rPr>
          <w:rFonts w:ascii="Arial" w:hAnsi="Arial" w:cs="Arial"/>
          <w:b/>
          <w:bCs/>
          <w:color w:val="auto"/>
          <w:sz w:val="20"/>
          <w:szCs w:val="20"/>
          <w:lang w:eastAsia="zh-CN"/>
        </w:rPr>
        <w:t>applicatif C</w:t>
      </w:r>
      <w:r w:rsidRPr="00D826FC">
        <w:rPr>
          <w:rFonts w:ascii="Arial" w:hAnsi="Arial" w:cs="Arial"/>
          <w:b/>
          <w:bCs/>
          <w:color w:val="auto"/>
          <w:sz w:val="20"/>
          <w:szCs w:val="20"/>
          <w:lang w:eastAsia="zh-CN"/>
        </w:rPr>
        <w:t>assiop</w:t>
      </w:r>
      <w:r>
        <w:rPr>
          <w:rFonts w:ascii="Arial" w:hAnsi="Arial" w:cs="Arial"/>
          <w:b/>
          <w:bCs/>
          <w:color w:val="auto"/>
          <w:sz w:val="20"/>
          <w:szCs w:val="20"/>
          <w:lang w:eastAsia="zh-CN"/>
        </w:rPr>
        <w:t>é</w:t>
      </w:r>
      <w:r w:rsidRPr="00D826FC">
        <w:rPr>
          <w:rFonts w:ascii="Arial" w:hAnsi="Arial" w:cs="Arial"/>
          <w:b/>
          <w:bCs/>
          <w:color w:val="auto"/>
          <w:sz w:val="20"/>
          <w:szCs w:val="20"/>
          <w:lang w:eastAsia="zh-CN"/>
        </w:rPr>
        <w:t xml:space="preserve">e et d'accompagnement </w:t>
      </w:r>
    </w:p>
    <w:p w14:paraId="18E858C9" w14:textId="77777777" w:rsidR="00D95FCE" w:rsidRDefault="00DE4025" w:rsidP="00DE402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pour la gestion de projets et programmes </w:t>
      </w:r>
      <w:r>
        <w:rPr>
          <w:rFonts w:ascii="Arial" w:hAnsi="Arial" w:cs="Arial"/>
          <w:b/>
          <w:bCs/>
          <w:color w:val="auto"/>
          <w:sz w:val="20"/>
          <w:szCs w:val="20"/>
          <w:lang w:eastAsia="zh-CN"/>
        </w:rPr>
        <w:t xml:space="preserve">informatiques </w:t>
      </w:r>
      <w:r w:rsidRPr="00D826FC">
        <w:rPr>
          <w:rFonts w:ascii="Arial" w:hAnsi="Arial" w:cs="Arial"/>
          <w:b/>
          <w:bCs/>
          <w:color w:val="auto"/>
          <w:sz w:val="20"/>
          <w:szCs w:val="20"/>
          <w:lang w:eastAsia="zh-CN"/>
        </w:rPr>
        <w:t xml:space="preserve">du </w:t>
      </w:r>
      <w:r>
        <w:rPr>
          <w:rFonts w:ascii="Arial" w:hAnsi="Arial" w:cs="Arial"/>
          <w:b/>
          <w:bCs/>
          <w:color w:val="auto"/>
          <w:sz w:val="20"/>
          <w:szCs w:val="20"/>
          <w:lang w:eastAsia="zh-CN"/>
        </w:rPr>
        <w:t>D</w:t>
      </w:r>
      <w:r w:rsidRPr="00D826FC">
        <w:rPr>
          <w:rFonts w:ascii="Arial" w:hAnsi="Arial" w:cs="Arial"/>
          <w:b/>
          <w:bCs/>
          <w:color w:val="auto"/>
          <w:sz w:val="20"/>
          <w:szCs w:val="20"/>
          <w:lang w:eastAsia="zh-CN"/>
        </w:rPr>
        <w:t xml:space="preserve">omaine </w:t>
      </w:r>
      <w:r>
        <w:rPr>
          <w:rFonts w:ascii="Arial" w:hAnsi="Arial" w:cs="Arial"/>
          <w:b/>
          <w:bCs/>
          <w:color w:val="auto"/>
          <w:sz w:val="20"/>
          <w:szCs w:val="20"/>
          <w:lang w:eastAsia="zh-CN"/>
        </w:rPr>
        <w:t>P</w:t>
      </w:r>
      <w:r w:rsidRPr="00D826FC">
        <w:rPr>
          <w:rFonts w:ascii="Arial" w:hAnsi="Arial" w:cs="Arial"/>
          <w:b/>
          <w:bCs/>
          <w:color w:val="auto"/>
          <w:sz w:val="20"/>
          <w:szCs w:val="20"/>
          <w:lang w:eastAsia="zh-CN"/>
        </w:rPr>
        <w:t>énal</w:t>
      </w:r>
    </w:p>
    <w:p w14:paraId="3E444419" w14:textId="3ACB00BE" w:rsidR="00DE4025" w:rsidRPr="00D826FC" w:rsidRDefault="00DE4025" w:rsidP="00DE402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 (« 24_</w:t>
      </w:r>
      <w:r>
        <w:rPr>
          <w:rFonts w:ascii="Arial" w:hAnsi="Arial" w:cs="Arial"/>
          <w:b/>
          <w:bCs/>
          <w:color w:val="auto"/>
          <w:sz w:val="20"/>
          <w:szCs w:val="20"/>
          <w:lang w:eastAsia="zh-CN"/>
        </w:rPr>
        <w:t xml:space="preserve">GESTION PROJET </w:t>
      </w:r>
      <w:r w:rsidRPr="00D826FC">
        <w:rPr>
          <w:rFonts w:ascii="Arial" w:hAnsi="Arial" w:cs="Arial"/>
          <w:b/>
          <w:bCs/>
          <w:color w:val="auto"/>
          <w:sz w:val="20"/>
          <w:szCs w:val="20"/>
          <w:lang w:eastAsia="zh-CN"/>
        </w:rPr>
        <w:t>CASSIOPEE »)</w:t>
      </w:r>
    </w:p>
    <w:p w14:paraId="5BF55756" w14:textId="77777777" w:rsidR="00DE4025" w:rsidRPr="00D826FC" w:rsidRDefault="00DE4025" w:rsidP="00DE4025">
      <w:pPr>
        <w:pStyle w:val="western"/>
        <w:spacing w:before="0"/>
        <w:rPr>
          <w:rFonts w:ascii="Arial" w:hAnsi="Arial" w:cs="Arial"/>
          <w:b/>
          <w:bCs/>
          <w:color w:val="auto"/>
          <w:sz w:val="20"/>
          <w:szCs w:val="20"/>
          <w:lang w:eastAsia="zh-CN"/>
        </w:rPr>
      </w:pPr>
    </w:p>
    <w:p w14:paraId="786D10A6" w14:textId="77777777" w:rsidR="00EB5328" w:rsidRPr="00EB5328" w:rsidRDefault="00EB5328" w:rsidP="00EB5328">
      <w:pPr>
        <w:pStyle w:val="western"/>
        <w:spacing w:before="0"/>
        <w:jc w:val="left"/>
        <w:rPr>
          <w:rFonts w:ascii="Marianne" w:hAnsi="Marianne" w:cs="Arial"/>
          <w:b/>
          <w:bCs/>
          <w:color w:val="auto"/>
          <w:sz w:val="20"/>
          <w:szCs w:val="20"/>
        </w:rPr>
      </w:pPr>
    </w:p>
    <w:p w14:paraId="116B81BC" w14:textId="77777777" w:rsidR="00DE4025" w:rsidRPr="00D826FC" w:rsidRDefault="00DE4025" w:rsidP="00DE4025">
      <w:pPr>
        <w:pStyle w:val="western"/>
        <w:spacing w:before="0"/>
        <w:jc w:val="left"/>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Lot </w:t>
      </w:r>
      <w:r>
        <w:rPr>
          <w:rFonts w:ascii="Arial" w:hAnsi="Arial" w:cs="Arial"/>
          <w:b/>
          <w:bCs/>
          <w:color w:val="auto"/>
          <w:sz w:val="20"/>
          <w:szCs w:val="20"/>
          <w:lang w:eastAsia="zh-CN"/>
        </w:rPr>
        <w:t xml:space="preserve">2 </w:t>
      </w:r>
      <w:r w:rsidRPr="00D826FC">
        <w:rPr>
          <w:rFonts w:ascii="Arial" w:hAnsi="Arial" w:cs="Arial"/>
          <w:b/>
          <w:bCs/>
          <w:color w:val="auto"/>
          <w:sz w:val="20"/>
          <w:szCs w:val="20"/>
          <w:lang w:eastAsia="zh-CN"/>
        </w:rPr>
        <w:t xml:space="preserve">: </w:t>
      </w:r>
      <w:r w:rsidRPr="00C96484">
        <w:rPr>
          <w:rFonts w:ascii="Arial" w:hAnsi="Arial" w:cs="Arial"/>
          <w:b/>
          <w:bCs/>
          <w:color w:val="auto"/>
          <w:sz w:val="20"/>
          <w:szCs w:val="20"/>
          <w:lang w:eastAsia="zh-CN"/>
        </w:rPr>
        <w:t>Accord-cadre relatif au développement et au maintien en condition opérationnelle (MCO) des outils informatiques composant l’écosystème applicatif Cassiopée (MOE)</w:t>
      </w:r>
    </w:p>
    <w:p w14:paraId="7ADEA338" w14:textId="77777777" w:rsidR="00534A60" w:rsidRDefault="00534A60">
      <w:pPr>
        <w:rPr>
          <w:rFonts w:ascii="Arial"/>
          <w:sz w:val="13"/>
        </w:rPr>
      </w:pPr>
    </w:p>
    <w:p w14:paraId="10129BFF" w14:textId="77777777" w:rsidR="002521CA" w:rsidRPr="002521CA" w:rsidRDefault="002521CA" w:rsidP="002521CA">
      <w:pPr>
        <w:rPr>
          <w:rFonts w:ascii="Arial"/>
          <w:sz w:val="13"/>
        </w:rPr>
      </w:pPr>
    </w:p>
    <w:p w14:paraId="0B0F0272" w14:textId="77777777" w:rsidR="002521CA" w:rsidRPr="002521CA" w:rsidRDefault="002521CA" w:rsidP="002521CA">
      <w:pPr>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A36B9E3" w14:textId="77777777" w:rsidR="00534A60" w:rsidRDefault="00534A60">
      <w:pPr>
        <w:pStyle w:val="Corpsdetexte"/>
        <w:rPr>
          <w:b/>
          <w:sz w:val="28"/>
        </w:rPr>
      </w:pPr>
    </w:p>
    <w:p w14:paraId="50862EE0" w14:textId="77777777" w:rsidR="00534A60" w:rsidRDefault="00534A60">
      <w:pPr>
        <w:pStyle w:val="Corpsdetexte"/>
        <w:rPr>
          <w:b/>
          <w:sz w:val="28"/>
        </w:rPr>
      </w:pP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lastRenderedPageBreak/>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8"/>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D975C" w14:textId="77777777" w:rsidR="00FE3605" w:rsidRDefault="00FE3605" w:rsidP="00FE360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CA44B3B" w14:textId="77777777" w:rsidR="00FE3605" w:rsidRDefault="00FE3605" w:rsidP="00FE3605">
      <w:pPr>
        <w:pStyle w:val="Corpsdetexte"/>
        <w:spacing w:before="5"/>
        <w:rPr>
          <w:i/>
          <w:sz w:val="17"/>
        </w:rPr>
      </w:pPr>
    </w:p>
    <w:p w14:paraId="75E71A14" w14:textId="77777777" w:rsidR="00FE3605" w:rsidRDefault="00FE3605" w:rsidP="00FE3605">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7A043189" wp14:editId="0DED5B3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098D55"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DE07703" w14:textId="77777777" w:rsidR="00FE3605" w:rsidRDefault="00FE3605" w:rsidP="00FE3605">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674290C5" w14:textId="77777777" w:rsidR="00FE3605" w:rsidRDefault="00FE3605" w:rsidP="00FE3605">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7FB8B7DE" w14:textId="77777777" w:rsidR="00FE3605" w:rsidRDefault="00FE3605" w:rsidP="00FE3605">
      <w:pPr>
        <w:pStyle w:val="Corpsdetexte"/>
        <w:spacing w:before="241"/>
        <w:ind w:left="898" w:right="707" w:hanging="1"/>
        <w:jc w:val="both"/>
      </w:pPr>
      <w:r>
        <w:t>Ou</w:t>
      </w:r>
    </w:p>
    <w:p w14:paraId="6C72CBD6" w14:textId="77777777" w:rsidR="00FE3605" w:rsidRDefault="00FE3605" w:rsidP="00FE3605">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B02CB41" w14:textId="77777777" w:rsidR="00FE3605" w:rsidRDefault="00FE3605" w:rsidP="00FE3605">
      <w:pPr>
        <w:pStyle w:val="Corpsdetexte"/>
        <w:spacing w:before="121"/>
        <w:ind w:left="1795"/>
      </w:pPr>
      <w:r>
        <w:rPr>
          <w:noProof/>
        </w:rPr>
        <w:lastRenderedPageBreak/>
        <mc:AlternateContent>
          <mc:Choice Requires="wps">
            <w:drawing>
              <wp:anchor distT="0" distB="0" distL="0" distR="0" simplePos="0" relativeHeight="487601664" behindDoc="0" locked="0" layoutInCell="1" allowOverlap="1" wp14:anchorId="65D03B8B" wp14:editId="00892E0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746950"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3C2F7E" w14:textId="77777777" w:rsidR="00FE3605" w:rsidRDefault="00FE3605" w:rsidP="00FE3605">
      <w:pPr>
        <w:pStyle w:val="Corpsdetexte"/>
        <w:spacing w:before="1"/>
        <w:ind w:left="898"/>
      </w:pPr>
      <w:r>
        <w:rPr>
          <w:spacing w:val="-5"/>
          <w:u w:val="single"/>
        </w:rPr>
        <w:t>OU</w:t>
      </w:r>
    </w:p>
    <w:p w14:paraId="70F6B50F" w14:textId="77777777" w:rsidR="00FE3605" w:rsidRDefault="00FE3605" w:rsidP="00FE3605">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29B84113" wp14:editId="1CA5510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B9E183"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38CFACF" w14:textId="77777777" w:rsidR="00FE3605" w:rsidRPr="007517BB" w:rsidRDefault="00FE3605" w:rsidP="00FE3605"/>
    <w:p w14:paraId="127EA281" w14:textId="77777777" w:rsidR="00FE3605" w:rsidRPr="007517BB" w:rsidRDefault="00FE3605" w:rsidP="00FE3605">
      <w:pPr>
        <w:tabs>
          <w:tab w:val="left" w:pos="3330"/>
        </w:tabs>
        <w:sectPr w:rsidR="00FE3605" w:rsidRPr="007517BB" w:rsidSect="00FE3605">
          <w:pgSz w:w="11910" w:h="16850"/>
          <w:pgMar w:top="1440" w:right="140" w:bottom="1220" w:left="520" w:header="0" w:footer="1036" w:gutter="0"/>
          <w:cols w:space="720"/>
        </w:sectPr>
      </w:pPr>
      <w:r>
        <w:tab/>
      </w:r>
    </w:p>
    <w:p w14:paraId="1F2CF765" w14:textId="77777777" w:rsidR="00FE3605" w:rsidRPr="00E058B8" w:rsidRDefault="00FE3605" w:rsidP="00FE3605">
      <w:pPr>
        <w:spacing w:before="79"/>
        <w:ind w:left="332"/>
        <w:rPr>
          <w:b/>
          <w:sz w:val="20"/>
        </w:rPr>
      </w:pPr>
      <w:bookmarkStart w:id="6" w:name="_Hlk161212874"/>
      <w:r w:rsidRPr="00E058B8">
        <w:rPr>
          <w:b/>
          <w:sz w:val="20"/>
        </w:rPr>
        <w:lastRenderedPageBreak/>
        <w:t>2</w:t>
      </w:r>
      <w:proofErr w:type="spellStart"/>
      <w:r w:rsidRPr="00E058B8">
        <w:rPr>
          <w:b/>
          <w:position w:val="7"/>
          <w:sz w:val="12"/>
        </w:rPr>
        <w:t>ème</w:t>
      </w:r>
      <w:proofErr w:type="spellEnd"/>
      <w:r w:rsidRPr="00E058B8">
        <w:rPr>
          <w:b/>
          <w:spacing w:val="18"/>
          <w:position w:val="7"/>
          <w:sz w:val="12"/>
        </w:rPr>
        <w:t xml:space="preserve"> </w:t>
      </w:r>
      <w:r w:rsidRPr="00E058B8">
        <w:rPr>
          <w:b/>
          <w:spacing w:val="-2"/>
          <w:sz w:val="20"/>
        </w:rPr>
        <w:t>hypothèse</w:t>
      </w:r>
    </w:p>
    <w:p w14:paraId="1B1BB0F0" w14:textId="77777777" w:rsidR="00FE3605" w:rsidRPr="00E058B8" w:rsidRDefault="00FE3605" w:rsidP="00FE3605">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0D21E700" wp14:editId="68A7B357">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011ED"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05FB976" w14:textId="77777777" w:rsidR="00FE3605" w:rsidRDefault="00FE3605" w:rsidP="00FE3605">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35AA847" w14:textId="77777777" w:rsidR="00FE3605" w:rsidRDefault="00FE3605" w:rsidP="00FE3605">
      <w:pPr>
        <w:pStyle w:val="Corpsdetexte"/>
      </w:pPr>
    </w:p>
    <w:p w14:paraId="07F67F6B" w14:textId="77777777" w:rsidR="00FE3605" w:rsidRDefault="00FE3605" w:rsidP="00FE3605">
      <w:pPr>
        <w:pStyle w:val="Corpsdetexte"/>
        <w:ind w:right="928"/>
        <w:jc w:val="both"/>
      </w:pPr>
      <w:r>
        <w:t>Le titulaire du marché et le sous-traitant bénéficiaire du paiement direct, attestent n’avoir pas cédé ou nanti les créances résultant du marché public à un tiers cessionnaire.</w:t>
      </w:r>
    </w:p>
    <w:p w14:paraId="1682D443" w14:textId="77777777" w:rsidR="00FE3605" w:rsidRDefault="00FE3605" w:rsidP="00FE3605">
      <w:pPr>
        <w:spacing w:before="79"/>
        <w:ind w:left="348" w:right="928"/>
        <w:jc w:val="both"/>
        <w:rPr>
          <w:sz w:val="20"/>
        </w:rPr>
      </w:pPr>
    </w:p>
    <w:p w14:paraId="3415BE25" w14:textId="77777777" w:rsidR="00FE3605" w:rsidRDefault="00FE3605" w:rsidP="00FE3605">
      <w:pPr>
        <w:spacing w:before="79"/>
        <w:ind w:left="348" w:right="928"/>
        <w:jc w:val="both"/>
        <w:rPr>
          <w:sz w:val="20"/>
        </w:rPr>
      </w:pPr>
      <w:r>
        <w:rPr>
          <w:sz w:val="20"/>
        </w:rPr>
        <w:t xml:space="preserve">Ou </w:t>
      </w:r>
    </w:p>
    <w:p w14:paraId="412C66EF" w14:textId="77777777" w:rsidR="00FE3605" w:rsidRDefault="00FE3605" w:rsidP="00FE3605">
      <w:pPr>
        <w:pStyle w:val="Corpsdetexte"/>
        <w:spacing w:before="119"/>
        <w:ind w:left="348" w:right="502"/>
      </w:pPr>
    </w:p>
    <w:p w14:paraId="5F75C254" w14:textId="77777777" w:rsidR="00FE3605" w:rsidRDefault="00FE3605" w:rsidP="00FE3605">
      <w:pPr>
        <w:pStyle w:val="Corpsdetexte"/>
        <w:spacing w:before="119"/>
        <w:ind w:left="142" w:right="502"/>
        <w:jc w:val="both"/>
        <w:rPr>
          <w:spacing w:val="-2"/>
        </w:rPr>
      </w:pPr>
      <w:r>
        <w:rPr>
          <w:noProof/>
        </w:rPr>
        <w:drawing>
          <wp:inline distT="0" distB="0" distL="0" distR="0" wp14:anchorId="04980BFB" wp14:editId="58103F40">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  prévus à l’article R.2193-22 ou l’article R.2393-40 du code de la commande publique qui est joint au présent DC4</w:t>
      </w:r>
    </w:p>
    <w:p w14:paraId="43ACF2BF" w14:textId="77777777" w:rsidR="00FE3605" w:rsidRDefault="00FE3605" w:rsidP="00FE3605">
      <w:pPr>
        <w:pStyle w:val="Corpsdetexte"/>
        <w:spacing w:before="119"/>
        <w:ind w:left="348" w:right="502" w:hanging="206"/>
        <w:rPr>
          <w:spacing w:val="-2"/>
        </w:rPr>
      </w:pPr>
    </w:p>
    <w:p w14:paraId="5CE9683F" w14:textId="77777777" w:rsidR="00FE3605" w:rsidRDefault="00FE3605" w:rsidP="00FE3605">
      <w:pPr>
        <w:pStyle w:val="Corpsdetexte"/>
        <w:spacing w:before="119"/>
        <w:ind w:left="348" w:right="502" w:hanging="206"/>
        <w:sectPr w:rsidR="00FE3605" w:rsidSect="00207A5E">
          <w:pgSz w:w="11910" w:h="16850"/>
          <w:pgMar w:top="1520" w:right="1278" w:bottom="1220" w:left="520" w:header="0" w:footer="1036" w:gutter="0"/>
          <w:cols w:num="2" w:space="720" w:equalWidth="0">
            <w:col w:w="1777" w:space="40"/>
            <w:col w:w="9433"/>
          </w:cols>
        </w:sectPr>
      </w:pPr>
    </w:p>
    <w:p w14:paraId="01511115" w14:textId="77777777" w:rsidR="00FE3605" w:rsidRDefault="00FE3605" w:rsidP="00FE3605">
      <w:pPr>
        <w:pStyle w:val="Corpsdetexte"/>
        <w:spacing w:line="277" w:lineRule="exact"/>
        <w:ind w:left="898"/>
      </w:pPr>
      <w:bookmarkStart w:id="7" w:name="_Hlk161214431"/>
      <w:r>
        <w:rPr>
          <w:spacing w:val="-5"/>
          <w:u w:val="single"/>
        </w:rPr>
        <w:t>OU</w:t>
      </w:r>
    </w:p>
    <w:p w14:paraId="1E08FE17" w14:textId="77777777" w:rsidR="00FE3605" w:rsidRDefault="00FE3605" w:rsidP="00FE3605">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02575465" wp14:editId="6B4D478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62CEC7"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A087951" w14:textId="77777777" w:rsidR="00FE3605" w:rsidRDefault="00FE3605" w:rsidP="00FE360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2231047" w14:textId="77777777" w:rsidR="00FE3605" w:rsidRDefault="00FE3605" w:rsidP="00FE360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634288A" w14:textId="77777777" w:rsidR="00FE3605" w:rsidRDefault="00FE3605" w:rsidP="00FE360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AA9BB" w14:textId="77777777" w:rsidR="000E020F" w:rsidRDefault="000E020F">
      <w:r>
        <w:separator/>
      </w:r>
    </w:p>
  </w:endnote>
  <w:endnote w:type="continuationSeparator" w:id="0">
    <w:p w14:paraId="4DF1A7FB" w14:textId="77777777" w:rsidR="000E020F" w:rsidRDefault="000E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25081" w14:textId="77777777" w:rsidR="000E020F" w:rsidRDefault="000E020F">
      <w:r>
        <w:separator/>
      </w:r>
    </w:p>
  </w:footnote>
  <w:footnote w:type="continuationSeparator" w:id="0">
    <w:p w14:paraId="405DAA48" w14:textId="77777777" w:rsidR="000E020F" w:rsidRDefault="000E0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0E020F"/>
    <w:rsid w:val="0012298D"/>
    <w:rsid w:val="002521CA"/>
    <w:rsid w:val="00294926"/>
    <w:rsid w:val="004570A6"/>
    <w:rsid w:val="00534A60"/>
    <w:rsid w:val="006161B1"/>
    <w:rsid w:val="00875027"/>
    <w:rsid w:val="009B2FEA"/>
    <w:rsid w:val="00D80EB4"/>
    <w:rsid w:val="00D95FCE"/>
    <w:rsid w:val="00DE4025"/>
    <w:rsid w:val="00EB5328"/>
    <w:rsid w:val="00FE3605"/>
    <w:rsid w:val="00FF22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EB5328"/>
    <w:pPr>
      <w:widowControl/>
      <w:autoSpaceDE/>
      <w:autoSpaceDN/>
      <w:spacing w:before="170"/>
      <w:jc w:val="both"/>
    </w:pPr>
    <w:rPr>
      <w:rFonts w:ascii="Times New Roman" w:eastAsia="Times New Roman" w:hAnsi="Times New Roman" w:cs="Times New Roman"/>
      <w:color w:val="000000"/>
      <w:sz w:val="24"/>
      <w:szCs w:val="24"/>
      <w:lang w:eastAsia="fr-FR"/>
    </w:rPr>
  </w:style>
  <w:style w:type="paragraph" w:styleId="Objetducommentaire">
    <w:name w:val="annotation subject"/>
    <w:basedOn w:val="Commentaire"/>
    <w:next w:val="Commentaire"/>
    <w:link w:val="ObjetducommentaireCar"/>
    <w:uiPriority w:val="99"/>
    <w:semiHidden/>
    <w:unhideWhenUsed/>
    <w:rsid w:val="00875027"/>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875027"/>
    <w:rPr>
      <w:rFonts w:ascii="Marianne" w:eastAsia="Marianne" w:hAnsi="Marianne" w:cs="Marianne"/>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arches-publics.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arches.ssic-sg@justice.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marches-publics.gouv.fr/app.php/entreprise"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justice.gouv.fr"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image" Target="media/image2.png"/><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3716</Words>
  <Characters>20438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BEDJEGUELAL Sarah</cp:lastModifiedBy>
  <cp:revision>5</cp:revision>
  <dcterms:created xsi:type="dcterms:W3CDTF">2024-12-03T08:44:00Z</dcterms:created>
  <dcterms:modified xsi:type="dcterms:W3CDTF">2024-12-04T13:18:00Z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