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119F2" w14:textId="77777777" w:rsidR="00CC4F02" w:rsidRDefault="00C84FBD">
      <w:pPr>
        <w:widowControl w:val="0"/>
        <w:jc w:val="center"/>
        <w:rPr>
          <w:rFonts w:ascii="Arial" w:hAnsi="Arial" w:cs="Arial"/>
          <w:b/>
          <w:bCs/>
          <w:szCs w:val="22"/>
        </w:rPr>
      </w:pPr>
      <w:r>
        <w:rPr>
          <w:rFonts w:ascii="Arial" w:hAnsi="Arial" w:cs="Arial"/>
          <w:b/>
          <w:bCs/>
          <w:szCs w:val="22"/>
        </w:rPr>
        <w:t xml:space="preserve">MARCHE PUBLIC </w:t>
      </w:r>
    </w:p>
    <w:p w14:paraId="11ED5034" w14:textId="77777777" w:rsidR="00CC4F02" w:rsidRDefault="00CC4F02">
      <w:pPr>
        <w:widowControl w:val="0"/>
        <w:jc w:val="center"/>
        <w:rPr>
          <w:rFonts w:ascii="Arial" w:hAnsi="Arial" w:cs="Arial"/>
          <w:b/>
          <w:bCs/>
          <w:sz w:val="20"/>
          <w:szCs w:val="20"/>
        </w:rPr>
      </w:pPr>
    </w:p>
    <w:p w14:paraId="582A94F5" w14:textId="77777777" w:rsidR="00CC4F02" w:rsidRDefault="00CC4F02">
      <w:pPr>
        <w:widowControl w:val="0"/>
        <w:jc w:val="center"/>
        <w:rPr>
          <w:rFonts w:ascii="Arial" w:hAnsi="Arial" w:cs="Arial"/>
          <w:b/>
          <w:bCs/>
          <w:sz w:val="20"/>
          <w:szCs w:val="20"/>
        </w:rPr>
      </w:pPr>
    </w:p>
    <w:p w14:paraId="74A17270" w14:textId="77777777" w:rsidR="00CC4F02" w:rsidRDefault="00C84FBD">
      <w:pPr>
        <w:widowControl w:val="0"/>
        <w:jc w:val="center"/>
        <w:rPr>
          <w:rFonts w:ascii="Arial" w:hAnsi="Arial" w:cs="Arial"/>
          <w:b/>
          <w:bCs/>
          <w:sz w:val="28"/>
          <w:szCs w:val="28"/>
        </w:rPr>
      </w:pPr>
      <w:r>
        <w:rPr>
          <w:rFonts w:ascii="Arial" w:hAnsi="Arial" w:cs="Arial"/>
          <w:b/>
          <w:bCs/>
          <w:sz w:val="28"/>
          <w:szCs w:val="28"/>
        </w:rPr>
        <w:t xml:space="preserve">RÈGLEMENT DE LA CONSULTATION </w:t>
      </w:r>
    </w:p>
    <w:p w14:paraId="70B0210E" w14:textId="77777777" w:rsidR="00CC4F02" w:rsidRDefault="00C84FBD">
      <w:pPr>
        <w:widowControl w:val="0"/>
        <w:jc w:val="center"/>
        <w:rPr>
          <w:rFonts w:ascii="Arial" w:hAnsi="Arial" w:cs="Arial"/>
          <w:b/>
          <w:bCs/>
          <w:szCs w:val="28"/>
        </w:rPr>
      </w:pPr>
      <w:r>
        <w:rPr>
          <w:rFonts w:ascii="Arial" w:hAnsi="Arial" w:cs="Arial"/>
          <w:b/>
          <w:bCs/>
          <w:szCs w:val="20"/>
        </w:rPr>
        <w:t>(R.C)</w:t>
      </w:r>
    </w:p>
    <w:p w14:paraId="2FF1055B" w14:textId="77777777" w:rsidR="00CC4F02" w:rsidRDefault="00CC4F02">
      <w:pPr>
        <w:widowControl w:val="0"/>
        <w:jc w:val="center"/>
        <w:rPr>
          <w:rFonts w:ascii="Arial" w:hAnsi="Arial" w:cs="Arial"/>
          <w:b/>
          <w:bCs/>
          <w:sz w:val="14"/>
          <w:szCs w:val="20"/>
        </w:rPr>
      </w:pPr>
    </w:p>
    <w:p w14:paraId="4C6743DB" w14:textId="77777777" w:rsidR="00CC4F02" w:rsidRDefault="00CC4F02">
      <w:pPr>
        <w:widowControl w:val="0"/>
        <w:jc w:val="center"/>
        <w:rPr>
          <w:rFonts w:ascii="Arial" w:hAnsi="Arial" w:cs="Arial"/>
          <w:b/>
          <w:bCs/>
          <w:sz w:val="14"/>
          <w:szCs w:val="20"/>
        </w:rPr>
      </w:pPr>
    </w:p>
    <w:tbl>
      <w:tblPr>
        <w:tblStyle w:val="Grilledutableau"/>
        <w:tblW w:w="9072" w:type="dxa"/>
        <w:tblLayout w:type="fixed"/>
        <w:tblLook w:val="04A0" w:firstRow="1" w:lastRow="0" w:firstColumn="1" w:lastColumn="0" w:noHBand="0" w:noVBand="1"/>
      </w:tblPr>
      <w:tblGrid>
        <w:gridCol w:w="4530"/>
        <w:gridCol w:w="4542"/>
      </w:tblGrid>
      <w:tr w:rsidR="00CC4F02" w14:paraId="7B32171C" w14:textId="77777777">
        <w:trPr>
          <w:trHeight w:val="454"/>
        </w:trPr>
        <w:tc>
          <w:tcPr>
            <w:tcW w:w="9071" w:type="dxa"/>
            <w:gridSpan w:val="2"/>
            <w:tcBorders>
              <w:top w:val="nil"/>
              <w:left w:val="nil"/>
              <w:bottom w:val="nil"/>
              <w:right w:val="nil"/>
            </w:tcBorders>
            <w:shd w:val="clear" w:color="auto" w:fill="F2F2F2" w:themeFill="background1" w:themeFillShade="F2"/>
            <w:vAlign w:val="center"/>
          </w:tcPr>
          <w:p w14:paraId="30A3138F" w14:textId="77777777" w:rsidR="00CC4F02" w:rsidRPr="00162F6E" w:rsidRDefault="00C84FBD">
            <w:pPr>
              <w:keepNext/>
              <w:widowControl w:val="0"/>
              <w:shd w:val="clear" w:color="auto" w:fill="F2F2F2" w:themeFill="background1" w:themeFillShade="F2"/>
              <w:jc w:val="center"/>
              <w:rPr>
                <w:rFonts w:ascii="Arial" w:hAnsi="Arial" w:cs="Arial"/>
                <w:b/>
                <w:bCs/>
              </w:rPr>
            </w:pPr>
            <w:r w:rsidRPr="00162F6E">
              <w:rPr>
                <w:rFonts w:ascii="Arial" w:hAnsi="Arial" w:cs="Arial"/>
                <w:b/>
                <w:bCs/>
              </w:rPr>
              <w:t xml:space="preserve">Maître d’ouvrage </w:t>
            </w:r>
          </w:p>
        </w:tc>
      </w:tr>
      <w:tr w:rsidR="00CC4F02" w14:paraId="605437E6" w14:textId="77777777">
        <w:trPr>
          <w:trHeight w:val="1798"/>
        </w:trPr>
        <w:tc>
          <w:tcPr>
            <w:tcW w:w="4530" w:type="dxa"/>
            <w:tcBorders>
              <w:top w:val="nil"/>
              <w:left w:val="nil"/>
              <w:bottom w:val="nil"/>
              <w:right w:val="nil"/>
            </w:tcBorders>
            <w:shd w:val="clear" w:color="auto" w:fill="F2F2F2" w:themeFill="background1" w:themeFillShade="F2"/>
            <w:vAlign w:val="center"/>
          </w:tcPr>
          <w:p w14:paraId="4BAD75EC" w14:textId="77777777" w:rsidR="00CC4F02" w:rsidRDefault="00C84FBD">
            <w:pPr>
              <w:widowControl w:val="0"/>
              <w:shd w:val="clear" w:color="auto" w:fill="F2F2F2" w:themeFill="background1" w:themeFillShade="F2"/>
              <w:jc w:val="center"/>
              <w:rPr>
                <w:rFonts w:ascii="Arial" w:hAnsi="Arial" w:cs="Arial"/>
                <w:b/>
                <w:color w:val="0070C0"/>
                <w:sz w:val="36"/>
                <w:szCs w:val="32"/>
              </w:rPr>
            </w:pPr>
            <w:r>
              <w:rPr>
                <w:noProof/>
              </w:rPr>
              <w:drawing>
                <wp:inline distT="0" distB="0" distL="0" distR="0" wp14:anchorId="792188C5" wp14:editId="1688DE56">
                  <wp:extent cx="1212850" cy="937260"/>
                  <wp:effectExtent l="0" t="0" r="0" b="0"/>
                  <wp:docPr id="1" name="Image 2" descr="Liste des préfets du Haut-Rhin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Liste des préfets du Haut-Rhin — Wikipédia"/>
                          <pic:cNvPicPr>
                            <a:picLocks noChangeAspect="1" noChangeArrowheads="1"/>
                          </pic:cNvPicPr>
                        </pic:nvPicPr>
                        <pic:blipFill>
                          <a:blip r:embed="rId8"/>
                          <a:stretch>
                            <a:fillRect/>
                          </a:stretch>
                        </pic:blipFill>
                        <pic:spPr bwMode="auto">
                          <a:xfrm>
                            <a:off x="0" y="0"/>
                            <a:ext cx="1212850" cy="937260"/>
                          </a:xfrm>
                          <a:prstGeom prst="rect">
                            <a:avLst/>
                          </a:prstGeom>
                        </pic:spPr>
                      </pic:pic>
                    </a:graphicData>
                  </a:graphic>
                </wp:inline>
              </w:drawing>
            </w:r>
          </w:p>
        </w:tc>
        <w:tc>
          <w:tcPr>
            <w:tcW w:w="4541" w:type="dxa"/>
            <w:tcBorders>
              <w:top w:val="nil"/>
              <w:left w:val="nil"/>
              <w:bottom w:val="nil"/>
              <w:right w:val="nil"/>
            </w:tcBorders>
            <w:shd w:val="clear" w:color="auto" w:fill="F2F2F2" w:themeFill="background1" w:themeFillShade="F2"/>
            <w:vAlign w:val="center"/>
          </w:tcPr>
          <w:p w14:paraId="5891B62D" w14:textId="77777777" w:rsidR="00CC4F02" w:rsidRDefault="00C84FBD">
            <w:pPr>
              <w:widowControl w:val="0"/>
              <w:shd w:val="clear" w:color="auto" w:fill="F2F2F2" w:themeFill="background1" w:themeFillShade="F2"/>
              <w:jc w:val="center"/>
              <w:rPr>
                <w:rFonts w:ascii="Arial" w:hAnsi="Arial" w:cs="Arial"/>
                <w:b/>
                <w:color w:val="0070C0"/>
                <w:szCs w:val="32"/>
              </w:rPr>
            </w:pPr>
            <w:r>
              <w:rPr>
                <w:rFonts w:ascii="Arial" w:hAnsi="Arial" w:cs="Arial"/>
                <w:b/>
                <w:color w:val="0070C0"/>
                <w:szCs w:val="32"/>
              </w:rPr>
              <w:t>Préfecture du Haut-Rhin</w:t>
            </w:r>
          </w:p>
          <w:p w14:paraId="6906B536" w14:textId="77777777" w:rsidR="00CC4F02" w:rsidRDefault="00C84FBD">
            <w:pPr>
              <w:widowControl w:val="0"/>
              <w:shd w:val="clear" w:color="auto" w:fill="F2F2F2" w:themeFill="background1" w:themeFillShade="F2"/>
              <w:jc w:val="center"/>
              <w:rPr>
                <w:rFonts w:ascii="Arial" w:hAnsi="Arial" w:cs="Arial"/>
                <w:b/>
                <w:color w:val="0070C0"/>
                <w:szCs w:val="32"/>
              </w:rPr>
            </w:pPr>
            <w:r>
              <w:rPr>
                <w:rFonts w:ascii="Arial" w:hAnsi="Arial" w:cs="Arial"/>
                <w:b/>
                <w:color w:val="0070C0"/>
                <w:szCs w:val="32"/>
              </w:rPr>
              <w:t>Cité administrative</w:t>
            </w:r>
          </w:p>
          <w:p w14:paraId="4162C2CA" w14:textId="77777777" w:rsidR="00CC4F02" w:rsidRDefault="00C84FBD">
            <w:pPr>
              <w:widowControl w:val="0"/>
              <w:shd w:val="clear" w:color="auto" w:fill="F2F2F2" w:themeFill="background1" w:themeFillShade="F2"/>
              <w:jc w:val="center"/>
              <w:rPr>
                <w:rFonts w:ascii="Arial" w:hAnsi="Arial" w:cs="Arial"/>
                <w:b/>
                <w:color w:val="0070C0"/>
                <w:szCs w:val="32"/>
              </w:rPr>
            </w:pPr>
            <w:r>
              <w:rPr>
                <w:rFonts w:ascii="Arial" w:hAnsi="Arial" w:cs="Arial"/>
                <w:b/>
                <w:color w:val="0070C0"/>
                <w:szCs w:val="32"/>
              </w:rPr>
              <w:t xml:space="preserve">3 Rue </w:t>
            </w:r>
            <w:proofErr w:type="spellStart"/>
            <w:r>
              <w:rPr>
                <w:rFonts w:ascii="Arial" w:hAnsi="Arial" w:cs="Arial"/>
                <w:b/>
                <w:color w:val="0070C0"/>
                <w:szCs w:val="32"/>
              </w:rPr>
              <w:t>Fleischhauer</w:t>
            </w:r>
            <w:proofErr w:type="spellEnd"/>
          </w:p>
          <w:p w14:paraId="04D7A7FD" w14:textId="77777777" w:rsidR="00CC4F02" w:rsidRDefault="00C84FBD">
            <w:pPr>
              <w:keepNext/>
              <w:widowControl w:val="0"/>
              <w:jc w:val="center"/>
              <w:rPr>
                <w:rFonts w:ascii="Arial" w:hAnsi="Arial" w:cs="Arial"/>
                <w:b/>
                <w:bCs/>
                <w:color w:val="FF0000"/>
              </w:rPr>
            </w:pPr>
            <w:bookmarkStart w:id="0" w:name="_Hlk171663171"/>
            <w:r>
              <w:rPr>
                <w:rFonts w:ascii="Arial" w:hAnsi="Arial" w:cs="Arial"/>
                <w:b/>
                <w:color w:val="0070C0"/>
                <w:szCs w:val="32"/>
              </w:rPr>
              <w:t>68 000 COLMAR</w:t>
            </w:r>
            <w:bookmarkEnd w:id="0"/>
          </w:p>
        </w:tc>
      </w:tr>
    </w:tbl>
    <w:p w14:paraId="19F16C17" w14:textId="77777777" w:rsidR="00CC4F02" w:rsidRDefault="00CC4F02">
      <w:pPr>
        <w:widowControl w:val="0"/>
        <w:jc w:val="center"/>
        <w:rPr>
          <w:rFonts w:ascii="Arial" w:hAnsi="Arial" w:cs="Arial"/>
          <w:b/>
          <w:bCs/>
          <w:sz w:val="16"/>
          <w:szCs w:val="20"/>
        </w:rPr>
      </w:pPr>
    </w:p>
    <w:p w14:paraId="5DCC79A8" w14:textId="77777777" w:rsidR="00CC4F02" w:rsidRDefault="00CC4F02">
      <w:pPr>
        <w:keepNext/>
        <w:widowControl w:val="0"/>
        <w:shd w:val="clear" w:color="auto" w:fill="F3F3F3"/>
        <w:jc w:val="center"/>
        <w:rPr>
          <w:rFonts w:ascii="Arial" w:hAnsi="Arial" w:cs="Arial"/>
          <w:b/>
          <w:bCs/>
          <w:sz w:val="22"/>
          <w:szCs w:val="22"/>
        </w:rPr>
      </w:pPr>
    </w:p>
    <w:p w14:paraId="086410EE" w14:textId="77777777" w:rsidR="00CC4F02" w:rsidRDefault="00C84FBD">
      <w:pPr>
        <w:keepNext/>
        <w:widowControl w:val="0"/>
        <w:shd w:val="clear" w:color="auto" w:fill="F3F3F3"/>
        <w:jc w:val="center"/>
        <w:rPr>
          <w:rFonts w:ascii="Arial" w:hAnsi="Arial" w:cs="Arial"/>
          <w:b/>
          <w:bCs/>
          <w:sz w:val="22"/>
          <w:szCs w:val="22"/>
        </w:rPr>
      </w:pPr>
      <w:r>
        <w:rPr>
          <w:rFonts w:ascii="Arial" w:hAnsi="Arial" w:cs="Arial"/>
          <w:b/>
          <w:bCs/>
          <w:sz w:val="22"/>
          <w:szCs w:val="22"/>
        </w:rPr>
        <w:t>Objet de la consultation :</w:t>
      </w:r>
    </w:p>
    <w:p w14:paraId="01EA2759" w14:textId="77777777" w:rsidR="00CC4F02" w:rsidRDefault="00C84FBD">
      <w:pPr>
        <w:keepNext/>
        <w:widowControl w:val="0"/>
        <w:shd w:val="clear" w:color="auto" w:fill="F3F3F3"/>
        <w:jc w:val="center"/>
        <w:rPr>
          <w:rFonts w:ascii="Arial" w:hAnsi="Arial" w:cs="Arial"/>
          <w:b/>
          <w:bCs/>
          <w:sz w:val="22"/>
          <w:szCs w:val="22"/>
        </w:rPr>
      </w:pPr>
      <w:r>
        <w:rPr>
          <w:rFonts w:ascii="Arial" w:hAnsi="Arial" w:cs="Arial"/>
          <w:b/>
          <w:bCs/>
          <w:sz w:val="22"/>
          <w:szCs w:val="22"/>
        </w:rPr>
        <w:t>_______________________________________________________________________</w:t>
      </w:r>
    </w:p>
    <w:p w14:paraId="0EF42D3E" w14:textId="77777777" w:rsidR="00CC4F02" w:rsidRDefault="00CC4F02">
      <w:pPr>
        <w:pStyle w:val="RedTitre1"/>
        <w:keepNext/>
        <w:widowControl/>
        <w:shd w:val="clear" w:color="auto" w:fill="F3F3F3"/>
      </w:pPr>
    </w:p>
    <w:p w14:paraId="487867EF" w14:textId="77777777" w:rsidR="00CC4F02" w:rsidRDefault="00C84FBD">
      <w:pPr>
        <w:pStyle w:val="RedTitre1"/>
        <w:keepNext/>
        <w:widowControl/>
        <w:shd w:val="clear" w:color="auto" w:fill="F3F3F3"/>
      </w:pPr>
      <w:r>
        <w:t>Rénovation énergétique des chaufferies de la Sous-Préfecture de Thann-Guebwiller</w:t>
      </w:r>
    </w:p>
    <w:p w14:paraId="4E382672" w14:textId="77777777" w:rsidR="00CC4F02" w:rsidRDefault="00C84FBD">
      <w:pPr>
        <w:keepNext/>
        <w:widowControl w:val="0"/>
        <w:shd w:val="clear" w:color="auto" w:fill="F3F3F3"/>
        <w:jc w:val="center"/>
        <w:rPr>
          <w:rFonts w:ascii="Arial" w:hAnsi="Arial" w:cs="Arial"/>
          <w:b/>
          <w:bCs/>
          <w:sz w:val="22"/>
          <w:szCs w:val="22"/>
        </w:rPr>
      </w:pPr>
      <w:r>
        <w:rPr>
          <w:rFonts w:ascii="Arial" w:hAnsi="Arial" w:cs="Arial"/>
          <w:b/>
          <w:bCs/>
          <w:sz w:val="22"/>
          <w:szCs w:val="22"/>
        </w:rPr>
        <w:t>_______________________________________________________________________</w:t>
      </w:r>
    </w:p>
    <w:p w14:paraId="5B27CF76" w14:textId="77777777" w:rsidR="00CC4F02" w:rsidRDefault="00C84FBD">
      <w:pPr>
        <w:pStyle w:val="RedTitre1"/>
        <w:keepNext/>
      </w:pPr>
      <w:r>
        <w:rPr>
          <w:noProof/>
        </w:rPr>
        <mc:AlternateContent>
          <mc:Choice Requires="wps">
            <w:drawing>
              <wp:anchor distT="635" distB="635" distL="1270" distR="635" simplePos="0" relativeHeight="15" behindDoc="1" locked="0" layoutInCell="1" allowOverlap="1" wp14:anchorId="1BC64AF5" wp14:editId="213657F2">
                <wp:simplePos x="0" y="0"/>
                <wp:positionH relativeFrom="column">
                  <wp:posOffset>267335</wp:posOffset>
                </wp:positionH>
                <wp:positionV relativeFrom="paragraph">
                  <wp:posOffset>132080</wp:posOffset>
                </wp:positionV>
                <wp:extent cx="5278755" cy="1775460"/>
                <wp:effectExtent l="1270" t="635" r="635" b="635"/>
                <wp:wrapNone/>
                <wp:docPr id="2" name="AutoShape 3"/>
                <wp:cNvGraphicFramePr/>
                <a:graphic xmlns:a="http://schemas.openxmlformats.org/drawingml/2006/main">
                  <a:graphicData uri="http://schemas.microsoft.com/office/word/2010/wordprocessingShape">
                    <wps:wsp>
                      <wps:cNvSpPr/>
                      <wps:spPr>
                        <a:xfrm>
                          <a:off x="0" y="0"/>
                          <a:ext cx="5278680" cy="1775520"/>
                        </a:xfrm>
                        <a:prstGeom prst="roundRect">
                          <a:avLst>
                            <a:gd name="adj" fmla="val 16667"/>
                          </a:avLst>
                        </a:prstGeom>
                        <a:solidFill>
                          <a:srgbClr val="F2F2F2"/>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14:paraId="214EB8DC" w14:textId="77777777" w:rsidR="00CC4F02" w:rsidRDefault="00C84FBD">
      <w:pPr>
        <w:pStyle w:val="RedTitre1"/>
        <w:keepNext/>
      </w:pPr>
      <w:r>
        <w:t>Etabli en application du Code de la Commande Publique</w:t>
      </w:r>
    </w:p>
    <w:p w14:paraId="6416A557" w14:textId="77777777" w:rsidR="00CC4F02" w:rsidRDefault="00CC4F02">
      <w:pPr>
        <w:pStyle w:val="RedTitre1"/>
        <w:keepNext/>
      </w:pPr>
    </w:p>
    <w:p w14:paraId="53D1D724" w14:textId="77777777" w:rsidR="00CC4F02" w:rsidRDefault="00C84FBD">
      <w:pPr>
        <w:pStyle w:val="RedTitre1"/>
        <w:keepNext/>
      </w:pPr>
      <w:r>
        <w:t>La procédure de consultation utilisée est la suivante :</w:t>
      </w:r>
    </w:p>
    <w:p w14:paraId="3437666E" w14:textId="77777777" w:rsidR="00CC4F02" w:rsidRDefault="00C84FBD">
      <w:pPr>
        <w:pStyle w:val="RedTitre1"/>
        <w:keepNext/>
      </w:pPr>
      <w:r>
        <w:t xml:space="preserve">Procédure adaptée en application des articles </w:t>
      </w:r>
    </w:p>
    <w:tbl>
      <w:tblPr>
        <w:tblpPr w:leftFromText="141" w:rightFromText="141" w:vertAnchor="text" w:horzAnchor="page" w:tblpX="2932" w:tblpY="178"/>
        <w:tblW w:w="6804" w:type="dxa"/>
        <w:tblLayout w:type="fixed"/>
        <w:tblLook w:val="04A0" w:firstRow="1" w:lastRow="0" w:firstColumn="1" w:lastColumn="0" w:noHBand="0" w:noVBand="1"/>
      </w:tblPr>
      <w:tblGrid>
        <w:gridCol w:w="3368"/>
        <w:gridCol w:w="3436"/>
      </w:tblGrid>
      <w:tr w:rsidR="00CC4F02" w14:paraId="60FAE70D" w14:textId="77777777">
        <w:tc>
          <w:tcPr>
            <w:tcW w:w="3368" w:type="dxa"/>
            <w:tcBorders>
              <w:top w:val="single" w:sz="4" w:space="0" w:color="000000"/>
              <w:left w:val="single" w:sz="4" w:space="0" w:color="000000"/>
              <w:bottom w:val="single" w:sz="4" w:space="0" w:color="000000"/>
              <w:right w:val="single" w:sz="4" w:space="0" w:color="000000"/>
            </w:tcBorders>
            <w:shd w:val="clear" w:color="auto" w:fill="auto"/>
          </w:tcPr>
          <w:p w14:paraId="4C616872" w14:textId="77777777" w:rsidR="00CC4F02" w:rsidRDefault="00C84FBD">
            <w:pPr>
              <w:pStyle w:val="RedTitre1"/>
              <w:keepNext/>
              <w:rPr>
                <w:rFonts w:eastAsia="Calibri"/>
              </w:rPr>
            </w:pPr>
            <w:r>
              <w:rPr>
                <w:rFonts w:eastAsia="Calibri"/>
              </w:rPr>
              <w:t>Modalités de procédure</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14:paraId="4FF0B920" w14:textId="77777777" w:rsidR="00CC4F02" w:rsidRDefault="00C84FBD">
            <w:pPr>
              <w:pStyle w:val="RedTitre1"/>
              <w:keepNext/>
              <w:rPr>
                <w:rFonts w:eastAsia="Calibri"/>
              </w:rPr>
            </w:pPr>
            <w:r>
              <w:rPr>
                <w:rFonts w:eastAsia="Calibri"/>
              </w:rPr>
              <w:t>Articles</w:t>
            </w:r>
          </w:p>
        </w:tc>
      </w:tr>
      <w:tr w:rsidR="00CC4F02" w14:paraId="03EA19FE" w14:textId="77777777">
        <w:tc>
          <w:tcPr>
            <w:tcW w:w="3368" w:type="dxa"/>
            <w:tcBorders>
              <w:top w:val="single" w:sz="4" w:space="0" w:color="000000"/>
              <w:left w:val="single" w:sz="4" w:space="0" w:color="000000"/>
              <w:bottom w:val="single" w:sz="4" w:space="0" w:color="000000"/>
              <w:right w:val="single" w:sz="4" w:space="0" w:color="000000"/>
            </w:tcBorders>
            <w:shd w:val="clear" w:color="auto" w:fill="auto"/>
          </w:tcPr>
          <w:p w14:paraId="147EC32E" w14:textId="77777777" w:rsidR="00CC4F02" w:rsidRDefault="00C84FBD">
            <w:pPr>
              <w:pStyle w:val="RedTitre1"/>
              <w:keepNext/>
              <w:rPr>
                <w:rFonts w:eastAsia="Calibri"/>
              </w:rPr>
            </w:pPr>
            <w:r>
              <w:rPr>
                <w:rFonts w:eastAsia="Calibri"/>
              </w:rPr>
              <w:t>Marché de travaux</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14:paraId="5E126CF0" w14:textId="77777777" w:rsidR="00CC4F02" w:rsidRDefault="00C84FBD">
            <w:pPr>
              <w:pStyle w:val="RedTitre1"/>
              <w:keepNext/>
              <w:rPr>
                <w:rFonts w:eastAsia="Calibri"/>
              </w:rPr>
            </w:pPr>
            <w:r>
              <w:rPr>
                <w:rFonts w:eastAsia="Calibri"/>
              </w:rPr>
              <w:t>L1111-2</w:t>
            </w:r>
          </w:p>
        </w:tc>
      </w:tr>
      <w:tr w:rsidR="00CC4F02" w14:paraId="0F4427D2" w14:textId="77777777">
        <w:tc>
          <w:tcPr>
            <w:tcW w:w="3368" w:type="dxa"/>
            <w:tcBorders>
              <w:top w:val="single" w:sz="4" w:space="0" w:color="000000"/>
              <w:left w:val="single" w:sz="4" w:space="0" w:color="000000"/>
              <w:bottom w:val="single" w:sz="4" w:space="0" w:color="000000"/>
              <w:right w:val="single" w:sz="4" w:space="0" w:color="000000"/>
            </w:tcBorders>
            <w:shd w:val="clear" w:color="auto" w:fill="auto"/>
          </w:tcPr>
          <w:p w14:paraId="46F3E0D7" w14:textId="77777777" w:rsidR="00CC4F02" w:rsidRDefault="00C84FBD">
            <w:pPr>
              <w:pStyle w:val="RedTitre1"/>
              <w:keepNext/>
              <w:rPr>
                <w:rFonts w:eastAsia="Calibri"/>
              </w:rPr>
            </w:pPr>
            <w:r>
              <w:rPr>
                <w:rFonts w:eastAsia="Calibri"/>
              </w:rPr>
              <w:t>Procédure adaptée</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14:paraId="15058175" w14:textId="77777777" w:rsidR="00CC4F02" w:rsidRDefault="00C84FBD">
            <w:pPr>
              <w:pStyle w:val="RedTitre1"/>
              <w:keepNext/>
              <w:rPr>
                <w:rFonts w:eastAsia="Calibri"/>
              </w:rPr>
            </w:pPr>
            <w:r>
              <w:rPr>
                <w:rFonts w:eastAsia="Calibri"/>
              </w:rPr>
              <w:t>L2123-1</w:t>
            </w:r>
          </w:p>
        </w:tc>
      </w:tr>
    </w:tbl>
    <w:p w14:paraId="44B84D40" w14:textId="77777777" w:rsidR="00CC4F02" w:rsidRDefault="00CC4F02">
      <w:pPr>
        <w:pStyle w:val="RedTitre1"/>
        <w:keepNext/>
      </w:pPr>
    </w:p>
    <w:p w14:paraId="6D785F4C" w14:textId="77777777" w:rsidR="00CC4F02" w:rsidRDefault="00CC4F02">
      <w:pPr>
        <w:pStyle w:val="RedTitre1"/>
        <w:keepNext/>
        <w:jc w:val="left"/>
        <w:rPr>
          <w:color w:val="0070C0"/>
        </w:rPr>
      </w:pPr>
    </w:p>
    <w:p w14:paraId="3DECD8A7" w14:textId="77777777" w:rsidR="00CC4F02" w:rsidRDefault="00CC4F02">
      <w:pPr>
        <w:pStyle w:val="RedTitre1"/>
        <w:keepNext/>
        <w:jc w:val="left"/>
        <w:rPr>
          <w:color w:val="0070C0"/>
        </w:rPr>
      </w:pPr>
    </w:p>
    <w:p w14:paraId="424043D4" w14:textId="77777777" w:rsidR="00CC4F02" w:rsidRDefault="00CC4F02">
      <w:pPr>
        <w:pStyle w:val="RedTitre1"/>
        <w:keepNext/>
        <w:jc w:val="left"/>
        <w:rPr>
          <w:color w:val="0070C0"/>
        </w:rPr>
      </w:pPr>
    </w:p>
    <w:p w14:paraId="3676E898" w14:textId="77777777" w:rsidR="00CC4F02" w:rsidRDefault="00CC4F02">
      <w:pPr>
        <w:pStyle w:val="RedTitre1"/>
        <w:keepNext/>
        <w:widowControl/>
      </w:pPr>
    </w:p>
    <w:p w14:paraId="0AC5DB20" w14:textId="77777777" w:rsidR="00CC4F02" w:rsidRDefault="00CC4F02">
      <w:pPr>
        <w:pStyle w:val="RedTitre1"/>
        <w:keepNext/>
        <w:widowControl/>
      </w:pPr>
    </w:p>
    <w:p w14:paraId="63740E2D" w14:textId="77777777" w:rsidR="00CC4F02" w:rsidRDefault="00CC4F02">
      <w:pPr>
        <w:pStyle w:val="RedTitre1"/>
        <w:keepNext/>
      </w:pPr>
    </w:p>
    <w:p w14:paraId="7650ACFC" w14:textId="77777777" w:rsidR="00CC4F02" w:rsidRDefault="00CC4F02">
      <w:pPr>
        <w:pStyle w:val="RedTitre1"/>
        <w:keepNext/>
        <w:jc w:val="left"/>
        <w:rPr>
          <w:color w:val="0070C0"/>
          <w:sz w:val="16"/>
        </w:rPr>
      </w:pPr>
    </w:p>
    <w:p w14:paraId="10093B2F" w14:textId="77777777" w:rsidR="00CC4F02" w:rsidRDefault="00C84FBD">
      <w:pPr>
        <w:pStyle w:val="RedTitre1"/>
        <w:keepNext/>
        <w:widowControl/>
        <w:shd w:val="clear" w:color="auto" w:fill="F3F3F3"/>
      </w:pPr>
      <w:r>
        <w:t>Date et heure limites de remise des plis :</w:t>
      </w:r>
    </w:p>
    <w:p w14:paraId="4D302276" w14:textId="13A1E00E" w:rsidR="00CC4F02" w:rsidRDefault="007D7776">
      <w:pPr>
        <w:shd w:val="clear" w:color="auto" w:fill="F2F2F2"/>
        <w:jc w:val="center"/>
        <w:rPr>
          <w:rFonts w:ascii="Arial" w:hAnsi="Arial" w:cs="Arial"/>
          <w:b/>
          <w:color w:val="0070C0"/>
          <w:szCs w:val="32"/>
        </w:rPr>
      </w:pPr>
      <w:r>
        <w:rPr>
          <w:rFonts w:ascii="Arial" w:hAnsi="Arial" w:cs="Arial"/>
          <w:b/>
          <w:color w:val="0070C0"/>
          <w:szCs w:val="32"/>
        </w:rPr>
        <w:t>4 novembre</w:t>
      </w:r>
      <w:r w:rsidR="00162F6E">
        <w:rPr>
          <w:rFonts w:ascii="Arial" w:hAnsi="Arial" w:cs="Arial"/>
          <w:b/>
          <w:color w:val="0070C0"/>
          <w:szCs w:val="32"/>
        </w:rPr>
        <w:t xml:space="preserve"> 2024 à 23h00</w:t>
      </w:r>
    </w:p>
    <w:p w14:paraId="4AA6DF09" w14:textId="77777777" w:rsidR="00CC4F02" w:rsidRDefault="00CC4F02">
      <w:pPr>
        <w:shd w:val="clear" w:color="auto" w:fill="F2F2F2"/>
        <w:jc w:val="center"/>
        <w:rPr>
          <w:rFonts w:ascii="Arial" w:hAnsi="Arial" w:cs="Arial"/>
          <w:b/>
          <w:color w:val="0070C0"/>
          <w:sz w:val="16"/>
          <w:szCs w:val="32"/>
        </w:rPr>
      </w:pPr>
    </w:p>
    <w:tbl>
      <w:tblPr>
        <w:tblpPr w:leftFromText="141" w:rightFromText="141" w:vertAnchor="text" w:horzAnchor="margin" w:tblpXSpec="center" w:tblpY="296"/>
        <w:tblW w:w="8836" w:type="dxa"/>
        <w:jc w:val="center"/>
        <w:tblLayout w:type="fixed"/>
        <w:tblLook w:val="04A0" w:firstRow="1" w:lastRow="0" w:firstColumn="1" w:lastColumn="0" w:noHBand="0" w:noVBand="1"/>
      </w:tblPr>
      <w:tblGrid>
        <w:gridCol w:w="8836"/>
      </w:tblGrid>
      <w:tr w:rsidR="00CC4F02" w14:paraId="6220B733" w14:textId="77777777">
        <w:trPr>
          <w:trHeight w:val="698"/>
          <w:jc w:val="center"/>
        </w:trPr>
        <w:tc>
          <w:tcPr>
            <w:tcW w:w="8836" w:type="dxa"/>
            <w:tcBorders>
              <w:top w:val="single" w:sz="4" w:space="0" w:color="000000"/>
              <w:left w:val="single" w:sz="4" w:space="0" w:color="000000"/>
              <w:bottom w:val="single" w:sz="4" w:space="0" w:color="000000"/>
              <w:right w:val="single" w:sz="4" w:space="0" w:color="000000"/>
            </w:tcBorders>
            <w:shd w:val="clear" w:color="auto" w:fill="auto"/>
          </w:tcPr>
          <w:p w14:paraId="7EC731C2" w14:textId="77777777" w:rsidR="00CC4F02" w:rsidRDefault="00CC4F02">
            <w:pPr>
              <w:keepNext/>
              <w:widowControl w:val="0"/>
              <w:shd w:val="pct5" w:color="auto" w:fill="auto"/>
              <w:jc w:val="center"/>
              <w:rPr>
                <w:rFonts w:ascii="Arial" w:hAnsi="Arial" w:cs="Arial"/>
                <w:b/>
                <w:bCs/>
                <w:sz w:val="18"/>
                <w:szCs w:val="22"/>
              </w:rPr>
            </w:pPr>
          </w:p>
          <w:p w14:paraId="3ACCE958" w14:textId="77777777" w:rsidR="00CC4F02" w:rsidRDefault="00C84FBD">
            <w:pPr>
              <w:keepNext/>
              <w:widowControl w:val="0"/>
              <w:shd w:val="pct5" w:color="auto" w:fill="auto"/>
              <w:jc w:val="center"/>
              <w:rPr>
                <w:rFonts w:ascii="Arial" w:hAnsi="Arial" w:cs="Arial"/>
                <w:b/>
                <w:bCs/>
                <w:sz w:val="22"/>
                <w:szCs w:val="22"/>
              </w:rPr>
            </w:pPr>
            <w:r>
              <w:rPr>
                <w:rFonts w:ascii="Arial" w:hAnsi="Arial" w:cs="Arial"/>
                <w:b/>
                <w:bCs/>
                <w:sz w:val="22"/>
                <w:szCs w:val="22"/>
              </w:rPr>
              <w:t xml:space="preserve">IMPORTANT </w:t>
            </w:r>
          </w:p>
        </w:tc>
      </w:tr>
      <w:tr w:rsidR="00CC4F02" w14:paraId="6DAB5BE8" w14:textId="77777777">
        <w:trPr>
          <w:trHeight w:val="2836"/>
          <w:jc w:val="center"/>
        </w:trPr>
        <w:tc>
          <w:tcPr>
            <w:tcW w:w="8836" w:type="dxa"/>
            <w:tcBorders>
              <w:top w:val="single" w:sz="4" w:space="0" w:color="000000"/>
              <w:left w:val="single" w:sz="4" w:space="0" w:color="000000"/>
              <w:bottom w:val="single" w:sz="4" w:space="0" w:color="000000"/>
              <w:right w:val="single" w:sz="4" w:space="0" w:color="000000"/>
            </w:tcBorders>
            <w:shd w:val="clear" w:color="auto" w:fill="auto"/>
          </w:tcPr>
          <w:p w14:paraId="1C20FE64" w14:textId="77777777" w:rsidR="00CC4F02" w:rsidRDefault="00CC4F02">
            <w:pPr>
              <w:keepNext/>
              <w:widowControl w:val="0"/>
              <w:shd w:val="pct5" w:color="auto" w:fill="auto"/>
              <w:jc w:val="center"/>
              <w:rPr>
                <w:rFonts w:ascii="Arial" w:hAnsi="Arial" w:cs="Arial"/>
                <w:b/>
                <w:bCs/>
                <w:sz w:val="12"/>
                <w:szCs w:val="22"/>
              </w:rPr>
            </w:pPr>
          </w:p>
          <w:p w14:paraId="38CBF428" w14:textId="77777777" w:rsidR="00CC4F02" w:rsidRDefault="00C84FBD">
            <w:pPr>
              <w:keepNext/>
              <w:widowControl w:val="0"/>
              <w:shd w:val="pct5" w:color="auto" w:fill="auto"/>
              <w:jc w:val="both"/>
              <w:rPr>
                <w:rFonts w:ascii="Arial" w:hAnsi="Arial" w:cs="Arial"/>
                <w:b/>
                <w:bCs/>
                <w:color w:val="FF0000"/>
                <w:sz w:val="22"/>
                <w:szCs w:val="22"/>
              </w:rPr>
            </w:pPr>
            <w:r>
              <w:rPr>
                <w:rFonts w:ascii="Arial" w:hAnsi="Arial" w:cs="Arial"/>
                <w:b/>
                <w:bCs/>
                <w:sz w:val="22"/>
                <w:szCs w:val="22"/>
              </w:rPr>
              <w:t>En application des dispositions prévues à l’article R2132-7 du Code de la Commande Publique, la remise des plis se fera OBLIGATOIREMENT par voie électronique via la plateforme https://www.marches-publics.gouv.fr/.</w:t>
            </w:r>
            <w:r>
              <w:rPr>
                <w:rFonts w:ascii="Arial" w:hAnsi="Arial" w:cs="Arial"/>
                <w:b/>
                <w:bCs/>
                <w:color w:val="FF0000"/>
                <w:sz w:val="22"/>
                <w:szCs w:val="22"/>
              </w:rPr>
              <w:t xml:space="preserve"> </w:t>
            </w:r>
          </w:p>
          <w:p w14:paraId="0362745B" w14:textId="77777777" w:rsidR="00CC4F02" w:rsidRDefault="00C84FBD">
            <w:pPr>
              <w:keepNext/>
              <w:widowControl w:val="0"/>
              <w:shd w:val="pct5" w:color="auto" w:fill="auto"/>
              <w:jc w:val="both"/>
              <w:rPr>
                <w:rFonts w:ascii="Arial" w:hAnsi="Arial" w:cs="Arial"/>
                <w:b/>
                <w:bCs/>
                <w:sz w:val="22"/>
                <w:szCs w:val="22"/>
              </w:rPr>
            </w:pPr>
            <w:r>
              <w:rPr>
                <w:rFonts w:ascii="Arial" w:hAnsi="Arial" w:cs="Arial"/>
                <w:b/>
                <w:bCs/>
                <w:sz w:val="22"/>
                <w:szCs w:val="22"/>
              </w:rPr>
              <w:t>Les plis remis sous une autre forme seront irrecevables et rejetés.</w:t>
            </w:r>
          </w:p>
          <w:p w14:paraId="73168805" w14:textId="77777777" w:rsidR="00CC4F02" w:rsidRDefault="00C84FBD">
            <w:pPr>
              <w:keepNext/>
              <w:widowControl w:val="0"/>
              <w:shd w:val="pct5" w:color="auto" w:fill="auto"/>
              <w:jc w:val="both"/>
              <w:rPr>
                <w:rFonts w:ascii="Arial" w:hAnsi="Arial" w:cs="Arial"/>
                <w:b/>
                <w:bCs/>
                <w:sz w:val="22"/>
                <w:szCs w:val="22"/>
              </w:rPr>
            </w:pPr>
            <w:r>
              <w:rPr>
                <w:rFonts w:ascii="Arial" w:hAnsi="Arial" w:cs="Arial"/>
                <w:b/>
                <w:bCs/>
                <w:sz w:val="22"/>
                <w:szCs w:val="22"/>
              </w:rPr>
              <w:t>Les communications de documents et d’information entre le Maître d’ouvrage et les candidats (demandes de compléments, information aux candidats non retenus, lettre d’attribution, etc.) s’effectueront par voie dématérialisée sous la forme d’échanges de courriers ou de dossiers via la plateforme PLACE : https://www.marches-publics.gouv.fr/.</w:t>
            </w:r>
          </w:p>
          <w:p w14:paraId="426D142A" w14:textId="77777777" w:rsidR="00CC4F02" w:rsidRDefault="00CC4F02">
            <w:pPr>
              <w:keepNext/>
              <w:widowControl w:val="0"/>
              <w:shd w:val="pct5" w:color="auto" w:fill="auto"/>
              <w:jc w:val="both"/>
              <w:rPr>
                <w:rFonts w:ascii="Arial" w:hAnsi="Arial" w:cs="Arial"/>
                <w:b/>
                <w:bCs/>
                <w:sz w:val="22"/>
                <w:szCs w:val="22"/>
              </w:rPr>
            </w:pPr>
          </w:p>
        </w:tc>
      </w:tr>
    </w:tbl>
    <w:p w14:paraId="61F1CC83" w14:textId="77777777" w:rsidR="00CC4F02" w:rsidRDefault="00CC4F02">
      <w:pPr>
        <w:keepNext/>
        <w:widowControl w:val="0"/>
        <w:jc w:val="center"/>
        <w:rPr>
          <w:rFonts w:ascii="Arial" w:hAnsi="Arial" w:cs="Arial"/>
          <w:sz w:val="20"/>
          <w:szCs w:val="20"/>
        </w:rPr>
      </w:pPr>
    </w:p>
    <w:p w14:paraId="143FB9E6" w14:textId="77777777" w:rsidR="00CC4F02" w:rsidRDefault="00CC4F02">
      <w:pPr>
        <w:keepNext/>
        <w:widowControl w:val="0"/>
        <w:jc w:val="center"/>
        <w:rPr>
          <w:rFonts w:ascii="Arial" w:hAnsi="Arial" w:cs="Arial"/>
          <w:sz w:val="20"/>
          <w:szCs w:val="20"/>
        </w:rPr>
      </w:pPr>
    </w:p>
    <w:p w14:paraId="6BCB6D24" w14:textId="77777777" w:rsidR="00CC4F02" w:rsidRDefault="00C84FBD">
      <w:pPr>
        <w:keepNext/>
        <w:widowControl w:val="0"/>
        <w:jc w:val="center"/>
        <w:rPr>
          <w:rFonts w:ascii="Arial" w:hAnsi="Arial" w:cs="Arial"/>
          <w:b/>
          <w:bCs/>
          <w:sz w:val="28"/>
          <w:szCs w:val="28"/>
        </w:rPr>
      </w:pPr>
      <w:r>
        <w:rPr>
          <w:rFonts w:ascii="Arial" w:hAnsi="Arial" w:cs="Arial"/>
          <w:b/>
          <w:bCs/>
          <w:sz w:val="28"/>
          <w:szCs w:val="28"/>
        </w:rPr>
        <w:t>SOMMAIRE</w:t>
      </w:r>
    </w:p>
    <w:p w14:paraId="7626EDF1" w14:textId="77777777" w:rsidR="00CC4F02" w:rsidRDefault="00CC4F02">
      <w:pPr>
        <w:keepNext/>
        <w:widowControl w:val="0"/>
        <w:jc w:val="center"/>
        <w:rPr>
          <w:rFonts w:ascii="Arial" w:hAnsi="Arial" w:cs="Arial"/>
          <w:b/>
          <w:bCs/>
          <w:sz w:val="28"/>
          <w:szCs w:val="28"/>
        </w:rPr>
      </w:pPr>
    </w:p>
    <w:sdt>
      <w:sdtPr>
        <w:id w:val="28303489"/>
        <w:docPartObj>
          <w:docPartGallery w:val="Table of Contents"/>
          <w:docPartUnique/>
        </w:docPartObj>
      </w:sdtPr>
      <w:sdtEndPr/>
      <w:sdtContent>
        <w:p w14:paraId="4E833E18" w14:textId="77777777" w:rsidR="00CC4F02" w:rsidRDefault="00C84FBD">
          <w:pPr>
            <w:pStyle w:val="TM1"/>
            <w:tabs>
              <w:tab w:val="right" w:leader="dot" w:pos="9062"/>
            </w:tabs>
            <w:rPr>
              <w:rFonts w:asciiTheme="minorHAnsi" w:eastAsiaTheme="minorEastAsia" w:hAnsiTheme="minorHAnsi" w:cstheme="minorBidi"/>
              <w:kern w:val="2"/>
              <w:sz w:val="24"/>
              <w:szCs w:val="24"/>
              <w14:ligatures w14:val="standardContextual"/>
            </w:rPr>
          </w:pPr>
          <w:r>
            <w:fldChar w:fldCharType="begin"/>
          </w:r>
          <w:r>
            <w:instrText xml:space="preserve"> TOC \t "RedTitre2,1,RedPara,2" \h</w:instrText>
          </w:r>
          <w:r>
            <w:fldChar w:fldCharType="separate"/>
          </w:r>
          <w:r>
            <w:t>Article  1 - Acheteur</w:t>
          </w:r>
          <w:r>
            <w:tab/>
            <w:t>3</w:t>
          </w:r>
        </w:p>
        <w:p w14:paraId="1BF20F30" w14:textId="77777777" w:rsidR="00CC4F02" w:rsidRDefault="00C84FBD">
          <w:pPr>
            <w:pStyle w:val="TM1"/>
            <w:tabs>
              <w:tab w:val="right" w:leader="dot" w:pos="9062"/>
            </w:tabs>
            <w:rPr>
              <w:rFonts w:asciiTheme="minorHAnsi" w:eastAsiaTheme="minorEastAsia" w:hAnsiTheme="minorHAnsi" w:cstheme="minorBidi"/>
              <w:kern w:val="2"/>
              <w:sz w:val="24"/>
              <w:szCs w:val="24"/>
              <w14:ligatures w14:val="standardContextual"/>
            </w:rPr>
          </w:pPr>
          <w:r>
            <w:t>Article  2 - Objet de la consultation</w:t>
          </w:r>
          <w:r>
            <w:tab/>
            <w:t>3</w:t>
          </w:r>
        </w:p>
        <w:p w14:paraId="303D7091"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2-1-Objet du marché</w:t>
          </w:r>
          <w:r>
            <w:tab/>
            <w:t>3</w:t>
          </w:r>
        </w:p>
        <w:p w14:paraId="40143322"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2-2-Missions du titulaire</w:t>
          </w:r>
          <w:r>
            <w:tab/>
            <w:t>3</w:t>
          </w:r>
        </w:p>
        <w:p w14:paraId="61FA6BA0"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2-3-Budget de l’opération</w:t>
          </w:r>
          <w:r>
            <w:tab/>
            <w:t>3</w:t>
          </w:r>
        </w:p>
        <w:p w14:paraId="5EFFD5E1"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2-4-Procédure de passation</w:t>
          </w:r>
          <w:r>
            <w:tab/>
            <w:t>3</w:t>
          </w:r>
        </w:p>
        <w:p w14:paraId="17BD0324"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2-5- Indemnisation des candidats</w:t>
          </w:r>
          <w:r>
            <w:tab/>
            <w:t>4</w:t>
          </w:r>
        </w:p>
        <w:p w14:paraId="492E2CDB"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2-6-Forme du marché</w:t>
          </w:r>
          <w:r>
            <w:tab/>
            <w:t>4</w:t>
          </w:r>
        </w:p>
        <w:p w14:paraId="0B7BB0EB" w14:textId="77777777" w:rsidR="00CC4F02" w:rsidRDefault="00C84FBD">
          <w:pPr>
            <w:pStyle w:val="TM1"/>
            <w:tabs>
              <w:tab w:val="right" w:leader="dot" w:pos="9062"/>
            </w:tabs>
            <w:rPr>
              <w:rFonts w:asciiTheme="minorHAnsi" w:eastAsiaTheme="minorEastAsia" w:hAnsiTheme="minorHAnsi" w:cstheme="minorBidi"/>
              <w:kern w:val="2"/>
              <w:sz w:val="24"/>
              <w:szCs w:val="24"/>
              <w14:ligatures w14:val="standardContextual"/>
            </w:rPr>
          </w:pPr>
          <w:r>
            <w:t>Article  3 - Dispositions générales</w:t>
          </w:r>
          <w:r>
            <w:tab/>
            <w:t>4</w:t>
          </w:r>
        </w:p>
        <w:p w14:paraId="233ED54E"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3-1-Décomposition du marché</w:t>
          </w:r>
          <w:r>
            <w:tab/>
            <w:t>4</w:t>
          </w:r>
        </w:p>
        <w:p w14:paraId="3C89D213"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3-2-Durée prévisionnelle du marché</w:t>
          </w:r>
          <w:r>
            <w:tab/>
            <w:t>5</w:t>
          </w:r>
        </w:p>
        <w:p w14:paraId="0E4CFA59"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3-3-Modalités de financement et de paiement</w:t>
          </w:r>
          <w:r>
            <w:tab/>
            <w:t>5</w:t>
          </w:r>
        </w:p>
        <w:p w14:paraId="3A2CDAD6"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3-4-Forme juridique de l’attributaire</w:t>
          </w:r>
          <w:r>
            <w:tab/>
            <w:t>5</w:t>
          </w:r>
        </w:p>
        <w:p w14:paraId="65D4078D"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3-5-Variantes et Prestations Supplémentaires Eventuelles</w:t>
          </w:r>
          <w:r>
            <w:tab/>
            <w:t>5</w:t>
          </w:r>
        </w:p>
        <w:p w14:paraId="123294D3" w14:textId="77777777" w:rsidR="00CC4F02" w:rsidRDefault="00C84FBD">
          <w:pPr>
            <w:pStyle w:val="TM1"/>
            <w:tabs>
              <w:tab w:val="right" w:leader="dot" w:pos="9062"/>
            </w:tabs>
            <w:rPr>
              <w:rFonts w:asciiTheme="minorHAnsi" w:eastAsiaTheme="minorEastAsia" w:hAnsiTheme="minorHAnsi" w:cstheme="minorBidi"/>
              <w:kern w:val="2"/>
              <w:sz w:val="24"/>
              <w:szCs w:val="24"/>
              <w14:ligatures w14:val="standardContextual"/>
            </w:rPr>
          </w:pPr>
          <w:r>
            <w:t>Article  4 - Dossier de consultation</w:t>
          </w:r>
          <w:r>
            <w:tab/>
            <w:t>6</w:t>
          </w:r>
        </w:p>
        <w:p w14:paraId="39842C02"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4-1-Contenu du dossier de consultation</w:t>
          </w:r>
          <w:r>
            <w:tab/>
            <w:t>6</w:t>
          </w:r>
        </w:p>
        <w:p w14:paraId="1E991BE6"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4-2-Mise à disposition du DCC par voie électronique</w:t>
          </w:r>
          <w:r>
            <w:tab/>
            <w:t>6</w:t>
          </w:r>
        </w:p>
        <w:p w14:paraId="72D011DB"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4-3-Modification de détail au dossier de consultation</w:t>
          </w:r>
          <w:r>
            <w:tab/>
            <w:t>6</w:t>
          </w:r>
        </w:p>
        <w:p w14:paraId="3349ED74"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4-4-Visite des lieux et consultation de document sur site</w:t>
          </w:r>
          <w:r>
            <w:tab/>
            <w:t>6</w:t>
          </w:r>
        </w:p>
        <w:p w14:paraId="36274E63"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4-5-Interruption de la procédure</w:t>
          </w:r>
          <w:r>
            <w:tab/>
            <w:t>6</w:t>
          </w:r>
        </w:p>
        <w:p w14:paraId="1CF6FE3D" w14:textId="77777777" w:rsidR="00CC4F02" w:rsidRDefault="00C84FBD">
          <w:pPr>
            <w:pStyle w:val="TM1"/>
            <w:tabs>
              <w:tab w:val="right" w:leader="dot" w:pos="9062"/>
            </w:tabs>
            <w:rPr>
              <w:rFonts w:asciiTheme="minorHAnsi" w:eastAsiaTheme="minorEastAsia" w:hAnsiTheme="minorHAnsi" w:cstheme="minorBidi"/>
              <w:kern w:val="2"/>
              <w:sz w:val="24"/>
              <w:szCs w:val="24"/>
              <w14:ligatures w14:val="standardContextual"/>
            </w:rPr>
          </w:pPr>
          <w:r>
            <w:t>Article  5 - Présentation des candidatures et des offres</w:t>
          </w:r>
          <w:r>
            <w:tab/>
            <w:t>7</w:t>
          </w:r>
        </w:p>
        <w:p w14:paraId="4A842E92"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5-1-Composition des groupements</w:t>
          </w:r>
          <w:r>
            <w:tab/>
            <w:t>7</w:t>
          </w:r>
        </w:p>
        <w:p w14:paraId="4BFB6AA9"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5-2-Documents à produire</w:t>
          </w:r>
          <w:r>
            <w:tab/>
            <w:t>7</w:t>
          </w:r>
        </w:p>
        <w:p w14:paraId="0737A426"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5-3- Complément à apporter au programme</w:t>
          </w:r>
          <w:r>
            <w:tab/>
            <w:t>10</w:t>
          </w:r>
        </w:p>
        <w:p w14:paraId="7CA0F59B"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5-4- Langue de rédaction des propositions</w:t>
          </w:r>
          <w:r>
            <w:tab/>
            <w:t>10</w:t>
          </w:r>
        </w:p>
        <w:p w14:paraId="45FB372A"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5-5- Unité monétaire</w:t>
          </w:r>
          <w:r>
            <w:tab/>
            <w:t>10</w:t>
          </w:r>
        </w:p>
        <w:p w14:paraId="518029D6"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5-6- Délai de validité des propositions</w:t>
          </w:r>
          <w:r>
            <w:tab/>
            <w:t>10</w:t>
          </w:r>
        </w:p>
        <w:p w14:paraId="3CD1DFF1" w14:textId="77777777" w:rsidR="00CC4F02" w:rsidRDefault="00C84FBD">
          <w:pPr>
            <w:pStyle w:val="TM2"/>
            <w:tabs>
              <w:tab w:val="right" w:leader="dot" w:pos="9062"/>
            </w:tabs>
            <w:rPr>
              <w:rFonts w:asciiTheme="minorHAnsi" w:eastAsiaTheme="minorEastAsia" w:hAnsiTheme="minorHAnsi" w:cstheme="minorBidi"/>
              <w:kern w:val="2"/>
              <w:sz w:val="24"/>
              <w:szCs w:val="24"/>
              <w14:ligatures w14:val="standardContextual"/>
            </w:rPr>
          </w:pPr>
          <w:r>
            <w:t>5-7- Modalités de remise des plis</w:t>
          </w:r>
          <w:r>
            <w:tab/>
            <w:t>10</w:t>
          </w:r>
        </w:p>
        <w:p w14:paraId="5A88FB4A" w14:textId="77777777" w:rsidR="00CC4F02" w:rsidRDefault="00C84FBD">
          <w:pPr>
            <w:pStyle w:val="TM1"/>
            <w:tabs>
              <w:tab w:val="right" w:leader="dot" w:pos="9062"/>
            </w:tabs>
            <w:rPr>
              <w:rFonts w:asciiTheme="minorHAnsi" w:eastAsiaTheme="minorEastAsia" w:hAnsiTheme="minorHAnsi" w:cstheme="minorBidi"/>
              <w:kern w:val="2"/>
              <w:sz w:val="24"/>
              <w:szCs w:val="24"/>
              <w14:ligatures w14:val="standardContextual"/>
            </w:rPr>
          </w:pPr>
          <w:r>
            <w:t>Article  6 - Jugement des propositions</w:t>
          </w:r>
          <w:r>
            <w:tab/>
            <w:t>11</w:t>
          </w:r>
        </w:p>
        <w:p w14:paraId="541D1E72" w14:textId="77777777" w:rsidR="00CC4F02" w:rsidRDefault="00C84FBD">
          <w:pPr>
            <w:pStyle w:val="TM1"/>
            <w:tabs>
              <w:tab w:val="right" w:leader="dot" w:pos="9062"/>
            </w:tabs>
            <w:rPr>
              <w:rFonts w:asciiTheme="minorHAnsi" w:eastAsiaTheme="minorEastAsia" w:hAnsiTheme="minorHAnsi" w:cstheme="minorBidi"/>
              <w:kern w:val="2"/>
              <w:sz w:val="24"/>
              <w:szCs w:val="24"/>
              <w14:ligatures w14:val="standardContextual"/>
            </w:rPr>
          </w:pPr>
          <w:r>
            <w:t>Article  7 – Renseignements complémentaires</w:t>
          </w:r>
          <w:r>
            <w:tab/>
            <w:t>12</w:t>
          </w:r>
          <w:r>
            <w:fldChar w:fldCharType="end"/>
          </w:r>
        </w:p>
      </w:sdtContent>
    </w:sdt>
    <w:p w14:paraId="7C25F013" w14:textId="77777777" w:rsidR="00CC4F02" w:rsidRDefault="00CC4F02">
      <w:pPr>
        <w:keepNext/>
        <w:widowControl w:val="0"/>
        <w:spacing w:after="120"/>
        <w:jc w:val="both"/>
        <w:rPr>
          <w:rFonts w:ascii="Arial" w:hAnsi="Arial" w:cs="Arial"/>
          <w:b/>
        </w:rPr>
      </w:pPr>
    </w:p>
    <w:p w14:paraId="567801FC" w14:textId="77777777" w:rsidR="00CC4F02" w:rsidRDefault="00C84FBD">
      <w:pPr>
        <w:keepNext/>
        <w:widowControl w:val="0"/>
        <w:spacing w:after="120"/>
        <w:jc w:val="both"/>
        <w:rPr>
          <w:rFonts w:ascii="Arial" w:hAnsi="Arial" w:cs="Arial"/>
          <w:b/>
          <w:color w:val="00B050"/>
        </w:rPr>
      </w:pPr>
      <w:r>
        <w:rPr>
          <w:rFonts w:ascii="Arial" w:hAnsi="Arial" w:cs="Arial"/>
          <w:b/>
          <w:color w:val="00B050"/>
          <w:highlight w:val="cyan"/>
        </w:rPr>
        <w:t xml:space="preserve"> </w:t>
      </w:r>
    </w:p>
    <w:p w14:paraId="54F10EC4" w14:textId="77777777" w:rsidR="00CC4F02" w:rsidRDefault="00CC4F02">
      <w:pPr>
        <w:keepNext/>
        <w:widowControl w:val="0"/>
        <w:spacing w:after="120"/>
        <w:jc w:val="both"/>
        <w:rPr>
          <w:rFonts w:ascii="Arial" w:hAnsi="Arial" w:cs="Arial"/>
          <w:b/>
          <w:bCs/>
          <w:sz w:val="20"/>
          <w:szCs w:val="20"/>
        </w:rPr>
      </w:pPr>
    </w:p>
    <w:p w14:paraId="3ED05676" w14:textId="77777777" w:rsidR="00CC4F02" w:rsidRDefault="00CC4F02">
      <w:pPr>
        <w:keepNext/>
        <w:widowControl w:val="0"/>
        <w:spacing w:after="120"/>
        <w:rPr>
          <w:rFonts w:ascii="Arial" w:hAnsi="Arial" w:cs="Arial"/>
          <w:b/>
          <w:bCs/>
          <w:sz w:val="20"/>
          <w:szCs w:val="20"/>
        </w:rPr>
      </w:pPr>
    </w:p>
    <w:p w14:paraId="5991BDDD" w14:textId="77777777" w:rsidR="00CC4F02" w:rsidRDefault="00CC4F02">
      <w:pPr>
        <w:keepNext/>
        <w:widowControl w:val="0"/>
        <w:spacing w:after="120"/>
        <w:rPr>
          <w:rFonts w:ascii="Arial" w:hAnsi="Arial" w:cs="Arial"/>
          <w:b/>
          <w:bCs/>
          <w:sz w:val="20"/>
          <w:szCs w:val="20"/>
        </w:rPr>
      </w:pPr>
    </w:p>
    <w:p w14:paraId="472DAEB0" w14:textId="77777777" w:rsidR="00CC4F02" w:rsidRDefault="00CC4F02">
      <w:pPr>
        <w:keepNext/>
        <w:widowControl w:val="0"/>
        <w:spacing w:after="120"/>
        <w:rPr>
          <w:rFonts w:ascii="Arial" w:hAnsi="Arial" w:cs="Arial"/>
          <w:b/>
          <w:bCs/>
          <w:sz w:val="20"/>
          <w:szCs w:val="20"/>
        </w:rPr>
      </w:pPr>
    </w:p>
    <w:p w14:paraId="3E9362E4" w14:textId="77777777" w:rsidR="00CC4F02" w:rsidRDefault="00CC4F02">
      <w:pPr>
        <w:keepNext/>
        <w:widowControl w:val="0"/>
        <w:spacing w:after="120"/>
        <w:rPr>
          <w:rFonts w:ascii="Arial" w:hAnsi="Arial" w:cs="Arial"/>
          <w:b/>
          <w:bCs/>
          <w:sz w:val="20"/>
          <w:szCs w:val="20"/>
        </w:rPr>
      </w:pPr>
    </w:p>
    <w:p w14:paraId="37458D36" w14:textId="77777777" w:rsidR="00CC4F02" w:rsidRDefault="00CC4F02">
      <w:pPr>
        <w:keepNext/>
        <w:widowControl w:val="0"/>
        <w:spacing w:after="120"/>
        <w:rPr>
          <w:rFonts w:ascii="Arial" w:hAnsi="Arial" w:cs="Arial"/>
          <w:b/>
          <w:bCs/>
          <w:sz w:val="20"/>
          <w:szCs w:val="20"/>
        </w:rPr>
      </w:pPr>
    </w:p>
    <w:p w14:paraId="024715EE" w14:textId="77777777" w:rsidR="00CC4F02" w:rsidRDefault="00CC4F02">
      <w:pPr>
        <w:keepNext/>
        <w:widowControl w:val="0"/>
        <w:spacing w:after="120"/>
        <w:rPr>
          <w:rFonts w:ascii="Arial" w:hAnsi="Arial" w:cs="Arial"/>
          <w:b/>
          <w:bCs/>
          <w:sz w:val="20"/>
          <w:szCs w:val="20"/>
        </w:rPr>
      </w:pPr>
    </w:p>
    <w:p w14:paraId="7C20FF9C" w14:textId="77777777" w:rsidR="00CC4F02" w:rsidRDefault="00CC4F02">
      <w:pPr>
        <w:keepNext/>
        <w:widowControl w:val="0"/>
        <w:spacing w:after="120"/>
        <w:rPr>
          <w:rFonts w:ascii="Arial" w:hAnsi="Arial" w:cs="Arial"/>
          <w:b/>
          <w:bCs/>
          <w:sz w:val="20"/>
          <w:szCs w:val="20"/>
        </w:rPr>
      </w:pPr>
    </w:p>
    <w:p w14:paraId="18FAEDB3" w14:textId="77777777" w:rsidR="00CC4F02" w:rsidRDefault="00CC4F02">
      <w:pPr>
        <w:keepNext/>
        <w:widowControl w:val="0"/>
        <w:spacing w:after="120"/>
        <w:rPr>
          <w:rFonts w:ascii="Arial" w:hAnsi="Arial" w:cs="Arial"/>
          <w:b/>
          <w:bCs/>
          <w:sz w:val="20"/>
          <w:szCs w:val="20"/>
        </w:rPr>
      </w:pPr>
    </w:p>
    <w:p w14:paraId="6D7DB754" w14:textId="77777777" w:rsidR="00CC4F02" w:rsidRDefault="00CC4F02">
      <w:pPr>
        <w:keepNext/>
        <w:widowControl w:val="0"/>
        <w:spacing w:after="120"/>
        <w:rPr>
          <w:rFonts w:ascii="Arial" w:hAnsi="Arial" w:cs="Arial"/>
          <w:b/>
          <w:bCs/>
          <w:sz w:val="20"/>
          <w:szCs w:val="20"/>
        </w:rPr>
      </w:pPr>
    </w:p>
    <w:p w14:paraId="0AEF006A" w14:textId="77777777" w:rsidR="00CC4F02" w:rsidRDefault="00CC4F02">
      <w:pPr>
        <w:keepNext/>
        <w:widowControl w:val="0"/>
        <w:spacing w:after="120"/>
        <w:rPr>
          <w:rFonts w:ascii="Arial" w:hAnsi="Arial" w:cs="Arial"/>
          <w:b/>
          <w:bCs/>
          <w:sz w:val="20"/>
          <w:szCs w:val="20"/>
        </w:rPr>
      </w:pPr>
    </w:p>
    <w:p w14:paraId="0DEF8F65" w14:textId="77777777" w:rsidR="00CC4F02" w:rsidRDefault="00C84FBD">
      <w:pPr>
        <w:rPr>
          <w:rFonts w:ascii="Arial" w:hAnsi="Arial" w:cs="Arial"/>
          <w:b/>
          <w:szCs w:val="28"/>
          <w:u w:val="single"/>
        </w:rPr>
      </w:pPr>
      <w:r>
        <w:br w:type="page"/>
      </w:r>
    </w:p>
    <w:p w14:paraId="3A5CC19A" w14:textId="77777777" w:rsidR="00CC4F02" w:rsidRDefault="00C84FBD">
      <w:pPr>
        <w:pStyle w:val="RedTitre2"/>
        <w:pBdr>
          <w:left w:val="single" w:sz="6" w:space="0" w:color="000000"/>
        </w:pBdr>
        <w:shd w:val="clear" w:color="auto" w:fill="D9D9D9"/>
        <w:jc w:val="both"/>
      </w:pPr>
      <w:bookmarkStart w:id="1" w:name="_Toc171945444"/>
      <w:r>
        <w:rPr>
          <w:b w:val="0"/>
        </w:rPr>
        <w:lastRenderedPageBreak/>
        <w:t>Article</w:t>
      </w:r>
      <w:r>
        <w:t xml:space="preserve"> 1 - Acheteur</w:t>
      </w:r>
      <w:bookmarkEnd w:id="1"/>
    </w:p>
    <w:p w14:paraId="137BF55C" w14:textId="77777777" w:rsidR="00CC4F02" w:rsidRDefault="00CC4F02">
      <w:pPr>
        <w:jc w:val="both"/>
        <w:rPr>
          <w:rFonts w:ascii="Arial" w:hAnsi="Arial" w:cs="Arial"/>
          <w:b/>
          <w:szCs w:val="28"/>
          <w:u w:val="single"/>
        </w:rPr>
      </w:pPr>
    </w:p>
    <w:p w14:paraId="158077AE" w14:textId="77777777" w:rsidR="00CC4F02" w:rsidRDefault="00C84FBD">
      <w:pPr>
        <w:pStyle w:val="RedTxt"/>
        <w:jc w:val="both"/>
      </w:pPr>
      <w:r>
        <w:rPr>
          <w:b/>
          <w:bCs/>
          <w:u w:val="single"/>
        </w:rPr>
        <w:t>Le Maître d’ouvrage :</w:t>
      </w:r>
      <w:r>
        <w:t xml:space="preserve"> </w:t>
      </w:r>
    </w:p>
    <w:p w14:paraId="7C7C1CF5" w14:textId="77777777" w:rsidR="00CC4F02" w:rsidRDefault="00CC4F02">
      <w:pPr>
        <w:pStyle w:val="RedTxt"/>
        <w:jc w:val="both"/>
      </w:pPr>
    </w:p>
    <w:p w14:paraId="406FDF89" w14:textId="77777777" w:rsidR="00CC4F02" w:rsidRDefault="00C84FBD">
      <w:pPr>
        <w:pStyle w:val="RedTxt"/>
      </w:pPr>
      <w:r>
        <w:rPr>
          <w:b/>
          <w:color w:val="0070C0"/>
          <w:sz w:val="20"/>
          <w:szCs w:val="36"/>
        </w:rPr>
        <w:t>Préfecture du Haut-Rhin</w:t>
      </w:r>
    </w:p>
    <w:p w14:paraId="1EDF606A" w14:textId="77777777" w:rsidR="00CC4F02" w:rsidRDefault="00C84FBD">
      <w:pPr>
        <w:pStyle w:val="RedTxt"/>
      </w:pPr>
      <w:r>
        <w:rPr>
          <w:b/>
          <w:color w:val="0070C0"/>
          <w:sz w:val="20"/>
          <w:szCs w:val="36"/>
        </w:rPr>
        <w:t>Représentée par le Secrétariat Général Commun Départemental</w:t>
      </w:r>
    </w:p>
    <w:p w14:paraId="7A828D95" w14:textId="77777777" w:rsidR="00CC4F02" w:rsidRDefault="00C84FBD">
      <w:pPr>
        <w:pStyle w:val="RedTxt"/>
      </w:pPr>
      <w:r>
        <w:rPr>
          <w:b/>
          <w:color w:val="0070C0"/>
          <w:sz w:val="20"/>
          <w:szCs w:val="36"/>
        </w:rPr>
        <w:t>Cité administrative</w:t>
      </w:r>
      <w:r>
        <w:rPr>
          <w:b/>
          <w:color w:val="0070C0"/>
          <w:sz w:val="20"/>
          <w:szCs w:val="36"/>
        </w:rPr>
        <w:br/>
        <w:t xml:space="preserve">3 Rue </w:t>
      </w:r>
      <w:proofErr w:type="spellStart"/>
      <w:r>
        <w:rPr>
          <w:b/>
          <w:color w:val="0070C0"/>
          <w:sz w:val="20"/>
          <w:szCs w:val="36"/>
        </w:rPr>
        <w:t>Fleischhauer</w:t>
      </w:r>
      <w:proofErr w:type="spellEnd"/>
    </w:p>
    <w:p w14:paraId="7D7E8D7A" w14:textId="77777777" w:rsidR="00CC4F02" w:rsidRDefault="00C84FBD">
      <w:pPr>
        <w:pStyle w:val="RedTxt"/>
      </w:pPr>
      <w:r>
        <w:rPr>
          <w:b/>
          <w:color w:val="0070C0"/>
          <w:sz w:val="20"/>
          <w:szCs w:val="36"/>
        </w:rPr>
        <w:t>68 000 COLMAR</w:t>
      </w:r>
    </w:p>
    <w:p w14:paraId="7B06875D" w14:textId="77777777" w:rsidR="00CC4F02" w:rsidRDefault="00CC4F02">
      <w:pPr>
        <w:pStyle w:val="RedTxt"/>
        <w:rPr>
          <w:sz w:val="20"/>
          <w:szCs w:val="20"/>
        </w:rPr>
      </w:pPr>
    </w:p>
    <w:p w14:paraId="4483F957" w14:textId="77777777" w:rsidR="00CC4F02" w:rsidRDefault="00C84FBD">
      <w:pPr>
        <w:pStyle w:val="RedTitre2"/>
        <w:shd w:val="clear" w:color="auto" w:fill="D9D9D9"/>
        <w:jc w:val="both"/>
      </w:pPr>
      <w:bookmarkStart w:id="2" w:name="_Toc171945445"/>
      <w:r>
        <w:rPr>
          <w:b w:val="0"/>
        </w:rPr>
        <w:t>Article</w:t>
      </w:r>
      <w:r>
        <w:t xml:space="preserve"> 2 - Objet de la consultation</w:t>
      </w:r>
      <w:bookmarkEnd w:id="2"/>
    </w:p>
    <w:p w14:paraId="16015081" w14:textId="77777777" w:rsidR="00CC4F02" w:rsidRDefault="00CC4F02">
      <w:pPr>
        <w:jc w:val="both"/>
        <w:rPr>
          <w:rFonts w:ascii="Arial" w:hAnsi="Arial" w:cs="Arial"/>
          <w:b/>
          <w:szCs w:val="28"/>
          <w:u w:val="single"/>
        </w:rPr>
      </w:pPr>
    </w:p>
    <w:p w14:paraId="4B7A2CCB" w14:textId="77777777" w:rsidR="00CC4F02" w:rsidRDefault="00C84FBD">
      <w:pPr>
        <w:pStyle w:val="RedPara"/>
        <w:spacing w:after="120"/>
        <w:ind w:firstLine="709"/>
        <w:jc w:val="both"/>
      </w:pPr>
      <w:bookmarkStart w:id="3" w:name="_Toc171945446"/>
      <w:r>
        <w:t>2-1-Objet du marché</w:t>
      </w:r>
      <w:bookmarkEnd w:id="3"/>
    </w:p>
    <w:p w14:paraId="29154FF9" w14:textId="77777777" w:rsidR="00CC4F02" w:rsidRDefault="00C84FBD">
      <w:pPr>
        <w:keepLines/>
        <w:widowControl w:val="0"/>
        <w:jc w:val="both"/>
        <w:rPr>
          <w:rFonts w:ascii="Arial" w:hAnsi="Arial" w:cs="Arial"/>
          <w:sz w:val="18"/>
          <w:szCs w:val="18"/>
        </w:rPr>
      </w:pPr>
      <w:r>
        <w:rPr>
          <w:rFonts w:ascii="Arial" w:hAnsi="Arial" w:cs="Arial"/>
          <w:sz w:val="18"/>
          <w:szCs w:val="18"/>
        </w:rPr>
        <w:t xml:space="preserve">La présente consultation concerne la prestation suivante : </w:t>
      </w:r>
    </w:p>
    <w:p w14:paraId="31A9D056" w14:textId="77777777" w:rsidR="00CC4F02" w:rsidRDefault="00CC4F02">
      <w:pPr>
        <w:keepLines/>
        <w:widowControl w:val="0"/>
        <w:jc w:val="both"/>
        <w:rPr>
          <w:rFonts w:ascii="Arial" w:hAnsi="Arial" w:cs="Arial"/>
          <w:sz w:val="18"/>
          <w:szCs w:val="18"/>
        </w:rPr>
      </w:pPr>
    </w:p>
    <w:p w14:paraId="5AAA34A7" w14:textId="77777777" w:rsidR="00CC4F02" w:rsidRDefault="00C84FBD">
      <w:pPr>
        <w:tabs>
          <w:tab w:val="right" w:leader="dot" w:pos="8364"/>
        </w:tabs>
        <w:jc w:val="both"/>
        <w:rPr>
          <w:rFonts w:ascii="Arial" w:hAnsi="Arial" w:cs="Arial"/>
          <w:b/>
          <w:color w:val="FF0000"/>
          <w:sz w:val="22"/>
          <w:szCs w:val="22"/>
        </w:rPr>
      </w:pPr>
      <w:r>
        <w:rPr>
          <w:rFonts w:ascii="Arial" w:hAnsi="Arial" w:cs="Arial"/>
          <w:b/>
          <w:sz w:val="22"/>
          <w:szCs w:val="22"/>
        </w:rPr>
        <w:t>Rénovation énergétique des chaufferies de la Sous-Préfecture de Thann</w:t>
      </w:r>
    </w:p>
    <w:p w14:paraId="4EB2DA76" w14:textId="77777777" w:rsidR="00CC4F02" w:rsidRDefault="00CC4F02">
      <w:pPr>
        <w:tabs>
          <w:tab w:val="right" w:leader="dot" w:pos="8364"/>
        </w:tabs>
        <w:jc w:val="both"/>
        <w:rPr>
          <w:rFonts w:ascii="Arial" w:hAnsi="Arial" w:cs="Arial"/>
          <w:b/>
          <w:color w:val="FF0000"/>
          <w:sz w:val="22"/>
          <w:szCs w:val="22"/>
        </w:rPr>
      </w:pPr>
    </w:p>
    <w:p w14:paraId="3E73BB02" w14:textId="77777777" w:rsidR="00CC4F02" w:rsidRDefault="00C84FBD">
      <w:pPr>
        <w:jc w:val="both"/>
        <w:rPr>
          <w:rFonts w:ascii="Arial" w:hAnsi="Arial" w:cs="Arial"/>
          <w:sz w:val="18"/>
          <w:szCs w:val="20"/>
        </w:rPr>
      </w:pPr>
      <w:r>
        <w:rPr>
          <w:rFonts w:ascii="Arial" w:hAnsi="Arial" w:cs="Arial"/>
          <w:sz w:val="18"/>
          <w:szCs w:val="20"/>
        </w:rPr>
        <w:t xml:space="preserve">L’opération consiste en la conception et la réalisation de la réhabilitation des systèmes de production et de distribution de chauffage de la Sous-Préfecture de Thann-Guebwiller située au </w:t>
      </w:r>
      <w:hyperlink r:id="rId9">
        <w:r>
          <w:rPr>
            <w:rFonts w:ascii="Arial" w:hAnsi="Arial" w:cs="Arial"/>
            <w:sz w:val="18"/>
            <w:szCs w:val="20"/>
          </w:rPr>
          <w:t>3 Av. Poincaré, 68800 Thann</w:t>
        </w:r>
      </w:hyperlink>
      <w:r>
        <w:rPr>
          <w:rFonts w:ascii="Arial" w:hAnsi="Arial" w:cs="Arial"/>
          <w:sz w:val="18"/>
          <w:szCs w:val="20"/>
        </w:rPr>
        <w:t>.</w:t>
      </w:r>
    </w:p>
    <w:p w14:paraId="78DA02E8" w14:textId="77777777" w:rsidR="00CC4F02" w:rsidRDefault="00CC4F02">
      <w:pPr>
        <w:tabs>
          <w:tab w:val="right" w:leader="dot" w:pos="8364"/>
        </w:tabs>
        <w:jc w:val="both"/>
        <w:rPr>
          <w:rFonts w:ascii="Arial" w:hAnsi="Arial" w:cs="Arial"/>
          <w:b/>
          <w:color w:val="FF0000"/>
          <w:sz w:val="22"/>
          <w:szCs w:val="22"/>
        </w:rPr>
      </w:pPr>
    </w:p>
    <w:p w14:paraId="5EAE6D8C" w14:textId="77777777" w:rsidR="00CC4F02" w:rsidRDefault="00C84FBD">
      <w:pPr>
        <w:jc w:val="both"/>
        <w:rPr>
          <w:rFonts w:ascii="Arial" w:hAnsi="Arial" w:cs="Arial"/>
          <w:sz w:val="18"/>
          <w:szCs w:val="20"/>
        </w:rPr>
      </w:pPr>
      <w:r>
        <w:rPr>
          <w:rFonts w:ascii="Arial" w:hAnsi="Arial" w:cs="Arial"/>
          <w:sz w:val="18"/>
          <w:szCs w:val="20"/>
        </w:rPr>
        <w:t>Le détail des caractéristiques du projet est communiqué dans le document joint « note de présentation programmatique ».</w:t>
      </w:r>
    </w:p>
    <w:p w14:paraId="64AD8A05" w14:textId="77777777" w:rsidR="00CC4F02" w:rsidRDefault="00CC4F02">
      <w:pPr>
        <w:tabs>
          <w:tab w:val="right" w:leader="dot" w:pos="8364"/>
        </w:tabs>
        <w:jc w:val="both"/>
        <w:rPr>
          <w:rFonts w:ascii="Arial" w:hAnsi="Arial" w:cs="Arial"/>
          <w:b/>
          <w:color w:val="FF0000"/>
          <w:sz w:val="22"/>
          <w:szCs w:val="22"/>
        </w:rPr>
      </w:pPr>
    </w:p>
    <w:p w14:paraId="7094CCD0" w14:textId="77777777" w:rsidR="00CC4F02" w:rsidRDefault="00CC4F02">
      <w:pPr>
        <w:tabs>
          <w:tab w:val="right" w:leader="dot" w:pos="8364"/>
        </w:tabs>
        <w:jc w:val="both"/>
        <w:rPr>
          <w:rFonts w:ascii="Arial" w:hAnsi="Arial" w:cs="Arial"/>
          <w:b/>
          <w:color w:val="FF0000"/>
          <w:sz w:val="22"/>
          <w:szCs w:val="22"/>
        </w:rPr>
      </w:pPr>
    </w:p>
    <w:p w14:paraId="17823017" w14:textId="77777777" w:rsidR="00CC4F02" w:rsidRDefault="00C84FBD">
      <w:pPr>
        <w:tabs>
          <w:tab w:val="right" w:leader="dot" w:pos="9072"/>
        </w:tabs>
        <w:jc w:val="both"/>
        <w:rPr>
          <w:rFonts w:ascii="Arial" w:hAnsi="Arial" w:cs="Arial"/>
          <w:b/>
          <w:color w:val="00B050"/>
          <w:sz w:val="18"/>
          <w:szCs w:val="18"/>
        </w:rPr>
      </w:pPr>
      <w:r>
        <w:rPr>
          <w:rFonts w:ascii="Arial" w:hAnsi="Arial" w:cs="Arial"/>
          <w:sz w:val="18"/>
          <w:szCs w:val="18"/>
        </w:rPr>
        <w:t>Références à la nomenclature européenne CPV :</w:t>
      </w:r>
      <w:r>
        <w:rPr>
          <w:rFonts w:ascii="Arial" w:hAnsi="Arial" w:cs="Arial"/>
          <w:b/>
          <w:color w:val="00B050"/>
          <w:sz w:val="18"/>
          <w:szCs w:val="18"/>
        </w:rPr>
        <w:t xml:space="preserve"> </w:t>
      </w:r>
    </w:p>
    <w:p w14:paraId="787BA4D0" w14:textId="77777777" w:rsidR="00CC4F02" w:rsidRDefault="00C84FBD">
      <w:pPr>
        <w:numPr>
          <w:ilvl w:val="0"/>
          <w:numId w:val="10"/>
        </w:numPr>
        <w:jc w:val="both"/>
        <w:rPr>
          <w:rFonts w:ascii="Arial" w:hAnsi="Arial" w:cs="Arial"/>
          <w:b/>
          <w:sz w:val="22"/>
          <w:szCs w:val="22"/>
        </w:rPr>
      </w:pPr>
      <w:r>
        <w:rPr>
          <w:rFonts w:ascii="Arial" w:hAnsi="Arial" w:cs="Arial"/>
          <w:sz w:val="18"/>
        </w:rPr>
        <w:t>71321200-6 Services de conception des systèmes de chauffage</w:t>
      </w:r>
    </w:p>
    <w:p w14:paraId="3A6EC430" w14:textId="77777777" w:rsidR="00CC4F02" w:rsidRDefault="00C84FBD">
      <w:pPr>
        <w:numPr>
          <w:ilvl w:val="0"/>
          <w:numId w:val="10"/>
        </w:numPr>
        <w:jc w:val="both"/>
        <w:rPr>
          <w:rFonts w:ascii="Arial" w:hAnsi="Arial" w:cs="Arial"/>
          <w:sz w:val="18"/>
        </w:rPr>
      </w:pPr>
      <w:r>
        <w:rPr>
          <w:rFonts w:ascii="Arial" w:hAnsi="Arial" w:cs="Arial"/>
          <w:sz w:val="18"/>
        </w:rPr>
        <w:t>45331100-7 Travaux d’installation de chauffage central</w:t>
      </w:r>
    </w:p>
    <w:p w14:paraId="46692C65" w14:textId="77777777" w:rsidR="00CC4F02" w:rsidRDefault="00C84FBD">
      <w:pPr>
        <w:numPr>
          <w:ilvl w:val="0"/>
          <w:numId w:val="10"/>
        </w:numPr>
        <w:jc w:val="both"/>
        <w:rPr>
          <w:rFonts w:ascii="Arial" w:hAnsi="Arial" w:cs="Arial"/>
          <w:sz w:val="18"/>
        </w:rPr>
      </w:pPr>
      <w:r>
        <w:rPr>
          <w:rFonts w:ascii="Arial" w:hAnsi="Arial" w:cs="Arial"/>
          <w:sz w:val="18"/>
        </w:rPr>
        <w:t>45231221-0 Travaux de construction de canalisations d'alimentation en gaz</w:t>
      </w:r>
    </w:p>
    <w:p w14:paraId="4BD8F90E" w14:textId="77777777" w:rsidR="00CC4F02" w:rsidRDefault="00CC4F02">
      <w:pPr>
        <w:pStyle w:val="RedPara"/>
        <w:spacing w:after="120"/>
        <w:ind w:firstLine="709"/>
        <w:jc w:val="both"/>
      </w:pPr>
    </w:p>
    <w:p w14:paraId="5DD76A2C" w14:textId="77777777" w:rsidR="00CC4F02" w:rsidRDefault="00C84FBD">
      <w:pPr>
        <w:pStyle w:val="RedPara"/>
        <w:spacing w:after="120"/>
        <w:ind w:firstLine="709"/>
        <w:jc w:val="both"/>
      </w:pPr>
      <w:bookmarkStart w:id="4" w:name="_Toc171945447"/>
      <w:r>
        <w:t>2-2-Missions du titulaire</w:t>
      </w:r>
      <w:bookmarkEnd w:id="4"/>
    </w:p>
    <w:p w14:paraId="2C10FCE4" w14:textId="77777777" w:rsidR="00CC4F02" w:rsidRDefault="00CC4F02">
      <w:pPr>
        <w:jc w:val="both"/>
        <w:rPr>
          <w:rFonts w:ascii="Arial" w:hAnsi="Arial" w:cs="Arial"/>
          <w:sz w:val="18"/>
          <w:szCs w:val="18"/>
        </w:rPr>
      </w:pPr>
    </w:p>
    <w:p w14:paraId="22C287AE" w14:textId="77777777" w:rsidR="00CC4F02" w:rsidRDefault="00C84FBD">
      <w:pPr>
        <w:jc w:val="both"/>
        <w:rPr>
          <w:rFonts w:ascii="Arial" w:hAnsi="Arial" w:cs="Arial"/>
          <w:sz w:val="18"/>
          <w:szCs w:val="20"/>
        </w:rPr>
      </w:pPr>
      <w:r>
        <w:rPr>
          <w:rFonts w:ascii="Arial" w:hAnsi="Arial" w:cs="Arial"/>
          <w:sz w:val="18"/>
          <w:szCs w:val="20"/>
        </w:rPr>
        <w:t>La prestation est scindée en plusieurs parties techniques à exécuter distinctement.</w:t>
      </w:r>
    </w:p>
    <w:p w14:paraId="1BDBD151" w14:textId="77777777" w:rsidR="00CC4F02" w:rsidRDefault="00CC4F02">
      <w:pPr>
        <w:jc w:val="both"/>
        <w:rPr>
          <w:rFonts w:ascii="Arial" w:hAnsi="Arial" w:cs="Arial"/>
          <w:sz w:val="18"/>
          <w:szCs w:val="20"/>
        </w:rPr>
      </w:pPr>
    </w:p>
    <w:p w14:paraId="5AF9BF41" w14:textId="5F43F603" w:rsidR="00CC4F02" w:rsidRDefault="00C84FBD">
      <w:pPr>
        <w:spacing w:after="120"/>
        <w:jc w:val="both"/>
        <w:rPr>
          <w:rFonts w:ascii="Arial" w:hAnsi="Arial" w:cs="Arial"/>
          <w:sz w:val="18"/>
          <w:szCs w:val="20"/>
        </w:rPr>
      </w:pPr>
      <w:r>
        <w:rPr>
          <w:rFonts w:ascii="Arial" w:hAnsi="Arial" w:cs="Arial"/>
          <w:sz w:val="18"/>
          <w:szCs w:val="20"/>
        </w:rPr>
        <w:t>Phase 1 : conception et dimensionnement des ouvrages.</w:t>
      </w:r>
    </w:p>
    <w:p w14:paraId="260F9401" w14:textId="0B9ADBC0" w:rsidR="00E2490D" w:rsidRDefault="00E2490D">
      <w:pPr>
        <w:spacing w:after="120"/>
        <w:jc w:val="both"/>
        <w:rPr>
          <w:rFonts w:ascii="Arial" w:hAnsi="Arial" w:cs="Arial"/>
          <w:sz w:val="18"/>
          <w:szCs w:val="20"/>
        </w:rPr>
      </w:pPr>
      <w:r>
        <w:rPr>
          <w:rFonts w:ascii="Arial" w:hAnsi="Arial" w:cs="Arial"/>
          <w:sz w:val="18"/>
          <w:szCs w:val="20"/>
        </w:rPr>
        <w:t>La Phase 1 comprend notamment les prestations suivantes</w:t>
      </w:r>
      <w:r w:rsidR="00761227">
        <w:rPr>
          <w:rFonts w:ascii="Arial" w:hAnsi="Arial" w:cs="Arial"/>
          <w:sz w:val="18"/>
          <w:szCs w:val="20"/>
        </w:rPr>
        <w:t> :</w:t>
      </w:r>
    </w:p>
    <w:p w14:paraId="59182237" w14:textId="00E60E25" w:rsidR="0040484C" w:rsidRDefault="0040484C" w:rsidP="00E2490D">
      <w:pPr>
        <w:pStyle w:val="Paragraphedeliste"/>
        <w:numPr>
          <w:ilvl w:val="0"/>
          <w:numId w:val="16"/>
        </w:numPr>
        <w:spacing w:after="120"/>
        <w:jc w:val="both"/>
        <w:rPr>
          <w:rFonts w:ascii="Arial" w:hAnsi="Arial" w:cs="Arial"/>
          <w:sz w:val="18"/>
          <w:szCs w:val="20"/>
        </w:rPr>
      </w:pPr>
      <w:r>
        <w:rPr>
          <w:rFonts w:ascii="Arial" w:hAnsi="Arial" w:cs="Arial"/>
          <w:sz w:val="18"/>
          <w:szCs w:val="20"/>
        </w:rPr>
        <w:t>Etudes d’Avant-Projet</w:t>
      </w:r>
    </w:p>
    <w:p w14:paraId="595672B4" w14:textId="38D8328D" w:rsidR="0040484C" w:rsidRDefault="0040484C" w:rsidP="00E2490D">
      <w:pPr>
        <w:pStyle w:val="Paragraphedeliste"/>
        <w:numPr>
          <w:ilvl w:val="0"/>
          <w:numId w:val="16"/>
        </w:numPr>
        <w:spacing w:after="120"/>
        <w:jc w:val="both"/>
        <w:rPr>
          <w:rFonts w:ascii="Arial" w:hAnsi="Arial" w:cs="Arial"/>
          <w:sz w:val="18"/>
          <w:szCs w:val="20"/>
        </w:rPr>
      </w:pPr>
      <w:r>
        <w:rPr>
          <w:rFonts w:ascii="Arial" w:hAnsi="Arial" w:cs="Arial"/>
          <w:sz w:val="18"/>
          <w:szCs w:val="20"/>
        </w:rPr>
        <w:t>Etablissement des dossiers et consultations nécessaires à l’obtention des autorisations administratives</w:t>
      </w:r>
    </w:p>
    <w:p w14:paraId="2233CDB3" w14:textId="0206C8EA" w:rsidR="00E2490D" w:rsidRDefault="00E2490D" w:rsidP="00E2490D">
      <w:pPr>
        <w:pStyle w:val="Paragraphedeliste"/>
        <w:numPr>
          <w:ilvl w:val="0"/>
          <w:numId w:val="16"/>
        </w:numPr>
        <w:spacing w:after="120"/>
        <w:jc w:val="both"/>
        <w:rPr>
          <w:rFonts w:ascii="Arial" w:hAnsi="Arial" w:cs="Arial"/>
          <w:sz w:val="18"/>
          <w:szCs w:val="20"/>
        </w:rPr>
      </w:pPr>
      <w:r>
        <w:rPr>
          <w:rFonts w:ascii="Arial" w:hAnsi="Arial" w:cs="Arial"/>
          <w:sz w:val="18"/>
          <w:szCs w:val="20"/>
        </w:rPr>
        <w:t xml:space="preserve">Etudes de projet (PRO) </w:t>
      </w:r>
      <w:r w:rsidR="00761227">
        <w:rPr>
          <w:rFonts w:ascii="Arial" w:hAnsi="Arial" w:cs="Arial"/>
          <w:sz w:val="18"/>
          <w:szCs w:val="20"/>
        </w:rPr>
        <w:t>comprenant le</w:t>
      </w:r>
      <w:r>
        <w:rPr>
          <w:rFonts w:ascii="Arial" w:hAnsi="Arial" w:cs="Arial"/>
          <w:sz w:val="18"/>
          <w:szCs w:val="20"/>
        </w:rPr>
        <w:t xml:space="preserve"> cahier des clauses techniques particulières </w:t>
      </w:r>
      <w:r w:rsidR="00761227">
        <w:rPr>
          <w:rFonts w:ascii="Arial" w:hAnsi="Arial" w:cs="Arial"/>
          <w:sz w:val="18"/>
          <w:szCs w:val="20"/>
        </w:rPr>
        <w:t>(</w:t>
      </w:r>
      <w:r>
        <w:rPr>
          <w:rFonts w:ascii="Arial" w:hAnsi="Arial" w:cs="Arial"/>
          <w:sz w:val="18"/>
          <w:szCs w:val="20"/>
        </w:rPr>
        <w:t>CCTP</w:t>
      </w:r>
      <w:r w:rsidR="00761227">
        <w:rPr>
          <w:rFonts w:ascii="Arial" w:hAnsi="Arial" w:cs="Arial"/>
          <w:sz w:val="18"/>
          <w:szCs w:val="20"/>
        </w:rPr>
        <w:t>) et le bordereau des prix unitaires (BPU)</w:t>
      </w:r>
    </w:p>
    <w:p w14:paraId="7B8D9107" w14:textId="13594C93" w:rsidR="00E2490D" w:rsidRPr="00E2490D" w:rsidRDefault="00E2490D" w:rsidP="00E2490D">
      <w:pPr>
        <w:pStyle w:val="Paragraphedeliste"/>
        <w:numPr>
          <w:ilvl w:val="0"/>
          <w:numId w:val="16"/>
        </w:numPr>
        <w:spacing w:after="120"/>
        <w:jc w:val="both"/>
        <w:rPr>
          <w:rFonts w:ascii="Arial" w:hAnsi="Arial" w:cs="Arial"/>
          <w:sz w:val="18"/>
          <w:szCs w:val="20"/>
        </w:rPr>
      </w:pPr>
      <w:r w:rsidRPr="00E2490D">
        <w:rPr>
          <w:rFonts w:ascii="Arial" w:hAnsi="Arial" w:cs="Arial"/>
          <w:sz w:val="18"/>
          <w:szCs w:val="20"/>
        </w:rPr>
        <w:t xml:space="preserve">Rédaction </w:t>
      </w:r>
      <w:r>
        <w:rPr>
          <w:rFonts w:ascii="Arial" w:hAnsi="Arial" w:cs="Arial"/>
          <w:sz w:val="18"/>
          <w:szCs w:val="20"/>
        </w:rPr>
        <w:t>du CCTP</w:t>
      </w:r>
      <w:r w:rsidRPr="00E2490D">
        <w:rPr>
          <w:rFonts w:ascii="Arial" w:hAnsi="Arial" w:cs="Arial"/>
          <w:sz w:val="18"/>
          <w:szCs w:val="20"/>
        </w:rPr>
        <w:t xml:space="preserve"> pour</w:t>
      </w:r>
      <w:r>
        <w:rPr>
          <w:rFonts w:ascii="Arial" w:hAnsi="Arial" w:cs="Arial"/>
          <w:sz w:val="18"/>
          <w:szCs w:val="20"/>
        </w:rPr>
        <w:t xml:space="preserve"> la mise en place d’</w:t>
      </w:r>
      <w:r w:rsidRPr="00E2490D">
        <w:rPr>
          <w:rFonts w:ascii="Arial" w:hAnsi="Arial" w:cs="Arial"/>
          <w:sz w:val="18"/>
          <w:szCs w:val="20"/>
        </w:rPr>
        <w:t>un contrat de maintenance et d’exploitation avec intéressement sur la performance énergétique</w:t>
      </w:r>
      <w:r>
        <w:rPr>
          <w:rFonts w:ascii="Arial" w:hAnsi="Arial" w:cs="Arial"/>
          <w:sz w:val="18"/>
          <w:szCs w:val="20"/>
        </w:rPr>
        <w:t xml:space="preserve"> </w:t>
      </w:r>
    </w:p>
    <w:p w14:paraId="383A3D6A" w14:textId="77777777" w:rsidR="00E2490D" w:rsidRDefault="00E2490D">
      <w:pPr>
        <w:spacing w:after="120"/>
        <w:jc w:val="both"/>
        <w:rPr>
          <w:rFonts w:ascii="Arial" w:hAnsi="Arial" w:cs="Arial"/>
          <w:sz w:val="18"/>
          <w:szCs w:val="20"/>
        </w:rPr>
      </w:pPr>
    </w:p>
    <w:p w14:paraId="3A2B0E9C" w14:textId="6D3C3243" w:rsidR="00CC4F02" w:rsidRDefault="00C84FBD">
      <w:pPr>
        <w:spacing w:after="120"/>
        <w:jc w:val="both"/>
        <w:rPr>
          <w:rFonts w:ascii="Arial" w:hAnsi="Arial" w:cs="Arial"/>
          <w:sz w:val="18"/>
          <w:szCs w:val="20"/>
        </w:rPr>
      </w:pPr>
      <w:r>
        <w:rPr>
          <w:rFonts w:ascii="Arial" w:hAnsi="Arial" w:cs="Arial"/>
          <w:sz w:val="18"/>
          <w:szCs w:val="20"/>
        </w:rPr>
        <w:t>Phase 2 : réalisation des ouvrages</w:t>
      </w:r>
    </w:p>
    <w:p w14:paraId="20DC4307" w14:textId="77777777" w:rsidR="00CC4F02" w:rsidRDefault="00C84FBD">
      <w:pPr>
        <w:spacing w:after="120"/>
        <w:jc w:val="both"/>
        <w:rPr>
          <w:rFonts w:ascii="Arial" w:hAnsi="Arial" w:cs="Arial"/>
          <w:sz w:val="18"/>
          <w:szCs w:val="20"/>
        </w:rPr>
      </w:pPr>
      <w:r>
        <w:rPr>
          <w:rFonts w:ascii="Arial" w:hAnsi="Arial" w:cs="Arial"/>
          <w:sz w:val="18"/>
          <w:szCs w:val="20"/>
        </w:rPr>
        <w:t>Le titulaire sera soumis à des objectifs chiffrés de performances dont l’atteinte dépend à la fois de la conception et de la réalisation des systèmes et des travaux.</w:t>
      </w:r>
    </w:p>
    <w:p w14:paraId="4B3A77A3" w14:textId="564DE5D5" w:rsidR="00761227" w:rsidRDefault="00761227">
      <w:pPr>
        <w:spacing w:after="120"/>
        <w:jc w:val="both"/>
        <w:rPr>
          <w:rFonts w:ascii="Arial" w:hAnsi="Arial" w:cs="Arial"/>
          <w:sz w:val="18"/>
          <w:szCs w:val="20"/>
        </w:rPr>
      </w:pPr>
      <w:r>
        <w:rPr>
          <w:rFonts w:ascii="Arial" w:hAnsi="Arial" w:cs="Arial"/>
          <w:sz w:val="18"/>
          <w:szCs w:val="20"/>
        </w:rPr>
        <w:t xml:space="preserve">La phase 2 comprend notamment les prestations suivantes : </w:t>
      </w:r>
    </w:p>
    <w:p w14:paraId="747E8077" w14:textId="58B9FB9C" w:rsidR="00761227" w:rsidRDefault="00761227" w:rsidP="00761227">
      <w:pPr>
        <w:pStyle w:val="Paragraphedeliste"/>
        <w:numPr>
          <w:ilvl w:val="0"/>
          <w:numId w:val="16"/>
        </w:numPr>
        <w:spacing w:after="120"/>
        <w:jc w:val="both"/>
        <w:rPr>
          <w:rFonts w:ascii="Arial" w:hAnsi="Arial" w:cs="Arial"/>
          <w:sz w:val="18"/>
          <w:szCs w:val="20"/>
        </w:rPr>
      </w:pPr>
      <w:r>
        <w:rPr>
          <w:rFonts w:ascii="Arial" w:hAnsi="Arial" w:cs="Arial"/>
          <w:sz w:val="18"/>
          <w:szCs w:val="20"/>
        </w:rPr>
        <w:t>Etudes d’exécution (EXE)</w:t>
      </w:r>
    </w:p>
    <w:p w14:paraId="148196EE" w14:textId="1F0E68F9" w:rsidR="00761227" w:rsidRDefault="00761227" w:rsidP="00761227">
      <w:pPr>
        <w:pStyle w:val="Paragraphedeliste"/>
        <w:numPr>
          <w:ilvl w:val="0"/>
          <w:numId w:val="16"/>
        </w:numPr>
        <w:spacing w:after="120"/>
        <w:jc w:val="both"/>
        <w:rPr>
          <w:rFonts w:ascii="Arial" w:hAnsi="Arial" w:cs="Arial"/>
          <w:sz w:val="18"/>
          <w:szCs w:val="20"/>
        </w:rPr>
      </w:pPr>
      <w:r>
        <w:rPr>
          <w:rFonts w:ascii="Arial" w:hAnsi="Arial" w:cs="Arial"/>
          <w:sz w:val="18"/>
          <w:szCs w:val="20"/>
        </w:rPr>
        <w:t>Exécution de l’ensemble des travaux</w:t>
      </w:r>
    </w:p>
    <w:p w14:paraId="0AC7C93E" w14:textId="2357DFEE" w:rsidR="00761227" w:rsidRDefault="00761227" w:rsidP="00761227">
      <w:pPr>
        <w:pStyle w:val="Paragraphedeliste"/>
        <w:numPr>
          <w:ilvl w:val="0"/>
          <w:numId w:val="16"/>
        </w:numPr>
        <w:spacing w:after="120"/>
        <w:jc w:val="both"/>
        <w:rPr>
          <w:rFonts w:ascii="Arial" w:hAnsi="Arial" w:cs="Arial"/>
          <w:sz w:val="18"/>
          <w:szCs w:val="20"/>
        </w:rPr>
      </w:pPr>
      <w:r>
        <w:rPr>
          <w:rFonts w:ascii="Arial" w:hAnsi="Arial" w:cs="Arial"/>
          <w:sz w:val="18"/>
          <w:szCs w:val="20"/>
        </w:rPr>
        <w:t>Suivi de l’</w:t>
      </w:r>
      <w:r w:rsidR="0040484C">
        <w:rPr>
          <w:rFonts w:ascii="Arial" w:hAnsi="Arial" w:cs="Arial"/>
          <w:sz w:val="18"/>
          <w:szCs w:val="20"/>
        </w:rPr>
        <w:t>exécution</w:t>
      </w:r>
      <w:r>
        <w:rPr>
          <w:rFonts w:ascii="Arial" w:hAnsi="Arial" w:cs="Arial"/>
          <w:sz w:val="18"/>
          <w:szCs w:val="20"/>
        </w:rPr>
        <w:t xml:space="preserve"> des travaux comprenant notamment l’établissement des états d’avancement des travaux</w:t>
      </w:r>
    </w:p>
    <w:p w14:paraId="41AD7DAB" w14:textId="6C684344" w:rsidR="00761227" w:rsidRDefault="00761227" w:rsidP="00761227">
      <w:pPr>
        <w:pStyle w:val="Paragraphedeliste"/>
        <w:numPr>
          <w:ilvl w:val="0"/>
          <w:numId w:val="16"/>
        </w:numPr>
        <w:spacing w:after="120"/>
        <w:jc w:val="both"/>
        <w:rPr>
          <w:rFonts w:ascii="Arial" w:hAnsi="Arial" w:cs="Arial"/>
          <w:sz w:val="18"/>
          <w:szCs w:val="20"/>
        </w:rPr>
      </w:pPr>
      <w:r>
        <w:rPr>
          <w:rFonts w:ascii="Arial" w:hAnsi="Arial" w:cs="Arial"/>
          <w:sz w:val="18"/>
          <w:szCs w:val="20"/>
        </w:rPr>
        <w:t>Assistance aux opérations de réception (AOR)</w:t>
      </w:r>
    </w:p>
    <w:p w14:paraId="760A384E" w14:textId="2A2D91F8" w:rsidR="00761227" w:rsidRDefault="00761227" w:rsidP="00761227">
      <w:pPr>
        <w:pStyle w:val="Paragraphedeliste"/>
        <w:numPr>
          <w:ilvl w:val="0"/>
          <w:numId w:val="16"/>
        </w:numPr>
        <w:spacing w:after="120"/>
        <w:jc w:val="both"/>
        <w:rPr>
          <w:rFonts w:ascii="Arial" w:hAnsi="Arial" w:cs="Arial"/>
          <w:sz w:val="18"/>
          <w:szCs w:val="20"/>
        </w:rPr>
      </w:pPr>
      <w:r>
        <w:rPr>
          <w:rFonts w:ascii="Arial" w:hAnsi="Arial" w:cs="Arial"/>
          <w:sz w:val="18"/>
          <w:szCs w:val="20"/>
        </w:rPr>
        <w:lastRenderedPageBreak/>
        <w:t>Etablissement Dossier des Ouvrages Exécutés (DOE) et Dossier des Interventions Ultérieures sur l’Ouvrage (DIUO)</w:t>
      </w:r>
    </w:p>
    <w:p w14:paraId="59D5502B" w14:textId="24DB0976" w:rsidR="00761227" w:rsidRDefault="00761227" w:rsidP="00761227">
      <w:pPr>
        <w:spacing w:after="120"/>
        <w:jc w:val="both"/>
        <w:rPr>
          <w:rFonts w:ascii="Arial" w:hAnsi="Arial" w:cs="Arial"/>
          <w:sz w:val="18"/>
          <w:szCs w:val="20"/>
        </w:rPr>
      </w:pPr>
      <w:r>
        <w:rPr>
          <w:rFonts w:ascii="Arial" w:hAnsi="Arial" w:cs="Arial"/>
          <w:sz w:val="18"/>
          <w:szCs w:val="20"/>
        </w:rPr>
        <w:t xml:space="preserve">Il est précisé que dès lors qu’elle est requise par les </w:t>
      </w:r>
      <w:r w:rsidR="0040484C">
        <w:rPr>
          <w:rFonts w:ascii="Arial" w:hAnsi="Arial" w:cs="Arial"/>
          <w:sz w:val="18"/>
          <w:szCs w:val="20"/>
        </w:rPr>
        <w:t>lois et règlements, la coordination en matière de sécurité incendie (SSI) sera réputée comprise dans les missions confiées au titulaire.</w:t>
      </w:r>
    </w:p>
    <w:p w14:paraId="7AEC2D30" w14:textId="77777777" w:rsidR="00BC5A82" w:rsidRPr="00761227" w:rsidRDefault="00BC5A82" w:rsidP="00761227">
      <w:pPr>
        <w:spacing w:after="120"/>
        <w:jc w:val="both"/>
        <w:rPr>
          <w:rFonts w:ascii="Arial" w:hAnsi="Arial" w:cs="Arial"/>
          <w:sz w:val="18"/>
          <w:szCs w:val="20"/>
        </w:rPr>
      </w:pPr>
    </w:p>
    <w:p w14:paraId="3F83F537" w14:textId="01A65103" w:rsidR="00A9269D" w:rsidRDefault="00A9269D" w:rsidP="00A9269D">
      <w:pPr>
        <w:pStyle w:val="RedPara"/>
        <w:spacing w:after="120"/>
        <w:ind w:firstLine="709"/>
        <w:jc w:val="both"/>
      </w:pPr>
      <w:r>
        <w:t>2-3-Objectifs de performance</w:t>
      </w:r>
    </w:p>
    <w:p w14:paraId="396C4784" w14:textId="77777777" w:rsidR="00A9269D" w:rsidRDefault="00A9269D">
      <w:pPr>
        <w:rPr>
          <w:rFonts w:ascii="Arial" w:hAnsi="Arial" w:cs="Arial"/>
          <w:sz w:val="18"/>
          <w:szCs w:val="20"/>
        </w:rPr>
      </w:pPr>
    </w:p>
    <w:p w14:paraId="798AC4A2" w14:textId="59985E16" w:rsidR="00A9269D" w:rsidRDefault="00A9269D" w:rsidP="00A9269D">
      <w:pPr>
        <w:jc w:val="both"/>
        <w:rPr>
          <w:rFonts w:ascii="Arial" w:hAnsi="Arial" w:cs="Arial"/>
          <w:sz w:val="18"/>
          <w:szCs w:val="18"/>
        </w:rPr>
      </w:pPr>
      <w:r>
        <w:rPr>
          <w:rFonts w:ascii="Arial" w:hAnsi="Arial" w:cs="Arial"/>
          <w:sz w:val="18"/>
          <w:szCs w:val="18"/>
        </w:rPr>
        <w:t xml:space="preserve">Le marché prévoit les objectifs de performance suivants : </w:t>
      </w:r>
    </w:p>
    <w:p w14:paraId="4E92B069" w14:textId="77777777" w:rsidR="00A9269D" w:rsidRDefault="00A9269D" w:rsidP="00A9269D">
      <w:pPr>
        <w:jc w:val="both"/>
        <w:rPr>
          <w:rFonts w:ascii="Arial" w:hAnsi="Arial" w:cs="Arial"/>
          <w:sz w:val="18"/>
          <w:szCs w:val="18"/>
        </w:rPr>
      </w:pPr>
    </w:p>
    <w:p w14:paraId="5BA6786E" w14:textId="4DBB76D0" w:rsidR="00A9269D" w:rsidRDefault="00A9269D" w:rsidP="00A9269D">
      <w:pPr>
        <w:jc w:val="both"/>
        <w:rPr>
          <w:rFonts w:ascii="Arial" w:hAnsi="Arial" w:cs="Arial"/>
          <w:sz w:val="18"/>
          <w:szCs w:val="18"/>
        </w:rPr>
      </w:pPr>
      <w:bookmarkStart w:id="5" w:name="_Hlk178578255"/>
      <w:r>
        <w:rPr>
          <w:rFonts w:ascii="Arial" w:hAnsi="Arial" w:cs="Arial"/>
          <w:sz w:val="18"/>
          <w:szCs w:val="18"/>
        </w:rPr>
        <w:t xml:space="preserve">- Coefficient de performance annuel (COP) de la pompe à chaleur selon </w:t>
      </w:r>
      <w:r w:rsidR="009701A4">
        <w:rPr>
          <w:rFonts w:ascii="Arial" w:hAnsi="Arial" w:cs="Arial"/>
          <w:sz w:val="18"/>
          <w:szCs w:val="18"/>
        </w:rPr>
        <w:t xml:space="preserve">les </w:t>
      </w:r>
      <w:r>
        <w:rPr>
          <w:rFonts w:ascii="Arial" w:hAnsi="Arial" w:cs="Arial"/>
          <w:sz w:val="18"/>
          <w:szCs w:val="18"/>
        </w:rPr>
        <w:t>conditions climatiques</w:t>
      </w:r>
      <w:r w:rsidR="009701A4">
        <w:rPr>
          <w:rFonts w:ascii="Arial" w:hAnsi="Arial" w:cs="Arial"/>
          <w:sz w:val="18"/>
          <w:szCs w:val="18"/>
        </w:rPr>
        <w:t xml:space="preserve"> du site</w:t>
      </w:r>
      <w:r w:rsidR="00C95541">
        <w:rPr>
          <w:rFonts w:ascii="Arial" w:hAnsi="Arial" w:cs="Arial"/>
          <w:sz w:val="18"/>
          <w:szCs w:val="18"/>
        </w:rPr>
        <w:t xml:space="preserve"> </w:t>
      </w:r>
      <m:oMath>
        <m:r>
          <w:rPr>
            <w:rFonts w:ascii="Cambria Math" w:hAnsi="Cambria Math" w:cs="Arial"/>
            <w:sz w:val="18"/>
            <w:szCs w:val="18"/>
          </w:rPr>
          <m:t>≥</m:t>
        </m:r>
      </m:oMath>
      <w:r>
        <w:rPr>
          <w:rFonts w:ascii="Arial" w:hAnsi="Arial" w:cs="Arial"/>
          <w:sz w:val="18"/>
          <w:szCs w:val="18"/>
        </w:rPr>
        <w:t xml:space="preserve"> </w:t>
      </w:r>
      <w:r w:rsidR="00C95541">
        <w:rPr>
          <w:rFonts w:ascii="Arial" w:hAnsi="Arial" w:cs="Arial"/>
          <w:sz w:val="18"/>
          <w:szCs w:val="18"/>
        </w:rPr>
        <w:t xml:space="preserve">2,8 </w:t>
      </w:r>
      <w:bookmarkEnd w:id="5"/>
      <w:r>
        <w:rPr>
          <w:rFonts w:ascii="Arial" w:hAnsi="Arial" w:cs="Arial"/>
          <w:sz w:val="18"/>
          <w:szCs w:val="18"/>
        </w:rPr>
        <w:t>;</w:t>
      </w:r>
    </w:p>
    <w:p w14:paraId="6917DA84" w14:textId="77777777" w:rsidR="00A9269D" w:rsidRDefault="00A9269D" w:rsidP="00A9269D">
      <w:pPr>
        <w:jc w:val="both"/>
        <w:rPr>
          <w:rFonts w:ascii="Arial" w:hAnsi="Arial" w:cs="Arial"/>
          <w:sz w:val="18"/>
          <w:szCs w:val="18"/>
        </w:rPr>
      </w:pPr>
    </w:p>
    <w:p w14:paraId="17665894" w14:textId="77777777" w:rsidR="00A9269D" w:rsidRDefault="00A9269D" w:rsidP="00A9269D">
      <w:pPr>
        <w:jc w:val="both"/>
        <w:rPr>
          <w:rFonts w:ascii="Arial" w:hAnsi="Arial" w:cs="Arial"/>
          <w:sz w:val="18"/>
          <w:szCs w:val="18"/>
        </w:rPr>
      </w:pPr>
    </w:p>
    <w:p w14:paraId="1C66FE49" w14:textId="19AA6E36" w:rsidR="00A9269D" w:rsidRDefault="00A9269D" w:rsidP="00A9269D">
      <w:pPr>
        <w:jc w:val="both"/>
        <w:rPr>
          <w:rFonts w:ascii="Arial" w:hAnsi="Arial" w:cs="Arial"/>
          <w:sz w:val="18"/>
          <w:szCs w:val="18"/>
        </w:rPr>
      </w:pPr>
      <w:r>
        <w:rPr>
          <w:rFonts w:ascii="Arial" w:hAnsi="Arial" w:cs="Arial"/>
          <w:sz w:val="18"/>
          <w:szCs w:val="18"/>
        </w:rPr>
        <w:t xml:space="preserve">- Objectif </w:t>
      </w:r>
      <w:r w:rsidR="00BC5A82">
        <w:rPr>
          <w:rFonts w:ascii="Arial" w:hAnsi="Arial" w:cs="Arial"/>
          <w:sz w:val="18"/>
          <w:szCs w:val="18"/>
        </w:rPr>
        <w:t>de consommation</w:t>
      </w:r>
      <w:r>
        <w:rPr>
          <w:rFonts w:ascii="Arial" w:hAnsi="Arial" w:cs="Arial"/>
          <w:sz w:val="18"/>
          <w:szCs w:val="18"/>
        </w:rPr>
        <w:t xml:space="preserve"> d’énergie destinée au chauffage du bâtiment calculée pour une année climatique de référence</w:t>
      </w:r>
      <w:r w:rsidR="00C95541">
        <w:rPr>
          <w:rFonts w:ascii="Arial" w:hAnsi="Arial" w:cs="Arial"/>
          <w:sz w:val="18"/>
          <w:szCs w:val="18"/>
        </w:rPr>
        <w:t xml:space="preserve"> (DJU=</w:t>
      </w:r>
      <w:r w:rsidR="00BC5A82">
        <w:rPr>
          <w:rFonts w:ascii="Arial" w:hAnsi="Arial" w:cs="Arial"/>
          <w:sz w:val="18"/>
          <w:szCs w:val="18"/>
        </w:rPr>
        <w:t xml:space="preserve"> 2513) </w:t>
      </w:r>
      <m:oMath>
        <m:r>
          <w:rPr>
            <w:rFonts w:ascii="Cambria Math" w:hAnsi="Cambria Math" w:cs="Arial"/>
            <w:sz w:val="18"/>
            <w:szCs w:val="18"/>
          </w:rPr>
          <m:t>≤</m:t>
        </m:r>
      </m:oMath>
      <w:r>
        <w:rPr>
          <w:rFonts w:ascii="Arial" w:hAnsi="Arial" w:cs="Arial"/>
          <w:sz w:val="18"/>
          <w:szCs w:val="18"/>
        </w:rPr>
        <w:t xml:space="preserve"> </w:t>
      </w:r>
      <w:r w:rsidR="00BC5A82">
        <w:rPr>
          <w:rFonts w:ascii="Arial" w:hAnsi="Arial" w:cs="Arial"/>
          <w:sz w:val="18"/>
          <w:szCs w:val="18"/>
        </w:rPr>
        <w:t>101 500 kWh / an</w:t>
      </w:r>
      <w:r w:rsidR="004259D1">
        <w:rPr>
          <w:rFonts w:ascii="Arial" w:hAnsi="Arial" w:cs="Arial"/>
          <w:sz w:val="18"/>
          <w:szCs w:val="18"/>
        </w:rPr>
        <w:t>, PCS pour la fraction gaz</w:t>
      </w:r>
      <w:r w:rsidR="00BC5A82">
        <w:rPr>
          <w:rFonts w:ascii="Arial" w:hAnsi="Arial" w:cs="Arial"/>
          <w:sz w:val="18"/>
          <w:szCs w:val="18"/>
        </w:rPr>
        <w:t xml:space="preserve"> </w:t>
      </w:r>
      <w:r>
        <w:rPr>
          <w:rFonts w:ascii="Arial" w:hAnsi="Arial" w:cs="Arial"/>
          <w:sz w:val="18"/>
          <w:szCs w:val="18"/>
        </w:rPr>
        <w:t>;</w:t>
      </w:r>
    </w:p>
    <w:p w14:paraId="3DC52B4E" w14:textId="77777777" w:rsidR="00A9269D" w:rsidRDefault="00A9269D" w:rsidP="00A9269D">
      <w:pPr>
        <w:jc w:val="both"/>
        <w:rPr>
          <w:rFonts w:ascii="Arial" w:hAnsi="Arial" w:cs="Arial"/>
          <w:sz w:val="18"/>
          <w:szCs w:val="18"/>
        </w:rPr>
      </w:pPr>
    </w:p>
    <w:p w14:paraId="3A3BB539" w14:textId="77777777" w:rsidR="00A9269D" w:rsidRDefault="00A9269D" w:rsidP="00A9269D">
      <w:pPr>
        <w:jc w:val="both"/>
        <w:rPr>
          <w:rFonts w:ascii="Arial" w:hAnsi="Arial" w:cs="Arial"/>
          <w:sz w:val="18"/>
          <w:szCs w:val="18"/>
        </w:rPr>
      </w:pPr>
    </w:p>
    <w:p w14:paraId="363606B2" w14:textId="403253AE" w:rsidR="00A9269D" w:rsidRDefault="00A9269D" w:rsidP="00A9269D">
      <w:pPr>
        <w:jc w:val="both"/>
        <w:rPr>
          <w:rFonts w:ascii="Arial" w:hAnsi="Arial" w:cs="Arial"/>
          <w:sz w:val="18"/>
          <w:szCs w:val="18"/>
        </w:rPr>
      </w:pPr>
      <w:r>
        <w:rPr>
          <w:rFonts w:ascii="Arial" w:hAnsi="Arial" w:cs="Arial"/>
          <w:sz w:val="18"/>
          <w:szCs w:val="18"/>
        </w:rPr>
        <w:t>- Niveau d’</w:t>
      </w:r>
      <w:bookmarkStart w:id="6" w:name="_Hlk178578685"/>
      <w:r>
        <w:rPr>
          <w:rFonts w:ascii="Arial" w:hAnsi="Arial" w:cs="Arial"/>
          <w:sz w:val="18"/>
          <w:szCs w:val="18"/>
        </w:rPr>
        <w:t>émission de gaz à effet de serre</w:t>
      </w:r>
      <w:r w:rsidR="00BC5A82">
        <w:rPr>
          <w:rFonts w:ascii="Arial" w:hAnsi="Arial" w:cs="Arial"/>
          <w:sz w:val="18"/>
          <w:szCs w:val="18"/>
        </w:rPr>
        <w:t xml:space="preserve"> (GES)</w:t>
      </w:r>
      <w:r>
        <w:rPr>
          <w:rFonts w:ascii="Arial" w:hAnsi="Arial" w:cs="Arial"/>
          <w:sz w:val="18"/>
          <w:szCs w:val="18"/>
        </w:rPr>
        <w:t xml:space="preserve"> générée par </w:t>
      </w:r>
      <w:r w:rsidR="00A64367">
        <w:rPr>
          <w:rFonts w:ascii="Arial" w:hAnsi="Arial" w:cs="Arial"/>
          <w:sz w:val="18"/>
          <w:szCs w:val="18"/>
        </w:rPr>
        <w:t>la production de</w:t>
      </w:r>
      <w:r>
        <w:rPr>
          <w:rFonts w:ascii="Arial" w:hAnsi="Arial" w:cs="Arial"/>
          <w:sz w:val="18"/>
          <w:szCs w:val="18"/>
        </w:rPr>
        <w:t xml:space="preserve"> chauffage </w:t>
      </w:r>
      <w:bookmarkEnd w:id="6"/>
      <w:r>
        <w:rPr>
          <w:rFonts w:ascii="Arial" w:hAnsi="Arial" w:cs="Arial"/>
          <w:sz w:val="18"/>
          <w:szCs w:val="18"/>
        </w:rPr>
        <w:t>du bâtiment</w:t>
      </w:r>
      <w:r w:rsidR="00A64367">
        <w:rPr>
          <w:rFonts w:ascii="Arial" w:hAnsi="Arial" w:cs="Arial"/>
          <w:sz w:val="18"/>
          <w:szCs w:val="18"/>
        </w:rPr>
        <w:t xml:space="preserve">, </w:t>
      </w:r>
      <w:r>
        <w:rPr>
          <w:rFonts w:ascii="Arial" w:hAnsi="Arial" w:cs="Arial"/>
          <w:sz w:val="18"/>
          <w:szCs w:val="18"/>
        </w:rPr>
        <w:t xml:space="preserve">calculé pour une année climatique de référence </w:t>
      </w:r>
      <m:oMath>
        <m:r>
          <w:rPr>
            <w:rFonts w:ascii="Cambria Math" w:hAnsi="Cambria Math" w:cs="Arial"/>
            <w:sz w:val="18"/>
            <w:szCs w:val="18"/>
          </w:rPr>
          <m:t>≤</m:t>
        </m:r>
      </m:oMath>
      <w:r w:rsidR="00C95541">
        <w:rPr>
          <w:rFonts w:ascii="Arial" w:hAnsi="Arial" w:cs="Arial"/>
          <w:sz w:val="18"/>
          <w:szCs w:val="18"/>
        </w:rPr>
        <w:t xml:space="preserve"> 1</w:t>
      </w:r>
      <w:r w:rsidR="00BC5A82">
        <w:rPr>
          <w:rFonts w:ascii="Arial" w:hAnsi="Arial" w:cs="Arial"/>
          <w:sz w:val="18"/>
          <w:szCs w:val="18"/>
        </w:rPr>
        <w:t>2</w:t>
      </w:r>
      <w:r w:rsidR="00C95541">
        <w:rPr>
          <w:rFonts w:ascii="Arial" w:hAnsi="Arial" w:cs="Arial"/>
          <w:sz w:val="18"/>
          <w:szCs w:val="18"/>
        </w:rPr>
        <w:t xml:space="preserve"> 000 kgCO</w:t>
      </w:r>
      <w:r w:rsidR="00C95541" w:rsidRPr="00C95541">
        <w:rPr>
          <w:rFonts w:ascii="Arial" w:hAnsi="Arial" w:cs="Arial"/>
          <w:sz w:val="18"/>
          <w:szCs w:val="18"/>
          <w:vertAlign w:val="subscript"/>
        </w:rPr>
        <w:t>2</w:t>
      </w:r>
      <w:r w:rsidR="00C95541">
        <w:rPr>
          <w:rFonts w:ascii="Arial" w:hAnsi="Arial" w:cs="Arial"/>
          <w:sz w:val="18"/>
          <w:szCs w:val="18"/>
        </w:rPr>
        <w:t xml:space="preserve">eq / an </w:t>
      </w:r>
      <w:r>
        <w:rPr>
          <w:rFonts w:ascii="Arial" w:hAnsi="Arial" w:cs="Arial"/>
          <w:sz w:val="18"/>
          <w:szCs w:val="18"/>
        </w:rPr>
        <w:t xml:space="preserve">; </w:t>
      </w:r>
    </w:p>
    <w:p w14:paraId="777D1CB4" w14:textId="77777777" w:rsidR="00BC5A82" w:rsidRDefault="00BC5A82" w:rsidP="00A9269D">
      <w:pPr>
        <w:jc w:val="both"/>
        <w:rPr>
          <w:rFonts w:ascii="Arial" w:hAnsi="Arial" w:cs="Arial"/>
          <w:sz w:val="18"/>
          <w:szCs w:val="18"/>
        </w:rPr>
      </w:pPr>
    </w:p>
    <w:p w14:paraId="5C10B96B" w14:textId="77777777" w:rsidR="00A64367" w:rsidRDefault="00BC5A82" w:rsidP="00A9269D">
      <w:pPr>
        <w:jc w:val="both"/>
        <w:rPr>
          <w:rFonts w:ascii="Arial" w:hAnsi="Arial" w:cs="Arial"/>
          <w:sz w:val="18"/>
          <w:szCs w:val="18"/>
        </w:rPr>
      </w:pPr>
      <w:r>
        <w:rPr>
          <w:rFonts w:ascii="Arial" w:hAnsi="Arial" w:cs="Arial"/>
          <w:sz w:val="18"/>
          <w:szCs w:val="18"/>
        </w:rPr>
        <w:t>Données</w:t>
      </w:r>
      <w:r w:rsidR="00A64367">
        <w:rPr>
          <w:rFonts w:ascii="Arial" w:hAnsi="Arial" w:cs="Arial"/>
          <w:sz w:val="18"/>
          <w:szCs w:val="18"/>
        </w:rPr>
        <w:t> :</w:t>
      </w:r>
    </w:p>
    <w:p w14:paraId="6BCDBA67" w14:textId="77777777" w:rsidR="00A64367" w:rsidRDefault="00A64367" w:rsidP="00A9269D">
      <w:pPr>
        <w:jc w:val="both"/>
        <w:rPr>
          <w:rFonts w:ascii="Arial" w:hAnsi="Arial" w:cs="Arial"/>
          <w:sz w:val="18"/>
          <w:szCs w:val="18"/>
        </w:rPr>
      </w:pPr>
    </w:p>
    <w:p w14:paraId="47F41211" w14:textId="7002A13A" w:rsidR="00BC5A82" w:rsidRDefault="00A64367" w:rsidP="00A64367">
      <w:pPr>
        <w:pStyle w:val="Paragraphedeliste"/>
        <w:numPr>
          <w:ilvl w:val="0"/>
          <w:numId w:val="16"/>
        </w:numPr>
        <w:jc w:val="both"/>
        <w:rPr>
          <w:rFonts w:ascii="Arial" w:hAnsi="Arial" w:cs="Arial"/>
          <w:sz w:val="18"/>
          <w:szCs w:val="18"/>
        </w:rPr>
      </w:pPr>
      <w:r>
        <w:rPr>
          <w:rFonts w:ascii="Arial" w:hAnsi="Arial" w:cs="Arial"/>
          <w:sz w:val="18"/>
          <w:szCs w:val="18"/>
        </w:rPr>
        <w:t>E</w:t>
      </w:r>
      <w:r w:rsidR="00BC5A82" w:rsidRPr="00A64367">
        <w:rPr>
          <w:rFonts w:ascii="Arial" w:hAnsi="Arial" w:cs="Arial"/>
          <w:sz w:val="18"/>
          <w:szCs w:val="18"/>
        </w:rPr>
        <w:t xml:space="preserve">missions GES : Gaz = 0,204 kgCO2eq / </w:t>
      </w:r>
      <w:proofErr w:type="spellStart"/>
      <w:r w:rsidR="00BC5A82" w:rsidRPr="00A64367">
        <w:rPr>
          <w:rFonts w:ascii="Arial" w:hAnsi="Arial" w:cs="Arial"/>
          <w:sz w:val="18"/>
          <w:szCs w:val="18"/>
        </w:rPr>
        <w:t>kWh</w:t>
      </w:r>
      <w:r w:rsidRPr="00A64367">
        <w:rPr>
          <w:rFonts w:ascii="Arial" w:hAnsi="Arial" w:cs="Arial"/>
          <w:sz w:val="18"/>
          <w:szCs w:val="18"/>
        </w:rPr>
        <w:t>PCS</w:t>
      </w:r>
      <w:proofErr w:type="spellEnd"/>
      <w:r w:rsidR="00BC5A82" w:rsidRPr="00A64367">
        <w:rPr>
          <w:rFonts w:ascii="Arial" w:hAnsi="Arial" w:cs="Arial"/>
          <w:sz w:val="18"/>
          <w:szCs w:val="18"/>
        </w:rPr>
        <w:t xml:space="preserve"> ; Electricité = 0,052 kgCO2eq / </w:t>
      </w:r>
      <w:proofErr w:type="spellStart"/>
      <w:r w:rsidR="00BC5A82" w:rsidRPr="00A64367">
        <w:rPr>
          <w:rFonts w:ascii="Arial" w:hAnsi="Arial" w:cs="Arial"/>
          <w:sz w:val="18"/>
          <w:szCs w:val="18"/>
        </w:rPr>
        <w:t>kWh</w:t>
      </w:r>
      <w:r w:rsidRPr="00A64367">
        <w:rPr>
          <w:rFonts w:ascii="Arial" w:hAnsi="Arial" w:cs="Arial"/>
          <w:sz w:val="18"/>
          <w:szCs w:val="18"/>
        </w:rPr>
        <w:t>ef</w:t>
      </w:r>
      <w:proofErr w:type="spellEnd"/>
    </w:p>
    <w:p w14:paraId="2BECC806" w14:textId="5A644814" w:rsidR="00A64367" w:rsidRPr="00A64367" w:rsidRDefault="00A64367" w:rsidP="00A64367">
      <w:pPr>
        <w:pStyle w:val="Paragraphedeliste"/>
        <w:numPr>
          <w:ilvl w:val="0"/>
          <w:numId w:val="16"/>
        </w:numPr>
        <w:jc w:val="both"/>
        <w:rPr>
          <w:rFonts w:ascii="Arial" w:hAnsi="Arial" w:cs="Arial"/>
          <w:sz w:val="18"/>
          <w:szCs w:val="18"/>
        </w:rPr>
      </w:pPr>
      <w:r>
        <w:rPr>
          <w:rFonts w:ascii="Arial" w:hAnsi="Arial" w:cs="Arial"/>
          <w:sz w:val="18"/>
          <w:szCs w:val="18"/>
        </w:rPr>
        <w:t xml:space="preserve">Consommations de référence chauffage du bâtiment (2021-2023) : DJU=2513 ; 207 900 </w:t>
      </w:r>
      <w:proofErr w:type="spellStart"/>
      <w:r>
        <w:rPr>
          <w:rFonts w:ascii="Arial" w:hAnsi="Arial" w:cs="Arial"/>
          <w:sz w:val="18"/>
          <w:szCs w:val="18"/>
        </w:rPr>
        <w:t>kWhPCS</w:t>
      </w:r>
      <w:proofErr w:type="spellEnd"/>
      <w:r>
        <w:rPr>
          <w:rFonts w:ascii="Arial" w:hAnsi="Arial" w:cs="Arial"/>
          <w:sz w:val="18"/>
          <w:szCs w:val="18"/>
        </w:rPr>
        <w:t xml:space="preserve"> fioul</w:t>
      </w:r>
    </w:p>
    <w:p w14:paraId="57AFAFDF" w14:textId="77777777" w:rsidR="00BC5A82" w:rsidRDefault="00BC5A82" w:rsidP="00A9269D">
      <w:pPr>
        <w:jc w:val="both"/>
        <w:rPr>
          <w:rFonts w:ascii="Arial" w:hAnsi="Arial" w:cs="Arial"/>
          <w:sz w:val="18"/>
          <w:szCs w:val="18"/>
        </w:rPr>
      </w:pPr>
    </w:p>
    <w:p w14:paraId="1893D3AD" w14:textId="14881D2D" w:rsidR="005D3772" w:rsidRPr="00A64367" w:rsidRDefault="00A64367">
      <w:pPr>
        <w:rPr>
          <w:rFonts w:ascii="Arial" w:hAnsi="Arial" w:cs="Arial"/>
          <w:b/>
          <w:bCs/>
          <w:sz w:val="18"/>
          <w:szCs w:val="20"/>
        </w:rPr>
      </w:pPr>
      <w:r w:rsidRPr="00A64367">
        <w:rPr>
          <w:rFonts w:ascii="Arial" w:hAnsi="Arial" w:cs="Arial"/>
          <w:b/>
          <w:bCs/>
          <w:sz w:val="18"/>
          <w:szCs w:val="20"/>
        </w:rPr>
        <w:t xml:space="preserve">Un bilan des consommations </w:t>
      </w:r>
      <w:r w:rsidR="009701A4">
        <w:rPr>
          <w:rFonts w:ascii="Arial" w:hAnsi="Arial" w:cs="Arial"/>
          <w:b/>
          <w:bCs/>
          <w:sz w:val="18"/>
          <w:szCs w:val="20"/>
        </w:rPr>
        <w:t xml:space="preserve">théoriques </w:t>
      </w:r>
      <w:r w:rsidRPr="00A64367">
        <w:rPr>
          <w:rFonts w:ascii="Arial" w:hAnsi="Arial" w:cs="Arial"/>
          <w:b/>
          <w:bCs/>
          <w:sz w:val="18"/>
          <w:szCs w:val="20"/>
        </w:rPr>
        <w:t>annuel</w:t>
      </w:r>
      <w:r w:rsidR="009701A4">
        <w:rPr>
          <w:rFonts w:ascii="Arial" w:hAnsi="Arial" w:cs="Arial"/>
          <w:b/>
          <w:bCs/>
          <w:sz w:val="18"/>
          <w:szCs w:val="20"/>
        </w:rPr>
        <w:t>les</w:t>
      </w:r>
      <w:r w:rsidRPr="00A64367">
        <w:rPr>
          <w:rFonts w:ascii="Arial" w:hAnsi="Arial" w:cs="Arial"/>
          <w:b/>
          <w:bCs/>
          <w:sz w:val="18"/>
          <w:szCs w:val="20"/>
        </w:rPr>
        <w:t xml:space="preserve"> est à intégrer au mémoire technique de l’offre.</w:t>
      </w:r>
      <w:r w:rsidR="005D3772" w:rsidRPr="00A64367">
        <w:rPr>
          <w:rFonts w:ascii="Arial" w:hAnsi="Arial" w:cs="Arial"/>
          <w:b/>
          <w:bCs/>
          <w:sz w:val="18"/>
          <w:szCs w:val="20"/>
        </w:rPr>
        <w:br w:type="page"/>
      </w:r>
    </w:p>
    <w:p w14:paraId="3D041A8A" w14:textId="24DE329A" w:rsidR="005D3772" w:rsidRDefault="005D3772">
      <w:pPr>
        <w:rPr>
          <w:rFonts w:ascii="Arial" w:hAnsi="Arial" w:cs="Arial"/>
          <w:sz w:val="18"/>
          <w:szCs w:val="20"/>
        </w:rPr>
      </w:pPr>
    </w:p>
    <w:p w14:paraId="738EEFE6" w14:textId="77777777" w:rsidR="00CC4F02" w:rsidRDefault="00CC4F02">
      <w:pPr>
        <w:spacing w:after="120"/>
        <w:jc w:val="both"/>
        <w:rPr>
          <w:rFonts w:ascii="Arial" w:hAnsi="Arial" w:cs="Arial"/>
          <w:sz w:val="18"/>
          <w:szCs w:val="20"/>
        </w:rPr>
      </w:pPr>
    </w:p>
    <w:p w14:paraId="617B0669" w14:textId="522CA182" w:rsidR="00CC4F02" w:rsidRDefault="00C84FBD">
      <w:pPr>
        <w:pStyle w:val="RedPara"/>
        <w:spacing w:after="120"/>
        <w:ind w:firstLine="709"/>
        <w:jc w:val="both"/>
      </w:pPr>
      <w:bookmarkStart w:id="7" w:name="_Toc171945448"/>
      <w:r>
        <w:t>2-</w:t>
      </w:r>
      <w:r w:rsidR="00A9269D">
        <w:t>4</w:t>
      </w:r>
      <w:r>
        <w:t>-Budget de l’opération</w:t>
      </w:r>
      <w:bookmarkEnd w:id="7"/>
    </w:p>
    <w:p w14:paraId="47B1C1A9" w14:textId="77777777" w:rsidR="00CC4F02" w:rsidRDefault="00CC4F02">
      <w:pPr>
        <w:pStyle w:val="Paragraphedeliste"/>
        <w:spacing w:line="360" w:lineRule="auto"/>
        <w:ind w:left="0"/>
        <w:contextualSpacing/>
        <w:jc w:val="both"/>
        <w:rPr>
          <w:rFonts w:ascii="Arial" w:hAnsi="Arial" w:cs="Arial"/>
          <w:sz w:val="18"/>
          <w:szCs w:val="18"/>
        </w:rPr>
      </w:pPr>
    </w:p>
    <w:p w14:paraId="095F503B" w14:textId="77777777" w:rsidR="00CC4F02" w:rsidRDefault="00C84FBD">
      <w:pPr>
        <w:pStyle w:val="Paragraphedeliste"/>
        <w:spacing w:line="360" w:lineRule="auto"/>
        <w:ind w:left="0"/>
        <w:contextualSpacing/>
        <w:jc w:val="both"/>
        <w:rPr>
          <w:rFonts w:ascii="Arial" w:hAnsi="Arial" w:cs="Arial"/>
          <w:color w:val="FF0000"/>
          <w:sz w:val="18"/>
          <w:szCs w:val="20"/>
        </w:rPr>
      </w:pPr>
      <w:r>
        <w:rPr>
          <w:rFonts w:ascii="Arial" w:hAnsi="Arial" w:cs="Arial"/>
          <w:sz w:val="18"/>
          <w:szCs w:val="18"/>
        </w:rPr>
        <w:t xml:space="preserve">Le </w:t>
      </w:r>
      <w:r>
        <w:rPr>
          <w:rFonts w:ascii="Arial" w:hAnsi="Arial" w:cs="Arial"/>
          <w:sz w:val="18"/>
          <w:szCs w:val="20"/>
        </w:rPr>
        <w:t>budget de l’opération est de 220 000</w:t>
      </w:r>
      <w:r>
        <w:rPr>
          <w:rFonts w:ascii="Arial" w:hAnsi="Arial" w:cs="Arial"/>
          <w:color w:val="FF0000"/>
          <w:sz w:val="18"/>
          <w:szCs w:val="20"/>
        </w:rPr>
        <w:t xml:space="preserve"> </w:t>
      </w:r>
      <w:r>
        <w:rPr>
          <w:rFonts w:ascii="Arial" w:hAnsi="Arial" w:cs="Arial"/>
          <w:sz w:val="18"/>
          <w:szCs w:val="20"/>
        </w:rPr>
        <w:t>€ HT pour les phases de conception et réalisation de travaux (en valeur de juillet 2024).</w:t>
      </w:r>
    </w:p>
    <w:p w14:paraId="2895A720" w14:textId="5AAC9854" w:rsidR="00CC4F02" w:rsidRDefault="00C84FBD">
      <w:pPr>
        <w:pStyle w:val="RedPara"/>
        <w:spacing w:after="120"/>
        <w:ind w:firstLine="709"/>
        <w:jc w:val="both"/>
      </w:pPr>
      <w:bookmarkStart w:id="8" w:name="_Toc171945449"/>
      <w:r>
        <w:t>2-</w:t>
      </w:r>
      <w:r w:rsidR="00A9269D">
        <w:t>5</w:t>
      </w:r>
      <w:r>
        <w:t>-Procédure de passation</w:t>
      </w:r>
      <w:bookmarkEnd w:id="8"/>
    </w:p>
    <w:p w14:paraId="1039393D" w14:textId="77777777" w:rsidR="00CC4F02" w:rsidRDefault="00C84FBD">
      <w:pPr>
        <w:jc w:val="both"/>
        <w:rPr>
          <w:rFonts w:ascii="Arial" w:hAnsi="Arial" w:cs="Arial"/>
          <w:sz w:val="18"/>
          <w:szCs w:val="18"/>
        </w:rPr>
      </w:pPr>
      <w:r>
        <w:rPr>
          <w:rFonts w:ascii="Arial" w:hAnsi="Arial" w:cs="Arial"/>
          <w:sz w:val="18"/>
          <w:szCs w:val="18"/>
        </w:rPr>
        <w:t>La présente procédure de consultation est organisée sous la forme d’une procédure en dialogue compétitif, conformément aux articles L.2124-4, R.2124-5 et R.2161-24 à R.2161-31 du Code de la commande publique. Ce marché comportant des prestations de conception, il ne peut être attribué sans dialogue préalable.</w:t>
      </w:r>
    </w:p>
    <w:p w14:paraId="7E559EFD" w14:textId="77777777" w:rsidR="00CC4F02" w:rsidRDefault="00CC4F02">
      <w:pPr>
        <w:jc w:val="both"/>
        <w:rPr>
          <w:rFonts w:ascii="Arial" w:hAnsi="Arial" w:cs="Arial"/>
          <w:sz w:val="18"/>
          <w:szCs w:val="18"/>
        </w:rPr>
      </w:pPr>
    </w:p>
    <w:p w14:paraId="23D63C12" w14:textId="19A8811F" w:rsidR="00CC4F02" w:rsidRDefault="00C84FBD" w:rsidP="00A9269D">
      <w:pPr>
        <w:jc w:val="both"/>
        <w:rPr>
          <w:rFonts w:ascii="Arial" w:hAnsi="Arial" w:cs="Arial"/>
          <w:sz w:val="18"/>
          <w:szCs w:val="18"/>
        </w:rPr>
      </w:pPr>
      <w:r>
        <w:rPr>
          <w:rFonts w:ascii="Arial" w:hAnsi="Arial" w:cs="Arial"/>
          <w:sz w:val="18"/>
          <w:szCs w:val="18"/>
        </w:rPr>
        <w:t xml:space="preserve">Le marché prévoit </w:t>
      </w:r>
      <w:r w:rsidR="00A9269D">
        <w:rPr>
          <w:rFonts w:ascii="Arial" w:hAnsi="Arial" w:cs="Arial"/>
          <w:sz w:val="18"/>
          <w:szCs w:val="18"/>
        </w:rPr>
        <w:t>s</w:t>
      </w:r>
      <w:r>
        <w:rPr>
          <w:rFonts w:ascii="Arial" w:hAnsi="Arial" w:cs="Arial"/>
          <w:sz w:val="18"/>
          <w:szCs w:val="18"/>
        </w:rPr>
        <w:t xml:space="preserve">es objectifs de performance </w:t>
      </w:r>
      <w:r w:rsidR="00A9269D">
        <w:rPr>
          <w:rFonts w:ascii="Arial" w:hAnsi="Arial" w:cs="Arial"/>
          <w:sz w:val="18"/>
          <w:szCs w:val="18"/>
        </w:rPr>
        <w:t>précisés à l’article 2-3.</w:t>
      </w:r>
    </w:p>
    <w:p w14:paraId="6CCB342F" w14:textId="77777777" w:rsidR="00CC4F02" w:rsidRDefault="00CC4F02">
      <w:pPr>
        <w:jc w:val="both"/>
        <w:rPr>
          <w:rFonts w:ascii="Arial" w:hAnsi="Arial" w:cs="Arial"/>
          <w:sz w:val="18"/>
          <w:szCs w:val="18"/>
        </w:rPr>
      </w:pPr>
    </w:p>
    <w:p w14:paraId="4A9DF160" w14:textId="77777777" w:rsidR="00CC4F02" w:rsidRDefault="00C84FBD">
      <w:pPr>
        <w:jc w:val="both"/>
        <w:rPr>
          <w:rFonts w:ascii="Arial" w:hAnsi="Arial" w:cs="Arial"/>
          <w:sz w:val="18"/>
          <w:szCs w:val="18"/>
        </w:rPr>
      </w:pPr>
      <w:r>
        <w:rPr>
          <w:rFonts w:ascii="Arial" w:hAnsi="Arial" w:cs="Arial"/>
          <w:sz w:val="18"/>
          <w:szCs w:val="18"/>
        </w:rPr>
        <w:t>Calendrier prévisionnel :</w:t>
      </w:r>
    </w:p>
    <w:p w14:paraId="07CE1747" w14:textId="13CC6052" w:rsidR="00CC4F02" w:rsidRPr="00C80B6F" w:rsidRDefault="00C80B6F" w:rsidP="00C80B6F">
      <w:pPr>
        <w:pStyle w:val="Paragraphedeliste"/>
        <w:numPr>
          <w:ilvl w:val="0"/>
          <w:numId w:val="12"/>
        </w:numPr>
        <w:jc w:val="both"/>
        <w:rPr>
          <w:rFonts w:ascii="Arial" w:hAnsi="Arial" w:cs="Arial"/>
          <w:sz w:val="18"/>
          <w:szCs w:val="18"/>
        </w:rPr>
      </w:pPr>
      <w:r>
        <w:rPr>
          <w:rFonts w:ascii="Arial" w:hAnsi="Arial" w:cs="Arial"/>
          <w:sz w:val="18"/>
          <w:szCs w:val="18"/>
        </w:rPr>
        <w:t>R</w:t>
      </w:r>
      <w:r w:rsidR="00C84FBD" w:rsidRPr="00C80B6F">
        <w:rPr>
          <w:rFonts w:ascii="Arial" w:hAnsi="Arial" w:cs="Arial"/>
          <w:sz w:val="18"/>
          <w:szCs w:val="18"/>
        </w:rPr>
        <w:t xml:space="preserve">emise des offres initiales : </w:t>
      </w:r>
      <w:r w:rsidR="003432D9">
        <w:rPr>
          <w:rFonts w:ascii="Arial" w:hAnsi="Arial" w:cs="Arial"/>
          <w:sz w:val="18"/>
          <w:szCs w:val="18"/>
        </w:rPr>
        <w:t>4 novembre</w:t>
      </w:r>
      <w:r w:rsidR="00C84FBD" w:rsidRPr="00C80B6F">
        <w:rPr>
          <w:rFonts w:ascii="Arial" w:hAnsi="Arial" w:cs="Arial"/>
          <w:sz w:val="18"/>
          <w:szCs w:val="18"/>
        </w:rPr>
        <w:t xml:space="preserve"> 2024</w:t>
      </w:r>
    </w:p>
    <w:p w14:paraId="085FA65C" w14:textId="6DEB4D05" w:rsidR="00CC4F02" w:rsidRPr="004B2A2E" w:rsidRDefault="00C84FBD">
      <w:pPr>
        <w:pStyle w:val="Paragraphedeliste"/>
        <w:numPr>
          <w:ilvl w:val="0"/>
          <w:numId w:val="12"/>
        </w:numPr>
        <w:jc w:val="both"/>
        <w:rPr>
          <w:rFonts w:ascii="Arial" w:hAnsi="Arial" w:cs="Arial"/>
          <w:b/>
          <w:bCs/>
          <w:color w:val="FF0000"/>
          <w:sz w:val="18"/>
          <w:szCs w:val="18"/>
        </w:rPr>
      </w:pPr>
      <w:r w:rsidRPr="004B2A2E">
        <w:rPr>
          <w:rFonts w:ascii="Arial" w:hAnsi="Arial" w:cs="Arial"/>
          <w:b/>
          <w:bCs/>
          <w:color w:val="FF0000"/>
          <w:sz w:val="18"/>
          <w:szCs w:val="18"/>
        </w:rPr>
        <w:t xml:space="preserve">Auditions : </w:t>
      </w:r>
      <w:r w:rsidR="004B2A2E" w:rsidRPr="004B2A2E">
        <w:rPr>
          <w:rFonts w:ascii="Arial" w:hAnsi="Arial" w:cs="Arial"/>
          <w:b/>
          <w:bCs/>
          <w:color w:val="FF0000"/>
          <w:sz w:val="18"/>
          <w:szCs w:val="18"/>
        </w:rPr>
        <w:t>6</w:t>
      </w:r>
      <w:r w:rsidR="00162F6E" w:rsidRPr="004B2A2E">
        <w:rPr>
          <w:rFonts w:ascii="Arial" w:hAnsi="Arial" w:cs="Arial"/>
          <w:b/>
          <w:bCs/>
          <w:color w:val="FF0000"/>
          <w:sz w:val="18"/>
          <w:szCs w:val="18"/>
        </w:rPr>
        <w:t xml:space="preserve"> </w:t>
      </w:r>
      <w:r w:rsidR="00C80B6F" w:rsidRPr="004B2A2E">
        <w:rPr>
          <w:rFonts w:ascii="Arial" w:hAnsi="Arial" w:cs="Arial"/>
          <w:b/>
          <w:bCs/>
          <w:color w:val="FF0000"/>
          <w:sz w:val="18"/>
          <w:szCs w:val="18"/>
        </w:rPr>
        <w:t>novembre</w:t>
      </w:r>
      <w:r w:rsidRPr="004B2A2E">
        <w:rPr>
          <w:rFonts w:ascii="Arial" w:hAnsi="Arial" w:cs="Arial"/>
          <w:b/>
          <w:bCs/>
          <w:color w:val="FF0000"/>
          <w:sz w:val="18"/>
          <w:szCs w:val="18"/>
        </w:rPr>
        <w:t xml:space="preserve"> 2024</w:t>
      </w:r>
    </w:p>
    <w:p w14:paraId="587DC74D" w14:textId="77777777" w:rsidR="00CC4F02" w:rsidRDefault="00C84FBD">
      <w:pPr>
        <w:pStyle w:val="Paragraphedeliste"/>
        <w:numPr>
          <w:ilvl w:val="0"/>
          <w:numId w:val="12"/>
        </w:numPr>
        <w:jc w:val="both"/>
        <w:rPr>
          <w:rFonts w:ascii="Arial" w:hAnsi="Arial" w:cs="Arial"/>
          <w:sz w:val="18"/>
          <w:szCs w:val="18"/>
        </w:rPr>
      </w:pPr>
      <w:r>
        <w:rPr>
          <w:rFonts w:ascii="Arial" w:hAnsi="Arial" w:cs="Arial"/>
          <w:sz w:val="18"/>
          <w:szCs w:val="18"/>
        </w:rPr>
        <w:t>Remise des offres finales : mi-novembre 2024</w:t>
      </w:r>
    </w:p>
    <w:p w14:paraId="6C53B16F" w14:textId="77777777" w:rsidR="00CC4F02" w:rsidRDefault="00CC4F02">
      <w:pPr>
        <w:jc w:val="both"/>
        <w:rPr>
          <w:rFonts w:ascii="Arial" w:hAnsi="Arial" w:cs="Arial"/>
          <w:sz w:val="18"/>
          <w:szCs w:val="18"/>
        </w:rPr>
      </w:pPr>
    </w:p>
    <w:p w14:paraId="61CACEB5" w14:textId="77777777" w:rsidR="00CC4F02" w:rsidRDefault="00C84FBD">
      <w:pPr>
        <w:jc w:val="both"/>
        <w:rPr>
          <w:rFonts w:ascii="Arial" w:hAnsi="Arial" w:cs="Arial"/>
          <w:b/>
          <w:sz w:val="18"/>
          <w:szCs w:val="18"/>
          <w:u w:val="single"/>
        </w:rPr>
      </w:pPr>
      <w:r>
        <w:rPr>
          <w:rFonts w:ascii="Arial" w:hAnsi="Arial" w:cs="Arial"/>
          <w:b/>
          <w:sz w:val="18"/>
          <w:szCs w:val="18"/>
          <w:u w:val="single"/>
        </w:rPr>
        <w:t xml:space="preserve">Audition du dialogue : </w:t>
      </w:r>
    </w:p>
    <w:p w14:paraId="3C68D86F" w14:textId="77777777" w:rsidR="00CC4F02" w:rsidRDefault="00C84FBD">
      <w:pPr>
        <w:jc w:val="both"/>
        <w:rPr>
          <w:rFonts w:ascii="Arial" w:hAnsi="Arial" w:cs="Arial"/>
          <w:sz w:val="18"/>
          <w:szCs w:val="18"/>
        </w:rPr>
      </w:pPr>
      <w:r>
        <w:rPr>
          <w:rFonts w:ascii="Arial" w:hAnsi="Arial" w:cs="Arial"/>
          <w:sz w:val="18"/>
          <w:szCs w:val="18"/>
        </w:rPr>
        <w:t xml:space="preserve">Une réunion de dialogue d‘environ 90 minutes sera engagée avec tous les candidats ayant remis une offre initiale. </w:t>
      </w:r>
    </w:p>
    <w:p w14:paraId="1D43FCA2" w14:textId="77777777" w:rsidR="00CC4F02" w:rsidRDefault="00C84FBD">
      <w:pPr>
        <w:pStyle w:val="Normal1"/>
        <w:ind w:firstLine="0"/>
        <w:rPr>
          <w:rFonts w:ascii="Arial" w:hAnsi="Arial" w:cs="Arial"/>
          <w:sz w:val="18"/>
          <w:szCs w:val="18"/>
        </w:rPr>
      </w:pPr>
      <w:r>
        <w:rPr>
          <w:rFonts w:ascii="Arial" w:hAnsi="Arial" w:cs="Arial"/>
          <w:sz w:val="18"/>
          <w:szCs w:val="18"/>
        </w:rPr>
        <w:t xml:space="preserve">Cette audition inclura une présentation succincte de son offre par le candidat, suivie d’une phase de discussion pouvant porter sur tous les aspects de l’offre et visant à développer /affiner la solution du candidat de manière à répondre au mieux au besoin de la Maîtrise d’Ouvrage. </w:t>
      </w:r>
    </w:p>
    <w:p w14:paraId="543F9251" w14:textId="77777777" w:rsidR="00CC4F02" w:rsidRDefault="00CC4F02">
      <w:pPr>
        <w:pStyle w:val="Normal1"/>
        <w:ind w:firstLine="0"/>
        <w:rPr>
          <w:rFonts w:ascii="Arial" w:hAnsi="Arial" w:cs="Arial"/>
          <w:sz w:val="18"/>
          <w:szCs w:val="18"/>
        </w:rPr>
      </w:pPr>
    </w:p>
    <w:p w14:paraId="25DD017F" w14:textId="40433644" w:rsidR="00CC4F02" w:rsidRDefault="00C84FBD">
      <w:pPr>
        <w:pStyle w:val="RedPara"/>
        <w:spacing w:after="120"/>
        <w:ind w:firstLine="709"/>
        <w:jc w:val="both"/>
        <w:rPr>
          <w:sz w:val="18"/>
          <w:szCs w:val="18"/>
        </w:rPr>
      </w:pPr>
      <w:bookmarkStart w:id="9" w:name="_Toc171945450"/>
      <w:r>
        <w:t>2-</w:t>
      </w:r>
      <w:r w:rsidR="00A9269D">
        <w:t>6</w:t>
      </w:r>
      <w:r>
        <w:t>- Indemnisation des candidats</w:t>
      </w:r>
      <w:bookmarkEnd w:id="9"/>
      <w:r>
        <w:rPr>
          <w:sz w:val="18"/>
          <w:szCs w:val="18"/>
        </w:rPr>
        <w:t xml:space="preserve"> </w:t>
      </w:r>
    </w:p>
    <w:p w14:paraId="2A8F3756" w14:textId="77777777" w:rsidR="00CC4F02" w:rsidRDefault="00C84FBD">
      <w:pPr>
        <w:pStyle w:val="Normal1"/>
        <w:rPr>
          <w:rFonts w:ascii="Arial" w:hAnsi="Arial" w:cs="Arial"/>
          <w:sz w:val="18"/>
          <w:szCs w:val="18"/>
        </w:rPr>
      </w:pPr>
      <w:r>
        <w:rPr>
          <w:rFonts w:ascii="Arial" w:hAnsi="Arial" w:cs="Arial"/>
          <w:sz w:val="18"/>
          <w:szCs w:val="18"/>
        </w:rPr>
        <w:t xml:space="preserve"> </w:t>
      </w:r>
    </w:p>
    <w:p w14:paraId="534A9BAF" w14:textId="77777777" w:rsidR="00CC4F02" w:rsidRDefault="00C84FBD">
      <w:pPr>
        <w:pStyle w:val="Normal1"/>
        <w:ind w:firstLine="0"/>
        <w:rPr>
          <w:rFonts w:ascii="Arial" w:hAnsi="Arial" w:cs="Arial"/>
          <w:sz w:val="18"/>
          <w:szCs w:val="18"/>
        </w:rPr>
      </w:pPr>
      <w:r>
        <w:rPr>
          <w:rFonts w:ascii="Arial" w:hAnsi="Arial" w:cs="Arial"/>
          <w:sz w:val="18"/>
          <w:szCs w:val="18"/>
        </w:rPr>
        <w:t xml:space="preserve">La présente consultation prévoit la </w:t>
      </w:r>
      <w:proofErr w:type="gramStart"/>
      <w:r>
        <w:rPr>
          <w:rFonts w:ascii="Arial" w:hAnsi="Arial" w:cs="Arial"/>
          <w:sz w:val="18"/>
          <w:szCs w:val="18"/>
        </w:rPr>
        <w:t>remise  de</w:t>
      </w:r>
      <w:proofErr w:type="gramEnd"/>
      <w:r>
        <w:rPr>
          <w:rFonts w:ascii="Arial" w:hAnsi="Arial" w:cs="Arial"/>
          <w:sz w:val="18"/>
          <w:szCs w:val="18"/>
        </w:rPr>
        <w:t xml:space="preserve"> prestations au sens de l’article  R. 2171-19 1° du Code de la commande publique. </w:t>
      </w:r>
    </w:p>
    <w:p w14:paraId="70436050" w14:textId="77777777" w:rsidR="00CC4F02" w:rsidRDefault="00C84FBD">
      <w:pPr>
        <w:pStyle w:val="Normal1"/>
        <w:ind w:firstLine="0"/>
        <w:rPr>
          <w:rFonts w:ascii="Arial" w:hAnsi="Arial" w:cs="Arial"/>
          <w:sz w:val="18"/>
          <w:szCs w:val="18"/>
        </w:rPr>
      </w:pPr>
      <w:r>
        <w:rPr>
          <w:rFonts w:ascii="Arial" w:hAnsi="Arial" w:cs="Arial"/>
          <w:sz w:val="18"/>
          <w:szCs w:val="18"/>
        </w:rPr>
        <w:t xml:space="preserve"> </w:t>
      </w:r>
    </w:p>
    <w:p w14:paraId="63D2D1CD" w14:textId="1DAA523E" w:rsidR="00CC4F02" w:rsidRDefault="00C84FBD">
      <w:pPr>
        <w:pStyle w:val="Normal1"/>
        <w:ind w:firstLine="0"/>
        <w:rPr>
          <w:rFonts w:ascii="Arial" w:hAnsi="Arial" w:cs="Arial"/>
          <w:sz w:val="18"/>
          <w:szCs w:val="18"/>
        </w:rPr>
      </w:pPr>
      <w:r>
        <w:rPr>
          <w:rFonts w:ascii="Arial" w:hAnsi="Arial" w:cs="Arial"/>
          <w:b/>
          <w:bCs/>
          <w:sz w:val="18"/>
          <w:szCs w:val="18"/>
        </w:rPr>
        <w:t>Chaque candidat ayant participé à toutes les phases de la présente procédure</w:t>
      </w:r>
      <w:r>
        <w:rPr>
          <w:rFonts w:ascii="Arial" w:hAnsi="Arial" w:cs="Arial"/>
          <w:sz w:val="18"/>
          <w:szCs w:val="18"/>
        </w:rPr>
        <w:t xml:space="preserve"> de dialogue compétitif, à l’exception de l’attributaire du marché, </w:t>
      </w:r>
      <w:proofErr w:type="gramStart"/>
      <w:r>
        <w:rPr>
          <w:rFonts w:ascii="Arial" w:hAnsi="Arial" w:cs="Arial"/>
          <w:sz w:val="18"/>
          <w:szCs w:val="18"/>
        </w:rPr>
        <w:t>et  ayant</w:t>
      </w:r>
      <w:proofErr w:type="gramEnd"/>
      <w:r>
        <w:rPr>
          <w:rFonts w:ascii="Arial" w:hAnsi="Arial" w:cs="Arial"/>
          <w:sz w:val="18"/>
          <w:szCs w:val="18"/>
        </w:rPr>
        <w:t xml:space="preserve"> remis une offre finale complète, recevable et répondant aux exigences de l’ensemble du dossier de consultation percevront une prime d’un montant de : 2 500 € HT. Ce montant est réputé comprendre la cession à l’entité adjudicatrice des droits de </w:t>
      </w:r>
      <w:proofErr w:type="gramStart"/>
      <w:r>
        <w:rPr>
          <w:rFonts w:ascii="Arial" w:hAnsi="Arial" w:cs="Arial"/>
          <w:sz w:val="18"/>
          <w:szCs w:val="18"/>
        </w:rPr>
        <w:t>propriété  intellectuelle</w:t>
      </w:r>
      <w:proofErr w:type="gramEnd"/>
      <w:r>
        <w:rPr>
          <w:rFonts w:ascii="Arial" w:hAnsi="Arial" w:cs="Arial"/>
          <w:sz w:val="18"/>
          <w:szCs w:val="18"/>
        </w:rPr>
        <w:t xml:space="preserve"> de toute nature sur les études réalisées  par les  trois candidats retenus et particulièrement le droit d’exploiter, d’utiliser les résultats, de procéder à des modifications et de rétrocéder ces droits dans un but découlant de l’objet du marché et pour une durée de 10 ans, sur tout le territoire français. </w:t>
      </w:r>
    </w:p>
    <w:p w14:paraId="29C77F50" w14:textId="77777777" w:rsidR="00CC4F02" w:rsidRDefault="00C84FBD">
      <w:pPr>
        <w:pStyle w:val="Normal1"/>
        <w:ind w:firstLine="0"/>
        <w:rPr>
          <w:rFonts w:ascii="Arial" w:hAnsi="Arial" w:cs="Arial"/>
          <w:sz w:val="18"/>
          <w:szCs w:val="18"/>
        </w:rPr>
      </w:pPr>
      <w:r>
        <w:rPr>
          <w:rFonts w:ascii="Arial" w:hAnsi="Arial" w:cs="Arial"/>
          <w:sz w:val="18"/>
          <w:szCs w:val="18"/>
        </w:rPr>
        <w:t xml:space="preserve"> </w:t>
      </w:r>
    </w:p>
    <w:p w14:paraId="656BF1BB" w14:textId="2A21DF27" w:rsidR="00CC4F02" w:rsidRDefault="00C84FBD">
      <w:pPr>
        <w:pStyle w:val="Normal1"/>
        <w:ind w:firstLine="0"/>
        <w:rPr>
          <w:rFonts w:ascii="Arial" w:hAnsi="Arial" w:cs="Arial"/>
          <w:sz w:val="18"/>
          <w:szCs w:val="18"/>
        </w:rPr>
      </w:pPr>
      <w:r>
        <w:rPr>
          <w:rFonts w:ascii="Arial" w:hAnsi="Arial" w:cs="Arial"/>
          <w:sz w:val="18"/>
          <w:szCs w:val="18"/>
        </w:rPr>
        <w:t xml:space="preserve">Les primes pourraient être réduites ou supprimées pour les participants dont les prestations seraient incomplètes ou ne répondraient pas aux exigences du dossier de consultation ou présenteraient un niveau d’études insuffisant. </w:t>
      </w:r>
    </w:p>
    <w:p w14:paraId="792592AF" w14:textId="707AB1B5" w:rsidR="00CC4F02" w:rsidRDefault="00C84FBD">
      <w:pPr>
        <w:pStyle w:val="Normal1"/>
        <w:ind w:firstLine="0"/>
        <w:rPr>
          <w:rFonts w:ascii="Arial" w:hAnsi="Arial" w:cs="Arial"/>
          <w:sz w:val="18"/>
          <w:szCs w:val="18"/>
        </w:rPr>
      </w:pPr>
      <w:r>
        <w:rPr>
          <w:rFonts w:ascii="Arial" w:hAnsi="Arial" w:cs="Arial"/>
          <w:sz w:val="18"/>
          <w:szCs w:val="18"/>
        </w:rPr>
        <w:t xml:space="preserve">Notamment, en cas d’offre inappropriée, inacceptable ou irrégulière, le montant de la prime pourra être réduit ou son montant supprimé dans les conditions suivantes :  </w:t>
      </w:r>
    </w:p>
    <w:p w14:paraId="3179382A" w14:textId="77777777" w:rsidR="00CC4F02" w:rsidRDefault="00C84FBD">
      <w:pPr>
        <w:pStyle w:val="Normal1"/>
        <w:ind w:firstLine="0"/>
        <w:rPr>
          <w:rFonts w:ascii="Arial" w:hAnsi="Arial" w:cs="Arial"/>
          <w:sz w:val="18"/>
          <w:szCs w:val="18"/>
        </w:rPr>
      </w:pPr>
      <w:r>
        <w:rPr>
          <w:rFonts w:ascii="Arial" w:hAnsi="Arial" w:cs="Arial"/>
          <w:sz w:val="18"/>
          <w:szCs w:val="18"/>
        </w:rPr>
        <w:t xml:space="preserve">-  Les offres suivantes ne sauraient donner lieu à l’attribution d’une prime : </w:t>
      </w:r>
    </w:p>
    <w:p w14:paraId="126C6F03" w14:textId="77777777" w:rsidR="00CC4F02" w:rsidRDefault="00C84FBD">
      <w:pPr>
        <w:pStyle w:val="Normal1"/>
        <w:ind w:firstLine="0"/>
        <w:rPr>
          <w:rFonts w:ascii="Arial" w:hAnsi="Arial" w:cs="Arial"/>
          <w:sz w:val="18"/>
          <w:szCs w:val="18"/>
        </w:rPr>
      </w:pPr>
      <w:r>
        <w:rPr>
          <w:rFonts w:ascii="Arial" w:hAnsi="Arial" w:cs="Arial"/>
          <w:sz w:val="18"/>
          <w:szCs w:val="18"/>
        </w:rPr>
        <w:tab/>
        <w:t xml:space="preserve">- Les offres réceptionnées par le maître de l’ouvrage après expiration du délai imparti à cet effet  </w:t>
      </w:r>
    </w:p>
    <w:p w14:paraId="64EB9211" w14:textId="77777777" w:rsidR="00CC4F02" w:rsidRDefault="00C84FBD">
      <w:pPr>
        <w:pStyle w:val="Normal1"/>
        <w:ind w:firstLine="0"/>
        <w:rPr>
          <w:rFonts w:ascii="Arial" w:hAnsi="Arial" w:cs="Arial"/>
          <w:sz w:val="18"/>
          <w:szCs w:val="18"/>
        </w:rPr>
      </w:pPr>
      <w:r>
        <w:rPr>
          <w:rFonts w:ascii="Arial" w:hAnsi="Arial" w:cs="Arial"/>
          <w:sz w:val="18"/>
          <w:szCs w:val="18"/>
        </w:rPr>
        <w:tab/>
        <w:t xml:space="preserve">- Les offres inappropriées   </w:t>
      </w:r>
    </w:p>
    <w:p w14:paraId="3C4F770F" w14:textId="77777777" w:rsidR="00CC4F02" w:rsidRDefault="00C84FBD">
      <w:pPr>
        <w:pStyle w:val="Normal1"/>
        <w:ind w:firstLine="0"/>
        <w:rPr>
          <w:rFonts w:ascii="Arial" w:hAnsi="Arial" w:cs="Arial"/>
          <w:sz w:val="18"/>
          <w:szCs w:val="18"/>
        </w:rPr>
      </w:pPr>
      <w:r>
        <w:rPr>
          <w:rFonts w:ascii="Arial" w:hAnsi="Arial" w:cs="Arial"/>
          <w:sz w:val="18"/>
          <w:szCs w:val="18"/>
        </w:rPr>
        <w:tab/>
        <w:t xml:space="preserve">- Les offres rejetées comme anormalement basses  </w:t>
      </w:r>
    </w:p>
    <w:p w14:paraId="4F974EF8" w14:textId="77777777" w:rsidR="00CC4F02" w:rsidRDefault="00C84FBD">
      <w:pPr>
        <w:pStyle w:val="Normal1"/>
        <w:ind w:firstLine="0"/>
        <w:rPr>
          <w:rFonts w:ascii="Arial" w:hAnsi="Arial" w:cs="Arial"/>
          <w:sz w:val="18"/>
          <w:szCs w:val="18"/>
        </w:rPr>
      </w:pPr>
      <w:r>
        <w:rPr>
          <w:rFonts w:ascii="Arial" w:hAnsi="Arial" w:cs="Arial"/>
          <w:sz w:val="18"/>
          <w:szCs w:val="18"/>
        </w:rPr>
        <w:t xml:space="preserve"> </w:t>
      </w:r>
    </w:p>
    <w:p w14:paraId="7ABD55BC" w14:textId="77777777" w:rsidR="00CC4F02" w:rsidRDefault="00C84FBD">
      <w:pPr>
        <w:pStyle w:val="Normal1"/>
        <w:ind w:firstLine="0"/>
        <w:rPr>
          <w:rFonts w:ascii="Arial" w:hAnsi="Arial" w:cs="Arial"/>
          <w:sz w:val="18"/>
          <w:szCs w:val="18"/>
        </w:rPr>
      </w:pPr>
      <w:r>
        <w:rPr>
          <w:rFonts w:ascii="Arial" w:hAnsi="Arial" w:cs="Arial"/>
          <w:sz w:val="18"/>
          <w:szCs w:val="18"/>
        </w:rPr>
        <w:t xml:space="preserve">-  Les offres suivantes ne donnent lieu qu’à l’attribution d’une prime d’un montant réduit : </w:t>
      </w:r>
    </w:p>
    <w:p w14:paraId="4C8EFEBD" w14:textId="6032F267" w:rsidR="00CC4F02" w:rsidRDefault="00C84FBD">
      <w:pPr>
        <w:pStyle w:val="Normal1"/>
        <w:ind w:firstLine="0"/>
        <w:rPr>
          <w:rFonts w:ascii="Arial" w:hAnsi="Arial" w:cs="Arial"/>
          <w:sz w:val="18"/>
          <w:szCs w:val="18"/>
        </w:rPr>
      </w:pPr>
      <w:r>
        <w:rPr>
          <w:rFonts w:ascii="Arial" w:hAnsi="Arial" w:cs="Arial"/>
          <w:sz w:val="18"/>
          <w:szCs w:val="18"/>
        </w:rPr>
        <w:t xml:space="preserve">Pour les offres irrégulières, la réduction ne pourra être supérieure à 75% du montant de la prime.  </w:t>
      </w:r>
    </w:p>
    <w:p w14:paraId="24CF72CD" w14:textId="77777777" w:rsidR="00CC4F02" w:rsidRDefault="00C84FBD">
      <w:pPr>
        <w:pStyle w:val="Normal1"/>
        <w:ind w:firstLine="0"/>
        <w:rPr>
          <w:rFonts w:ascii="Arial" w:hAnsi="Arial" w:cs="Arial"/>
          <w:sz w:val="18"/>
          <w:szCs w:val="18"/>
        </w:rPr>
      </w:pPr>
      <w:r>
        <w:rPr>
          <w:rFonts w:ascii="Arial" w:hAnsi="Arial" w:cs="Arial"/>
          <w:sz w:val="18"/>
          <w:szCs w:val="18"/>
        </w:rPr>
        <w:t xml:space="preserve"> </w:t>
      </w:r>
    </w:p>
    <w:p w14:paraId="4573E9A8" w14:textId="7736AC1C" w:rsidR="00CC4F02" w:rsidRDefault="00C84FBD">
      <w:pPr>
        <w:pStyle w:val="Normal1"/>
        <w:ind w:firstLine="0"/>
        <w:rPr>
          <w:rFonts w:ascii="Arial" w:hAnsi="Arial" w:cs="Arial"/>
          <w:sz w:val="18"/>
          <w:szCs w:val="18"/>
        </w:rPr>
      </w:pPr>
      <w:r>
        <w:rPr>
          <w:rFonts w:ascii="Arial" w:hAnsi="Arial" w:cs="Arial"/>
          <w:sz w:val="18"/>
          <w:szCs w:val="18"/>
        </w:rPr>
        <w:t xml:space="preserve">-  Les offres qui n’auraient pas eu la capacité d’évoluer et d’être complétées selon les propositions et études au fil du Dialogue. La réduction ne pourra être supérieure à </w:t>
      </w:r>
      <w:r w:rsidR="003432D9">
        <w:rPr>
          <w:rFonts w:ascii="Arial" w:hAnsi="Arial" w:cs="Arial"/>
          <w:sz w:val="18"/>
          <w:szCs w:val="18"/>
        </w:rPr>
        <w:t>50</w:t>
      </w:r>
      <w:r>
        <w:rPr>
          <w:rFonts w:ascii="Arial" w:hAnsi="Arial" w:cs="Arial"/>
          <w:sz w:val="18"/>
          <w:szCs w:val="18"/>
        </w:rPr>
        <w:t xml:space="preserve">% du montant de la prime.  </w:t>
      </w:r>
    </w:p>
    <w:p w14:paraId="0AD79AF1" w14:textId="77777777" w:rsidR="00CC4F02" w:rsidRDefault="00C84FBD">
      <w:pPr>
        <w:pStyle w:val="Normal1"/>
        <w:ind w:firstLine="0"/>
        <w:rPr>
          <w:rFonts w:ascii="Arial" w:hAnsi="Arial" w:cs="Arial"/>
          <w:sz w:val="18"/>
          <w:szCs w:val="18"/>
        </w:rPr>
      </w:pPr>
      <w:r>
        <w:rPr>
          <w:rFonts w:ascii="Arial" w:hAnsi="Arial" w:cs="Arial"/>
          <w:sz w:val="18"/>
          <w:szCs w:val="18"/>
        </w:rPr>
        <w:t xml:space="preserve"> </w:t>
      </w:r>
    </w:p>
    <w:p w14:paraId="0C5FB8EA" w14:textId="77777777" w:rsidR="00CC4F02" w:rsidRDefault="00C84FBD">
      <w:pPr>
        <w:pStyle w:val="Normal1"/>
        <w:ind w:firstLine="0"/>
        <w:rPr>
          <w:rFonts w:ascii="Arial" w:hAnsi="Arial" w:cs="Arial"/>
          <w:sz w:val="18"/>
          <w:szCs w:val="18"/>
        </w:rPr>
      </w:pPr>
      <w:r>
        <w:rPr>
          <w:rFonts w:ascii="Arial" w:hAnsi="Arial" w:cs="Arial"/>
          <w:sz w:val="18"/>
          <w:szCs w:val="18"/>
        </w:rPr>
        <w:t xml:space="preserve">Les groupements évincés feront leur affaire de la répartition de la prime entre leurs membres. </w:t>
      </w:r>
    </w:p>
    <w:p w14:paraId="4F45A6AC" w14:textId="77777777" w:rsidR="00CC4F02" w:rsidRDefault="00C84FBD">
      <w:pPr>
        <w:pStyle w:val="Normal1"/>
        <w:ind w:firstLine="0"/>
        <w:rPr>
          <w:rFonts w:ascii="Arial" w:hAnsi="Arial" w:cs="Arial"/>
          <w:sz w:val="18"/>
          <w:szCs w:val="18"/>
        </w:rPr>
      </w:pPr>
      <w:r>
        <w:rPr>
          <w:rFonts w:ascii="Arial" w:hAnsi="Arial" w:cs="Arial"/>
          <w:sz w:val="18"/>
          <w:szCs w:val="18"/>
        </w:rPr>
        <w:t xml:space="preserve"> </w:t>
      </w:r>
    </w:p>
    <w:p w14:paraId="3E180121" w14:textId="77777777" w:rsidR="00CC4F02" w:rsidRDefault="00C84FBD">
      <w:pPr>
        <w:pStyle w:val="Normal1"/>
        <w:ind w:firstLine="0"/>
        <w:rPr>
          <w:rFonts w:ascii="Arial" w:hAnsi="Arial" w:cs="Arial"/>
          <w:sz w:val="18"/>
          <w:szCs w:val="18"/>
        </w:rPr>
      </w:pPr>
      <w:r>
        <w:rPr>
          <w:rFonts w:ascii="Arial" w:hAnsi="Arial" w:cs="Arial"/>
          <w:sz w:val="18"/>
          <w:szCs w:val="18"/>
        </w:rPr>
        <w:t xml:space="preserve">Il est expressément indiqué que l’attributaire du marché ne bénéficiera d’aucune prime spécifique au titre de sa participation aux différentes phases de la présente procédure de dialogue compétitif, le coût des études et prestations réalisées tout au long de la procédure étant intégré dans le prix forfaitaire du marché qu’il aura proposé. </w:t>
      </w:r>
    </w:p>
    <w:p w14:paraId="39F0375D" w14:textId="77777777" w:rsidR="00CC4F02" w:rsidRDefault="00C84FBD">
      <w:pPr>
        <w:pStyle w:val="Normal1"/>
        <w:ind w:firstLine="0"/>
        <w:rPr>
          <w:rFonts w:ascii="Arial" w:hAnsi="Arial" w:cs="Arial"/>
          <w:sz w:val="18"/>
          <w:szCs w:val="18"/>
        </w:rPr>
      </w:pPr>
      <w:r>
        <w:rPr>
          <w:rFonts w:ascii="Arial" w:hAnsi="Arial" w:cs="Arial"/>
          <w:sz w:val="18"/>
          <w:szCs w:val="18"/>
        </w:rPr>
        <w:t xml:space="preserve"> </w:t>
      </w:r>
    </w:p>
    <w:p w14:paraId="4F88C599" w14:textId="77777777" w:rsidR="00CC4F02" w:rsidRDefault="00C84FBD">
      <w:pPr>
        <w:pStyle w:val="Normal1"/>
        <w:ind w:firstLine="0"/>
        <w:rPr>
          <w:rFonts w:ascii="Arial" w:hAnsi="Arial" w:cs="Arial"/>
          <w:sz w:val="18"/>
          <w:szCs w:val="18"/>
        </w:rPr>
      </w:pPr>
      <w:r>
        <w:rPr>
          <w:rFonts w:ascii="Arial" w:hAnsi="Arial" w:cs="Arial"/>
          <w:sz w:val="18"/>
          <w:szCs w:val="18"/>
        </w:rPr>
        <w:t xml:space="preserve">Ces </w:t>
      </w:r>
      <w:proofErr w:type="gramStart"/>
      <w:r>
        <w:rPr>
          <w:rFonts w:ascii="Arial" w:hAnsi="Arial" w:cs="Arial"/>
          <w:sz w:val="18"/>
          <w:szCs w:val="18"/>
        </w:rPr>
        <w:t>primes  seront</w:t>
      </w:r>
      <w:proofErr w:type="gramEnd"/>
      <w:r>
        <w:rPr>
          <w:rFonts w:ascii="Arial" w:hAnsi="Arial" w:cs="Arial"/>
          <w:sz w:val="18"/>
          <w:szCs w:val="18"/>
        </w:rPr>
        <w:t xml:space="preserve"> payées dans un délai de 30 jours à compter de la date de réception de la facture correspondante, qui ne saurait intervenir avant la réception du courrier de rejet de l’offre du candidat évincé.</w:t>
      </w:r>
    </w:p>
    <w:p w14:paraId="4D115E1D" w14:textId="77777777" w:rsidR="00CC4F02" w:rsidRDefault="00CC4F02">
      <w:pPr>
        <w:jc w:val="both"/>
        <w:rPr>
          <w:rFonts w:ascii="Arial" w:hAnsi="Arial" w:cs="Arial"/>
          <w:sz w:val="18"/>
          <w:szCs w:val="18"/>
        </w:rPr>
      </w:pPr>
    </w:p>
    <w:p w14:paraId="2E546F14" w14:textId="77777777" w:rsidR="00CC4F02" w:rsidRDefault="00C84FBD">
      <w:pPr>
        <w:pStyle w:val="RedPara"/>
        <w:spacing w:after="120"/>
        <w:ind w:firstLine="709"/>
        <w:jc w:val="both"/>
      </w:pPr>
      <w:bookmarkStart w:id="10" w:name="_Toc171945451"/>
      <w:r>
        <w:lastRenderedPageBreak/>
        <w:t>2-6-Forme du marché</w:t>
      </w:r>
      <w:bookmarkEnd w:id="10"/>
    </w:p>
    <w:p w14:paraId="7836255C" w14:textId="77777777" w:rsidR="00CC4F02" w:rsidRDefault="00C84FBD">
      <w:pPr>
        <w:jc w:val="both"/>
        <w:rPr>
          <w:rFonts w:ascii="Arial" w:hAnsi="Arial" w:cs="Arial"/>
          <w:sz w:val="16"/>
          <w:szCs w:val="18"/>
        </w:rPr>
      </w:pPr>
      <w:r>
        <w:rPr>
          <w:rFonts w:ascii="Arial" w:hAnsi="Arial" w:cs="Arial"/>
          <w:sz w:val="18"/>
          <w:szCs w:val="18"/>
        </w:rPr>
        <w:t>Il s’agit d’un marché à phases</w:t>
      </w:r>
      <w:r>
        <w:rPr>
          <w:rFonts w:ascii="Arial" w:hAnsi="Arial" w:cs="Arial"/>
          <w:color w:val="00B050"/>
          <w:sz w:val="18"/>
          <w:szCs w:val="18"/>
        </w:rPr>
        <w:t>.</w:t>
      </w:r>
    </w:p>
    <w:p w14:paraId="5044251E" w14:textId="77777777" w:rsidR="00CC4F02" w:rsidRDefault="00CC4F02">
      <w:pPr>
        <w:jc w:val="both"/>
        <w:rPr>
          <w:rFonts w:ascii="Arial" w:hAnsi="Arial" w:cs="Arial"/>
          <w:sz w:val="16"/>
          <w:szCs w:val="18"/>
        </w:rPr>
      </w:pPr>
    </w:p>
    <w:p w14:paraId="6150E2E9" w14:textId="77777777" w:rsidR="00CC4F02" w:rsidRDefault="00C84FBD">
      <w:pPr>
        <w:pStyle w:val="RedTitre2"/>
        <w:shd w:val="clear" w:color="auto" w:fill="D9D9D9"/>
        <w:jc w:val="both"/>
      </w:pPr>
      <w:bookmarkStart w:id="11" w:name="_Toc171945452"/>
      <w:r>
        <w:rPr>
          <w:b w:val="0"/>
        </w:rPr>
        <w:t xml:space="preserve">Article </w:t>
      </w:r>
      <w:r>
        <w:t>3 - Dispositions générales</w:t>
      </w:r>
      <w:bookmarkEnd w:id="11"/>
    </w:p>
    <w:p w14:paraId="771DFDE0" w14:textId="77777777" w:rsidR="00CC4F02" w:rsidRDefault="00CC4F02">
      <w:pPr>
        <w:jc w:val="both"/>
        <w:rPr>
          <w:rFonts w:ascii="Arial" w:hAnsi="Arial" w:cs="Arial"/>
          <w:sz w:val="16"/>
          <w:szCs w:val="18"/>
        </w:rPr>
      </w:pPr>
    </w:p>
    <w:p w14:paraId="54A17688" w14:textId="77777777" w:rsidR="00CC4F02" w:rsidRDefault="00C84FBD">
      <w:pPr>
        <w:pStyle w:val="RedPara"/>
        <w:spacing w:after="120"/>
        <w:ind w:firstLine="709"/>
        <w:jc w:val="both"/>
      </w:pPr>
      <w:bookmarkStart w:id="12" w:name="_Toc171945453"/>
      <w:r>
        <w:t>3-1-Décomposition du marché</w:t>
      </w:r>
      <w:bookmarkEnd w:id="12"/>
    </w:p>
    <w:p w14:paraId="514D187F" w14:textId="77777777" w:rsidR="00CC4F02" w:rsidRDefault="00C84FBD">
      <w:pPr>
        <w:widowControl w:val="0"/>
        <w:spacing w:before="60" w:after="120"/>
        <w:jc w:val="both"/>
        <w:rPr>
          <w:rFonts w:ascii="Arial" w:hAnsi="Arial" w:cs="Arial"/>
          <w:b/>
          <w:bCs/>
          <w:sz w:val="22"/>
          <w:szCs w:val="22"/>
        </w:rPr>
      </w:pPr>
      <w:r>
        <w:rPr>
          <w:rFonts w:ascii="Arial" w:hAnsi="Arial" w:cs="Arial"/>
          <w:b/>
          <w:bCs/>
          <w:sz w:val="22"/>
          <w:szCs w:val="22"/>
        </w:rPr>
        <w:t>3-1-1-Lots</w:t>
      </w:r>
    </w:p>
    <w:p w14:paraId="15B198DB" w14:textId="77777777" w:rsidR="00CC4F02" w:rsidRDefault="00C84FBD">
      <w:pPr>
        <w:pStyle w:val="RedTxt"/>
        <w:jc w:val="both"/>
      </w:pPr>
      <w:r>
        <w:t>Conformément à l’article L2113-10 du Code de la Commande Publique, le Maître d’ouvrage décide de ne pas allotir le marché, son objet ne permettant pas l'identification de prestations distinctes.</w:t>
      </w:r>
    </w:p>
    <w:p w14:paraId="5941BF6E" w14:textId="77777777" w:rsidR="00CC4F02" w:rsidRDefault="00CC4F02">
      <w:pPr>
        <w:pStyle w:val="RedTxt"/>
      </w:pPr>
    </w:p>
    <w:p w14:paraId="4A59CFCD" w14:textId="77777777" w:rsidR="00CC4F02" w:rsidRDefault="00CC4F02">
      <w:pPr>
        <w:pStyle w:val="RedTxt"/>
        <w:rPr>
          <w:color w:val="FF0000"/>
        </w:rPr>
      </w:pPr>
    </w:p>
    <w:p w14:paraId="7285DA70" w14:textId="77777777" w:rsidR="00CC4F02" w:rsidRDefault="00C84FBD">
      <w:pPr>
        <w:widowControl w:val="0"/>
        <w:spacing w:before="60" w:after="120"/>
        <w:jc w:val="both"/>
        <w:rPr>
          <w:rFonts w:ascii="Arial" w:hAnsi="Arial" w:cs="Arial"/>
          <w:b/>
          <w:bCs/>
          <w:sz w:val="22"/>
          <w:szCs w:val="22"/>
        </w:rPr>
      </w:pPr>
      <w:r>
        <w:rPr>
          <w:rFonts w:ascii="Arial" w:hAnsi="Arial" w:cs="Arial"/>
          <w:b/>
          <w:bCs/>
          <w:sz w:val="22"/>
          <w:szCs w:val="22"/>
        </w:rPr>
        <w:t>3-1-2-Tranches</w:t>
      </w:r>
    </w:p>
    <w:p w14:paraId="1419FB44" w14:textId="77777777" w:rsidR="00CC4F02" w:rsidRDefault="00C84FBD">
      <w:pPr>
        <w:pStyle w:val="RedTxt"/>
        <w:keepLines/>
        <w:widowControl/>
        <w:jc w:val="both"/>
      </w:pPr>
      <w:r>
        <w:t xml:space="preserve">Sans objet </w:t>
      </w:r>
    </w:p>
    <w:p w14:paraId="43C92DDA" w14:textId="77777777" w:rsidR="00CC4F02" w:rsidRDefault="00CC4F02">
      <w:pPr>
        <w:pStyle w:val="RedTxt"/>
        <w:keepLines/>
        <w:widowControl/>
        <w:jc w:val="both"/>
        <w:rPr>
          <w:color w:val="4BACC6"/>
        </w:rPr>
      </w:pPr>
    </w:p>
    <w:p w14:paraId="17F0EF58" w14:textId="77777777" w:rsidR="00CC4F02" w:rsidRDefault="00C84FBD">
      <w:pPr>
        <w:pStyle w:val="RedPara"/>
        <w:spacing w:after="120"/>
        <w:ind w:firstLine="709"/>
        <w:jc w:val="both"/>
      </w:pPr>
      <w:bookmarkStart w:id="13" w:name="_Toc171945454"/>
      <w:r>
        <w:t>3-2-Durée prévisionnelle du marché</w:t>
      </w:r>
      <w:bookmarkEnd w:id="13"/>
      <w:r>
        <w:t xml:space="preserve"> </w:t>
      </w:r>
    </w:p>
    <w:p w14:paraId="111AD312" w14:textId="77777777" w:rsidR="00CC4F02" w:rsidRDefault="00C84FBD">
      <w:pPr>
        <w:pStyle w:val="RedTxt"/>
        <w:jc w:val="both"/>
        <w:rPr>
          <w:szCs w:val="20"/>
        </w:rPr>
      </w:pPr>
      <w:r>
        <w:rPr>
          <w:szCs w:val="20"/>
        </w:rPr>
        <w:t>La durée du marché démarre à compter de la date indiquée dans l’ordre de service de démarrage du premier élément de mission.</w:t>
      </w:r>
    </w:p>
    <w:p w14:paraId="4D2013AF" w14:textId="77777777" w:rsidR="00CC4F02" w:rsidRDefault="00C84FBD">
      <w:pPr>
        <w:pStyle w:val="RedTxt"/>
        <w:jc w:val="both"/>
        <w:rPr>
          <w:szCs w:val="20"/>
        </w:rPr>
      </w:pPr>
      <w:r>
        <w:rPr>
          <w:szCs w:val="20"/>
        </w:rPr>
        <w:t>La mission du groupement s'achève à la fin du délai de "Garantie de parfait achèvement" (prévue à l'article 44.1 2° alinéa du CCAG-Travaux) ou après prolongation de ce délai si les réserves signalées lors de la réception ne sont pas toutes levées à la fin de cette période. Dans cette hypothèse, l'achèvement de la mission intervient lors de la levée de la dernière réserve.</w:t>
      </w:r>
    </w:p>
    <w:p w14:paraId="629FF89D" w14:textId="77777777" w:rsidR="00CC4F02" w:rsidRDefault="00C84FBD">
      <w:pPr>
        <w:pStyle w:val="RedTxt"/>
        <w:jc w:val="both"/>
        <w:rPr>
          <w:szCs w:val="20"/>
        </w:rPr>
      </w:pPr>
      <w:r>
        <w:rPr>
          <w:szCs w:val="20"/>
        </w:rPr>
        <w:t>L'achèvement de la mission fera l'objet d'une décision établie par le Maître de l'ouvrage, constatant que le titulaire a rempli toutes ses obligations.</w:t>
      </w:r>
    </w:p>
    <w:p w14:paraId="2E118949" w14:textId="77777777" w:rsidR="00CC4F02" w:rsidRDefault="00CC4F02">
      <w:pPr>
        <w:pStyle w:val="RedTxt"/>
        <w:jc w:val="both"/>
        <w:rPr>
          <w:szCs w:val="20"/>
        </w:rPr>
      </w:pPr>
    </w:p>
    <w:p w14:paraId="71CC7EB9" w14:textId="77777777" w:rsidR="00CC4F02" w:rsidRDefault="00C84FBD">
      <w:pPr>
        <w:pStyle w:val="RedTxt"/>
        <w:jc w:val="both"/>
        <w:rPr>
          <w:szCs w:val="20"/>
        </w:rPr>
      </w:pPr>
      <w:r>
        <w:rPr>
          <w:szCs w:val="20"/>
        </w:rPr>
        <w:t xml:space="preserve">La durée globale prévisionnelle du marché est estimée à 22 mois, comprenant la garantie de parfait achèvement. </w:t>
      </w:r>
    </w:p>
    <w:p w14:paraId="4D266ACE" w14:textId="77777777" w:rsidR="00CC4F02" w:rsidRDefault="00CC4F02">
      <w:pPr>
        <w:pStyle w:val="RedTxt"/>
        <w:jc w:val="both"/>
        <w:rPr>
          <w:b/>
          <w:bCs/>
          <w:szCs w:val="20"/>
        </w:rPr>
      </w:pPr>
    </w:p>
    <w:p w14:paraId="55DC3461" w14:textId="77777777" w:rsidR="00CC4F02" w:rsidRDefault="00CC4F02">
      <w:pPr>
        <w:pStyle w:val="RedTxt"/>
        <w:ind w:left="357"/>
        <w:rPr>
          <w:b/>
          <w:color w:val="FF0000"/>
          <w:sz w:val="24"/>
          <w:szCs w:val="28"/>
          <w:u w:val="single"/>
        </w:rPr>
      </w:pPr>
    </w:p>
    <w:p w14:paraId="7BD25B61" w14:textId="77777777" w:rsidR="00CC4F02" w:rsidRDefault="00C84FBD">
      <w:pPr>
        <w:pStyle w:val="RedPara"/>
        <w:spacing w:after="120"/>
        <w:ind w:firstLine="709"/>
        <w:jc w:val="both"/>
      </w:pPr>
      <w:bookmarkStart w:id="14" w:name="_Toc171945455"/>
      <w:r>
        <w:t>3-3-Modalités de financement et de paiement</w:t>
      </w:r>
      <w:bookmarkEnd w:id="14"/>
    </w:p>
    <w:p w14:paraId="500898E4" w14:textId="5AB137A5" w:rsidR="00CC4F02" w:rsidRDefault="00C84FBD">
      <w:pPr>
        <w:keepLines/>
        <w:widowControl w:val="0"/>
        <w:jc w:val="both"/>
        <w:rPr>
          <w:rFonts w:ascii="Arial" w:hAnsi="Arial" w:cs="Arial"/>
          <w:sz w:val="18"/>
          <w:szCs w:val="18"/>
        </w:rPr>
      </w:pPr>
      <w:r w:rsidRPr="00FA62B3">
        <w:rPr>
          <w:rFonts w:ascii="Arial" w:hAnsi="Arial" w:cs="Arial"/>
          <w:sz w:val="18"/>
          <w:szCs w:val="18"/>
        </w:rPr>
        <w:t xml:space="preserve">Les modalités </w:t>
      </w:r>
      <w:r w:rsidR="00A64367" w:rsidRPr="00FA62B3">
        <w:rPr>
          <w:rFonts w:ascii="Arial" w:hAnsi="Arial" w:cs="Arial"/>
          <w:sz w:val="18"/>
          <w:szCs w:val="18"/>
        </w:rPr>
        <w:t>de</w:t>
      </w:r>
      <w:r w:rsidR="00A64367">
        <w:rPr>
          <w:rFonts w:ascii="Arial" w:hAnsi="Arial" w:cs="Arial"/>
          <w:sz w:val="18"/>
          <w:szCs w:val="18"/>
        </w:rPr>
        <w:t xml:space="preserve"> paiement sont les suivantes :</w:t>
      </w:r>
    </w:p>
    <w:p w14:paraId="045A48D4" w14:textId="29A4C691" w:rsidR="00A64367" w:rsidRDefault="00A64367">
      <w:pPr>
        <w:keepLines/>
        <w:widowControl w:val="0"/>
        <w:jc w:val="both"/>
        <w:rPr>
          <w:rFonts w:ascii="Arial" w:hAnsi="Arial" w:cs="Arial"/>
          <w:sz w:val="18"/>
          <w:szCs w:val="18"/>
        </w:rPr>
      </w:pPr>
      <w:r>
        <w:rPr>
          <w:rFonts w:ascii="Arial" w:hAnsi="Arial" w:cs="Arial"/>
          <w:sz w:val="18"/>
          <w:szCs w:val="18"/>
        </w:rPr>
        <w:t>- 30 % à la commande</w:t>
      </w:r>
    </w:p>
    <w:p w14:paraId="78A62207" w14:textId="5C7AD170" w:rsidR="00A64367" w:rsidRPr="00FA62B3" w:rsidRDefault="00A64367">
      <w:pPr>
        <w:keepLines/>
        <w:widowControl w:val="0"/>
        <w:jc w:val="both"/>
        <w:rPr>
          <w:rFonts w:ascii="Arial" w:hAnsi="Arial" w:cs="Arial"/>
          <w:sz w:val="18"/>
          <w:szCs w:val="18"/>
        </w:rPr>
      </w:pPr>
      <w:r w:rsidRPr="00FA62B3">
        <w:rPr>
          <w:rFonts w:ascii="Arial" w:hAnsi="Arial" w:cs="Arial"/>
          <w:sz w:val="18"/>
          <w:szCs w:val="18"/>
        </w:rPr>
        <w:t xml:space="preserve">- </w:t>
      </w:r>
      <w:r w:rsidR="00FA62B3" w:rsidRPr="00FA62B3">
        <w:rPr>
          <w:rFonts w:ascii="Arial" w:hAnsi="Arial" w:cs="Arial"/>
          <w:sz w:val="18"/>
          <w:szCs w:val="18"/>
        </w:rPr>
        <w:t>55 % à l’avancement des travaux</w:t>
      </w:r>
    </w:p>
    <w:p w14:paraId="2A91FB00" w14:textId="0D72A545" w:rsidR="00A64367" w:rsidRPr="00FA62B3" w:rsidRDefault="00A64367">
      <w:pPr>
        <w:keepLines/>
        <w:widowControl w:val="0"/>
        <w:jc w:val="both"/>
        <w:rPr>
          <w:rFonts w:ascii="Arial" w:hAnsi="Arial" w:cs="Arial"/>
          <w:sz w:val="18"/>
          <w:szCs w:val="18"/>
        </w:rPr>
      </w:pPr>
      <w:r w:rsidRPr="00FA62B3">
        <w:rPr>
          <w:rFonts w:ascii="Arial" w:hAnsi="Arial" w:cs="Arial"/>
          <w:sz w:val="18"/>
          <w:szCs w:val="18"/>
        </w:rPr>
        <w:t xml:space="preserve">- 15 % de retenu de garanti jusqu’à </w:t>
      </w:r>
      <w:r w:rsidR="00FA62B3" w:rsidRPr="00FA62B3">
        <w:rPr>
          <w:rFonts w:ascii="Arial" w:hAnsi="Arial" w:cs="Arial"/>
          <w:sz w:val="18"/>
          <w:szCs w:val="18"/>
        </w:rPr>
        <w:t>la fin de l’année de l’année de parfait achèvement</w:t>
      </w:r>
    </w:p>
    <w:p w14:paraId="74DE3805" w14:textId="77777777" w:rsidR="00CC4F02" w:rsidRDefault="00CC4F02">
      <w:pPr>
        <w:pStyle w:val="RedTxt"/>
        <w:rPr>
          <w:b/>
          <w:sz w:val="24"/>
          <w:szCs w:val="28"/>
          <w:u w:val="single"/>
        </w:rPr>
      </w:pPr>
    </w:p>
    <w:p w14:paraId="0C1805D1" w14:textId="77777777" w:rsidR="00CC4F02" w:rsidRDefault="00C84FBD">
      <w:pPr>
        <w:pStyle w:val="RedPara"/>
        <w:spacing w:after="120"/>
        <w:ind w:firstLine="709"/>
        <w:jc w:val="both"/>
      </w:pPr>
      <w:bookmarkStart w:id="15" w:name="_Toc171945456"/>
      <w:r>
        <w:t>3-4-Forme juridique de l’attributaire</w:t>
      </w:r>
      <w:bookmarkEnd w:id="15"/>
    </w:p>
    <w:p w14:paraId="10A3C8EB" w14:textId="77777777" w:rsidR="00CC4F02" w:rsidRDefault="00C84FBD">
      <w:pPr>
        <w:pStyle w:val="RedTxt"/>
        <w:keepLines/>
        <w:widowControl/>
        <w:jc w:val="both"/>
      </w:pPr>
      <w:r>
        <w:t>En application des articles R2142-19 à R2142-27 du Code de la Commande Publique, les groupements d’opérateurs économiques peuvent participer à cette consultation. La forme juridique du groupement est libre : groupement solidaire ou groupement conjoint avec mandataire solidaire.</w:t>
      </w:r>
    </w:p>
    <w:p w14:paraId="765F965E" w14:textId="77777777" w:rsidR="00CC4F02" w:rsidRDefault="00CC4F02">
      <w:pPr>
        <w:pStyle w:val="RedTxt"/>
        <w:keepLines/>
        <w:widowControl/>
        <w:jc w:val="both"/>
      </w:pPr>
    </w:p>
    <w:p w14:paraId="4C187A6D" w14:textId="0019B83C" w:rsidR="00CC4F02" w:rsidRDefault="00C84FBD">
      <w:pPr>
        <w:pStyle w:val="RedTxt"/>
        <w:keepLines/>
        <w:widowControl/>
        <w:jc w:val="both"/>
        <w:rPr>
          <w:b/>
        </w:rPr>
      </w:pPr>
      <w:r>
        <w:rPr>
          <w:b/>
        </w:rPr>
        <w:t>Conformément au Code de la Commande Publique, les candidats qui n’ont pas la qualité de mandataire peuvent candidater dans plusieurs groupements, alors que les mandataires ne peuvent pas être candidat</w:t>
      </w:r>
      <w:r w:rsidR="00B14DBE">
        <w:rPr>
          <w:b/>
        </w:rPr>
        <w:t>s</w:t>
      </w:r>
      <w:r>
        <w:rPr>
          <w:b/>
        </w:rPr>
        <w:t xml:space="preserve"> de plus d’un groupement.</w:t>
      </w:r>
    </w:p>
    <w:p w14:paraId="621D7F30" w14:textId="77777777" w:rsidR="00CC4F02" w:rsidRDefault="00CC4F02">
      <w:pPr>
        <w:pStyle w:val="RedTxt"/>
        <w:keepLines/>
        <w:widowControl/>
        <w:jc w:val="both"/>
        <w:rPr>
          <w:b/>
        </w:rPr>
      </w:pPr>
    </w:p>
    <w:p w14:paraId="20A53B3E" w14:textId="77777777" w:rsidR="00CC4F02" w:rsidRDefault="00C84FBD">
      <w:pPr>
        <w:pStyle w:val="RedPara"/>
        <w:spacing w:after="120"/>
        <w:ind w:firstLine="709"/>
        <w:jc w:val="both"/>
      </w:pPr>
      <w:bookmarkStart w:id="16" w:name="_Toc171945457"/>
      <w:r>
        <w:t>3-5-Variantes et Prestations Supplémentaires Éventuelles</w:t>
      </w:r>
      <w:bookmarkEnd w:id="16"/>
      <w:r>
        <w:t xml:space="preserve"> </w:t>
      </w:r>
    </w:p>
    <w:p w14:paraId="7DDE7517" w14:textId="77777777" w:rsidR="00CC4F02" w:rsidRDefault="00C84FBD">
      <w:pPr>
        <w:pStyle w:val="RedRub"/>
        <w:spacing w:before="120" w:after="120"/>
        <w:jc w:val="both"/>
      </w:pPr>
      <w:r>
        <w:t>3-5-1-Variantes</w:t>
      </w:r>
    </w:p>
    <w:p w14:paraId="5A3EDCB4" w14:textId="77777777" w:rsidR="00CC4F02" w:rsidRDefault="00C84FBD">
      <w:pPr>
        <w:pStyle w:val="RedTxt"/>
        <w:pBdr>
          <w:top w:val="single" w:sz="4" w:space="1" w:color="000000"/>
          <w:left w:val="single" w:sz="4" w:space="4" w:color="000000"/>
          <w:bottom w:val="single" w:sz="4" w:space="1" w:color="000000"/>
          <w:right w:val="single" w:sz="4" w:space="4" w:color="000000"/>
        </w:pBdr>
        <w:jc w:val="both"/>
        <w:rPr>
          <w:iCs/>
        </w:rPr>
      </w:pPr>
      <w:r>
        <w:t xml:space="preserve">Les variantes </w:t>
      </w:r>
      <w:r>
        <w:rPr>
          <w:iCs/>
        </w:rPr>
        <w:t>constituent des modifications de spécifications prévues dans la solution de base décrite dans les documents de la consultation.</w:t>
      </w:r>
    </w:p>
    <w:p w14:paraId="38A5CE37" w14:textId="77777777" w:rsidR="00CC4F02" w:rsidRDefault="00CC4F02">
      <w:pPr>
        <w:pStyle w:val="RedTxt"/>
        <w:pBdr>
          <w:top w:val="single" w:sz="4" w:space="1" w:color="000000"/>
          <w:left w:val="single" w:sz="4" w:space="4" w:color="000000"/>
          <w:bottom w:val="single" w:sz="4" w:space="1" w:color="000000"/>
          <w:right w:val="single" w:sz="4" w:space="4" w:color="000000"/>
        </w:pBdr>
        <w:jc w:val="both"/>
        <w:rPr>
          <w:iCs/>
        </w:rPr>
      </w:pPr>
    </w:p>
    <w:p w14:paraId="4BE4F23D" w14:textId="77777777" w:rsidR="00CC4F02" w:rsidRDefault="00C84FBD">
      <w:pPr>
        <w:pStyle w:val="RedTxt"/>
        <w:pBdr>
          <w:top w:val="single" w:sz="4" w:space="1" w:color="000000"/>
          <w:left w:val="single" w:sz="4" w:space="4" w:color="000000"/>
          <w:bottom w:val="single" w:sz="4" w:space="1" w:color="000000"/>
          <w:right w:val="single" w:sz="4" w:space="4" w:color="000000"/>
        </w:pBdr>
        <w:jc w:val="both"/>
        <w:rPr>
          <w:iCs/>
        </w:rPr>
      </w:pPr>
      <w:r>
        <w:rPr>
          <w:iCs/>
        </w:rPr>
        <w:t>Qu’elle soit autorisée ou imposée par le Maître d’ouvrage, la variante se caractérise par deux éléments :</w:t>
      </w:r>
    </w:p>
    <w:p w14:paraId="292DFB55" w14:textId="77777777" w:rsidR="00CC4F02" w:rsidRDefault="00C84FBD">
      <w:pPr>
        <w:pStyle w:val="RedTxt"/>
        <w:pBdr>
          <w:top w:val="single" w:sz="4" w:space="1" w:color="000000"/>
          <w:left w:val="single" w:sz="4" w:space="4" w:color="000000"/>
          <w:bottom w:val="single" w:sz="4" w:space="1" w:color="000000"/>
          <w:right w:val="single" w:sz="4" w:space="4" w:color="000000"/>
        </w:pBdr>
        <w:jc w:val="both"/>
        <w:rPr>
          <w:iCs/>
        </w:rPr>
      </w:pPr>
      <w:r>
        <w:rPr>
          <w:iCs/>
        </w:rPr>
        <w:t>- si elle est retenue, la variante se substitue à la solution de base décrite dans les documents de la consultation, dans ses éléments qui en différent,</w:t>
      </w:r>
    </w:p>
    <w:p w14:paraId="640FB84E" w14:textId="77777777" w:rsidR="00CC4F02" w:rsidRDefault="00C84FBD">
      <w:pPr>
        <w:pStyle w:val="RedTxt"/>
        <w:pBdr>
          <w:top w:val="single" w:sz="4" w:space="1" w:color="000000"/>
          <w:left w:val="single" w:sz="4" w:space="4" w:color="000000"/>
          <w:bottom w:val="single" w:sz="4" w:space="1" w:color="000000"/>
          <w:right w:val="single" w:sz="4" w:space="4" w:color="000000"/>
        </w:pBdr>
        <w:jc w:val="both"/>
        <w:rPr>
          <w:color w:val="FF0000"/>
        </w:rPr>
      </w:pPr>
      <w:r>
        <w:rPr>
          <w:iCs/>
        </w:rPr>
        <w:t>- le choix de retenir une variante ne découle que de l’application des critères d’attribution qui permet de considérer qu’elle est économiquement la plus avantageuse parmi l’ensemble des offres de base et des variantes présentées.</w:t>
      </w:r>
    </w:p>
    <w:p w14:paraId="4A1E6CAA" w14:textId="77777777" w:rsidR="00CC4F02" w:rsidRDefault="00CC4F02">
      <w:pPr>
        <w:widowControl w:val="0"/>
        <w:spacing w:before="60" w:after="60"/>
        <w:jc w:val="both"/>
        <w:rPr>
          <w:rFonts w:ascii="Arial" w:hAnsi="Arial" w:cs="Arial"/>
          <w:b/>
          <w:bCs/>
          <w:sz w:val="22"/>
          <w:szCs w:val="22"/>
        </w:rPr>
      </w:pPr>
    </w:p>
    <w:p w14:paraId="0C3B97EB" w14:textId="77777777" w:rsidR="00CC4F02" w:rsidRDefault="00C84FBD">
      <w:pPr>
        <w:pStyle w:val="RedRub"/>
        <w:spacing w:after="120"/>
        <w:ind w:firstLine="709"/>
        <w:jc w:val="both"/>
      </w:pPr>
      <w:r>
        <w:lastRenderedPageBreak/>
        <w:t>3-5-1-1 Variantes à l’initiative des soumissionnaires</w:t>
      </w:r>
    </w:p>
    <w:p w14:paraId="653FC3E6" w14:textId="77777777" w:rsidR="00CC4F02" w:rsidRDefault="00CC4F02">
      <w:pPr>
        <w:pStyle w:val="RedTxt"/>
        <w:jc w:val="both"/>
      </w:pPr>
    </w:p>
    <w:p w14:paraId="5A4B2ADD" w14:textId="77777777" w:rsidR="00CC4F02" w:rsidRDefault="00C84FBD">
      <w:pPr>
        <w:pStyle w:val="RedTxt"/>
        <w:jc w:val="both"/>
        <w:rPr>
          <w:strike/>
        </w:rPr>
      </w:pPr>
      <w:r>
        <w:t>Les variantes à l’initiative des candidats sont interdites.</w:t>
      </w:r>
    </w:p>
    <w:p w14:paraId="10B85819" w14:textId="77777777" w:rsidR="00CC4F02" w:rsidRDefault="00CC4F02">
      <w:pPr>
        <w:pStyle w:val="RedTxt"/>
        <w:jc w:val="both"/>
        <w:rPr>
          <w:strike/>
        </w:rPr>
      </w:pPr>
    </w:p>
    <w:p w14:paraId="0B187B92" w14:textId="77777777" w:rsidR="00CC4F02" w:rsidRDefault="00CC4F02">
      <w:pPr>
        <w:pStyle w:val="RedTxt"/>
        <w:jc w:val="both"/>
        <w:rPr>
          <w:color w:val="FF0000"/>
        </w:rPr>
      </w:pPr>
    </w:p>
    <w:p w14:paraId="45494444" w14:textId="77777777" w:rsidR="00CC4F02" w:rsidRDefault="00C84FBD">
      <w:pPr>
        <w:pStyle w:val="RedRub"/>
        <w:spacing w:after="120"/>
        <w:ind w:firstLine="709"/>
        <w:jc w:val="both"/>
      </w:pPr>
      <w:r>
        <w:t>3-5-1-2 Variantes exigées par le Maître d’ouvrage</w:t>
      </w:r>
    </w:p>
    <w:p w14:paraId="26CCAF55" w14:textId="77777777" w:rsidR="00CC4F02" w:rsidRDefault="00CC4F02">
      <w:pPr>
        <w:pStyle w:val="RedTxt"/>
        <w:jc w:val="both"/>
      </w:pPr>
    </w:p>
    <w:p w14:paraId="156F266D" w14:textId="77777777" w:rsidR="00CC4F02" w:rsidRDefault="00C84FBD">
      <w:pPr>
        <w:pStyle w:val="RedTxt"/>
        <w:jc w:val="both"/>
      </w:pPr>
      <w:r>
        <w:t>Sans objet</w:t>
      </w:r>
    </w:p>
    <w:p w14:paraId="6421CF34" w14:textId="77777777" w:rsidR="00CC4F02" w:rsidRDefault="00CC4F02">
      <w:pPr>
        <w:pStyle w:val="RedRub"/>
        <w:jc w:val="both"/>
      </w:pPr>
    </w:p>
    <w:p w14:paraId="0016F328" w14:textId="77777777" w:rsidR="00CC4F02" w:rsidRDefault="00C84FBD">
      <w:pPr>
        <w:pStyle w:val="RedRub"/>
        <w:spacing w:after="120"/>
        <w:ind w:firstLine="709"/>
        <w:jc w:val="both"/>
      </w:pPr>
      <w:r>
        <w:t>3-5-1-3 Exigences minimales à respecter et conditions particulières de présentation des variantes</w:t>
      </w:r>
    </w:p>
    <w:p w14:paraId="0B7B0347" w14:textId="77777777" w:rsidR="00CC4F02" w:rsidRDefault="00CC4F02">
      <w:pPr>
        <w:pStyle w:val="RedTxt"/>
        <w:jc w:val="both"/>
        <w:rPr>
          <w:b/>
          <w:szCs w:val="20"/>
        </w:rPr>
      </w:pPr>
    </w:p>
    <w:p w14:paraId="093961B0" w14:textId="77777777" w:rsidR="00CC4F02" w:rsidRDefault="00C84FBD">
      <w:pPr>
        <w:pStyle w:val="RedTxt"/>
        <w:jc w:val="both"/>
        <w:rPr>
          <w:bCs/>
          <w:szCs w:val="20"/>
        </w:rPr>
      </w:pPr>
      <w:r>
        <w:rPr>
          <w:bCs/>
          <w:szCs w:val="20"/>
        </w:rPr>
        <w:t xml:space="preserve">Toute proposition de variante sera rejetée. </w:t>
      </w:r>
    </w:p>
    <w:p w14:paraId="7965421E" w14:textId="77777777" w:rsidR="00CC4F02" w:rsidRDefault="00CC4F02">
      <w:pPr>
        <w:pStyle w:val="RedTxt"/>
        <w:rPr>
          <w:b/>
          <w:sz w:val="24"/>
          <w:szCs w:val="28"/>
          <w:u w:val="single"/>
        </w:rPr>
      </w:pPr>
    </w:p>
    <w:p w14:paraId="3CA674D9" w14:textId="77777777" w:rsidR="00CC4F02" w:rsidRDefault="00C84FBD">
      <w:pPr>
        <w:pStyle w:val="RedRub"/>
        <w:spacing w:after="120"/>
        <w:jc w:val="both"/>
      </w:pPr>
      <w:r>
        <w:t>3-5-2-Prestations supplémentaires Éventuelles (PSE)</w:t>
      </w:r>
    </w:p>
    <w:p w14:paraId="58DD8B83" w14:textId="77777777" w:rsidR="00CC4F02" w:rsidRDefault="00CC4F02">
      <w:pPr>
        <w:pStyle w:val="RedTxt"/>
        <w:jc w:val="both"/>
      </w:pPr>
    </w:p>
    <w:p w14:paraId="463E02E5" w14:textId="77777777" w:rsidR="00CC4F02" w:rsidRDefault="00C84FBD">
      <w:pPr>
        <w:pStyle w:val="RedTxt"/>
        <w:jc w:val="both"/>
      </w:pPr>
      <w:r>
        <w:t>Il n’est pas prévu de PSE.</w:t>
      </w:r>
    </w:p>
    <w:p w14:paraId="5401F105" w14:textId="77777777" w:rsidR="00CC4F02" w:rsidRDefault="00CC4F02">
      <w:pPr>
        <w:pStyle w:val="RedTxt"/>
        <w:spacing w:after="120"/>
        <w:jc w:val="both"/>
      </w:pPr>
    </w:p>
    <w:p w14:paraId="698820E2" w14:textId="77777777" w:rsidR="00CC4F02" w:rsidRDefault="00C84FBD">
      <w:pPr>
        <w:pStyle w:val="RedTitre2"/>
        <w:shd w:val="clear" w:color="auto" w:fill="D9D9D9"/>
        <w:jc w:val="both"/>
      </w:pPr>
      <w:bookmarkStart w:id="17" w:name="_Toc171945458"/>
      <w:r>
        <w:rPr>
          <w:b w:val="0"/>
        </w:rPr>
        <w:t>Article</w:t>
      </w:r>
      <w:r>
        <w:t xml:space="preserve"> 4 - Dossier de consultation</w:t>
      </w:r>
      <w:bookmarkEnd w:id="17"/>
    </w:p>
    <w:p w14:paraId="266276AA" w14:textId="77777777" w:rsidR="00CC4F02" w:rsidRDefault="00CC4F02">
      <w:pPr>
        <w:jc w:val="both"/>
        <w:rPr>
          <w:rFonts w:ascii="Arial" w:hAnsi="Arial" w:cs="Arial"/>
          <w:b/>
          <w:szCs w:val="28"/>
          <w:u w:val="single"/>
        </w:rPr>
      </w:pPr>
    </w:p>
    <w:p w14:paraId="2A6F1533" w14:textId="77777777" w:rsidR="00CC4F02" w:rsidRDefault="00C84FBD">
      <w:pPr>
        <w:pStyle w:val="RedPara"/>
        <w:spacing w:after="120"/>
        <w:ind w:firstLine="709"/>
        <w:jc w:val="both"/>
      </w:pPr>
      <w:bookmarkStart w:id="18" w:name="_Toc171945459"/>
      <w:r>
        <w:t>4-1-Contenu du dossier de consultation</w:t>
      </w:r>
      <w:bookmarkEnd w:id="18"/>
      <w:r>
        <w:t xml:space="preserve"> </w:t>
      </w:r>
    </w:p>
    <w:p w14:paraId="028D1D46" w14:textId="77777777" w:rsidR="00CC4F02" w:rsidRPr="00162648" w:rsidRDefault="00C84FBD">
      <w:pPr>
        <w:keepLines/>
        <w:widowControl w:val="0"/>
        <w:jc w:val="both"/>
        <w:rPr>
          <w:rFonts w:ascii="Arial" w:hAnsi="Arial" w:cs="Arial"/>
          <w:sz w:val="18"/>
          <w:szCs w:val="20"/>
        </w:rPr>
      </w:pPr>
      <w:r>
        <w:rPr>
          <w:rFonts w:ascii="Arial" w:hAnsi="Arial" w:cs="Arial"/>
          <w:sz w:val="18"/>
          <w:szCs w:val="20"/>
        </w:rPr>
        <w:t xml:space="preserve">Le dossier de consultation en phase candidature (liste des pièces à fournir au candidat par le Maître d’ouvrage) </w:t>
      </w:r>
      <w:r w:rsidRPr="00162648">
        <w:rPr>
          <w:rFonts w:ascii="Arial" w:hAnsi="Arial" w:cs="Arial"/>
          <w:sz w:val="18"/>
          <w:szCs w:val="20"/>
        </w:rPr>
        <w:t>comprend les documents suivants :</w:t>
      </w:r>
    </w:p>
    <w:p w14:paraId="7AA8AE70" w14:textId="77777777" w:rsidR="00CC4F02" w:rsidRPr="00162648" w:rsidRDefault="00C84FBD">
      <w:pPr>
        <w:pStyle w:val="RedTxt"/>
        <w:keepLines/>
        <w:widowControl/>
        <w:jc w:val="both"/>
        <w:rPr>
          <w:szCs w:val="20"/>
        </w:rPr>
      </w:pPr>
      <w:r w:rsidRPr="00162648">
        <w:rPr>
          <w:szCs w:val="20"/>
        </w:rPr>
        <w:t>- le présent règlement de la consultation (RC) ;</w:t>
      </w:r>
    </w:p>
    <w:p w14:paraId="3438FEBE" w14:textId="77777777" w:rsidR="00CC4F02" w:rsidRPr="00162648" w:rsidRDefault="00C84FBD">
      <w:pPr>
        <w:pStyle w:val="RedTxt"/>
        <w:keepLines/>
        <w:widowControl/>
        <w:jc w:val="both"/>
        <w:rPr>
          <w:color w:val="FF0000"/>
          <w:szCs w:val="20"/>
        </w:rPr>
      </w:pPr>
      <w:r w:rsidRPr="00162648">
        <w:rPr>
          <w:szCs w:val="20"/>
        </w:rPr>
        <w:t>- la note de présentation programmatique</w:t>
      </w:r>
      <w:r w:rsidRPr="00162648">
        <w:rPr>
          <w:color w:val="FF0000"/>
          <w:szCs w:val="20"/>
        </w:rPr>
        <w:t xml:space="preserve"> ;</w:t>
      </w:r>
    </w:p>
    <w:p w14:paraId="099199C4" w14:textId="426F9E23" w:rsidR="00CC4F02" w:rsidRPr="00162648" w:rsidRDefault="00C84FBD">
      <w:pPr>
        <w:keepLines/>
        <w:widowControl w:val="0"/>
        <w:jc w:val="both"/>
        <w:rPr>
          <w:rFonts w:ascii="Arial" w:hAnsi="Arial" w:cs="Arial"/>
          <w:sz w:val="18"/>
          <w:szCs w:val="20"/>
        </w:rPr>
      </w:pPr>
      <w:r w:rsidRPr="00162648">
        <w:rPr>
          <w:rFonts w:ascii="Arial" w:hAnsi="Arial" w:cs="Arial"/>
          <w:sz w:val="18"/>
          <w:szCs w:val="20"/>
        </w:rPr>
        <w:t xml:space="preserve">- </w:t>
      </w:r>
      <w:r w:rsidR="00162648" w:rsidRPr="00162648">
        <w:rPr>
          <w:rFonts w:ascii="Arial" w:hAnsi="Arial" w:cs="Arial"/>
          <w:sz w:val="18"/>
          <w:szCs w:val="20"/>
        </w:rPr>
        <w:t>L’acte d’engagement</w:t>
      </w:r>
      <w:r w:rsidR="00162648">
        <w:rPr>
          <w:rFonts w:ascii="Arial" w:hAnsi="Arial" w:cs="Arial"/>
          <w:sz w:val="18"/>
          <w:szCs w:val="20"/>
        </w:rPr>
        <w:t xml:space="preserve"> (AE)</w:t>
      </w:r>
      <w:r w:rsidR="00162648" w:rsidRPr="00162648">
        <w:rPr>
          <w:rFonts w:ascii="Arial" w:hAnsi="Arial" w:cs="Arial"/>
          <w:sz w:val="18"/>
          <w:szCs w:val="20"/>
        </w:rPr>
        <w:t xml:space="preserve"> </w:t>
      </w:r>
      <w:r w:rsidRPr="00162648">
        <w:rPr>
          <w:rFonts w:ascii="Arial" w:hAnsi="Arial" w:cs="Arial"/>
          <w:sz w:val="18"/>
          <w:szCs w:val="20"/>
        </w:rPr>
        <w:t>;</w:t>
      </w:r>
    </w:p>
    <w:p w14:paraId="35C65A13" w14:textId="53978B95" w:rsidR="00162648" w:rsidRPr="00162648" w:rsidRDefault="00162648">
      <w:pPr>
        <w:keepLines/>
        <w:widowControl w:val="0"/>
        <w:jc w:val="both"/>
        <w:rPr>
          <w:rFonts w:ascii="Arial" w:hAnsi="Arial" w:cs="Arial"/>
          <w:sz w:val="18"/>
          <w:szCs w:val="20"/>
        </w:rPr>
      </w:pPr>
      <w:r w:rsidRPr="00162648">
        <w:rPr>
          <w:rFonts w:ascii="Arial" w:hAnsi="Arial" w:cs="Arial"/>
          <w:sz w:val="18"/>
          <w:szCs w:val="20"/>
        </w:rPr>
        <w:t xml:space="preserve">- Le </w:t>
      </w:r>
      <w:r>
        <w:rPr>
          <w:rFonts w:ascii="Arial" w:hAnsi="Arial" w:cs="Arial"/>
          <w:sz w:val="18"/>
          <w:szCs w:val="20"/>
        </w:rPr>
        <w:t>Cahier des Clauses Administratives Particulières (</w:t>
      </w:r>
      <w:r w:rsidRPr="00162648">
        <w:rPr>
          <w:rFonts w:ascii="Arial" w:hAnsi="Arial" w:cs="Arial"/>
          <w:sz w:val="18"/>
          <w:szCs w:val="20"/>
        </w:rPr>
        <w:t>CCAP</w:t>
      </w:r>
      <w:r>
        <w:rPr>
          <w:rFonts w:ascii="Arial" w:hAnsi="Arial" w:cs="Arial"/>
          <w:sz w:val="18"/>
          <w:szCs w:val="20"/>
        </w:rPr>
        <w:t>)</w:t>
      </w:r>
      <w:r w:rsidRPr="00162648">
        <w:rPr>
          <w:rFonts w:ascii="Arial" w:hAnsi="Arial" w:cs="Arial"/>
          <w:sz w:val="18"/>
          <w:szCs w:val="20"/>
        </w:rPr>
        <w:t> ;</w:t>
      </w:r>
    </w:p>
    <w:p w14:paraId="472CA25A" w14:textId="086E28D5" w:rsidR="00CC4F02" w:rsidRDefault="00C84FBD">
      <w:pPr>
        <w:keepLines/>
        <w:widowControl w:val="0"/>
        <w:tabs>
          <w:tab w:val="center" w:pos="4536"/>
        </w:tabs>
        <w:jc w:val="both"/>
        <w:rPr>
          <w:rFonts w:ascii="Arial" w:hAnsi="Arial" w:cs="Arial"/>
          <w:sz w:val="18"/>
          <w:szCs w:val="20"/>
        </w:rPr>
      </w:pPr>
      <w:r>
        <w:rPr>
          <w:rFonts w:ascii="Arial" w:hAnsi="Arial" w:cs="Arial"/>
          <w:sz w:val="18"/>
          <w:szCs w:val="20"/>
        </w:rPr>
        <w:tab/>
      </w:r>
    </w:p>
    <w:p w14:paraId="165D1E8E" w14:textId="77777777" w:rsidR="00CC4F02" w:rsidRDefault="00CC4F02">
      <w:pPr>
        <w:keepLines/>
        <w:widowControl w:val="0"/>
        <w:tabs>
          <w:tab w:val="center" w:pos="4536"/>
        </w:tabs>
        <w:jc w:val="both"/>
        <w:rPr>
          <w:rFonts w:ascii="Arial" w:hAnsi="Arial" w:cs="Arial"/>
          <w:sz w:val="18"/>
          <w:szCs w:val="18"/>
        </w:rPr>
      </w:pPr>
    </w:p>
    <w:p w14:paraId="0D69E87C" w14:textId="77777777" w:rsidR="00CC4F02" w:rsidRDefault="00C84FBD">
      <w:pPr>
        <w:pStyle w:val="RedPara"/>
        <w:spacing w:after="120"/>
        <w:ind w:firstLine="709"/>
        <w:jc w:val="both"/>
      </w:pPr>
      <w:bookmarkStart w:id="19" w:name="_Toc171945460"/>
      <w:r>
        <w:t>4-2-Mise à disposition du dossier de consultation par voie électronique</w:t>
      </w:r>
      <w:bookmarkEnd w:id="19"/>
      <w:r>
        <w:t xml:space="preserve"> </w:t>
      </w:r>
    </w:p>
    <w:p w14:paraId="330887AF" w14:textId="77777777" w:rsidR="00CC4F02" w:rsidRDefault="00C84FBD">
      <w:pPr>
        <w:pStyle w:val="RedTxt"/>
        <w:jc w:val="both"/>
      </w:pPr>
      <w:r>
        <w:t xml:space="preserve">Conformément à l'article R2132-2 du Code de la Commande Publique, le Maître d’ouvrage a permis la mise à disposition gratuitement du dossier de consultation par voie électronique. Celui-ci est disponible sur la plate-forme d'administration électronique PLACE (https://www.marches-publics.gouv.fr/.) </w:t>
      </w:r>
    </w:p>
    <w:p w14:paraId="694A059C" w14:textId="77777777" w:rsidR="00CC4F02" w:rsidRDefault="00CC4F02">
      <w:pPr>
        <w:pStyle w:val="RedTxt"/>
        <w:jc w:val="both"/>
        <w:rPr>
          <w:color w:val="FF0000"/>
        </w:rPr>
      </w:pPr>
    </w:p>
    <w:p w14:paraId="57C624FC" w14:textId="77777777" w:rsidR="00CC4F02" w:rsidRDefault="00C84FBD">
      <w:pPr>
        <w:pStyle w:val="RedTxt"/>
        <w:jc w:val="both"/>
      </w:pPr>
      <w:r>
        <w:t xml:space="preserve">Les soumissionnaires devront s'authentifier sur le site et notamment indiquer une adresse courriel électronique valide, générique et </w:t>
      </w:r>
      <w:r>
        <w:rPr>
          <w:u w:val="single"/>
        </w:rPr>
        <w:t>permettant de façon certaine une correspondance électronique</w:t>
      </w:r>
      <w:r>
        <w:t xml:space="preserve"> notamment pour l'envoi d'éventuels compléments, précisions ou rectifications. En cas d’erreur de saisie ou de </w:t>
      </w:r>
      <w:proofErr w:type="gramStart"/>
      <w:r>
        <w:t>non identification</w:t>
      </w:r>
      <w:proofErr w:type="gramEnd"/>
      <w:r>
        <w:t>, aucune réclamation ne pourra être émise.</w:t>
      </w:r>
    </w:p>
    <w:p w14:paraId="6785C64A" w14:textId="77777777" w:rsidR="00CC4F02" w:rsidRDefault="00CC4F02">
      <w:pPr>
        <w:pStyle w:val="RedTxt"/>
        <w:jc w:val="both"/>
      </w:pPr>
    </w:p>
    <w:p w14:paraId="1214F08F" w14:textId="77777777" w:rsidR="00CC4F02" w:rsidRDefault="00C84FBD">
      <w:pPr>
        <w:pStyle w:val="RedPara"/>
        <w:spacing w:after="120"/>
        <w:ind w:firstLine="709"/>
        <w:jc w:val="both"/>
      </w:pPr>
      <w:bookmarkStart w:id="20" w:name="_Toc171945461"/>
      <w:r>
        <w:t>4-3-Modification de détail au dossier de consultation</w:t>
      </w:r>
      <w:bookmarkEnd w:id="20"/>
      <w:r>
        <w:t xml:space="preserve"> </w:t>
      </w:r>
    </w:p>
    <w:p w14:paraId="485D5219" w14:textId="77777777" w:rsidR="00CC4F02" w:rsidRDefault="00C84FBD">
      <w:pPr>
        <w:pStyle w:val="RedTxt"/>
        <w:keepLines/>
        <w:widowControl/>
        <w:jc w:val="both"/>
      </w:pPr>
      <w:r>
        <w:t xml:space="preserve">Le Maître de l'ouvrage se réserve le droit d'apporter au plus tard </w:t>
      </w:r>
      <w:r>
        <w:rPr>
          <w:b/>
        </w:rPr>
        <w:t>6 jours</w:t>
      </w:r>
      <w:r>
        <w:t xml:space="preserve"> avant la date limite fixée pour la remise des offres, des modifications de détail au dossier de consultation.</w:t>
      </w:r>
    </w:p>
    <w:p w14:paraId="3F23731B" w14:textId="77777777" w:rsidR="00CC4F02" w:rsidRDefault="00C84FBD">
      <w:pPr>
        <w:pStyle w:val="RedTxt"/>
        <w:keepLines/>
        <w:widowControl/>
        <w:jc w:val="both"/>
      </w:pPr>
      <w:r>
        <w:t>Les candidats devront alors répondre sur la base du dossier modifié sans pouvoir n’élever aucune réclamation à ce sujet.</w:t>
      </w:r>
    </w:p>
    <w:p w14:paraId="4E03AD79" w14:textId="77777777" w:rsidR="00CC4F02" w:rsidRDefault="00C84FBD">
      <w:pPr>
        <w:pStyle w:val="RedTxt"/>
        <w:keepLines/>
        <w:widowControl/>
        <w:jc w:val="both"/>
      </w:pPr>
      <w:r>
        <w:t>Si, pendant l'étude du dossier par les candidats, la date limite fixée pour la remise des offres est reportée, la disposition précédente est applicable en fonction de cette nouvelle date.</w:t>
      </w:r>
    </w:p>
    <w:p w14:paraId="7E22CC8D" w14:textId="77777777" w:rsidR="00CC4F02" w:rsidRDefault="00CC4F02">
      <w:pPr>
        <w:pStyle w:val="RedTxt"/>
        <w:keepLines/>
        <w:widowControl/>
        <w:jc w:val="both"/>
      </w:pPr>
    </w:p>
    <w:p w14:paraId="180E3603" w14:textId="77777777" w:rsidR="00CC4F02" w:rsidRDefault="00C84FBD">
      <w:pPr>
        <w:pStyle w:val="RedTxt"/>
        <w:keepLines/>
        <w:widowControl/>
        <w:jc w:val="both"/>
      </w:pPr>
      <w:r>
        <w:t xml:space="preserve">L’attention des candidats est attirée sur le fait que seuls ceux ayant téléchargés le dossier de consultation </w:t>
      </w:r>
      <w:r>
        <w:rPr>
          <w:b/>
          <w:u w:val="single"/>
        </w:rPr>
        <w:t>en s’identifiant sur le profil d’acheteur</w:t>
      </w:r>
      <w:r>
        <w:rPr>
          <w:b/>
        </w:rPr>
        <w:t xml:space="preserve"> </w:t>
      </w:r>
      <w:r>
        <w:t>seront informés des modifications des pièces du dossier ou report de date, le cas échéant.</w:t>
      </w:r>
    </w:p>
    <w:p w14:paraId="743ABD12" w14:textId="7C9E2B0A" w:rsidR="000A50F7" w:rsidRDefault="000A50F7">
      <w:pPr>
        <w:rPr>
          <w:rFonts w:ascii="Arial" w:hAnsi="Arial" w:cs="Arial"/>
          <w:sz w:val="18"/>
          <w:szCs w:val="18"/>
        </w:rPr>
      </w:pPr>
      <w:r>
        <w:br w:type="page"/>
      </w:r>
    </w:p>
    <w:p w14:paraId="0C744D49" w14:textId="77777777" w:rsidR="00CC4F02" w:rsidRDefault="00C84FBD">
      <w:pPr>
        <w:pStyle w:val="RedPara"/>
        <w:spacing w:after="120"/>
        <w:ind w:firstLine="709"/>
        <w:jc w:val="both"/>
      </w:pPr>
      <w:bookmarkStart w:id="21" w:name="_Toc171945462"/>
      <w:r>
        <w:lastRenderedPageBreak/>
        <w:t>4-4-Visite des lieux et consultation de document sur site</w:t>
      </w:r>
      <w:bookmarkEnd w:id="21"/>
      <w:r>
        <w:t xml:space="preserve"> </w:t>
      </w:r>
    </w:p>
    <w:p w14:paraId="0A9DC5E7" w14:textId="77777777" w:rsidR="00CC4F02" w:rsidRDefault="00CC4F02">
      <w:pPr>
        <w:pStyle w:val="Normal1"/>
        <w:ind w:firstLine="0"/>
        <w:rPr>
          <w:rFonts w:ascii="Arial" w:hAnsi="Arial" w:cs="Arial"/>
          <w:b/>
          <w:bCs/>
          <w:sz w:val="18"/>
          <w:szCs w:val="18"/>
        </w:rPr>
      </w:pPr>
    </w:p>
    <w:p w14:paraId="61BDD2F5" w14:textId="4984C339" w:rsidR="00CC4F02" w:rsidRDefault="00C84FBD">
      <w:pPr>
        <w:pStyle w:val="Normal1"/>
        <w:ind w:firstLine="0"/>
        <w:rPr>
          <w:rFonts w:ascii="Arial" w:hAnsi="Arial" w:cs="Arial"/>
          <w:b/>
          <w:bCs/>
          <w:sz w:val="18"/>
          <w:szCs w:val="18"/>
        </w:rPr>
      </w:pPr>
      <w:r>
        <w:rPr>
          <w:rFonts w:ascii="Arial" w:hAnsi="Arial" w:cs="Arial"/>
          <w:b/>
          <w:bCs/>
          <w:sz w:val="18"/>
          <w:szCs w:val="18"/>
        </w:rPr>
        <w:t xml:space="preserve">Une visite du site est obligatoire </w:t>
      </w:r>
      <w:r w:rsidR="00CC54C1">
        <w:rPr>
          <w:rFonts w:ascii="Arial" w:hAnsi="Arial" w:cs="Arial"/>
          <w:b/>
          <w:bCs/>
          <w:sz w:val="18"/>
          <w:szCs w:val="18"/>
        </w:rPr>
        <w:t>pour les candidats admis à soumissionner leur offre</w:t>
      </w:r>
      <w:r>
        <w:rPr>
          <w:rFonts w:ascii="Arial" w:hAnsi="Arial" w:cs="Arial"/>
          <w:b/>
          <w:bCs/>
          <w:sz w:val="18"/>
          <w:szCs w:val="18"/>
        </w:rPr>
        <w:t>.</w:t>
      </w:r>
    </w:p>
    <w:p w14:paraId="4A52E901" w14:textId="3C206C38" w:rsidR="00CC4F02" w:rsidRPr="000A50F7" w:rsidRDefault="00C84FBD">
      <w:pPr>
        <w:pStyle w:val="Normal1"/>
        <w:ind w:firstLine="0"/>
        <w:rPr>
          <w:rFonts w:ascii="Arial" w:hAnsi="Arial" w:cs="Arial"/>
          <w:b/>
          <w:bCs/>
          <w:color w:val="FF0000"/>
          <w:sz w:val="18"/>
          <w:szCs w:val="18"/>
        </w:rPr>
      </w:pPr>
      <w:r w:rsidRPr="000A50F7">
        <w:rPr>
          <w:rFonts w:ascii="Arial" w:hAnsi="Arial" w:cs="Arial"/>
          <w:b/>
          <w:bCs/>
          <w:color w:val="FF0000"/>
          <w:sz w:val="18"/>
          <w:szCs w:val="18"/>
        </w:rPr>
        <w:t xml:space="preserve">Les modalités d’organisation de la visite </w:t>
      </w:r>
      <w:r w:rsidR="00CC54C1" w:rsidRPr="000A50F7">
        <w:rPr>
          <w:rFonts w:ascii="Arial" w:hAnsi="Arial" w:cs="Arial"/>
          <w:b/>
          <w:bCs/>
          <w:color w:val="FF0000"/>
          <w:sz w:val="18"/>
          <w:szCs w:val="18"/>
        </w:rPr>
        <w:t xml:space="preserve">sont les suivantes : </w:t>
      </w:r>
    </w:p>
    <w:p w14:paraId="0A428FB7" w14:textId="77777777" w:rsidR="007B6CA9" w:rsidRDefault="007B6CA9">
      <w:pPr>
        <w:pStyle w:val="Normal1"/>
        <w:ind w:firstLine="0"/>
        <w:rPr>
          <w:rFonts w:ascii="Arial" w:hAnsi="Arial" w:cs="Arial"/>
          <w:b/>
          <w:bCs/>
          <w:sz w:val="18"/>
          <w:szCs w:val="18"/>
        </w:rPr>
      </w:pPr>
    </w:p>
    <w:p w14:paraId="21435F4B" w14:textId="0D768708" w:rsidR="007B6CA9" w:rsidRPr="000A50F7" w:rsidRDefault="000A50F7" w:rsidP="007B6CA9">
      <w:pPr>
        <w:pStyle w:val="Normal1"/>
        <w:numPr>
          <w:ilvl w:val="0"/>
          <w:numId w:val="12"/>
        </w:numPr>
        <w:rPr>
          <w:rFonts w:ascii="Arial" w:hAnsi="Arial" w:cs="Arial"/>
          <w:b/>
          <w:bCs/>
          <w:color w:val="FF0000"/>
          <w:sz w:val="18"/>
          <w:szCs w:val="18"/>
        </w:rPr>
      </w:pPr>
      <w:r w:rsidRPr="000A50F7">
        <w:rPr>
          <w:rFonts w:ascii="Arial" w:hAnsi="Arial" w:cs="Arial"/>
          <w:b/>
          <w:bCs/>
          <w:color w:val="FF0000"/>
          <w:sz w:val="18"/>
          <w:szCs w:val="18"/>
        </w:rPr>
        <w:t>Lundi 14 octobre à 10h00</w:t>
      </w:r>
    </w:p>
    <w:p w14:paraId="7500D7FA" w14:textId="5726AF1F" w:rsidR="007B6CA9" w:rsidRPr="007B6CA9" w:rsidRDefault="007B6CA9" w:rsidP="007B6CA9">
      <w:pPr>
        <w:pStyle w:val="Normal1"/>
        <w:numPr>
          <w:ilvl w:val="0"/>
          <w:numId w:val="12"/>
        </w:numPr>
        <w:rPr>
          <w:rFonts w:ascii="Arial" w:hAnsi="Arial" w:cs="Arial"/>
          <w:sz w:val="18"/>
          <w:szCs w:val="18"/>
        </w:rPr>
      </w:pPr>
      <w:r w:rsidRPr="007B6CA9">
        <w:rPr>
          <w:rFonts w:ascii="Arial" w:hAnsi="Arial" w:cs="Arial"/>
          <w:sz w:val="18"/>
          <w:szCs w:val="18"/>
        </w:rPr>
        <w:t>Lieu : Sous-Préfecture de Thann-Guebwiller</w:t>
      </w:r>
    </w:p>
    <w:p w14:paraId="17177E46" w14:textId="342B92C8" w:rsidR="007B6CA9" w:rsidRPr="007B6CA9" w:rsidRDefault="007B6CA9" w:rsidP="007B6CA9">
      <w:pPr>
        <w:pStyle w:val="Normal1"/>
        <w:numPr>
          <w:ilvl w:val="0"/>
          <w:numId w:val="12"/>
        </w:numPr>
        <w:rPr>
          <w:rFonts w:ascii="Arial" w:hAnsi="Arial" w:cs="Arial"/>
          <w:sz w:val="18"/>
          <w:szCs w:val="18"/>
        </w:rPr>
      </w:pPr>
      <w:r w:rsidRPr="007B6CA9">
        <w:rPr>
          <w:rFonts w:ascii="Arial" w:hAnsi="Arial" w:cs="Arial"/>
          <w:sz w:val="18"/>
          <w:szCs w:val="18"/>
        </w:rPr>
        <w:t>4 personnes maximum par groupement pourront participer</w:t>
      </w:r>
    </w:p>
    <w:p w14:paraId="22DCDB02" w14:textId="09C5BEE6" w:rsidR="007B6CA9" w:rsidRPr="007B6CA9" w:rsidRDefault="007B6CA9" w:rsidP="007B6CA9">
      <w:pPr>
        <w:pStyle w:val="Normal1"/>
        <w:numPr>
          <w:ilvl w:val="0"/>
          <w:numId w:val="12"/>
        </w:numPr>
        <w:rPr>
          <w:rFonts w:ascii="Arial" w:hAnsi="Arial" w:cs="Arial"/>
          <w:sz w:val="18"/>
          <w:szCs w:val="18"/>
        </w:rPr>
      </w:pPr>
      <w:r w:rsidRPr="007B6CA9">
        <w:rPr>
          <w:rFonts w:ascii="Arial" w:hAnsi="Arial" w:cs="Arial"/>
          <w:sz w:val="18"/>
          <w:szCs w:val="18"/>
        </w:rPr>
        <w:t>A l’issu de cette visite, une attestation de visite sera remise aux candidats</w:t>
      </w:r>
    </w:p>
    <w:p w14:paraId="69C1A9B2" w14:textId="77777777" w:rsidR="00CC4F02" w:rsidRDefault="00CC4F02">
      <w:pPr>
        <w:rPr>
          <w:rFonts w:ascii="Arial" w:hAnsi="Arial" w:cs="Arial"/>
          <w:b/>
          <w:color w:val="0070C0"/>
          <w:sz w:val="18"/>
          <w:szCs w:val="18"/>
        </w:rPr>
      </w:pPr>
    </w:p>
    <w:p w14:paraId="459805CE" w14:textId="77777777" w:rsidR="00CC4F02" w:rsidRDefault="00CC4F02">
      <w:pPr>
        <w:pStyle w:val="RedTxt"/>
        <w:jc w:val="both"/>
        <w:rPr>
          <w:color w:val="FF0000"/>
        </w:rPr>
      </w:pPr>
    </w:p>
    <w:p w14:paraId="74237824" w14:textId="77777777" w:rsidR="00CC4F02" w:rsidRDefault="00C84FBD">
      <w:pPr>
        <w:pStyle w:val="RedPara"/>
        <w:spacing w:after="120"/>
        <w:ind w:firstLine="709"/>
        <w:jc w:val="both"/>
      </w:pPr>
      <w:bookmarkStart w:id="22" w:name="_Toc171945463"/>
      <w:r>
        <w:t>4-5-Interruption de la procédure</w:t>
      </w:r>
      <w:bookmarkEnd w:id="22"/>
      <w:r>
        <w:t xml:space="preserve"> </w:t>
      </w:r>
    </w:p>
    <w:p w14:paraId="0FC4E1C9" w14:textId="77777777" w:rsidR="00CC4F02" w:rsidRDefault="00C84FBD">
      <w:pPr>
        <w:jc w:val="both"/>
        <w:rPr>
          <w:rFonts w:ascii="Arial" w:hAnsi="Arial" w:cs="Arial"/>
          <w:sz w:val="18"/>
          <w:szCs w:val="18"/>
        </w:rPr>
      </w:pPr>
      <w:r>
        <w:rPr>
          <w:rFonts w:ascii="Arial" w:hAnsi="Arial" w:cs="Arial"/>
          <w:sz w:val="18"/>
          <w:szCs w:val="18"/>
        </w:rPr>
        <w:t>A l’issue de la procédure de consultation, le Maître d’ouvrage se réserve le droit de ne pas donner suite à la consultation. Auquel cas, aucune indemnité ne sera due.</w:t>
      </w:r>
    </w:p>
    <w:p w14:paraId="0F16944B" w14:textId="77777777" w:rsidR="00CC4F02" w:rsidRDefault="00CC4F02">
      <w:pPr>
        <w:jc w:val="both"/>
        <w:rPr>
          <w:rFonts w:ascii="Arial" w:hAnsi="Arial" w:cs="Arial"/>
          <w:sz w:val="18"/>
          <w:szCs w:val="18"/>
        </w:rPr>
      </w:pPr>
    </w:p>
    <w:p w14:paraId="7043C487" w14:textId="77777777" w:rsidR="00CC4F02" w:rsidRDefault="00C84FBD">
      <w:pPr>
        <w:pStyle w:val="RedTitre2"/>
        <w:shd w:val="clear" w:color="auto" w:fill="D9D9D9"/>
        <w:jc w:val="both"/>
      </w:pPr>
      <w:bookmarkStart w:id="23" w:name="_Toc72657382"/>
      <w:bookmarkStart w:id="24" w:name="_Toc171945464"/>
      <w:proofErr w:type="gramStart"/>
      <w:r>
        <w:rPr>
          <w:b w:val="0"/>
        </w:rPr>
        <w:t xml:space="preserve">Article </w:t>
      </w:r>
      <w:r>
        <w:t xml:space="preserve"> 5</w:t>
      </w:r>
      <w:proofErr w:type="gramEnd"/>
      <w:r>
        <w:t xml:space="preserve"> - Présentation des candidatures et des offres</w:t>
      </w:r>
      <w:bookmarkEnd w:id="23"/>
      <w:bookmarkEnd w:id="24"/>
    </w:p>
    <w:p w14:paraId="72D77397" w14:textId="77777777" w:rsidR="00CC4F02" w:rsidRDefault="00CC4F02">
      <w:pPr>
        <w:jc w:val="both"/>
        <w:rPr>
          <w:rFonts w:ascii="Arial" w:hAnsi="Arial" w:cs="Arial"/>
          <w:sz w:val="18"/>
          <w:szCs w:val="18"/>
        </w:rPr>
      </w:pPr>
    </w:p>
    <w:p w14:paraId="4E7A4E22" w14:textId="77777777" w:rsidR="00CC4F02" w:rsidRDefault="00C84FBD">
      <w:pPr>
        <w:pStyle w:val="RedPara"/>
        <w:spacing w:after="120"/>
        <w:ind w:firstLine="709"/>
        <w:jc w:val="both"/>
      </w:pPr>
      <w:bookmarkStart w:id="25" w:name="_Toc23755459"/>
      <w:bookmarkStart w:id="26" w:name="_Toc72657383"/>
      <w:bookmarkStart w:id="27" w:name="_Toc171945465"/>
      <w:r>
        <w:t>5-1-</w:t>
      </w:r>
      <w:bookmarkEnd w:id="25"/>
      <w:bookmarkEnd w:id="26"/>
      <w:r>
        <w:t>Composition des groupements</w:t>
      </w:r>
      <w:bookmarkEnd w:id="27"/>
      <w:r>
        <w:t xml:space="preserve"> </w:t>
      </w:r>
    </w:p>
    <w:p w14:paraId="451445F1" w14:textId="77777777" w:rsidR="00CC4F02" w:rsidRDefault="00CC4F02">
      <w:pPr>
        <w:rPr>
          <w:rFonts w:ascii="Arial" w:hAnsi="Arial" w:cs="Arial"/>
          <w:b/>
          <w:sz w:val="20"/>
          <w:u w:val="single"/>
        </w:rPr>
      </w:pPr>
    </w:p>
    <w:p w14:paraId="35CC155A" w14:textId="77777777" w:rsidR="00CC4F02" w:rsidRDefault="00C84FBD">
      <w:pPr>
        <w:rPr>
          <w:rFonts w:ascii="Arial" w:hAnsi="Arial" w:cs="Arial"/>
          <w:bCs/>
          <w:sz w:val="18"/>
          <w:szCs w:val="22"/>
        </w:rPr>
      </w:pPr>
      <w:r>
        <w:rPr>
          <w:rFonts w:ascii="Arial" w:hAnsi="Arial" w:cs="Arial"/>
          <w:bCs/>
          <w:sz w:val="18"/>
          <w:szCs w:val="22"/>
        </w:rPr>
        <w:t>Le marché sera dévolu soit à un candidat unique, soit à un groupement.</w:t>
      </w:r>
    </w:p>
    <w:p w14:paraId="715BFFA0" w14:textId="77777777" w:rsidR="00CC4F02" w:rsidRDefault="00CC4F02">
      <w:pPr>
        <w:rPr>
          <w:rFonts w:ascii="Arial" w:hAnsi="Arial" w:cs="Arial"/>
          <w:bCs/>
          <w:sz w:val="20"/>
        </w:rPr>
      </w:pPr>
    </w:p>
    <w:p w14:paraId="716A8679" w14:textId="77777777" w:rsidR="00CC4F02" w:rsidRDefault="00C84FBD">
      <w:pPr>
        <w:rPr>
          <w:rFonts w:ascii="Arial" w:hAnsi="Arial" w:cs="Arial"/>
          <w:b/>
          <w:sz w:val="20"/>
          <w:u w:val="single"/>
        </w:rPr>
      </w:pPr>
      <w:r>
        <w:rPr>
          <w:rFonts w:ascii="Arial" w:hAnsi="Arial" w:cs="Arial"/>
          <w:b/>
          <w:sz w:val="20"/>
          <w:u w:val="single"/>
        </w:rPr>
        <w:t xml:space="preserve">L’équipe candidate devra posséder les compétences suivantes : </w:t>
      </w:r>
    </w:p>
    <w:p w14:paraId="1EB5B8C9" w14:textId="77777777" w:rsidR="00CC4F02" w:rsidRDefault="00CC4F02">
      <w:pPr>
        <w:pStyle w:val="RedTxt"/>
        <w:keepLines/>
        <w:widowControl/>
        <w:jc w:val="both"/>
      </w:pPr>
    </w:p>
    <w:p w14:paraId="3C7EAEFE" w14:textId="77777777" w:rsidR="00CC4F02" w:rsidRDefault="00C84FBD">
      <w:pPr>
        <w:pStyle w:val="RedTxt"/>
        <w:keepLines/>
        <w:widowControl/>
        <w:numPr>
          <w:ilvl w:val="0"/>
          <w:numId w:val="1"/>
        </w:numPr>
        <w:jc w:val="both"/>
      </w:pPr>
      <w:r>
        <w:t>Ingénierie des fluides, électricité, chauffage, plomberie</w:t>
      </w:r>
    </w:p>
    <w:p w14:paraId="630C140C" w14:textId="77777777" w:rsidR="00CC4F02" w:rsidRDefault="00C84FBD">
      <w:pPr>
        <w:pStyle w:val="RedTxt"/>
        <w:keepLines/>
        <w:widowControl/>
        <w:numPr>
          <w:ilvl w:val="0"/>
          <w:numId w:val="1"/>
        </w:numPr>
        <w:jc w:val="both"/>
      </w:pPr>
      <w:r>
        <w:t>Ingénierie VRD</w:t>
      </w:r>
    </w:p>
    <w:p w14:paraId="6169FF07" w14:textId="77777777" w:rsidR="00CC4F02" w:rsidRDefault="00C84FBD">
      <w:pPr>
        <w:pStyle w:val="RedTxt"/>
        <w:keepLines/>
        <w:widowControl/>
        <w:numPr>
          <w:ilvl w:val="0"/>
          <w:numId w:val="1"/>
        </w:numPr>
        <w:jc w:val="both"/>
      </w:pPr>
      <w:r>
        <w:t>Travaux d’électricité, chauffage, plomberie, systèmes automatiques de régulation</w:t>
      </w:r>
    </w:p>
    <w:p w14:paraId="3A69943F" w14:textId="77777777" w:rsidR="00CC4F02" w:rsidRDefault="00C84FBD">
      <w:pPr>
        <w:pStyle w:val="RedTxt"/>
        <w:keepLines/>
        <w:widowControl/>
        <w:numPr>
          <w:ilvl w:val="0"/>
          <w:numId w:val="1"/>
        </w:numPr>
        <w:jc w:val="both"/>
      </w:pPr>
      <w:r>
        <w:t>Travaux VRD</w:t>
      </w:r>
    </w:p>
    <w:p w14:paraId="7F691385" w14:textId="77777777" w:rsidR="00CC4F02" w:rsidRDefault="00C84FBD">
      <w:pPr>
        <w:pStyle w:val="RedTxt"/>
        <w:keepLines/>
        <w:widowControl/>
        <w:numPr>
          <w:ilvl w:val="0"/>
          <w:numId w:val="1"/>
        </w:numPr>
        <w:jc w:val="both"/>
      </w:pPr>
      <w:r>
        <w:t>AMO contrat de marché d’exploitation et maintenance des équipements de chauffage</w:t>
      </w:r>
    </w:p>
    <w:p w14:paraId="7D1EBEF6" w14:textId="77777777" w:rsidR="00CC4F02" w:rsidRDefault="00CC4F02">
      <w:pPr>
        <w:pStyle w:val="RedTxt"/>
        <w:keepLines/>
        <w:widowControl/>
        <w:ind w:left="360"/>
        <w:jc w:val="both"/>
      </w:pPr>
    </w:p>
    <w:p w14:paraId="1F90E811" w14:textId="77777777" w:rsidR="00CC4F02" w:rsidRDefault="00C84FBD">
      <w:pPr>
        <w:keepLines/>
        <w:widowControl w:val="0"/>
        <w:jc w:val="both"/>
        <w:rPr>
          <w:rFonts w:ascii="Arial" w:hAnsi="Arial" w:cs="Arial"/>
          <w:sz w:val="18"/>
          <w:szCs w:val="18"/>
        </w:rPr>
      </w:pPr>
      <w:r>
        <w:rPr>
          <w:rFonts w:ascii="Arial" w:hAnsi="Arial" w:cs="Arial"/>
          <w:sz w:val="18"/>
          <w:szCs w:val="18"/>
        </w:rPr>
        <w:t>Le mandataire du groupement ne pourra candidater que dans un seul groupement (dans le cas contraire, tous les groupements dont cette société fait partie seront éliminés).</w:t>
      </w:r>
    </w:p>
    <w:p w14:paraId="01DDE467" w14:textId="77777777" w:rsidR="00B14DBE" w:rsidRDefault="00B14DBE">
      <w:pPr>
        <w:keepLines/>
        <w:widowControl w:val="0"/>
        <w:jc w:val="both"/>
        <w:rPr>
          <w:rFonts w:ascii="Arial" w:hAnsi="Arial" w:cs="Arial"/>
          <w:sz w:val="18"/>
          <w:szCs w:val="18"/>
        </w:rPr>
      </w:pPr>
    </w:p>
    <w:p w14:paraId="1523A207" w14:textId="77777777" w:rsidR="00CC4F02" w:rsidRDefault="00C84FBD">
      <w:pPr>
        <w:pStyle w:val="RedPara"/>
        <w:spacing w:after="120"/>
        <w:ind w:firstLine="709"/>
        <w:jc w:val="both"/>
      </w:pPr>
      <w:bookmarkStart w:id="28" w:name="_Toc171945466"/>
      <w:r>
        <w:t>5-2-Documents à produire</w:t>
      </w:r>
      <w:bookmarkEnd w:id="28"/>
      <w:r>
        <w:t xml:space="preserve"> </w:t>
      </w:r>
    </w:p>
    <w:p w14:paraId="6D21378B" w14:textId="7F811F39" w:rsidR="00CC4F02" w:rsidRDefault="00CC4F02">
      <w:pPr>
        <w:rPr>
          <w:rFonts w:ascii="Arial" w:hAnsi="Arial" w:cs="Arial"/>
          <w:color w:val="FF0000"/>
          <w:sz w:val="18"/>
          <w:szCs w:val="18"/>
        </w:rPr>
      </w:pPr>
    </w:p>
    <w:p w14:paraId="2E5CC8CF" w14:textId="77777777" w:rsidR="00CC4F02" w:rsidRDefault="00C84FBD">
      <w:pPr>
        <w:pStyle w:val="Sous-titre"/>
      </w:pPr>
      <w:r>
        <w:t>Contenu de l'offre :</w:t>
      </w:r>
    </w:p>
    <w:p w14:paraId="384AC6FF" w14:textId="27C0E899" w:rsidR="00A17618" w:rsidRDefault="00A17618" w:rsidP="00A17618">
      <w:pPr>
        <w:pStyle w:val="RedTxt"/>
        <w:jc w:val="both"/>
        <w:rPr>
          <w:sz w:val="20"/>
          <w:u w:val="single"/>
        </w:rPr>
      </w:pPr>
      <w:r>
        <w:rPr>
          <w:bCs/>
          <w:u w:val="single"/>
        </w:rPr>
        <w:t>Chaque candidat aura à produire un dossier complet comprenant :</w:t>
      </w:r>
    </w:p>
    <w:p w14:paraId="38907A9A" w14:textId="77777777" w:rsidR="00CC4F02" w:rsidRDefault="00CC4F02">
      <w:pPr>
        <w:widowControl w:val="0"/>
        <w:jc w:val="both"/>
        <w:rPr>
          <w:rFonts w:ascii="Arial" w:hAnsi="Arial" w:cs="Arial"/>
          <w:sz w:val="18"/>
          <w:szCs w:val="18"/>
        </w:rPr>
      </w:pPr>
    </w:p>
    <w:p w14:paraId="7DCC8810" w14:textId="77777777" w:rsidR="00CC54C1" w:rsidRDefault="00CC54C1" w:rsidP="00CC54C1">
      <w:pPr>
        <w:pStyle w:val="RedTxt"/>
        <w:numPr>
          <w:ilvl w:val="0"/>
          <w:numId w:val="12"/>
        </w:numPr>
        <w:jc w:val="both"/>
      </w:pPr>
      <w:r>
        <w:t>L’Acte d’Engagement (AE) dûment complété</w:t>
      </w:r>
    </w:p>
    <w:p w14:paraId="19BC31C7" w14:textId="155E270B" w:rsidR="00CC4F02" w:rsidRDefault="00A17618" w:rsidP="00A17618">
      <w:pPr>
        <w:pStyle w:val="RedTxt"/>
        <w:numPr>
          <w:ilvl w:val="0"/>
          <w:numId w:val="12"/>
        </w:numPr>
        <w:jc w:val="both"/>
      </w:pPr>
      <w:r>
        <w:t>Un mémoire technique décrivant les travaux à réaliser</w:t>
      </w:r>
      <w:r w:rsidR="00A64367">
        <w:t xml:space="preserve"> et intégrant un bilan des consommations de chauffage</w:t>
      </w:r>
      <w:r>
        <w:t xml:space="preserve">. Un schéma de principe des installations et </w:t>
      </w:r>
      <w:r w:rsidR="00C76FCA">
        <w:t>d</w:t>
      </w:r>
      <w:r>
        <w:t>es fiches techniques des produits sont attendus à ce stade.</w:t>
      </w:r>
    </w:p>
    <w:p w14:paraId="24381716" w14:textId="0B5B913B" w:rsidR="00CC54C1" w:rsidRDefault="00CC54C1" w:rsidP="00A17618">
      <w:pPr>
        <w:pStyle w:val="RedTxt"/>
        <w:numPr>
          <w:ilvl w:val="0"/>
          <w:numId w:val="12"/>
        </w:numPr>
        <w:jc w:val="both"/>
      </w:pPr>
      <w:r>
        <w:t>La décomposition du prix global et forfaitaire (DPGF) portant répartition des taches et des paiements entre les membres du groupement</w:t>
      </w:r>
    </w:p>
    <w:p w14:paraId="32DF513A" w14:textId="77777777" w:rsidR="0040484C" w:rsidRDefault="0040484C">
      <w:pPr>
        <w:pStyle w:val="RedTxt"/>
        <w:jc w:val="both"/>
      </w:pPr>
    </w:p>
    <w:p w14:paraId="7C41AD22" w14:textId="77777777" w:rsidR="00CC4F02" w:rsidRDefault="00CC4F02">
      <w:pPr>
        <w:pStyle w:val="RedTxt"/>
        <w:jc w:val="both"/>
      </w:pPr>
    </w:p>
    <w:p w14:paraId="7E9BEC9B" w14:textId="77777777" w:rsidR="00CC4F02" w:rsidRDefault="00C84FBD">
      <w:pPr>
        <w:pStyle w:val="RedTxt"/>
        <w:jc w:val="both"/>
      </w:pPr>
      <w:r>
        <w:t xml:space="preserve">En outre, pour </w:t>
      </w:r>
      <w:r>
        <w:rPr>
          <w:u w:val="single"/>
        </w:rPr>
        <w:t>chaque sous-traitant présenté dans l'offre</w:t>
      </w:r>
      <w:r>
        <w:t xml:space="preserve">, le candidat devra joindre : </w:t>
      </w:r>
    </w:p>
    <w:p w14:paraId="3ED0EEDE" w14:textId="77777777" w:rsidR="00CC4F02" w:rsidRDefault="00C84FBD">
      <w:pPr>
        <w:pStyle w:val="RedTxt"/>
        <w:numPr>
          <w:ilvl w:val="0"/>
          <w:numId w:val="7"/>
        </w:numPr>
        <w:jc w:val="both"/>
      </w:pPr>
      <w:r>
        <w:t xml:space="preserve">Le formulaire DC4 (disponible sur Internet) ; </w:t>
      </w:r>
    </w:p>
    <w:p w14:paraId="70689E86" w14:textId="77777777" w:rsidR="00CC4F02" w:rsidRDefault="00C84FBD">
      <w:pPr>
        <w:pStyle w:val="RedTxt"/>
        <w:numPr>
          <w:ilvl w:val="0"/>
          <w:numId w:val="7"/>
        </w:numPr>
        <w:jc w:val="both"/>
      </w:pPr>
      <w:r>
        <w:t>Les capacités professionnelles, techniques et financières du sous-traitant ;</w:t>
      </w:r>
    </w:p>
    <w:p w14:paraId="78967FC0" w14:textId="77777777" w:rsidR="00CC4F02" w:rsidRDefault="00C84FBD">
      <w:pPr>
        <w:pStyle w:val="RedTxt"/>
        <w:numPr>
          <w:ilvl w:val="0"/>
          <w:numId w:val="7"/>
        </w:numPr>
        <w:jc w:val="both"/>
      </w:pPr>
      <w:r>
        <w:t>Une déclaration du sous-traitant indiquant qu'il ne tombe pas sous le coup d'une interdiction d'accéder aux marchés publics.</w:t>
      </w:r>
    </w:p>
    <w:p w14:paraId="40AFD95E" w14:textId="77777777" w:rsidR="00CC4F02" w:rsidRDefault="00CC4F02">
      <w:pPr>
        <w:pStyle w:val="RedTxt"/>
        <w:jc w:val="both"/>
      </w:pPr>
    </w:p>
    <w:p w14:paraId="3532C54A" w14:textId="77777777" w:rsidR="00CC4F02" w:rsidRDefault="00C84FBD">
      <w:pPr>
        <w:pStyle w:val="Titre2"/>
        <w:ind w:left="0"/>
        <w:jc w:val="both"/>
        <w:rPr>
          <w:rFonts w:ascii="Arial" w:hAnsi="Arial" w:cs="Arial"/>
          <w:b/>
          <w:bCs/>
          <w:i w:val="0"/>
          <w:iCs/>
          <w:sz w:val="18"/>
          <w:szCs w:val="18"/>
          <w:u w:val="none"/>
        </w:rPr>
      </w:pPr>
      <w:r>
        <w:rPr>
          <w:rFonts w:ascii="Arial" w:hAnsi="Arial" w:cs="Arial"/>
          <w:b/>
          <w:i w:val="0"/>
          <w:sz w:val="18"/>
          <w:szCs w:val="18"/>
          <w:u w:val="none"/>
        </w:rPr>
        <w:t>ATTENTION :</w:t>
      </w:r>
      <w:r>
        <w:rPr>
          <w:rFonts w:ascii="Arial" w:hAnsi="Arial" w:cs="Arial"/>
          <w:i w:val="0"/>
          <w:sz w:val="18"/>
          <w:szCs w:val="18"/>
          <w:u w:val="none"/>
        </w:rPr>
        <w:t xml:space="preserve"> Avant l’attribution du marché, le titulaire pressenti disposera d’un délai maximum de </w:t>
      </w:r>
      <w:r>
        <w:rPr>
          <w:rFonts w:ascii="Arial" w:hAnsi="Arial" w:cs="Arial"/>
          <w:b/>
          <w:i w:val="0"/>
          <w:sz w:val="18"/>
          <w:szCs w:val="18"/>
          <w:u w:val="none"/>
        </w:rPr>
        <w:t>7</w:t>
      </w:r>
      <w:r>
        <w:rPr>
          <w:rFonts w:ascii="Arial" w:hAnsi="Arial" w:cs="Arial"/>
          <w:i w:val="0"/>
          <w:sz w:val="18"/>
          <w:szCs w:val="18"/>
          <w:u w:val="none"/>
        </w:rPr>
        <w:t xml:space="preserve"> </w:t>
      </w:r>
      <w:r>
        <w:rPr>
          <w:rFonts w:ascii="Arial" w:hAnsi="Arial" w:cs="Arial"/>
          <w:b/>
          <w:i w:val="0"/>
          <w:sz w:val="18"/>
          <w:szCs w:val="18"/>
          <w:u w:val="none"/>
        </w:rPr>
        <w:t>jours</w:t>
      </w:r>
      <w:r>
        <w:rPr>
          <w:rFonts w:ascii="Arial" w:hAnsi="Arial" w:cs="Arial"/>
          <w:sz w:val="18"/>
          <w:szCs w:val="18"/>
        </w:rPr>
        <w:t xml:space="preserve"> </w:t>
      </w:r>
      <w:r>
        <w:rPr>
          <w:rFonts w:ascii="Arial" w:hAnsi="Arial" w:cs="Arial"/>
          <w:b/>
          <w:i w:val="0"/>
          <w:sz w:val="18"/>
          <w:szCs w:val="18"/>
          <w:u w:val="none"/>
        </w:rPr>
        <w:t>calendaires</w:t>
      </w:r>
      <w:r>
        <w:rPr>
          <w:rFonts w:ascii="Arial" w:hAnsi="Arial" w:cs="Arial"/>
          <w:i w:val="0"/>
          <w:sz w:val="18"/>
          <w:szCs w:val="18"/>
          <w:u w:val="none"/>
        </w:rPr>
        <w:t xml:space="preserve"> à compter de la réception de la demande faite par le Maître d’ouvrage pour justifier ne pas être dans </w:t>
      </w:r>
      <w:r>
        <w:rPr>
          <w:rFonts w:ascii="Arial" w:hAnsi="Arial" w:cs="Arial"/>
          <w:i w:val="0"/>
          <w:sz w:val="18"/>
          <w:szCs w:val="18"/>
          <w:u w:val="none"/>
        </w:rPr>
        <w:lastRenderedPageBreak/>
        <w:t xml:space="preserve">un cas d’interdiction de soumissionner </w:t>
      </w:r>
      <w:proofErr w:type="gramStart"/>
      <w:r>
        <w:rPr>
          <w:rFonts w:ascii="Arial" w:hAnsi="Arial" w:cs="Arial"/>
          <w:i w:val="0"/>
          <w:sz w:val="18"/>
          <w:szCs w:val="18"/>
          <w:u w:val="none"/>
        </w:rPr>
        <w:t>mentionné</w:t>
      </w:r>
      <w:proofErr w:type="gramEnd"/>
      <w:r>
        <w:rPr>
          <w:rFonts w:ascii="Arial" w:hAnsi="Arial" w:cs="Arial"/>
          <w:i w:val="0"/>
          <w:sz w:val="18"/>
          <w:szCs w:val="18"/>
          <w:u w:val="none"/>
        </w:rPr>
        <w:t xml:space="preserve"> aux articles L2141-1 à L2141-5 et L2141-7 à L2141-11 du Code de la Commande Publique.</w:t>
      </w:r>
    </w:p>
    <w:p w14:paraId="77C76F10" w14:textId="77777777" w:rsidR="00CC4F02" w:rsidRDefault="00C84FBD">
      <w:pPr>
        <w:pStyle w:val="Titre2"/>
        <w:spacing w:before="0"/>
        <w:ind w:left="0"/>
        <w:jc w:val="both"/>
        <w:rPr>
          <w:rFonts w:ascii="Arial" w:hAnsi="Arial" w:cs="Arial"/>
          <w:b/>
          <w:bCs/>
          <w:i w:val="0"/>
          <w:iCs/>
          <w:sz w:val="18"/>
          <w:szCs w:val="18"/>
          <w:u w:val="none"/>
        </w:rPr>
      </w:pPr>
      <w:r>
        <w:rPr>
          <w:rFonts w:ascii="Arial" w:hAnsi="Arial" w:cs="Arial"/>
          <w:i w:val="0"/>
          <w:sz w:val="18"/>
          <w:szCs w:val="18"/>
          <w:u w:val="none"/>
        </w:rPr>
        <w:t xml:space="preserve">Il devra ainsi fournir les éléments justifiant </w:t>
      </w:r>
      <w:proofErr w:type="gramStart"/>
      <w:r>
        <w:rPr>
          <w:rFonts w:ascii="Arial" w:hAnsi="Arial" w:cs="Arial"/>
          <w:i w:val="0"/>
          <w:sz w:val="18"/>
          <w:szCs w:val="18"/>
          <w:u w:val="none"/>
        </w:rPr>
        <w:t>sa situation listés</w:t>
      </w:r>
      <w:proofErr w:type="gramEnd"/>
      <w:r>
        <w:rPr>
          <w:rFonts w:ascii="Arial" w:hAnsi="Arial" w:cs="Arial"/>
          <w:i w:val="0"/>
          <w:sz w:val="18"/>
          <w:szCs w:val="18"/>
          <w:u w:val="none"/>
        </w:rPr>
        <w:t xml:space="preserve"> aux articles R2143-6 à R2143-12 du Code de la Commande Publique et à l’article L241-1 du Code des Assurances. Il pourra ainsi être demandé :</w:t>
      </w:r>
    </w:p>
    <w:p w14:paraId="38FCA815" w14:textId="77777777" w:rsidR="00CC4F02" w:rsidRDefault="00C84FBD">
      <w:pPr>
        <w:pStyle w:val="RedTxt"/>
        <w:keepLines/>
        <w:numPr>
          <w:ilvl w:val="0"/>
          <w:numId w:val="5"/>
        </w:numPr>
        <w:spacing w:after="60"/>
        <w:ind w:left="714" w:hanging="357"/>
        <w:jc w:val="both"/>
      </w:pPr>
      <w:r>
        <w:t>Attestation d’assurance couvrant les risques professionnels pertinents en cours de validité notamment les attestations d’assurance civile et décennale (pour les candidats assujettis à la garantie décennale) ;</w:t>
      </w:r>
    </w:p>
    <w:p w14:paraId="4FC8FD6D" w14:textId="77777777" w:rsidR="00CC4F02" w:rsidRDefault="00C84FBD">
      <w:pPr>
        <w:pStyle w:val="RedTxt"/>
        <w:keepLines/>
        <w:numPr>
          <w:ilvl w:val="0"/>
          <w:numId w:val="5"/>
        </w:numPr>
        <w:spacing w:after="60"/>
        <w:jc w:val="both"/>
        <w:rPr>
          <w:color w:val="000000"/>
        </w:rPr>
      </w:pPr>
      <w:r>
        <w:rPr>
          <w:bCs/>
          <w:color w:val="000000"/>
        </w:rPr>
        <w:t>Le candidat produit son numéro unique d'identification, SIREN, permettant au Maître d’ouvrage d'accéder aux informations pertinentes par le biais d'un système électronique mentionné au 1° de l'article R. 2143-13 ou, s'il est étranger, produit un document délivré par l'autorité judiciaire ou administrative compétente de son pays d'origine ou d'établissement, attestant de l'absence de cas d'exclusion</w:t>
      </w:r>
      <w:r>
        <w:rPr>
          <w:color w:val="000000"/>
        </w:rPr>
        <w:t xml:space="preserve"> </w:t>
      </w:r>
      <w:r>
        <w:t>mentionné à l’article L2141-3 du Code de la Commande Publique ;</w:t>
      </w:r>
    </w:p>
    <w:p w14:paraId="6CAF2998" w14:textId="77777777" w:rsidR="00CC4F02" w:rsidRDefault="00C84FBD">
      <w:pPr>
        <w:pStyle w:val="RedTxt"/>
        <w:keepLines/>
        <w:numPr>
          <w:ilvl w:val="0"/>
          <w:numId w:val="5"/>
        </w:numPr>
        <w:spacing w:after="60"/>
        <w:ind w:left="714" w:hanging="357"/>
        <w:jc w:val="both"/>
      </w:pPr>
      <w:r>
        <w:t xml:space="preserve">Attestation de régularité fiscale datant de </w:t>
      </w:r>
      <w:r>
        <w:rPr>
          <w:b/>
          <w:bCs/>
        </w:rPr>
        <w:t>moins de 3 mois</w:t>
      </w:r>
      <w:r>
        <w:t> ;</w:t>
      </w:r>
    </w:p>
    <w:p w14:paraId="16DB94BF" w14:textId="77777777" w:rsidR="00CC4F02" w:rsidRDefault="00C84FBD">
      <w:pPr>
        <w:pStyle w:val="Paragraphedeliste"/>
        <w:numPr>
          <w:ilvl w:val="0"/>
          <w:numId w:val="5"/>
        </w:numPr>
        <w:jc w:val="both"/>
        <w:rPr>
          <w:rFonts w:ascii="Arial" w:hAnsi="Arial" w:cs="Arial"/>
          <w:sz w:val="18"/>
          <w:szCs w:val="18"/>
        </w:rPr>
      </w:pPr>
      <w:r>
        <w:rPr>
          <w:rFonts w:ascii="Arial" w:hAnsi="Arial" w:cs="Arial"/>
          <w:sz w:val="18"/>
          <w:szCs w:val="18"/>
        </w:rPr>
        <w:t xml:space="preserve">Lorsque l'immatriculation au registre du commerce et des sociétés ou au Registre national des entreprises en tant qu’entreprise du secteur des métiers et de l’artisanat est obligatoire OU lorsque vous exercez une profession réglementée, vous devez produire l'un des documents suivants : </w:t>
      </w:r>
    </w:p>
    <w:p w14:paraId="00E625DA" w14:textId="77777777" w:rsidR="00CC4F02" w:rsidRDefault="00C84FBD">
      <w:pPr>
        <w:pStyle w:val="Paragraphedeliste"/>
        <w:ind w:left="720"/>
        <w:jc w:val="both"/>
        <w:rPr>
          <w:rFonts w:ascii="Arial" w:hAnsi="Arial" w:cs="Arial"/>
          <w:i/>
          <w:sz w:val="18"/>
          <w:szCs w:val="18"/>
        </w:rPr>
      </w:pPr>
      <w:r>
        <w:rPr>
          <w:rFonts w:ascii="Arial" w:hAnsi="Arial" w:cs="Arial"/>
          <w:i/>
          <w:sz w:val="18"/>
          <w:szCs w:val="18"/>
        </w:rPr>
        <w:t xml:space="preserve">- l’extrait de l'inscription au registre du commerce et des sociétés (K ou K bis) datant de moins de 3 </w:t>
      </w:r>
      <w:proofErr w:type="gramStart"/>
      <w:r>
        <w:rPr>
          <w:rFonts w:ascii="Arial" w:hAnsi="Arial" w:cs="Arial"/>
          <w:i/>
          <w:sz w:val="18"/>
          <w:szCs w:val="18"/>
        </w:rPr>
        <w:t>mois;</w:t>
      </w:r>
      <w:proofErr w:type="gramEnd"/>
      <w:r>
        <w:rPr>
          <w:rFonts w:ascii="Arial" w:hAnsi="Arial" w:cs="Arial"/>
          <w:i/>
          <w:sz w:val="18"/>
          <w:szCs w:val="18"/>
        </w:rPr>
        <w:t xml:space="preserve"> </w:t>
      </w:r>
    </w:p>
    <w:p w14:paraId="1846D418" w14:textId="77777777" w:rsidR="00CC4F02" w:rsidRDefault="00C84FBD">
      <w:pPr>
        <w:pStyle w:val="Paragraphedeliste"/>
        <w:ind w:left="720"/>
        <w:jc w:val="both"/>
        <w:rPr>
          <w:rFonts w:ascii="Arial" w:hAnsi="Arial" w:cs="Arial"/>
          <w:i/>
          <w:sz w:val="18"/>
          <w:szCs w:val="18"/>
        </w:rPr>
      </w:pPr>
      <w:r>
        <w:rPr>
          <w:rFonts w:ascii="Arial" w:hAnsi="Arial" w:cs="Arial"/>
          <w:i/>
          <w:sz w:val="18"/>
          <w:szCs w:val="18"/>
        </w:rPr>
        <w:t xml:space="preserve">- l’extrait d’immatriculation au Registre national des entreprises en tant qu’entreprise du secteur des métiers et de l’artisanat ; </w:t>
      </w:r>
    </w:p>
    <w:p w14:paraId="70436386" w14:textId="77777777" w:rsidR="00CC4F02" w:rsidRDefault="00C84FBD">
      <w:pPr>
        <w:pStyle w:val="Paragraphedeliste"/>
        <w:ind w:left="720"/>
        <w:jc w:val="both"/>
        <w:rPr>
          <w:rFonts w:ascii="Arial" w:hAnsi="Arial" w:cs="Arial"/>
          <w:i/>
          <w:sz w:val="18"/>
          <w:szCs w:val="18"/>
        </w:rPr>
      </w:pPr>
      <w:r>
        <w:rPr>
          <w:rFonts w:ascii="Arial" w:hAnsi="Arial" w:cs="Arial"/>
          <w:i/>
          <w:sz w:val="18"/>
          <w:szCs w:val="18"/>
        </w:rPr>
        <w:t xml:space="preserve">- le devis, un document publicitaire ou une correspondance professionnelle, à condition qu'y soient mentionnés le nom ou la dénomination sociale, l'adresse complète et le numéro d'immatriculation au registre du commerce et des sociétés ou au Registre national des entreprises en tant qu’entreprise du secteur des métiers et de l’artisanat ou à une liste ou un tableau d'un ordre professionnel, ou la référence de l'agrément délivré par l'autorité compétente ; </w:t>
      </w:r>
    </w:p>
    <w:p w14:paraId="644E09F8" w14:textId="77777777" w:rsidR="00CC4F02" w:rsidRDefault="00C84FBD">
      <w:pPr>
        <w:pStyle w:val="Paragraphedeliste"/>
        <w:spacing w:after="120"/>
        <w:ind w:left="720"/>
        <w:jc w:val="both"/>
        <w:rPr>
          <w:rFonts w:ascii="Arial" w:hAnsi="Arial" w:cs="Arial"/>
          <w:i/>
          <w:sz w:val="18"/>
          <w:szCs w:val="18"/>
        </w:rPr>
      </w:pPr>
      <w:r>
        <w:rPr>
          <w:rFonts w:ascii="Arial" w:hAnsi="Arial" w:cs="Arial"/>
          <w:i/>
          <w:sz w:val="18"/>
          <w:szCs w:val="18"/>
        </w:rPr>
        <w:t>- l’accusé de réception électronique mentionné à l’article R.123-6 du code de commerce, émanant du greffier du tribunal de commerce compétent ou de la chambre des métiers et de l’artisanat compétente ;</w:t>
      </w:r>
    </w:p>
    <w:p w14:paraId="20E1621C" w14:textId="77777777" w:rsidR="00CC4F02" w:rsidRDefault="00C84FBD">
      <w:pPr>
        <w:pStyle w:val="RedTxt"/>
        <w:keepLines/>
        <w:numPr>
          <w:ilvl w:val="0"/>
          <w:numId w:val="5"/>
        </w:numPr>
        <w:spacing w:after="60"/>
        <w:ind w:left="714" w:hanging="357"/>
        <w:jc w:val="both"/>
      </w:pPr>
      <w:r>
        <w:t xml:space="preserve">Attestation de régularité sociale (attestation de vigilance) URSSAF pour le régime général, SSI pour les indépendants ou MSA pour les agriculteurs faisant désormais également office d’attestation de régularité de la situation de votre société au regard de l’obligation d’emploi des travailleurs handicapés prévue aux articles L5212-2 à L5212-5 du Code du travail datant de </w:t>
      </w:r>
      <w:r>
        <w:rPr>
          <w:b/>
          <w:bCs/>
        </w:rPr>
        <w:t>moins de 6 mois </w:t>
      </w:r>
      <w:r>
        <w:t>;</w:t>
      </w:r>
    </w:p>
    <w:p w14:paraId="017D9F0C" w14:textId="77777777" w:rsidR="00CC4F02" w:rsidRDefault="00C84FBD">
      <w:pPr>
        <w:pStyle w:val="Paragraphedeliste"/>
        <w:numPr>
          <w:ilvl w:val="0"/>
          <w:numId w:val="5"/>
        </w:numPr>
        <w:jc w:val="both"/>
        <w:rPr>
          <w:rFonts w:ascii="Arial" w:hAnsi="Arial" w:cs="Arial"/>
          <w:sz w:val="18"/>
          <w:szCs w:val="18"/>
        </w:rPr>
      </w:pPr>
      <w:r>
        <w:rPr>
          <w:rFonts w:ascii="Arial" w:hAnsi="Arial" w:cs="Arial"/>
          <w:sz w:val="18"/>
          <w:szCs w:val="18"/>
        </w:rPr>
        <w:t>Liste nominative des travailleurs étrangers éventuels. </w:t>
      </w:r>
    </w:p>
    <w:p w14:paraId="4B4B3ECA" w14:textId="77777777" w:rsidR="00CC4F02" w:rsidRDefault="00C84FBD">
      <w:pPr>
        <w:pStyle w:val="Paragraphedeliste"/>
        <w:ind w:left="720"/>
        <w:jc w:val="both"/>
        <w:rPr>
          <w:rFonts w:ascii="Arial" w:eastAsiaTheme="minorHAnsi" w:hAnsi="Arial" w:cs="Arial"/>
          <w:i/>
          <w:iCs/>
          <w:sz w:val="18"/>
          <w:szCs w:val="18"/>
        </w:rPr>
      </w:pPr>
      <w:r>
        <w:rPr>
          <w:rFonts w:ascii="Arial" w:hAnsi="Arial" w:cs="Arial"/>
          <w:i/>
          <w:iCs/>
          <w:sz w:val="18"/>
          <w:szCs w:val="18"/>
        </w:rPr>
        <w:t>La liste nominative des salariés étrangers employés et soumis à l’autorisation de travail prévue à l’article L5221-2 du Code du travail, établie à partir du registre unique du personnel, précise pour chaque salarié :</w:t>
      </w:r>
    </w:p>
    <w:p w14:paraId="20B4A467" w14:textId="77777777" w:rsidR="00CC4F02" w:rsidRDefault="00C84FBD">
      <w:pPr>
        <w:pStyle w:val="Paragraphedeliste"/>
        <w:ind w:left="720"/>
        <w:jc w:val="both"/>
        <w:rPr>
          <w:rFonts w:ascii="Arial" w:hAnsi="Arial" w:cs="Arial"/>
          <w:i/>
          <w:iCs/>
          <w:sz w:val="18"/>
          <w:szCs w:val="18"/>
        </w:rPr>
      </w:pPr>
      <w:r>
        <w:rPr>
          <w:rFonts w:ascii="Arial" w:hAnsi="Arial" w:cs="Arial"/>
          <w:i/>
          <w:iCs/>
          <w:sz w:val="18"/>
          <w:szCs w:val="18"/>
        </w:rPr>
        <w:t>1° Sa date d’embauche,</w:t>
      </w:r>
    </w:p>
    <w:p w14:paraId="4D13BA44" w14:textId="77777777" w:rsidR="00CC4F02" w:rsidRDefault="00C84FBD">
      <w:pPr>
        <w:pStyle w:val="Paragraphedeliste"/>
        <w:ind w:left="720"/>
        <w:jc w:val="both"/>
        <w:rPr>
          <w:rFonts w:ascii="Arial" w:hAnsi="Arial" w:cs="Arial"/>
          <w:i/>
          <w:iCs/>
          <w:sz w:val="18"/>
          <w:szCs w:val="18"/>
        </w:rPr>
      </w:pPr>
      <w:r>
        <w:rPr>
          <w:rFonts w:ascii="Arial" w:hAnsi="Arial" w:cs="Arial"/>
          <w:i/>
          <w:iCs/>
          <w:sz w:val="18"/>
          <w:szCs w:val="18"/>
        </w:rPr>
        <w:t>2° Sa nationalité</w:t>
      </w:r>
    </w:p>
    <w:p w14:paraId="08DD9B0C" w14:textId="77777777" w:rsidR="00CC4F02" w:rsidRDefault="00C84FBD">
      <w:pPr>
        <w:pStyle w:val="Paragraphedeliste"/>
        <w:spacing w:after="120"/>
        <w:ind w:left="720"/>
        <w:jc w:val="both"/>
        <w:rPr>
          <w:rFonts w:ascii="Arial" w:hAnsi="Arial" w:cs="Arial"/>
          <w:i/>
          <w:iCs/>
          <w:sz w:val="18"/>
          <w:szCs w:val="18"/>
        </w:rPr>
      </w:pPr>
      <w:r>
        <w:rPr>
          <w:rFonts w:ascii="Arial" w:hAnsi="Arial" w:cs="Arial"/>
          <w:i/>
          <w:iCs/>
          <w:sz w:val="18"/>
          <w:szCs w:val="18"/>
        </w:rPr>
        <w:t>3° Le type et le numéro d’ordre du titre valant autorisation de travail.</w:t>
      </w:r>
    </w:p>
    <w:p w14:paraId="3891D4C1" w14:textId="77777777" w:rsidR="00CC4F02" w:rsidRDefault="00C84FBD">
      <w:pPr>
        <w:pStyle w:val="Paragraphedeliste"/>
        <w:ind w:left="720"/>
        <w:jc w:val="both"/>
        <w:rPr>
          <w:rFonts w:ascii="Arial" w:hAnsi="Arial" w:cs="Arial"/>
          <w:sz w:val="18"/>
          <w:szCs w:val="18"/>
        </w:rPr>
      </w:pPr>
      <w:r>
        <w:rPr>
          <w:rFonts w:ascii="Arial" w:hAnsi="Arial" w:cs="Arial"/>
          <w:sz w:val="18"/>
          <w:szCs w:val="18"/>
        </w:rPr>
        <w:t>La même obligation s’impose lorsque le prestataire est établi à l’étranger et détache des salariés sur le territoire national.</w:t>
      </w:r>
    </w:p>
    <w:p w14:paraId="4D9BCF32" w14:textId="77777777" w:rsidR="00CC4F02" w:rsidRDefault="00C84FBD">
      <w:pPr>
        <w:pStyle w:val="RedTxt"/>
        <w:spacing w:after="120"/>
        <w:ind w:left="720"/>
        <w:jc w:val="both"/>
        <w:rPr>
          <w:rFonts w:eastAsiaTheme="minorHAnsi"/>
        </w:rPr>
      </w:pPr>
      <w:bookmarkStart w:id="29" w:name="_Hlk128392596"/>
      <w:r>
        <w:t>A défaut, une attestation indiquant ne pas employer de travailleurs étrangers.</w:t>
      </w:r>
      <w:bookmarkEnd w:id="29"/>
    </w:p>
    <w:p w14:paraId="6D689E42" w14:textId="77777777" w:rsidR="00CC4F02" w:rsidRDefault="00C84FBD">
      <w:pPr>
        <w:pStyle w:val="RedTxt"/>
        <w:keepLines/>
        <w:numPr>
          <w:ilvl w:val="0"/>
          <w:numId w:val="5"/>
        </w:numPr>
        <w:jc w:val="both"/>
      </w:pPr>
      <w:r>
        <w:t>RIB</w:t>
      </w:r>
    </w:p>
    <w:p w14:paraId="618C35CC" w14:textId="77777777" w:rsidR="00CC4F02" w:rsidRDefault="00C84FBD">
      <w:pPr>
        <w:pStyle w:val="Titre2"/>
        <w:ind w:left="0"/>
        <w:jc w:val="both"/>
        <w:rPr>
          <w:rFonts w:ascii="Arial" w:hAnsi="Arial" w:cs="Arial"/>
          <w:b/>
          <w:bCs/>
          <w:i w:val="0"/>
          <w:iCs/>
          <w:sz w:val="18"/>
          <w:szCs w:val="18"/>
        </w:rPr>
      </w:pPr>
      <w:r>
        <w:rPr>
          <w:rFonts w:ascii="Arial" w:hAnsi="Arial" w:cs="Arial"/>
          <w:i w:val="0"/>
          <w:sz w:val="18"/>
          <w:szCs w:val="18"/>
        </w:rPr>
        <w:t>En cas de groupement, le mandataire devra transmettre :</w:t>
      </w:r>
    </w:p>
    <w:p w14:paraId="5AF8BBA2" w14:textId="77777777" w:rsidR="00CC4F02" w:rsidRDefault="00C84FBD">
      <w:pPr>
        <w:pStyle w:val="RedTxt"/>
        <w:keepLines/>
        <w:numPr>
          <w:ilvl w:val="0"/>
          <w:numId w:val="8"/>
        </w:numPr>
        <w:jc w:val="both"/>
      </w:pPr>
      <w:r>
        <w:t>Les documents ci-dessus demandés pour chaque membre du groupement</w:t>
      </w:r>
    </w:p>
    <w:p w14:paraId="13431E9B" w14:textId="77777777" w:rsidR="00CC4F02" w:rsidRDefault="00C84FBD">
      <w:pPr>
        <w:pStyle w:val="RedTxt"/>
        <w:keepLines/>
        <w:numPr>
          <w:ilvl w:val="0"/>
          <w:numId w:val="8"/>
        </w:numPr>
        <w:jc w:val="both"/>
      </w:pPr>
      <w:r>
        <w:t>Un document émis par chacun des membres autorisant le trésorier à payeur à verser sur un compte unique le cas échéant</w:t>
      </w:r>
    </w:p>
    <w:p w14:paraId="10F9D13D" w14:textId="77777777" w:rsidR="00CC4F02" w:rsidRDefault="00C84FBD">
      <w:pPr>
        <w:pStyle w:val="RedTxt"/>
        <w:keepLines/>
        <w:numPr>
          <w:ilvl w:val="0"/>
          <w:numId w:val="8"/>
        </w:numPr>
        <w:jc w:val="both"/>
      </w:pPr>
      <w:r>
        <w:t>Le RIB du groupement ou le cas échéant le RIB du mandataire et celui de chacun des membres du groupement.</w:t>
      </w:r>
    </w:p>
    <w:p w14:paraId="5ADCDC16" w14:textId="77777777" w:rsidR="00CC4F02" w:rsidRDefault="00C84FBD">
      <w:pPr>
        <w:pStyle w:val="Titre2"/>
        <w:ind w:left="0"/>
        <w:jc w:val="both"/>
        <w:rPr>
          <w:rFonts w:ascii="Arial" w:hAnsi="Arial" w:cs="Arial"/>
          <w:b/>
          <w:bCs/>
          <w:i w:val="0"/>
          <w:iCs/>
          <w:sz w:val="18"/>
          <w:szCs w:val="18"/>
        </w:rPr>
      </w:pPr>
      <w:r>
        <w:rPr>
          <w:rFonts w:ascii="Arial" w:hAnsi="Arial" w:cs="Arial"/>
          <w:i w:val="0"/>
          <w:sz w:val="18"/>
          <w:szCs w:val="18"/>
        </w:rPr>
        <w:t>En cas de sous-traitance :</w:t>
      </w:r>
    </w:p>
    <w:p w14:paraId="65F42A68" w14:textId="77777777" w:rsidR="00CC4F02" w:rsidRDefault="00C84FBD">
      <w:pPr>
        <w:pStyle w:val="RedTxt"/>
        <w:keepLines/>
        <w:numPr>
          <w:ilvl w:val="0"/>
          <w:numId w:val="9"/>
        </w:numPr>
        <w:jc w:val="both"/>
      </w:pPr>
      <w:r>
        <w:t>Le mandataire devra transmettre les documents ci-dessus demandés pour chaque sous-traitant.</w:t>
      </w:r>
    </w:p>
    <w:p w14:paraId="630BBFA1" w14:textId="77777777" w:rsidR="00CC4F02" w:rsidRDefault="00CC4F02">
      <w:pPr>
        <w:pStyle w:val="RedTxt"/>
        <w:keepLines/>
        <w:jc w:val="both"/>
      </w:pPr>
    </w:p>
    <w:p w14:paraId="54C37A40" w14:textId="77777777" w:rsidR="00CC4F02" w:rsidRDefault="00C84FBD">
      <w:pPr>
        <w:tabs>
          <w:tab w:val="left" w:pos="1171"/>
        </w:tabs>
        <w:rPr>
          <w:rFonts w:ascii="Arial" w:hAnsi="Arial" w:cs="Arial"/>
          <w:bCs/>
          <w:i/>
          <w:iCs/>
          <w:sz w:val="18"/>
          <w:szCs w:val="18"/>
          <w:u w:val="single"/>
        </w:rPr>
      </w:pPr>
      <w:r>
        <w:rPr>
          <w:rFonts w:ascii="Arial" w:hAnsi="Arial" w:cs="Arial"/>
          <w:i/>
          <w:sz w:val="18"/>
          <w:szCs w:val="18"/>
          <w:u w:val="single"/>
        </w:rPr>
        <w:t>Toutes les pièces listées ci-dessus peuvent être fournies dès la remise des offres.</w:t>
      </w:r>
    </w:p>
    <w:p w14:paraId="6A35BF44" w14:textId="77777777" w:rsidR="00CC4F02" w:rsidRDefault="00C84FBD">
      <w:pPr>
        <w:pStyle w:val="Titre2"/>
        <w:ind w:left="0"/>
        <w:jc w:val="both"/>
        <w:rPr>
          <w:rFonts w:ascii="Arial" w:hAnsi="Arial" w:cs="Arial"/>
          <w:b/>
          <w:bCs/>
          <w:i w:val="0"/>
          <w:iCs/>
          <w:sz w:val="18"/>
          <w:szCs w:val="18"/>
          <w:u w:val="none"/>
        </w:rPr>
      </w:pPr>
      <w:r>
        <w:rPr>
          <w:rFonts w:ascii="Arial" w:hAnsi="Arial" w:cs="Arial"/>
          <w:i w:val="0"/>
          <w:sz w:val="18"/>
          <w:szCs w:val="18"/>
          <w:u w:val="none"/>
        </w:rPr>
        <w:t>Conformément à l’article R2144-7 du Code de la Commande Publique, à défaut de production de ces éléments, le marché pourra être attribué au candidat classé en deuxième position dans l’analyse des offres.</w:t>
      </w:r>
    </w:p>
    <w:p w14:paraId="2AF781A0" w14:textId="77777777" w:rsidR="00CC4F02" w:rsidRDefault="00CC4F02">
      <w:pPr>
        <w:jc w:val="both"/>
        <w:rPr>
          <w:rFonts w:ascii="Arial" w:hAnsi="Arial" w:cs="Arial"/>
          <w:b/>
          <w:sz w:val="18"/>
          <w:szCs w:val="28"/>
          <w:u w:val="single"/>
        </w:rPr>
      </w:pPr>
    </w:p>
    <w:p w14:paraId="74349C81" w14:textId="77777777" w:rsidR="00CC4F02" w:rsidRDefault="00C84FBD">
      <w:pPr>
        <w:jc w:val="both"/>
        <w:rPr>
          <w:rFonts w:ascii="Arial" w:hAnsi="Arial" w:cs="Arial"/>
          <w:sz w:val="18"/>
          <w:szCs w:val="22"/>
        </w:rPr>
      </w:pPr>
      <w:r>
        <w:rPr>
          <w:rFonts w:ascii="Arial" w:hAnsi="Arial" w:cs="Arial"/>
          <w:sz w:val="18"/>
          <w:szCs w:val="22"/>
        </w:rPr>
        <w:t xml:space="preserve">Pour rappel, le titulaire qui est établi en France fournit au Maître d’ouvrage tous les 6 mois une attestation de fourniture des déclarations sociales et de paiement des cotisations et contributions de sécurité sociale prévue à l’article L.243-15 du code de la sécurité sociale émanant de l’organisme de protection sociale chargé du recouvrement des contributions, datant de moins de 6 mois. </w:t>
      </w:r>
    </w:p>
    <w:p w14:paraId="216508B6" w14:textId="77777777" w:rsidR="00CC4F02" w:rsidRDefault="00CC4F02">
      <w:pPr>
        <w:jc w:val="both"/>
        <w:rPr>
          <w:rFonts w:ascii="Arial" w:hAnsi="Arial" w:cs="Arial"/>
          <w:b/>
          <w:sz w:val="18"/>
          <w:szCs w:val="28"/>
          <w:u w:val="single"/>
        </w:rPr>
      </w:pPr>
    </w:p>
    <w:p w14:paraId="3C0BEDBB" w14:textId="77777777" w:rsidR="00CC4F02" w:rsidRDefault="00C84FBD">
      <w:pPr>
        <w:pStyle w:val="RedPara"/>
        <w:spacing w:after="120"/>
        <w:ind w:firstLine="709"/>
        <w:jc w:val="both"/>
      </w:pPr>
      <w:bookmarkStart w:id="30" w:name="_Toc171945467"/>
      <w:r>
        <w:lastRenderedPageBreak/>
        <w:t>5-3- Complément à apporter au programme</w:t>
      </w:r>
      <w:bookmarkEnd w:id="30"/>
    </w:p>
    <w:p w14:paraId="30AC00F1" w14:textId="77777777" w:rsidR="00CC4F02" w:rsidRDefault="00C84FBD">
      <w:pPr>
        <w:pStyle w:val="RedTxt"/>
        <w:jc w:val="both"/>
      </w:pPr>
      <w:r>
        <w:t>Les candidats n'ont pas à apporter de complément au programme, sauf dispositions d’ordre public.</w:t>
      </w:r>
    </w:p>
    <w:p w14:paraId="51ACE781" w14:textId="77777777" w:rsidR="00CC4F02" w:rsidRDefault="00C84FBD">
      <w:pPr>
        <w:pStyle w:val="RedTxt"/>
        <w:jc w:val="both"/>
      </w:pPr>
      <w:r>
        <w:t xml:space="preserve">Dans ce cas, le candidat préviendra le Maître d’ouvrage. Ce dernier fera le nécessaire pour modifier les documents de la consultation et avertir l’ensemble des candidats. </w:t>
      </w:r>
    </w:p>
    <w:p w14:paraId="713A246A" w14:textId="77777777" w:rsidR="00CC4F02" w:rsidRDefault="00CC4F02">
      <w:pPr>
        <w:pStyle w:val="RedTxt"/>
        <w:jc w:val="both"/>
      </w:pPr>
    </w:p>
    <w:p w14:paraId="5E93ED91" w14:textId="77777777" w:rsidR="00CC4F02" w:rsidRDefault="00C84FBD">
      <w:pPr>
        <w:pStyle w:val="RedPara"/>
        <w:spacing w:after="120"/>
        <w:ind w:firstLine="709"/>
        <w:jc w:val="both"/>
      </w:pPr>
      <w:bookmarkStart w:id="31" w:name="_Toc171945468"/>
      <w:r>
        <w:t>5-4- Langue de rédaction des propositions</w:t>
      </w:r>
      <w:bookmarkEnd w:id="31"/>
    </w:p>
    <w:p w14:paraId="6C0DC5A4" w14:textId="77777777" w:rsidR="00CC4F02" w:rsidRDefault="00C84FBD">
      <w:pPr>
        <w:jc w:val="both"/>
        <w:rPr>
          <w:rFonts w:ascii="Arial" w:hAnsi="Arial" w:cs="Arial"/>
          <w:sz w:val="18"/>
          <w:szCs w:val="18"/>
        </w:rPr>
      </w:pPr>
      <w:r>
        <w:rPr>
          <w:rFonts w:ascii="Arial" w:hAnsi="Arial" w:cs="Arial"/>
          <w:sz w:val="18"/>
          <w:szCs w:val="18"/>
        </w:rPr>
        <w:t>Les propositions doivent être rédigées en langue française.</w:t>
      </w:r>
    </w:p>
    <w:p w14:paraId="676408FB" w14:textId="77777777" w:rsidR="00CC4F02" w:rsidRDefault="00CC4F02">
      <w:pPr>
        <w:jc w:val="both"/>
        <w:rPr>
          <w:rFonts w:ascii="Arial" w:hAnsi="Arial" w:cs="Arial"/>
          <w:sz w:val="22"/>
        </w:rPr>
      </w:pPr>
    </w:p>
    <w:p w14:paraId="03B96E50" w14:textId="77777777" w:rsidR="00CC4F02" w:rsidRDefault="00C84FBD">
      <w:pPr>
        <w:pStyle w:val="RedPara"/>
        <w:spacing w:after="120"/>
        <w:ind w:firstLine="709"/>
        <w:jc w:val="both"/>
      </w:pPr>
      <w:bookmarkStart w:id="32" w:name="_Toc171945469"/>
      <w:r>
        <w:t>5-5- Unité monétaire</w:t>
      </w:r>
      <w:bookmarkEnd w:id="32"/>
    </w:p>
    <w:p w14:paraId="7BC9A077" w14:textId="77777777" w:rsidR="00CC4F02" w:rsidRDefault="00C84FBD">
      <w:pPr>
        <w:jc w:val="both"/>
        <w:rPr>
          <w:rFonts w:ascii="Arial" w:hAnsi="Arial" w:cs="Arial"/>
          <w:sz w:val="18"/>
          <w:szCs w:val="18"/>
        </w:rPr>
      </w:pPr>
      <w:r>
        <w:rPr>
          <w:rFonts w:ascii="Arial" w:hAnsi="Arial" w:cs="Arial"/>
          <w:sz w:val="18"/>
          <w:szCs w:val="18"/>
        </w:rPr>
        <w:t>Le Maître d’ouvrage conclura le marché dans l'unité monétaire suivante : euro(s).</w:t>
      </w:r>
    </w:p>
    <w:p w14:paraId="011DF849" w14:textId="77777777" w:rsidR="00CC4F02" w:rsidRDefault="00CC4F02">
      <w:pPr>
        <w:jc w:val="both"/>
        <w:rPr>
          <w:rFonts w:ascii="Arial" w:hAnsi="Arial" w:cs="Arial"/>
          <w:sz w:val="18"/>
          <w:szCs w:val="18"/>
        </w:rPr>
      </w:pPr>
    </w:p>
    <w:p w14:paraId="75CAB027" w14:textId="77777777" w:rsidR="00CC4F02" w:rsidRDefault="00C84FBD">
      <w:pPr>
        <w:pStyle w:val="RedPara"/>
        <w:spacing w:after="120"/>
        <w:ind w:firstLine="709"/>
        <w:jc w:val="both"/>
      </w:pPr>
      <w:bookmarkStart w:id="33" w:name="_Toc171945470"/>
      <w:r>
        <w:t>5-6- Délai de validité des propositions</w:t>
      </w:r>
      <w:bookmarkEnd w:id="33"/>
    </w:p>
    <w:p w14:paraId="7BD4CBBD" w14:textId="77777777" w:rsidR="00CC4F02" w:rsidRDefault="00C84FBD">
      <w:pPr>
        <w:jc w:val="both"/>
        <w:rPr>
          <w:rFonts w:ascii="Arial" w:hAnsi="Arial" w:cs="Arial"/>
          <w:sz w:val="18"/>
          <w:szCs w:val="18"/>
        </w:rPr>
      </w:pPr>
      <w:r>
        <w:rPr>
          <w:rFonts w:ascii="Arial" w:hAnsi="Arial" w:cs="Arial"/>
          <w:sz w:val="18"/>
          <w:szCs w:val="18"/>
        </w:rPr>
        <w:t>Le délai de validité des offres est fixé à </w:t>
      </w:r>
      <w:r>
        <w:rPr>
          <w:rFonts w:ascii="Arial" w:hAnsi="Arial" w:cs="Arial"/>
          <w:b/>
          <w:color w:val="00B050"/>
          <w:sz w:val="18"/>
          <w:szCs w:val="18"/>
        </w:rPr>
        <w:t>:</w:t>
      </w:r>
    </w:p>
    <w:p w14:paraId="2D991BE8" w14:textId="77777777" w:rsidR="00CC4F02" w:rsidRDefault="00CC4F02">
      <w:pPr>
        <w:pStyle w:val="RedTxt"/>
        <w:jc w:val="both"/>
        <w:rPr>
          <w:b/>
          <w:bCs/>
          <w:color w:val="FF0000"/>
        </w:rPr>
      </w:pPr>
    </w:p>
    <w:p w14:paraId="65D04BB3" w14:textId="77777777" w:rsidR="00CC4F02" w:rsidRDefault="00C84FBD">
      <w:pPr>
        <w:pStyle w:val="RedTxt"/>
        <w:ind w:firstLine="709"/>
        <w:jc w:val="both"/>
      </w:pPr>
      <w:r>
        <w:fldChar w:fldCharType="begin">
          <w:ffData>
            <w:name w:val=""/>
            <w:enabled/>
            <w:calcOnExit w:val="0"/>
            <w:checkBox>
              <w:sizeAuto/>
              <w:default w:val="0"/>
              <w:checked/>
            </w:checkBox>
          </w:ffData>
        </w:fldChar>
      </w:r>
      <w:r>
        <w:instrText xml:space="preserve"> FORMCHECKBOX </w:instrText>
      </w:r>
      <w:r>
        <w:fldChar w:fldCharType="separate"/>
      </w:r>
      <w:bookmarkStart w:id="34" w:name="Bookmark"/>
      <w:bookmarkEnd w:id="34"/>
      <w:r>
        <w:fldChar w:fldCharType="end"/>
      </w:r>
      <w:bookmarkStart w:id="35" w:name="CaseACocher109"/>
      <w:bookmarkEnd w:id="35"/>
      <w:r>
        <w:rPr>
          <w:b/>
          <w:bCs/>
        </w:rPr>
        <w:t xml:space="preserve"> 90 jours</w:t>
      </w:r>
      <w:r>
        <w:t xml:space="preserve"> </w:t>
      </w:r>
    </w:p>
    <w:p w14:paraId="02F5099E" w14:textId="77777777" w:rsidR="00CC4F02" w:rsidRDefault="00CC4F02">
      <w:pPr>
        <w:pStyle w:val="RedTxt"/>
        <w:jc w:val="both"/>
      </w:pPr>
    </w:p>
    <w:p w14:paraId="0D7EA1FB" w14:textId="77777777" w:rsidR="00CC4F02" w:rsidRDefault="00CC4F02">
      <w:pPr>
        <w:jc w:val="both"/>
        <w:rPr>
          <w:rFonts w:ascii="Arial" w:hAnsi="Arial" w:cs="Arial"/>
          <w:sz w:val="18"/>
          <w:szCs w:val="18"/>
        </w:rPr>
      </w:pPr>
    </w:p>
    <w:p w14:paraId="4E18DAC6" w14:textId="77777777" w:rsidR="00CC4F02" w:rsidRDefault="00C84FBD">
      <w:pPr>
        <w:jc w:val="both"/>
        <w:rPr>
          <w:rFonts w:ascii="Arial" w:hAnsi="Arial" w:cs="Arial"/>
          <w:sz w:val="18"/>
          <w:szCs w:val="18"/>
        </w:rPr>
      </w:pPr>
      <w:proofErr w:type="gramStart"/>
      <w:r>
        <w:rPr>
          <w:rFonts w:ascii="Arial" w:hAnsi="Arial" w:cs="Arial"/>
          <w:sz w:val="18"/>
          <w:szCs w:val="18"/>
        </w:rPr>
        <w:t>à</w:t>
      </w:r>
      <w:proofErr w:type="gramEnd"/>
      <w:r>
        <w:rPr>
          <w:rFonts w:ascii="Arial" w:hAnsi="Arial" w:cs="Arial"/>
          <w:sz w:val="18"/>
          <w:szCs w:val="18"/>
        </w:rPr>
        <w:t xml:space="preserve"> compter de la date limite de remise des propositions.</w:t>
      </w:r>
    </w:p>
    <w:p w14:paraId="2A8DBE70" w14:textId="77777777" w:rsidR="00CC4F02" w:rsidRDefault="00CC4F02">
      <w:pPr>
        <w:jc w:val="both"/>
        <w:rPr>
          <w:rFonts w:ascii="Arial" w:hAnsi="Arial" w:cs="Arial"/>
          <w:b/>
          <w:bCs/>
          <w:sz w:val="20"/>
          <w:szCs w:val="20"/>
        </w:rPr>
      </w:pPr>
    </w:p>
    <w:p w14:paraId="1ACFA6BB" w14:textId="77777777" w:rsidR="00CC4F02" w:rsidRDefault="00C84FBD">
      <w:pPr>
        <w:pStyle w:val="RedPara"/>
        <w:spacing w:after="120"/>
        <w:ind w:firstLine="709"/>
        <w:jc w:val="both"/>
      </w:pPr>
      <w:bookmarkStart w:id="36" w:name="_Toc171945471"/>
      <w:r>
        <w:t>5-7- Modalités de remise des plis</w:t>
      </w:r>
      <w:bookmarkEnd w:id="36"/>
    </w:p>
    <w:p w14:paraId="2B3C17D2" w14:textId="77777777" w:rsidR="00CC4F02" w:rsidRDefault="00C84FBD">
      <w:pPr>
        <w:jc w:val="both"/>
        <w:rPr>
          <w:rFonts w:ascii="Arial" w:hAnsi="Arial" w:cs="Arial"/>
          <w:b/>
          <w:i/>
          <w:color w:val="44546A" w:themeColor="text2"/>
          <w:sz w:val="18"/>
          <w:szCs w:val="18"/>
        </w:rPr>
      </w:pPr>
      <w:r>
        <w:rPr>
          <w:rFonts w:ascii="Arial" w:hAnsi="Arial" w:cs="Arial"/>
          <w:b/>
          <w:i/>
          <w:color w:val="44546A" w:themeColor="text2"/>
          <w:sz w:val="18"/>
          <w:szCs w:val="18"/>
        </w:rPr>
        <w:t xml:space="preserve"> </w:t>
      </w:r>
    </w:p>
    <w:p w14:paraId="3B6A9C7F" w14:textId="77777777" w:rsidR="00CC4F02" w:rsidRDefault="00C84FBD">
      <w:pPr>
        <w:pStyle w:val="RedTxt"/>
        <w:spacing w:after="120"/>
        <w:jc w:val="both"/>
      </w:pPr>
      <w:r>
        <w:rPr>
          <w:b/>
          <w:bCs/>
          <w:u w:val="single"/>
        </w:rPr>
        <w:t>Remise des plis par voie électronique :</w:t>
      </w:r>
    </w:p>
    <w:p w14:paraId="04027960" w14:textId="77777777" w:rsidR="00CC4F02" w:rsidRDefault="00C84FBD">
      <w:pPr>
        <w:pStyle w:val="RedTxt"/>
        <w:jc w:val="both"/>
      </w:pPr>
      <w:r>
        <w:t>Conformément aux dispositions de l'article R2132-7 du Code de la Commande Publique, la transmission des plis doit s’effectuer par voie électronique sur la plate-forme d'administration électronique PLACE (https://www.marches-publics.gouv.fr/.) et dans les conditions techniques et procédurales figurant ci-dessous.</w:t>
      </w:r>
    </w:p>
    <w:p w14:paraId="6DF7050E" w14:textId="77777777" w:rsidR="00CC4F02" w:rsidRDefault="00CC4F02">
      <w:pPr>
        <w:pStyle w:val="RedTxt"/>
        <w:jc w:val="both"/>
      </w:pPr>
    </w:p>
    <w:p w14:paraId="3889D83B" w14:textId="77777777" w:rsidR="00CC4F02" w:rsidRDefault="00C84FBD">
      <w:pPr>
        <w:pStyle w:val="RedTxt"/>
        <w:keepLines/>
        <w:jc w:val="both"/>
        <w:rPr>
          <w:b/>
        </w:rPr>
      </w:pPr>
      <w:r>
        <w:rPr>
          <w:b/>
          <w:color w:val="000000"/>
        </w:rPr>
        <w:t>Le dépôt des plis devra avoir lieu avant la date et l’heure limites indiquées en 1</w:t>
      </w:r>
      <w:r>
        <w:rPr>
          <w:b/>
          <w:color w:val="000000"/>
          <w:vertAlign w:val="superscript"/>
        </w:rPr>
        <w:t xml:space="preserve">ère </w:t>
      </w:r>
      <w:r>
        <w:rPr>
          <w:b/>
          <w:color w:val="000000"/>
        </w:rPr>
        <w:t>page.</w:t>
      </w:r>
      <w:r>
        <w:rPr>
          <w:b/>
        </w:rPr>
        <w:t> </w:t>
      </w:r>
    </w:p>
    <w:p w14:paraId="1B3929E0" w14:textId="77777777" w:rsidR="00CC4F02" w:rsidRDefault="00CC4F02">
      <w:pPr>
        <w:pStyle w:val="RedTxt"/>
        <w:keepLines/>
        <w:jc w:val="both"/>
        <w:rPr>
          <w:b/>
        </w:rPr>
      </w:pPr>
    </w:p>
    <w:p w14:paraId="7B083310" w14:textId="77777777" w:rsidR="00CC4F02" w:rsidRDefault="00C84FBD">
      <w:pPr>
        <w:pStyle w:val="RedTxt"/>
        <w:keepLines/>
        <w:jc w:val="both"/>
      </w:pPr>
      <w:r>
        <w:t>Les documents mis en ligne devront être soit au format " PDF ", soit aux formats Word 2010, Excel 2010, PowerPoint 2010 ou Project 2010 ou versions antérieures.</w:t>
      </w:r>
    </w:p>
    <w:p w14:paraId="049BF1F7" w14:textId="77777777" w:rsidR="00CC4F02" w:rsidRDefault="00CC4F02">
      <w:pPr>
        <w:pStyle w:val="Normal2"/>
        <w:tabs>
          <w:tab w:val="clear" w:pos="567"/>
          <w:tab w:val="clear" w:pos="851"/>
          <w:tab w:val="clear" w:pos="1134"/>
        </w:tabs>
        <w:ind w:left="0" w:firstLine="0"/>
        <w:rPr>
          <w:rFonts w:ascii="Arial" w:hAnsi="Arial" w:cs="Arial"/>
          <w:sz w:val="18"/>
          <w:szCs w:val="18"/>
        </w:rPr>
      </w:pPr>
    </w:p>
    <w:p w14:paraId="6D9E3BA9" w14:textId="77777777" w:rsidR="00CC4F02" w:rsidRDefault="00C84FBD">
      <w:pPr>
        <w:pStyle w:val="RedTxt"/>
        <w:keepLines/>
        <w:jc w:val="both"/>
      </w:pPr>
      <w:r>
        <w:t>La transmission doit pouvoir faire l'objet d'une date certaine de réception et d'un accusé de réception électronique, tout pli transmis au-delà de la date et de l'heure limite de dépôt sera considéré comme hors délais.</w:t>
      </w:r>
    </w:p>
    <w:p w14:paraId="6A63C5AB" w14:textId="77777777" w:rsidR="00CC4F02" w:rsidRDefault="00CC4F02">
      <w:pPr>
        <w:pStyle w:val="RedTxt"/>
        <w:keepLines/>
        <w:jc w:val="both"/>
      </w:pPr>
    </w:p>
    <w:p w14:paraId="10A313F4" w14:textId="77777777" w:rsidR="00CC4F02" w:rsidRDefault="00C84FBD">
      <w:pPr>
        <w:pStyle w:val="RedTxt"/>
        <w:keepLines/>
        <w:jc w:val="both"/>
      </w:pPr>
      <w:r>
        <w:t xml:space="preserve">Les plis transmis par voie électronique sont horodatés. </w:t>
      </w:r>
    </w:p>
    <w:p w14:paraId="5B414185" w14:textId="77777777" w:rsidR="00CC4F02" w:rsidRDefault="00CC4F02">
      <w:pPr>
        <w:pStyle w:val="RedTxt"/>
        <w:keepLines/>
        <w:jc w:val="both"/>
      </w:pPr>
    </w:p>
    <w:p w14:paraId="717B68E6" w14:textId="77777777" w:rsidR="00CC4F02" w:rsidRDefault="00C84FBD">
      <w:pPr>
        <w:pStyle w:val="RedTxt"/>
        <w:keepLines/>
        <w:widowControl/>
        <w:jc w:val="both"/>
        <w:rPr>
          <w:bCs/>
        </w:rPr>
      </w:pPr>
      <w:r>
        <w:rPr>
          <w:bCs/>
        </w:rPr>
        <w:t xml:space="preserve">Afin de contrôler le bon déroulement de la procédure, il est conseillé aux candidats de vérifier, sur l’accusé de dépôt, la taille des fichiers transmis. </w:t>
      </w:r>
    </w:p>
    <w:p w14:paraId="26743ABD" w14:textId="77777777" w:rsidR="00CC4F02" w:rsidRDefault="00C84FBD">
      <w:pPr>
        <w:pStyle w:val="RedTxt"/>
        <w:keepLines/>
        <w:widowControl/>
        <w:jc w:val="both"/>
        <w:rPr>
          <w:b/>
          <w:bCs/>
        </w:rPr>
      </w:pPr>
      <w:r>
        <w:rPr>
          <w:b/>
          <w:bCs/>
          <w:u w:val="single"/>
        </w:rPr>
        <w:t>Si le candidat dépose plusieurs plis, seul le dernier dépôt sera pris en compte</w:t>
      </w:r>
      <w:r>
        <w:rPr>
          <w:b/>
          <w:bCs/>
        </w:rPr>
        <w:t>.</w:t>
      </w:r>
    </w:p>
    <w:p w14:paraId="53FE2FD0" w14:textId="77777777" w:rsidR="00CC4F02" w:rsidRDefault="00CC4F02">
      <w:pPr>
        <w:pStyle w:val="RedTxt"/>
        <w:keepLines/>
        <w:jc w:val="both"/>
        <w:rPr>
          <w:b/>
          <w:color w:val="FF0000"/>
          <w:u w:val="single"/>
        </w:rPr>
      </w:pPr>
    </w:p>
    <w:p w14:paraId="597D1F85" w14:textId="77777777" w:rsidR="00CC4F02" w:rsidRDefault="00C84FBD">
      <w:pPr>
        <w:pStyle w:val="RedTxt"/>
        <w:keepLines/>
        <w:jc w:val="both"/>
        <w:rPr>
          <w:b/>
        </w:rPr>
      </w:pPr>
      <w:r>
        <w:rPr>
          <w:b/>
          <w:u w:val="single"/>
        </w:rPr>
        <w:t>La signature des documents relatifs à l’offre n’est pas exigée par le Maître d’ouvrage</w:t>
      </w:r>
      <w:r>
        <w:rPr>
          <w:b/>
        </w:rPr>
        <w:t xml:space="preserve"> (seul l’attributaire devra signer les pièces en fin de procédure). </w:t>
      </w:r>
    </w:p>
    <w:p w14:paraId="302F0CCE" w14:textId="77777777" w:rsidR="00CC4F02" w:rsidRDefault="00C84FBD">
      <w:pPr>
        <w:pStyle w:val="RedTxt"/>
        <w:keepLines/>
        <w:jc w:val="both"/>
      </w:pPr>
      <w:r>
        <w:t>Néanmoins, en répondant à la consultation, le candidat accepte les conditions de celle-ci. Même non signée, sa candidature l’engage juridiquement.</w:t>
      </w:r>
    </w:p>
    <w:p w14:paraId="180B0C5C" w14:textId="77777777" w:rsidR="00CC4F02" w:rsidRDefault="00CC4F02">
      <w:pPr>
        <w:keepLines/>
        <w:ind w:left="720"/>
        <w:jc w:val="both"/>
        <w:rPr>
          <w:rFonts w:ascii="Arial" w:hAnsi="Arial" w:cs="Arial"/>
          <w:i/>
          <w:color w:val="00B050"/>
          <w:sz w:val="18"/>
          <w:szCs w:val="18"/>
          <w:highlight w:val="cyan"/>
        </w:rPr>
      </w:pPr>
    </w:p>
    <w:p w14:paraId="7AE5F0DF" w14:textId="77777777" w:rsidR="00CC4F02" w:rsidRDefault="00CC4F02">
      <w:pPr>
        <w:widowControl w:val="0"/>
        <w:jc w:val="both"/>
        <w:rPr>
          <w:rFonts w:ascii="Arial" w:hAnsi="Arial" w:cs="Arial"/>
          <w:sz w:val="18"/>
          <w:szCs w:val="18"/>
        </w:rPr>
      </w:pPr>
    </w:p>
    <w:p w14:paraId="625697D7" w14:textId="77777777" w:rsidR="00CC4F02" w:rsidRDefault="00C84FBD">
      <w:pPr>
        <w:widowControl w:val="0"/>
        <w:jc w:val="both"/>
        <w:rPr>
          <w:rFonts w:ascii="Arial" w:hAnsi="Arial" w:cs="Arial"/>
          <w:sz w:val="18"/>
          <w:szCs w:val="18"/>
        </w:rPr>
      </w:pPr>
      <w:r>
        <w:rPr>
          <w:rFonts w:ascii="Arial" w:hAnsi="Arial" w:cs="Arial"/>
          <w:sz w:val="18"/>
          <w:szCs w:val="18"/>
        </w:rPr>
        <w:t>En fin de procédure, le Maître d’ouvrage transformera l’offre électronique du soumissionnaire retenu, en offre papier ce qui donnera lieu à la signature manuscrite du marché par les parties.</w:t>
      </w:r>
    </w:p>
    <w:p w14:paraId="2F0C04A0" w14:textId="77777777" w:rsidR="00CC4F02" w:rsidRDefault="00CC4F02">
      <w:pPr>
        <w:pStyle w:val="RedTxt"/>
        <w:keepLines/>
        <w:jc w:val="both"/>
      </w:pPr>
    </w:p>
    <w:p w14:paraId="7B1A28B7" w14:textId="77777777" w:rsidR="00CC4F02" w:rsidRDefault="00C84FBD">
      <w:pPr>
        <w:pStyle w:val="RedTxt"/>
        <w:keepLines/>
        <w:jc w:val="both"/>
        <w:rPr>
          <w:b/>
          <w:u w:val="single"/>
        </w:rPr>
      </w:pPr>
      <w:r>
        <w:rPr>
          <w:b/>
          <w:u w:val="single"/>
        </w:rPr>
        <w:t>Copie de sauvegarde :</w:t>
      </w:r>
    </w:p>
    <w:p w14:paraId="3598F655" w14:textId="77777777" w:rsidR="00CC4F02" w:rsidRDefault="00CC4F02">
      <w:pPr>
        <w:pStyle w:val="RedTxt"/>
        <w:keepLines/>
        <w:jc w:val="both"/>
        <w:rPr>
          <w:b/>
          <w:u w:val="single"/>
        </w:rPr>
      </w:pPr>
    </w:p>
    <w:p w14:paraId="482EEC7A" w14:textId="77777777" w:rsidR="00CC4F02" w:rsidRDefault="00C84FBD">
      <w:pPr>
        <w:pStyle w:val="RedTxt"/>
        <w:keepLines/>
        <w:jc w:val="both"/>
      </w:pPr>
      <w:r>
        <w:t xml:space="preserve">L’article R2132-11 </w:t>
      </w:r>
      <w:r>
        <w:rPr>
          <w:bCs/>
        </w:rPr>
        <w:t xml:space="preserve">du </w:t>
      </w:r>
      <w:r>
        <w:t>Code de la Commande Publique permet aux candidats qui le souhaitent, d’effectuer à la fois une transmission électronique et, titre de copie de sauvegarde, une transmission sur support physique électronique (clé USB</w:t>
      </w:r>
      <w:r>
        <w:rPr>
          <w:b/>
        </w:rPr>
        <w:t>)</w:t>
      </w:r>
      <w:r>
        <w:t xml:space="preserve"> ou sur </w:t>
      </w:r>
      <w:proofErr w:type="gramStart"/>
      <w:r>
        <w:t>support papier</w:t>
      </w:r>
      <w:proofErr w:type="gramEnd"/>
      <w:r>
        <w:t>.</w:t>
      </w:r>
    </w:p>
    <w:p w14:paraId="4B32D6BE" w14:textId="77777777" w:rsidR="00CC4F02" w:rsidRDefault="00CC4F02">
      <w:pPr>
        <w:pStyle w:val="RedTxt"/>
        <w:keepLines/>
        <w:jc w:val="both"/>
      </w:pPr>
    </w:p>
    <w:p w14:paraId="7865095E" w14:textId="77777777" w:rsidR="00CC4F02" w:rsidRDefault="00C84FBD">
      <w:pPr>
        <w:jc w:val="both"/>
        <w:rPr>
          <w:rFonts w:ascii="Arial" w:hAnsi="Arial" w:cs="Arial"/>
          <w:sz w:val="18"/>
          <w:szCs w:val="18"/>
        </w:rPr>
      </w:pPr>
      <w:r>
        <w:rPr>
          <w:rFonts w:ascii="Arial" w:hAnsi="Arial" w:cs="Arial"/>
          <w:sz w:val="18"/>
          <w:szCs w:val="18"/>
        </w:rPr>
        <w:t>Cette copie de sauvegarde doit être placée dans un pli scellé comportant la mention lisible : « Copie de sauvegarde » – avec l’objet du marché public, et l’identification du prestataire et NE PAS OUVRIR.</w:t>
      </w:r>
    </w:p>
    <w:p w14:paraId="57254CE3" w14:textId="77777777" w:rsidR="00CC4F02" w:rsidRDefault="00CC4F02">
      <w:pPr>
        <w:jc w:val="both"/>
        <w:rPr>
          <w:rFonts w:ascii="Arial" w:hAnsi="Arial" w:cs="Arial"/>
          <w:sz w:val="18"/>
          <w:szCs w:val="18"/>
        </w:rPr>
      </w:pPr>
    </w:p>
    <w:p w14:paraId="4D03967A" w14:textId="77777777" w:rsidR="00CC4F02" w:rsidRDefault="00C84FBD">
      <w:pPr>
        <w:pStyle w:val="Default"/>
        <w:jc w:val="both"/>
        <w:rPr>
          <w:sz w:val="18"/>
          <w:szCs w:val="18"/>
        </w:rPr>
      </w:pPr>
      <w:r>
        <w:rPr>
          <w:sz w:val="18"/>
          <w:szCs w:val="18"/>
        </w:rPr>
        <w:lastRenderedPageBreak/>
        <w:t xml:space="preserve">Cette copie de sauvegarde devra parvenir dans les délais impartis pour la remise des plis (avant la date et l’heure limite de </w:t>
      </w:r>
      <w:proofErr w:type="gramStart"/>
      <w:r>
        <w:rPr>
          <w:sz w:val="18"/>
          <w:szCs w:val="18"/>
        </w:rPr>
        <w:t>dépôt indiquée</w:t>
      </w:r>
      <w:proofErr w:type="gramEnd"/>
      <w:r>
        <w:rPr>
          <w:sz w:val="18"/>
          <w:szCs w:val="18"/>
        </w:rPr>
        <w:t xml:space="preserve"> en 1</w:t>
      </w:r>
      <w:r>
        <w:rPr>
          <w:sz w:val="18"/>
          <w:szCs w:val="18"/>
          <w:vertAlign w:val="superscript"/>
        </w:rPr>
        <w:t>ère</w:t>
      </w:r>
      <w:r>
        <w:rPr>
          <w:sz w:val="18"/>
          <w:szCs w:val="18"/>
        </w:rPr>
        <w:t xml:space="preserve"> page) et sera transmise par voie postale au moyen d’un pli recommandé avec avis de réception à l'adresse suivante : </w:t>
      </w:r>
    </w:p>
    <w:p w14:paraId="1DB0A362" w14:textId="77777777" w:rsidR="00CC4F02" w:rsidRDefault="00CC4F02">
      <w:pPr>
        <w:pStyle w:val="Default"/>
        <w:rPr>
          <w:sz w:val="18"/>
          <w:szCs w:val="18"/>
        </w:rPr>
      </w:pPr>
    </w:p>
    <w:p w14:paraId="1C78B102" w14:textId="77777777" w:rsidR="00CC4F02" w:rsidRDefault="00C84FBD">
      <w:pPr>
        <w:pStyle w:val="RedTxt"/>
        <w:keepLines/>
        <w:rPr>
          <w:b/>
          <w:color w:val="0070C0"/>
        </w:rPr>
      </w:pPr>
      <w:r>
        <w:rPr>
          <w:b/>
          <w:color w:val="0070C0"/>
        </w:rPr>
        <w:t>SECRÉTARIAT GÉNÉRAL COMMUN DÉPARTEMENTAL</w:t>
      </w:r>
      <w:r>
        <w:rPr>
          <w:b/>
          <w:color w:val="0070C0"/>
        </w:rPr>
        <w:br/>
        <w:t>SIDALI</w:t>
      </w:r>
    </w:p>
    <w:p w14:paraId="5D2B5B5D" w14:textId="77777777" w:rsidR="00CC4F02" w:rsidRDefault="00C84FBD">
      <w:pPr>
        <w:pStyle w:val="RedTxt"/>
        <w:keepLines/>
        <w:jc w:val="both"/>
        <w:rPr>
          <w:b/>
          <w:color w:val="0070C0"/>
        </w:rPr>
      </w:pPr>
      <w:r>
        <w:rPr>
          <w:b/>
          <w:color w:val="0070C0"/>
        </w:rPr>
        <w:t>Cité administrative – Bâtiment C</w:t>
      </w:r>
    </w:p>
    <w:p w14:paraId="635CDD1E" w14:textId="77777777" w:rsidR="00CC4F02" w:rsidRDefault="00C84FBD">
      <w:pPr>
        <w:pStyle w:val="RedTxt"/>
        <w:keepLines/>
        <w:jc w:val="both"/>
        <w:rPr>
          <w:b/>
          <w:color w:val="0070C0"/>
        </w:rPr>
      </w:pPr>
      <w:r>
        <w:rPr>
          <w:b/>
          <w:color w:val="0070C0"/>
        </w:rPr>
        <w:t xml:space="preserve">3 Rue </w:t>
      </w:r>
      <w:proofErr w:type="spellStart"/>
      <w:r>
        <w:rPr>
          <w:b/>
          <w:color w:val="0070C0"/>
        </w:rPr>
        <w:t>Fleischhauer</w:t>
      </w:r>
      <w:proofErr w:type="spellEnd"/>
    </w:p>
    <w:p w14:paraId="7C9BBC09" w14:textId="77777777" w:rsidR="00CC4F02" w:rsidRDefault="00C84FBD">
      <w:pPr>
        <w:pStyle w:val="RedTxt"/>
        <w:keepLines/>
        <w:widowControl/>
        <w:jc w:val="both"/>
        <w:rPr>
          <w:b/>
          <w:color w:val="E36C0A"/>
        </w:rPr>
      </w:pPr>
      <w:r>
        <w:rPr>
          <w:b/>
          <w:color w:val="0070C0"/>
        </w:rPr>
        <w:t>68 000 COLMAR</w:t>
      </w:r>
    </w:p>
    <w:p w14:paraId="7D8993EF" w14:textId="77777777" w:rsidR="00CC4F02" w:rsidRDefault="00CC4F02">
      <w:pPr>
        <w:pStyle w:val="RedTxt"/>
        <w:widowControl/>
        <w:jc w:val="both"/>
        <w:rPr>
          <w:b/>
          <w:color w:val="E36C0A"/>
        </w:rPr>
      </w:pPr>
    </w:p>
    <w:p w14:paraId="21FD42F8" w14:textId="77777777" w:rsidR="00CC4F02" w:rsidRDefault="00C84FBD">
      <w:pPr>
        <w:pStyle w:val="RedTxt"/>
        <w:keepLines/>
        <w:widowControl/>
        <w:jc w:val="both"/>
      </w:pPr>
      <w:r>
        <w:t>La copie de sauvegarde ne sera ouverte que dans les cas précisés à l’article 2 de l’arrêté du 22 mars 2019 fixant les modalités de mise à disposition des documents de la consultation et de la copie de sauvegarde.</w:t>
      </w:r>
    </w:p>
    <w:p w14:paraId="0BFEE369" w14:textId="77777777" w:rsidR="00CC4F02" w:rsidRDefault="00C84FBD">
      <w:pPr>
        <w:jc w:val="both"/>
        <w:rPr>
          <w:rFonts w:ascii="Arial" w:hAnsi="Arial" w:cs="Arial"/>
          <w:sz w:val="18"/>
          <w:szCs w:val="18"/>
        </w:rPr>
      </w:pPr>
      <w:r>
        <w:rPr>
          <w:rFonts w:ascii="Arial" w:hAnsi="Arial" w:cs="Arial"/>
          <w:sz w:val="18"/>
          <w:szCs w:val="18"/>
        </w:rPr>
        <w:t xml:space="preserve">Elle ne sera ouverte que dans les 2 cas suivants, sous réserve qu’elle soit parvenue dans les délais de dépôt : </w:t>
      </w:r>
    </w:p>
    <w:p w14:paraId="4C66F947" w14:textId="77777777" w:rsidR="00CC4F02" w:rsidRDefault="00C84FBD">
      <w:pPr>
        <w:numPr>
          <w:ilvl w:val="0"/>
          <w:numId w:val="4"/>
        </w:numPr>
        <w:jc w:val="both"/>
        <w:rPr>
          <w:rFonts w:ascii="Arial" w:hAnsi="Arial" w:cs="Arial"/>
          <w:sz w:val="18"/>
          <w:szCs w:val="18"/>
        </w:rPr>
      </w:pPr>
      <w:proofErr w:type="gramStart"/>
      <w:r>
        <w:rPr>
          <w:rFonts w:ascii="Arial" w:hAnsi="Arial" w:cs="Arial"/>
          <w:sz w:val="18"/>
          <w:szCs w:val="18"/>
        </w:rPr>
        <w:t>lorsqu’un</w:t>
      </w:r>
      <w:proofErr w:type="gramEnd"/>
      <w:r>
        <w:rPr>
          <w:rFonts w:ascii="Arial" w:hAnsi="Arial" w:cs="Arial"/>
          <w:sz w:val="18"/>
          <w:szCs w:val="18"/>
        </w:rPr>
        <w:t xml:space="preserve"> programme informatique malveillant est détecté ;</w:t>
      </w:r>
    </w:p>
    <w:p w14:paraId="2575F33C" w14:textId="77777777" w:rsidR="00CC4F02" w:rsidRDefault="00C84FBD">
      <w:pPr>
        <w:numPr>
          <w:ilvl w:val="0"/>
          <w:numId w:val="4"/>
        </w:numPr>
        <w:jc w:val="both"/>
        <w:rPr>
          <w:rFonts w:ascii="Arial" w:hAnsi="Arial" w:cs="Arial"/>
          <w:sz w:val="18"/>
          <w:szCs w:val="18"/>
        </w:rPr>
      </w:pPr>
      <w:proofErr w:type="gramStart"/>
      <w:r>
        <w:rPr>
          <w:rFonts w:ascii="Arial" w:hAnsi="Arial" w:cs="Arial"/>
          <w:sz w:val="18"/>
          <w:szCs w:val="18"/>
        </w:rPr>
        <w:t>lorsqu’une</w:t>
      </w:r>
      <w:proofErr w:type="gramEnd"/>
      <w:r>
        <w:rPr>
          <w:rFonts w:ascii="Arial" w:hAnsi="Arial" w:cs="Arial"/>
          <w:sz w:val="18"/>
          <w:szCs w:val="18"/>
        </w:rPr>
        <w:t xml:space="preserve"> candidature ou une offre transmise par voie électronique est reçue de façon incomplète, hors délais, ou n’a pu être ouverte, sous réserve que la transmission du pli ait commencé avant la clôture du délai prescrit pour le dépôt. </w:t>
      </w:r>
    </w:p>
    <w:p w14:paraId="3901017D" w14:textId="77777777" w:rsidR="00CC4F02" w:rsidRDefault="00CC4F02">
      <w:pPr>
        <w:jc w:val="both"/>
        <w:rPr>
          <w:rFonts w:ascii="Arial" w:hAnsi="Arial" w:cs="Arial"/>
          <w:sz w:val="18"/>
          <w:szCs w:val="18"/>
        </w:rPr>
      </w:pPr>
    </w:p>
    <w:p w14:paraId="76A2F731" w14:textId="77777777" w:rsidR="00CC4F02" w:rsidRDefault="00C84FBD">
      <w:pPr>
        <w:jc w:val="both"/>
        <w:rPr>
          <w:rFonts w:ascii="Arial" w:hAnsi="Arial" w:cs="Arial"/>
          <w:sz w:val="18"/>
          <w:szCs w:val="18"/>
        </w:rPr>
      </w:pPr>
      <w:r>
        <w:rPr>
          <w:rFonts w:ascii="Arial" w:hAnsi="Arial" w:cs="Arial"/>
          <w:sz w:val="18"/>
          <w:szCs w:val="18"/>
        </w:rPr>
        <w:t>Si le pli contenant la copie de sauvegarde n’est pas ouvert, il est détruit par le Maître d’ouvrage.</w:t>
      </w:r>
    </w:p>
    <w:p w14:paraId="64F20A62" w14:textId="77777777" w:rsidR="00CC4F02" w:rsidRDefault="00CC4F02">
      <w:pPr>
        <w:pStyle w:val="RedTxt"/>
        <w:keepLines/>
        <w:jc w:val="both"/>
      </w:pPr>
    </w:p>
    <w:p w14:paraId="34854DE9" w14:textId="77777777" w:rsidR="00CC4F02" w:rsidRDefault="00CC4F02">
      <w:pPr>
        <w:jc w:val="both"/>
        <w:rPr>
          <w:rFonts w:ascii="Arial" w:hAnsi="Arial" w:cs="Arial"/>
          <w:sz w:val="18"/>
          <w:szCs w:val="18"/>
        </w:rPr>
      </w:pPr>
    </w:p>
    <w:p w14:paraId="790AA43B" w14:textId="77777777" w:rsidR="00CC4F02" w:rsidRDefault="00C84FBD">
      <w:pPr>
        <w:pStyle w:val="RedTitre2"/>
        <w:shd w:val="clear" w:color="auto" w:fill="D9D9D9"/>
        <w:jc w:val="both"/>
      </w:pPr>
      <w:bookmarkStart w:id="37" w:name="_Toc72657391"/>
      <w:bookmarkStart w:id="38" w:name="_Toc171945472"/>
      <w:r>
        <w:rPr>
          <w:b w:val="0"/>
        </w:rPr>
        <w:t xml:space="preserve">Article </w:t>
      </w:r>
      <w:r>
        <w:t>6 - Jugement des propositions</w:t>
      </w:r>
      <w:bookmarkEnd w:id="37"/>
      <w:bookmarkEnd w:id="38"/>
    </w:p>
    <w:p w14:paraId="2A3F5A3E" w14:textId="77777777" w:rsidR="00CC4F02" w:rsidRDefault="00CC4F02">
      <w:pPr>
        <w:pStyle w:val="RedTxt"/>
        <w:jc w:val="both"/>
        <w:rPr>
          <w:b/>
          <w:bCs/>
        </w:rPr>
      </w:pPr>
    </w:p>
    <w:p w14:paraId="4D9D19C8" w14:textId="77777777" w:rsidR="00CC4F02" w:rsidRDefault="00CC4F02">
      <w:pPr>
        <w:pStyle w:val="RedTxt"/>
        <w:jc w:val="both"/>
        <w:rPr>
          <w:b/>
          <w:bCs/>
        </w:rPr>
      </w:pPr>
    </w:p>
    <w:p w14:paraId="1EF2F835" w14:textId="77777777" w:rsidR="00CC4F02" w:rsidRDefault="00C84FBD">
      <w:pPr>
        <w:pStyle w:val="RedTxt"/>
        <w:jc w:val="both"/>
        <w:rPr>
          <w:b/>
          <w:bCs/>
          <w:u w:val="single"/>
        </w:rPr>
      </w:pPr>
      <w:r>
        <w:rPr>
          <w:b/>
          <w:bCs/>
          <w:u w:val="single"/>
        </w:rPr>
        <w:t>Critères de jugement des offres :</w:t>
      </w:r>
    </w:p>
    <w:p w14:paraId="6A28C7F7" w14:textId="77777777" w:rsidR="00CC4F02" w:rsidRDefault="00C84FBD">
      <w:pPr>
        <w:jc w:val="both"/>
        <w:rPr>
          <w:rFonts w:ascii="Arial" w:hAnsi="Arial" w:cs="Arial"/>
          <w:sz w:val="18"/>
        </w:rPr>
      </w:pPr>
      <w:r>
        <w:rPr>
          <w:rFonts w:ascii="Arial" w:hAnsi="Arial" w:cs="Arial"/>
          <w:sz w:val="18"/>
        </w:rPr>
        <w:t>Le jugement des offres sera effectué dans les conditions prévues aux articles L.2152-1 à L.2152-4, R. 2152-1 et R. 2152-2 du Code de la commande publique et donnera lieu à un classement des offres.</w:t>
      </w:r>
    </w:p>
    <w:p w14:paraId="398C5035" w14:textId="77777777" w:rsidR="00CC4F02" w:rsidRDefault="00CC4F02">
      <w:pPr>
        <w:pStyle w:val="RedTxt"/>
        <w:jc w:val="both"/>
        <w:rPr>
          <w:b/>
          <w:bCs/>
        </w:rPr>
      </w:pPr>
    </w:p>
    <w:p w14:paraId="56EDD64C" w14:textId="77777777" w:rsidR="00CC4F02" w:rsidRDefault="00C84FBD">
      <w:pPr>
        <w:pStyle w:val="RedTxt"/>
        <w:jc w:val="both"/>
      </w:pPr>
      <w:r>
        <w:t>Conformément à l’article R2152-7-2° du Code de la Commande Publique, le jugement des propositions sera effectué au moyen des critères suivants :</w:t>
      </w:r>
    </w:p>
    <w:p w14:paraId="7D4301AA" w14:textId="77777777" w:rsidR="00CC4F02" w:rsidRDefault="00CC4F02">
      <w:pPr>
        <w:pStyle w:val="RedTxt"/>
        <w:jc w:val="both"/>
      </w:pPr>
    </w:p>
    <w:tbl>
      <w:tblPr>
        <w:tblW w:w="5000" w:type="pct"/>
        <w:tblLayout w:type="fixed"/>
        <w:tblLook w:val="04A0" w:firstRow="1" w:lastRow="0" w:firstColumn="1" w:lastColumn="0" w:noHBand="0" w:noVBand="1"/>
      </w:tblPr>
      <w:tblGrid>
        <w:gridCol w:w="6941"/>
        <w:gridCol w:w="2121"/>
      </w:tblGrid>
      <w:tr w:rsidR="00CC4F02" w14:paraId="5277DD8C" w14:textId="77777777" w:rsidTr="00AD6FB5">
        <w:trPr>
          <w:trHeight w:val="346"/>
        </w:trPr>
        <w:tc>
          <w:tcPr>
            <w:tcW w:w="694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EA3D1B8" w14:textId="77777777" w:rsidR="00CC4F02" w:rsidRDefault="00C84FBD">
            <w:pPr>
              <w:pStyle w:val="RedTxt"/>
              <w:rPr>
                <w:b/>
                <w:bCs/>
              </w:rPr>
            </w:pPr>
            <w:r>
              <w:rPr>
                <w:b/>
                <w:bCs/>
              </w:rPr>
              <w:t>Critères</w:t>
            </w:r>
          </w:p>
        </w:tc>
        <w:tc>
          <w:tcPr>
            <w:tcW w:w="21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B1362B" w14:textId="77777777" w:rsidR="00CC4F02" w:rsidRDefault="00C84FBD">
            <w:pPr>
              <w:pStyle w:val="RedTxt"/>
              <w:jc w:val="center"/>
              <w:rPr>
                <w:b/>
                <w:bCs/>
              </w:rPr>
            </w:pPr>
            <w:r>
              <w:rPr>
                <w:b/>
                <w:bCs/>
              </w:rPr>
              <w:t>Pondération</w:t>
            </w:r>
          </w:p>
        </w:tc>
      </w:tr>
      <w:tr w:rsidR="00CC4F02" w14:paraId="08C52AAB" w14:textId="77777777" w:rsidTr="00B10F8B">
        <w:trPr>
          <w:trHeight w:val="867"/>
        </w:trPr>
        <w:tc>
          <w:tcPr>
            <w:tcW w:w="6941" w:type="dxa"/>
            <w:tcBorders>
              <w:top w:val="single" w:sz="4" w:space="0" w:color="000000"/>
              <w:left w:val="single" w:sz="4" w:space="0" w:color="000000"/>
              <w:bottom w:val="dotted" w:sz="4" w:space="0" w:color="000000"/>
              <w:right w:val="single" w:sz="4" w:space="0" w:color="000000"/>
            </w:tcBorders>
            <w:shd w:val="clear" w:color="auto" w:fill="auto"/>
          </w:tcPr>
          <w:p w14:paraId="5EA59426" w14:textId="77777777" w:rsidR="00B10F8B" w:rsidRDefault="00B10F8B" w:rsidP="00B10F8B">
            <w:pPr>
              <w:pStyle w:val="RedTxt"/>
              <w:ind w:left="284"/>
              <w:rPr>
                <w:b/>
                <w:bCs/>
              </w:rPr>
            </w:pPr>
          </w:p>
          <w:p w14:paraId="5B7B1A1A" w14:textId="679BCA1C" w:rsidR="00CC4F02" w:rsidRDefault="00C84FBD">
            <w:pPr>
              <w:pStyle w:val="RedTxt"/>
              <w:numPr>
                <w:ilvl w:val="0"/>
                <w:numId w:val="11"/>
              </w:numPr>
              <w:ind w:left="284"/>
              <w:rPr>
                <w:b/>
                <w:bCs/>
              </w:rPr>
            </w:pPr>
            <w:r>
              <w:rPr>
                <w:b/>
                <w:bCs/>
              </w:rPr>
              <w:t>Valeur</w:t>
            </w:r>
            <w:r w:rsidRPr="00B10F8B">
              <w:rPr>
                <w:b/>
                <w:bCs/>
              </w:rPr>
              <w:t xml:space="preserve"> technique jugée sur la base de la note technique remise par le candidat à l’appui de son offre</w:t>
            </w:r>
            <w:r>
              <w:rPr>
                <w:b/>
              </w:rPr>
              <w:t xml:space="preserve">  </w:t>
            </w:r>
          </w:p>
        </w:tc>
        <w:tc>
          <w:tcPr>
            <w:tcW w:w="2121" w:type="dxa"/>
            <w:tcBorders>
              <w:top w:val="single" w:sz="4" w:space="0" w:color="000000"/>
              <w:left w:val="single" w:sz="4" w:space="0" w:color="000000"/>
              <w:bottom w:val="dotted" w:sz="4" w:space="0" w:color="000000"/>
              <w:right w:val="single" w:sz="4" w:space="0" w:color="000000"/>
            </w:tcBorders>
            <w:shd w:val="clear" w:color="auto" w:fill="auto"/>
            <w:vAlign w:val="center"/>
          </w:tcPr>
          <w:p w14:paraId="4487D2A1" w14:textId="77777777" w:rsidR="00CC4F02" w:rsidRDefault="00C84FBD">
            <w:pPr>
              <w:pStyle w:val="RedTxt"/>
              <w:jc w:val="center"/>
              <w:rPr>
                <w:b/>
                <w:bCs/>
              </w:rPr>
            </w:pPr>
            <w:r>
              <w:rPr>
                <w:b/>
                <w:bCs/>
              </w:rPr>
              <w:t>50% de la note finale</w:t>
            </w:r>
          </w:p>
          <w:p w14:paraId="1CA533E9" w14:textId="4FB3831B" w:rsidR="00AD6FB5" w:rsidRDefault="00AD6FB5">
            <w:pPr>
              <w:pStyle w:val="RedTxt"/>
              <w:jc w:val="center"/>
              <w:rPr>
                <w:b/>
                <w:bCs/>
              </w:rPr>
            </w:pPr>
            <w:r>
              <w:rPr>
                <w:b/>
                <w:bCs/>
              </w:rPr>
              <w:t>/ 10 points</w:t>
            </w:r>
          </w:p>
        </w:tc>
      </w:tr>
      <w:tr w:rsidR="00093FF6" w14:paraId="6880DCA9" w14:textId="77777777" w:rsidTr="00AD6FB5">
        <w:trPr>
          <w:trHeight w:val="447"/>
        </w:trPr>
        <w:tc>
          <w:tcPr>
            <w:tcW w:w="6941" w:type="dxa"/>
            <w:tcBorders>
              <w:top w:val="single" w:sz="4" w:space="0" w:color="000000"/>
              <w:left w:val="single" w:sz="4" w:space="0" w:color="000000"/>
              <w:bottom w:val="dotted" w:sz="4" w:space="0" w:color="000000"/>
              <w:right w:val="single" w:sz="4" w:space="0" w:color="000000"/>
            </w:tcBorders>
            <w:shd w:val="clear" w:color="auto" w:fill="auto"/>
          </w:tcPr>
          <w:p w14:paraId="6D2133D6" w14:textId="7A4F15F5" w:rsidR="00093FF6" w:rsidRPr="00AD6FB5" w:rsidRDefault="00093FF6" w:rsidP="00093FF6">
            <w:pPr>
              <w:pStyle w:val="RedTxt"/>
            </w:pPr>
            <w:r w:rsidRPr="00AD6FB5">
              <w:t xml:space="preserve"> 1.1 Respect du programme tant sur ses aspects fonctionnels que techniques </w:t>
            </w:r>
          </w:p>
        </w:tc>
        <w:tc>
          <w:tcPr>
            <w:tcW w:w="2121" w:type="dxa"/>
            <w:tcBorders>
              <w:top w:val="single" w:sz="4" w:space="0" w:color="000000"/>
              <w:left w:val="single" w:sz="4" w:space="0" w:color="000000"/>
              <w:bottom w:val="dotted" w:sz="4" w:space="0" w:color="000000"/>
              <w:right w:val="single" w:sz="4" w:space="0" w:color="000000"/>
            </w:tcBorders>
            <w:shd w:val="clear" w:color="auto" w:fill="auto"/>
            <w:vAlign w:val="center"/>
          </w:tcPr>
          <w:p w14:paraId="2DCE9041" w14:textId="46EC1F00" w:rsidR="00093FF6" w:rsidRPr="00AD6FB5" w:rsidRDefault="00AD6FB5">
            <w:pPr>
              <w:pStyle w:val="RedTxt"/>
              <w:jc w:val="center"/>
            </w:pPr>
            <w:r>
              <w:t xml:space="preserve">/ </w:t>
            </w:r>
            <w:r w:rsidR="003432D9">
              <w:t>6</w:t>
            </w:r>
            <w:r>
              <w:t xml:space="preserve"> points</w:t>
            </w:r>
          </w:p>
        </w:tc>
      </w:tr>
      <w:tr w:rsidR="00093FF6" w14:paraId="38A33A5E" w14:textId="77777777" w:rsidTr="00AD6FB5">
        <w:trPr>
          <w:trHeight w:val="416"/>
        </w:trPr>
        <w:tc>
          <w:tcPr>
            <w:tcW w:w="6941" w:type="dxa"/>
            <w:tcBorders>
              <w:top w:val="single" w:sz="4" w:space="0" w:color="000000"/>
              <w:left w:val="single" w:sz="4" w:space="0" w:color="000000"/>
              <w:bottom w:val="dotted" w:sz="4" w:space="0" w:color="000000"/>
              <w:right w:val="single" w:sz="4" w:space="0" w:color="000000"/>
            </w:tcBorders>
            <w:shd w:val="clear" w:color="auto" w:fill="auto"/>
          </w:tcPr>
          <w:p w14:paraId="2188AFA0" w14:textId="065F2119" w:rsidR="00093FF6" w:rsidRPr="00AD6FB5" w:rsidRDefault="00093FF6" w:rsidP="00093FF6">
            <w:pPr>
              <w:pStyle w:val="RedTxt"/>
            </w:pPr>
            <w:r w:rsidRPr="00AD6FB5">
              <w:t xml:space="preserve"> 1.3 </w:t>
            </w:r>
            <w:r w:rsidR="00A92F7A">
              <w:t>Moyens et méthodes permettant le r</w:t>
            </w:r>
            <w:r w:rsidRPr="00AD6FB5">
              <w:t xml:space="preserve">espect des objectifs de performance fixés à </w:t>
            </w:r>
            <w:r w:rsidRPr="00A64367">
              <w:t xml:space="preserve">l’article </w:t>
            </w:r>
            <w:r w:rsidR="00A64367" w:rsidRPr="00A64367">
              <w:t>2.3</w:t>
            </w:r>
          </w:p>
        </w:tc>
        <w:tc>
          <w:tcPr>
            <w:tcW w:w="2121"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3C6471F" w14:textId="1F3B06F3" w:rsidR="00093FF6" w:rsidRPr="00AD6FB5" w:rsidRDefault="00AD6FB5">
            <w:pPr>
              <w:pStyle w:val="RedTxt"/>
              <w:jc w:val="center"/>
            </w:pPr>
            <w:r>
              <w:t xml:space="preserve">/ </w:t>
            </w:r>
            <w:r w:rsidR="003432D9">
              <w:t>4</w:t>
            </w:r>
            <w:r>
              <w:t xml:space="preserve"> points</w:t>
            </w:r>
          </w:p>
        </w:tc>
      </w:tr>
      <w:tr w:rsidR="00CC4F02" w14:paraId="07A35C37" w14:textId="77777777" w:rsidTr="00B10F8B">
        <w:trPr>
          <w:trHeight w:val="669"/>
        </w:trPr>
        <w:tc>
          <w:tcPr>
            <w:tcW w:w="6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29E5E" w14:textId="68C21149" w:rsidR="00CC4F02" w:rsidRDefault="00B10F8B">
            <w:pPr>
              <w:pStyle w:val="RedTxt"/>
              <w:numPr>
                <w:ilvl w:val="0"/>
                <w:numId w:val="11"/>
              </w:numPr>
              <w:ind w:left="284"/>
              <w:rPr>
                <w:b/>
                <w:bCs/>
              </w:rPr>
            </w:pPr>
            <w:r>
              <w:rPr>
                <w:b/>
                <w:bCs/>
              </w:rPr>
              <w:t>Prix des prestations</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A79BA" w14:textId="77777777" w:rsidR="00CC4F02" w:rsidRDefault="00C84FBD">
            <w:pPr>
              <w:pStyle w:val="RedTxt"/>
              <w:jc w:val="center"/>
              <w:rPr>
                <w:b/>
                <w:bCs/>
              </w:rPr>
            </w:pPr>
            <w:r>
              <w:rPr>
                <w:b/>
                <w:bCs/>
              </w:rPr>
              <w:t>50% de la note finale</w:t>
            </w:r>
          </w:p>
          <w:p w14:paraId="7282311F" w14:textId="28C1AC4E" w:rsidR="00AD6FB5" w:rsidRPr="00AD6FB5" w:rsidRDefault="00AD6FB5">
            <w:pPr>
              <w:pStyle w:val="RedTxt"/>
              <w:jc w:val="center"/>
              <w:rPr>
                <w:b/>
                <w:bCs/>
              </w:rPr>
            </w:pPr>
            <w:r>
              <w:rPr>
                <w:b/>
                <w:bCs/>
              </w:rPr>
              <w:t>/ 10 points</w:t>
            </w:r>
          </w:p>
        </w:tc>
      </w:tr>
      <w:tr w:rsidR="00093FF6" w14:paraId="5D516EC2" w14:textId="77777777" w:rsidTr="00AD6FB5">
        <w:trPr>
          <w:trHeight w:val="346"/>
        </w:trPr>
        <w:tc>
          <w:tcPr>
            <w:tcW w:w="6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E2D1" w14:textId="77777777" w:rsidR="00A506D3" w:rsidRPr="00A506D3" w:rsidRDefault="00A506D3" w:rsidP="00093FF6">
            <w:pPr>
              <w:pStyle w:val="RedTxt"/>
              <w:rPr>
                <w:rFonts w:ascii="Times New Roman" w:hAnsi="Times New Roman" w:cs="Times New Roman"/>
                <w:sz w:val="22"/>
                <w:szCs w:val="22"/>
              </w:rPr>
            </w:pPr>
          </w:p>
          <w:p w14:paraId="0E2DF548" w14:textId="10CBEA6F" w:rsidR="00A506D3" w:rsidRPr="00A506D3" w:rsidRDefault="00A506D3" w:rsidP="00A506D3">
            <w:pPr>
              <w:pStyle w:val="RedTxt"/>
              <w:jc w:val="center"/>
              <w:rPr>
                <w:rFonts w:ascii="Times New Roman" w:hAnsi="Times New Roman" w:cs="Times New Roman"/>
                <w:sz w:val="22"/>
                <w:szCs w:val="22"/>
              </w:rPr>
            </w:pPr>
            <w:r w:rsidRPr="00A506D3">
              <w:rPr>
                <w:rFonts w:ascii="Times New Roman" w:hAnsi="Times New Roman" w:cs="Times New Roman"/>
                <w:sz w:val="22"/>
                <w:szCs w:val="22"/>
              </w:rPr>
              <w:t xml:space="preserve">5 + </w:t>
            </w:r>
            <m:oMath>
              <m:f>
                <m:fPr>
                  <m:ctrlPr>
                    <w:rPr>
                      <w:rFonts w:ascii="Cambria Math" w:hAnsi="Cambria Math"/>
                      <w:i/>
                      <w:sz w:val="22"/>
                      <w:szCs w:val="22"/>
                    </w:rPr>
                  </m:ctrlPr>
                </m:fPr>
                <m:num>
                  <m:r>
                    <w:rPr>
                      <w:rFonts w:ascii="Cambria Math" w:hAnsi="Cambria Math"/>
                      <w:sz w:val="22"/>
                      <w:szCs w:val="22"/>
                    </w:rPr>
                    <m:t xml:space="preserve">10 × </m:t>
                  </m:r>
                  <m:d>
                    <m:dPr>
                      <m:ctrlPr>
                        <w:rPr>
                          <w:rFonts w:ascii="Cambria Math" w:hAnsi="Cambria Math"/>
                          <w:i/>
                          <w:sz w:val="22"/>
                          <w:szCs w:val="22"/>
                        </w:rPr>
                      </m:ctrlPr>
                    </m:dPr>
                    <m:e>
                      <m:r>
                        <w:rPr>
                          <w:rFonts w:ascii="Cambria Math" w:hAnsi="Cambria Math"/>
                          <w:sz w:val="22"/>
                          <w:szCs w:val="22"/>
                        </w:rPr>
                        <m:t>Prix moyen des offres-Prix de l’offre</m:t>
                      </m:r>
                    </m:e>
                  </m:d>
                </m:num>
                <m:den>
                  <m:r>
                    <w:rPr>
                      <w:rFonts w:ascii="Cambria Math" w:hAnsi="Cambria Math"/>
                      <w:sz w:val="22"/>
                      <w:szCs w:val="22"/>
                    </w:rPr>
                    <m:t>Prix moyen des offres</m:t>
                  </m:r>
                </m:den>
              </m:f>
            </m:oMath>
          </w:p>
          <w:p w14:paraId="6D28175B" w14:textId="0657ACF2" w:rsidR="00093FF6" w:rsidRPr="00A506D3" w:rsidRDefault="00093FF6" w:rsidP="00093FF6">
            <w:pPr>
              <w:pStyle w:val="RedTxt"/>
              <w:rPr>
                <w:rFonts w:ascii="Times New Roman" w:hAnsi="Times New Roman" w:cs="Times New Roman"/>
                <w:sz w:val="22"/>
                <w:szCs w:val="22"/>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4F6EB" w14:textId="653B5866" w:rsidR="00093FF6" w:rsidRPr="00AD6FB5" w:rsidRDefault="00AD6FB5">
            <w:pPr>
              <w:pStyle w:val="RedTxt"/>
              <w:jc w:val="center"/>
            </w:pPr>
            <w:r w:rsidRPr="00AD6FB5">
              <w:t>/ 10 points</w:t>
            </w:r>
          </w:p>
        </w:tc>
      </w:tr>
    </w:tbl>
    <w:p w14:paraId="21155777" w14:textId="77777777" w:rsidR="00CC4F02" w:rsidRDefault="00CC4F02">
      <w:pPr>
        <w:pStyle w:val="RedTxt"/>
        <w:jc w:val="both"/>
      </w:pPr>
    </w:p>
    <w:p w14:paraId="3B654F7B" w14:textId="77777777" w:rsidR="00B10F8B" w:rsidRDefault="00B10F8B">
      <w:pPr>
        <w:pStyle w:val="RedTxt"/>
        <w:jc w:val="both"/>
      </w:pPr>
    </w:p>
    <w:p w14:paraId="22E4377C" w14:textId="77777777" w:rsidR="00CC4F02" w:rsidRDefault="00C84FBD">
      <w:pPr>
        <w:pStyle w:val="RedTitre2"/>
        <w:shd w:val="clear" w:color="auto" w:fill="D9D9D9"/>
        <w:jc w:val="both"/>
      </w:pPr>
      <w:bookmarkStart w:id="39" w:name="_Toc72657392"/>
      <w:bookmarkStart w:id="40" w:name="_Toc171945473"/>
      <w:r>
        <w:rPr>
          <w:b w:val="0"/>
        </w:rPr>
        <w:t>Article</w:t>
      </w:r>
      <w:r>
        <w:t xml:space="preserve"> 7 – Renseignements complémentaires</w:t>
      </w:r>
      <w:bookmarkEnd w:id="39"/>
      <w:bookmarkEnd w:id="40"/>
    </w:p>
    <w:p w14:paraId="283166AA" w14:textId="77777777" w:rsidR="00CC4F02" w:rsidRDefault="00CC4F02">
      <w:pPr>
        <w:jc w:val="both"/>
        <w:rPr>
          <w:rFonts w:ascii="Arial" w:hAnsi="Arial" w:cs="Arial"/>
        </w:rPr>
      </w:pPr>
    </w:p>
    <w:p w14:paraId="0A3C60B4" w14:textId="77777777" w:rsidR="00CC4F02" w:rsidRDefault="00C84FBD">
      <w:pPr>
        <w:pStyle w:val="RedTxt"/>
        <w:jc w:val="both"/>
      </w:pPr>
      <w:r>
        <w:t>Pour obtenir tous renseignements complémentaires qui leur seraient nécessaires au cours de leur étude, les candidats devront faire parvenir une demande écrite via la plateforme PLACE, accessible à l’adresse suivante : : https://www.marches-publics.gouv.fr/.</w:t>
      </w:r>
    </w:p>
    <w:p w14:paraId="49567DCE" w14:textId="77777777" w:rsidR="00CC4F02" w:rsidRDefault="00CC4F02">
      <w:pPr>
        <w:pStyle w:val="RedTxt"/>
        <w:jc w:val="both"/>
      </w:pPr>
    </w:p>
    <w:p w14:paraId="16252C51" w14:textId="77777777" w:rsidR="00CC4F02" w:rsidRDefault="00C84FBD">
      <w:pPr>
        <w:jc w:val="both"/>
        <w:rPr>
          <w:rFonts w:ascii="Arial" w:hAnsi="Arial" w:cs="Arial"/>
          <w:b/>
          <w:sz w:val="18"/>
          <w:szCs w:val="18"/>
          <w:u w:val="single"/>
        </w:rPr>
      </w:pPr>
      <w:r>
        <w:rPr>
          <w:rFonts w:ascii="Arial" w:hAnsi="Arial" w:cs="Arial"/>
          <w:b/>
          <w:sz w:val="18"/>
          <w:szCs w:val="18"/>
          <w:u w:val="single"/>
        </w:rPr>
        <w:t>Les demandes de renseignements devront parvenir au plus tard 10 jours avant la date limite de remise des plis.</w:t>
      </w:r>
    </w:p>
    <w:p w14:paraId="2B21E928" w14:textId="77777777" w:rsidR="00CC4F02" w:rsidRDefault="00CC4F02">
      <w:pPr>
        <w:pStyle w:val="RedTxt"/>
        <w:widowControl/>
        <w:jc w:val="both"/>
      </w:pPr>
    </w:p>
    <w:p w14:paraId="4EFA732E" w14:textId="77777777" w:rsidR="00CC4F02" w:rsidRDefault="00C84FBD">
      <w:pPr>
        <w:pStyle w:val="RedTxt"/>
        <w:widowControl/>
        <w:jc w:val="both"/>
      </w:pPr>
      <w:r>
        <w:t>Une réponse sera, alors, adressée en temps utile via le profil d’acheteur à tous les candidats ayant été destinataires du dossier, au plus tard 06 jours avant la date limite de remise des plis.</w:t>
      </w:r>
    </w:p>
    <w:sectPr w:rsidR="00CC4F02">
      <w:headerReference w:type="default" r:id="rId10"/>
      <w:footerReference w:type="default" r:id="rId11"/>
      <w:pgSz w:w="11906" w:h="16838"/>
      <w:pgMar w:top="1417" w:right="1417" w:bottom="1417" w:left="1417" w:header="283" w:footer="6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64C80" w14:textId="77777777" w:rsidR="0049073F" w:rsidRDefault="0049073F">
      <w:r>
        <w:separator/>
      </w:r>
    </w:p>
  </w:endnote>
  <w:endnote w:type="continuationSeparator" w:id="0">
    <w:p w14:paraId="3FC0ED9D" w14:textId="77777777" w:rsidR="0049073F" w:rsidRDefault="0049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062" w:type="dxa"/>
      <w:tblLayout w:type="fixed"/>
      <w:tblLook w:val="04A0" w:firstRow="1" w:lastRow="0" w:firstColumn="1" w:lastColumn="0" w:noHBand="0" w:noVBand="1"/>
    </w:tblPr>
    <w:tblGrid>
      <w:gridCol w:w="2550"/>
      <w:gridCol w:w="4675"/>
      <w:gridCol w:w="1837"/>
    </w:tblGrid>
    <w:tr w:rsidR="00CC4F02" w14:paraId="7E4BBB81" w14:textId="77777777">
      <w:tc>
        <w:tcPr>
          <w:tcW w:w="2550" w:type="dxa"/>
          <w:tcBorders>
            <w:left w:val="nil"/>
            <w:bottom w:val="nil"/>
            <w:right w:val="nil"/>
          </w:tcBorders>
        </w:tcPr>
        <w:p w14:paraId="36F3CFFE" w14:textId="77777777" w:rsidR="00CC4F02" w:rsidRDefault="00C84FBD">
          <w:pPr>
            <w:widowControl w:val="0"/>
            <w:rPr>
              <w:rFonts w:ascii="Arial" w:hAnsi="Arial" w:cs="Arial"/>
              <w:i/>
              <w:sz w:val="16"/>
              <w:szCs w:val="16"/>
            </w:rPr>
          </w:pPr>
          <w:r>
            <w:rPr>
              <w:rFonts w:ascii="Arial" w:hAnsi="Arial" w:cs="Arial"/>
              <w:i/>
              <w:sz w:val="14"/>
              <w:szCs w:val="16"/>
            </w:rPr>
            <w:t>Assistant à Maîtrise d’ouvrage :</w:t>
          </w:r>
        </w:p>
      </w:tc>
      <w:tc>
        <w:tcPr>
          <w:tcW w:w="4675" w:type="dxa"/>
          <w:vMerge w:val="restart"/>
          <w:tcBorders>
            <w:left w:val="nil"/>
            <w:bottom w:val="nil"/>
            <w:right w:val="nil"/>
          </w:tcBorders>
          <w:vAlign w:val="center"/>
        </w:tcPr>
        <w:p w14:paraId="427F256E" w14:textId="77777777" w:rsidR="00CC4F02" w:rsidRDefault="00C84FBD">
          <w:pPr>
            <w:pStyle w:val="Pieddepage"/>
            <w:widowControl w:val="0"/>
            <w:jc w:val="center"/>
            <w:rPr>
              <w:rFonts w:ascii="Arial" w:hAnsi="Arial" w:cs="Arial"/>
              <w:sz w:val="20"/>
              <w:szCs w:val="20"/>
            </w:rPr>
          </w:pPr>
          <w:r>
            <w:rPr>
              <w:rStyle w:val="Numrodepage"/>
              <w:rFonts w:ascii="Arial" w:hAnsi="Arial" w:cs="Arial"/>
              <w:sz w:val="18"/>
              <w:szCs w:val="20"/>
            </w:rPr>
            <w:t>RÈGLEMENT DE LA CONSULTATION</w:t>
          </w:r>
        </w:p>
      </w:tc>
      <w:tc>
        <w:tcPr>
          <w:tcW w:w="1837" w:type="dxa"/>
          <w:tcBorders>
            <w:left w:val="nil"/>
            <w:bottom w:val="nil"/>
            <w:right w:val="nil"/>
          </w:tcBorders>
          <w:vAlign w:val="center"/>
        </w:tcPr>
        <w:p w14:paraId="22CBC4DB" w14:textId="77777777" w:rsidR="00CC4F02" w:rsidRDefault="00C84FBD">
          <w:pPr>
            <w:widowControl w:val="0"/>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12</w:t>
          </w:r>
          <w:r>
            <w:rPr>
              <w:rFonts w:ascii="Arial" w:hAnsi="Arial" w:cs="Arial"/>
              <w:sz w:val="16"/>
              <w:szCs w:val="16"/>
            </w:rPr>
            <w:fldChar w:fldCharType="end"/>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sz w:val="16"/>
              <w:szCs w:val="16"/>
            </w:rPr>
            <w:t>13</w:t>
          </w:r>
          <w:r>
            <w:rPr>
              <w:rFonts w:ascii="Arial" w:hAnsi="Arial" w:cs="Arial"/>
              <w:sz w:val="16"/>
              <w:szCs w:val="16"/>
            </w:rPr>
            <w:fldChar w:fldCharType="end"/>
          </w:r>
        </w:p>
      </w:tc>
    </w:tr>
    <w:tr w:rsidR="00CC4F02" w14:paraId="7A3B2B1C" w14:textId="77777777">
      <w:trPr>
        <w:trHeight w:val="658"/>
      </w:trPr>
      <w:tc>
        <w:tcPr>
          <w:tcW w:w="2550" w:type="dxa"/>
          <w:tcBorders>
            <w:top w:val="nil"/>
            <w:left w:val="nil"/>
            <w:bottom w:val="nil"/>
            <w:right w:val="nil"/>
          </w:tcBorders>
        </w:tcPr>
        <w:p w14:paraId="3A653BAD" w14:textId="77777777" w:rsidR="00CC4F02" w:rsidRDefault="00C84FBD">
          <w:pPr>
            <w:widowControl w:val="0"/>
            <w:rPr>
              <w:rFonts w:ascii="Arial" w:hAnsi="Arial" w:cs="Arial"/>
              <w:sz w:val="16"/>
              <w:szCs w:val="16"/>
            </w:rPr>
          </w:pPr>
          <w:r>
            <w:rPr>
              <w:noProof/>
            </w:rPr>
            <w:drawing>
              <wp:inline distT="0" distB="0" distL="0" distR="0" wp14:anchorId="434BF28F" wp14:editId="53A526FF">
                <wp:extent cx="989330" cy="5524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
                        <a:stretch>
                          <a:fillRect/>
                        </a:stretch>
                      </pic:blipFill>
                      <pic:spPr bwMode="auto">
                        <a:xfrm>
                          <a:off x="0" y="0"/>
                          <a:ext cx="989330" cy="552450"/>
                        </a:xfrm>
                        <a:prstGeom prst="rect">
                          <a:avLst/>
                        </a:prstGeom>
                      </pic:spPr>
                    </pic:pic>
                  </a:graphicData>
                </a:graphic>
              </wp:inline>
            </w:drawing>
          </w:r>
        </w:p>
      </w:tc>
      <w:tc>
        <w:tcPr>
          <w:tcW w:w="4675" w:type="dxa"/>
          <w:vMerge/>
          <w:tcBorders>
            <w:top w:val="nil"/>
            <w:left w:val="nil"/>
            <w:bottom w:val="nil"/>
            <w:right w:val="nil"/>
          </w:tcBorders>
        </w:tcPr>
        <w:p w14:paraId="58AF2068" w14:textId="77777777" w:rsidR="00CC4F02" w:rsidRDefault="00CC4F02">
          <w:pPr>
            <w:pStyle w:val="Pieddepage"/>
            <w:widowControl w:val="0"/>
            <w:jc w:val="center"/>
            <w:rPr>
              <w:rFonts w:ascii="Arial" w:hAnsi="Arial" w:cs="Arial"/>
              <w:sz w:val="16"/>
              <w:szCs w:val="16"/>
            </w:rPr>
          </w:pPr>
        </w:p>
      </w:tc>
      <w:tc>
        <w:tcPr>
          <w:tcW w:w="1837" w:type="dxa"/>
          <w:tcBorders>
            <w:top w:val="nil"/>
            <w:left w:val="nil"/>
            <w:bottom w:val="nil"/>
            <w:right w:val="nil"/>
          </w:tcBorders>
          <w:vAlign w:val="center"/>
        </w:tcPr>
        <w:p w14:paraId="517B1756" w14:textId="77777777" w:rsidR="00CC4F02" w:rsidRDefault="00C84FBD">
          <w:pPr>
            <w:widowControl w:val="0"/>
            <w:jc w:val="right"/>
            <w:rPr>
              <w:rFonts w:ascii="Arial" w:hAnsi="Arial" w:cs="Arial"/>
              <w:sz w:val="16"/>
              <w:szCs w:val="16"/>
            </w:rPr>
          </w:pPr>
          <w:r>
            <w:rPr>
              <w:rFonts w:ascii="Arial" w:hAnsi="Arial" w:cs="Arial"/>
              <w:sz w:val="14"/>
              <w:szCs w:val="16"/>
            </w:rPr>
            <w:t>Version 01</w:t>
          </w:r>
        </w:p>
      </w:tc>
    </w:tr>
    <w:tr w:rsidR="00CC4F02" w14:paraId="49F91A91" w14:textId="77777777">
      <w:trPr>
        <w:trHeight w:val="116"/>
      </w:trPr>
      <w:tc>
        <w:tcPr>
          <w:tcW w:w="2550" w:type="dxa"/>
          <w:tcBorders>
            <w:top w:val="nil"/>
            <w:left w:val="nil"/>
            <w:bottom w:val="nil"/>
            <w:right w:val="nil"/>
          </w:tcBorders>
        </w:tcPr>
        <w:p w14:paraId="4AF1CE74" w14:textId="77777777" w:rsidR="00CC4F02" w:rsidRDefault="00C84FBD">
          <w:pPr>
            <w:widowControl w:val="0"/>
            <w:rPr>
              <w:rFonts w:ascii="Arial" w:hAnsi="Arial" w:cs="Arial"/>
              <w:sz w:val="16"/>
              <w:szCs w:val="16"/>
            </w:rPr>
          </w:pPr>
          <w:r>
            <w:rPr>
              <w:rFonts w:ascii="Arial" w:eastAsia="Calibri" w:hAnsi="Arial" w:cs="Arial"/>
              <w:sz w:val="14"/>
              <w:szCs w:val="14"/>
              <w:lang w:eastAsia="en-US"/>
            </w:rPr>
            <w:t>Service/auteur : AGILE / AVI</w:t>
          </w:r>
        </w:p>
      </w:tc>
      <w:tc>
        <w:tcPr>
          <w:tcW w:w="4675" w:type="dxa"/>
          <w:vMerge/>
          <w:tcBorders>
            <w:top w:val="nil"/>
            <w:left w:val="nil"/>
            <w:bottom w:val="nil"/>
            <w:right w:val="nil"/>
          </w:tcBorders>
        </w:tcPr>
        <w:p w14:paraId="398A0697" w14:textId="77777777" w:rsidR="00CC4F02" w:rsidRDefault="00CC4F02">
          <w:pPr>
            <w:pStyle w:val="Pieddepage"/>
            <w:widowControl w:val="0"/>
            <w:jc w:val="center"/>
            <w:rPr>
              <w:rFonts w:ascii="Arial" w:hAnsi="Arial" w:cs="Arial"/>
              <w:sz w:val="16"/>
              <w:szCs w:val="16"/>
            </w:rPr>
          </w:pPr>
        </w:p>
      </w:tc>
      <w:tc>
        <w:tcPr>
          <w:tcW w:w="1837" w:type="dxa"/>
          <w:tcBorders>
            <w:top w:val="nil"/>
            <w:left w:val="nil"/>
            <w:bottom w:val="nil"/>
            <w:right w:val="nil"/>
          </w:tcBorders>
        </w:tcPr>
        <w:p w14:paraId="7F2BAF82" w14:textId="77777777" w:rsidR="00CC4F02" w:rsidRDefault="00CC4F02">
          <w:pPr>
            <w:pStyle w:val="Pieddepage"/>
            <w:widowControl w:val="0"/>
            <w:jc w:val="center"/>
            <w:rPr>
              <w:rFonts w:ascii="Arial" w:hAnsi="Arial" w:cs="Arial"/>
              <w:sz w:val="16"/>
              <w:szCs w:val="16"/>
            </w:rPr>
          </w:pPr>
        </w:p>
      </w:tc>
    </w:tr>
  </w:tbl>
  <w:p w14:paraId="747D0EC1" w14:textId="77777777" w:rsidR="00CC4F02" w:rsidRDefault="00CC4F02">
    <w:pPr>
      <w:pStyle w:val="Pieddepag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8E9B8" w14:textId="77777777" w:rsidR="0049073F" w:rsidRDefault="0049073F">
      <w:r>
        <w:separator/>
      </w:r>
    </w:p>
  </w:footnote>
  <w:footnote w:type="continuationSeparator" w:id="0">
    <w:p w14:paraId="35716099" w14:textId="77777777" w:rsidR="0049073F" w:rsidRDefault="00490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23CA1" w14:textId="77777777" w:rsidR="00CC4F02" w:rsidRDefault="00CC4F02"/>
  <w:tbl>
    <w:tblPr>
      <w:tblStyle w:val="Grilledutableau"/>
      <w:tblW w:w="9062" w:type="dxa"/>
      <w:tblLayout w:type="fixed"/>
      <w:tblLook w:val="04A0" w:firstRow="1" w:lastRow="0" w:firstColumn="1" w:lastColumn="0" w:noHBand="0" w:noVBand="1"/>
    </w:tblPr>
    <w:tblGrid>
      <w:gridCol w:w="9062"/>
    </w:tblGrid>
    <w:tr w:rsidR="00CC4F02" w14:paraId="6703B387" w14:textId="77777777">
      <w:trPr>
        <w:trHeight w:val="274"/>
      </w:trPr>
      <w:tc>
        <w:tcPr>
          <w:tcW w:w="9062" w:type="dxa"/>
          <w:tcBorders>
            <w:top w:val="nil"/>
            <w:left w:val="nil"/>
            <w:bottom w:val="nil"/>
            <w:right w:val="nil"/>
          </w:tcBorders>
        </w:tcPr>
        <w:p w14:paraId="2C6CDA69" w14:textId="77777777" w:rsidR="00CC4F02" w:rsidRDefault="00C84FBD">
          <w:pPr>
            <w:pStyle w:val="En-tte"/>
            <w:widowControl w:val="0"/>
            <w:jc w:val="center"/>
            <w:rPr>
              <w:rFonts w:ascii="Arial" w:hAnsi="Arial" w:cs="Arial"/>
            </w:rPr>
          </w:pPr>
          <w:r>
            <w:rPr>
              <w:rFonts w:ascii="Arial" w:eastAsia="Calibri" w:hAnsi="Arial" w:cs="Arial"/>
              <w:b/>
              <w:bCs/>
              <w:sz w:val="16"/>
              <w:szCs w:val="16"/>
              <w:lang w:eastAsia="en-US"/>
            </w:rPr>
            <w:t>Rénovation énergétique des chaufferies de la Sous-Préfecture de THANN-GUEBWILLER</w:t>
          </w:r>
        </w:p>
      </w:tc>
    </w:tr>
    <w:tr w:rsidR="00CC4F02" w14:paraId="0A5EB196" w14:textId="77777777">
      <w:trPr>
        <w:trHeight w:val="277"/>
      </w:trPr>
      <w:tc>
        <w:tcPr>
          <w:tcW w:w="9062" w:type="dxa"/>
          <w:tcBorders>
            <w:top w:val="nil"/>
            <w:left w:val="nil"/>
            <w:bottom w:val="nil"/>
            <w:right w:val="nil"/>
          </w:tcBorders>
          <w:vAlign w:val="center"/>
        </w:tcPr>
        <w:p w14:paraId="140B2387" w14:textId="77777777" w:rsidR="00CC4F02" w:rsidRDefault="00CC4F02">
          <w:pPr>
            <w:pStyle w:val="En-tte"/>
            <w:widowControl w:val="0"/>
            <w:jc w:val="right"/>
            <w:rPr>
              <w:rFonts w:ascii="Arial" w:hAnsi="Arial" w:cs="Arial"/>
            </w:rPr>
          </w:pPr>
        </w:p>
      </w:tc>
    </w:tr>
  </w:tbl>
  <w:p w14:paraId="6DCF7C2A" w14:textId="77777777" w:rsidR="00CC4F02" w:rsidRDefault="00CC4F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08A6"/>
    <w:multiLevelType w:val="multilevel"/>
    <w:tmpl w:val="05A6F6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4A4B3D"/>
    <w:multiLevelType w:val="multilevel"/>
    <w:tmpl w:val="49BADED8"/>
    <w:lvl w:ilvl="0">
      <w:start w:val="1"/>
      <w:numFmt w:val="decimal"/>
      <w:lvlText w:val="%1-"/>
      <w:lvlJc w:val="left"/>
      <w:pPr>
        <w:tabs>
          <w:tab w:val="num" w:pos="0"/>
        </w:tabs>
        <w:ind w:left="720" w:hanging="360"/>
      </w:pPr>
      <w:rPr>
        <w:b/>
        <w:color w:val="FF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2A579A"/>
    <w:multiLevelType w:val="multilevel"/>
    <w:tmpl w:val="D2D0FE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41238AC"/>
    <w:multiLevelType w:val="multilevel"/>
    <w:tmpl w:val="C6229F1E"/>
    <w:lvl w:ilvl="0">
      <w:start w:val="1"/>
      <w:numFmt w:val="decimal"/>
      <w:lvlText w:val="%1-"/>
      <w:lvlJc w:val="left"/>
      <w:pPr>
        <w:tabs>
          <w:tab w:val="num" w:pos="0"/>
        </w:tabs>
        <w:ind w:left="720" w:hanging="360"/>
      </w:pPr>
      <w:rPr>
        <w:b/>
        <w:color w:val="FF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FAB0B55"/>
    <w:multiLevelType w:val="multilevel"/>
    <w:tmpl w:val="00B4425C"/>
    <w:lvl w:ilvl="0">
      <w:start w:val="1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C806734"/>
    <w:multiLevelType w:val="multilevel"/>
    <w:tmpl w:val="E9E22F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60A3A60"/>
    <w:multiLevelType w:val="multilevel"/>
    <w:tmpl w:val="713EDBE8"/>
    <w:lvl w:ilvl="0">
      <w:start w:val="1"/>
      <w:numFmt w:val="bullet"/>
      <w:lvlText w:val=""/>
      <w:lvlJc w:val="left"/>
      <w:pPr>
        <w:tabs>
          <w:tab w:val="num" w:pos="0"/>
        </w:tabs>
        <w:ind w:left="1440" w:hanging="360"/>
      </w:pPr>
      <w:rPr>
        <w:rFonts w:ascii="Wingdings" w:hAnsi="Wingdings" w:cs="Wingdings" w:hint="default"/>
        <w:color w:val="auto"/>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56F8412F"/>
    <w:multiLevelType w:val="multilevel"/>
    <w:tmpl w:val="B04259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8836171"/>
    <w:multiLevelType w:val="multilevel"/>
    <w:tmpl w:val="E424E16E"/>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C585806"/>
    <w:multiLevelType w:val="multilevel"/>
    <w:tmpl w:val="40E2872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EDC64EF"/>
    <w:multiLevelType w:val="multilevel"/>
    <w:tmpl w:val="BFD8367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AA5130C"/>
    <w:multiLevelType w:val="multilevel"/>
    <w:tmpl w:val="DE4A7E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C93076B"/>
    <w:multiLevelType w:val="multilevel"/>
    <w:tmpl w:val="6CB86608"/>
    <w:lvl w:ilvl="0">
      <w:start w:val="2"/>
      <w:numFmt w:val="bullet"/>
      <w:lvlText w:val="-"/>
      <w:lvlJc w:val="left"/>
      <w:pPr>
        <w:tabs>
          <w:tab w:val="num" w:pos="0"/>
        </w:tabs>
        <w:ind w:left="720" w:hanging="360"/>
      </w:pPr>
      <w:rPr>
        <w:rFonts w:ascii="ArialMT" w:hAnsi="ArialMT" w:cs="ArialM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24F0BE4"/>
    <w:multiLevelType w:val="multilevel"/>
    <w:tmpl w:val="D70C66F8"/>
    <w:lvl w:ilvl="0">
      <w:start w:val="1"/>
      <w:numFmt w:val="bullet"/>
      <w:pStyle w:val="Retrait1"/>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7066567"/>
    <w:multiLevelType w:val="multilevel"/>
    <w:tmpl w:val="F6E8DE2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77B83015"/>
    <w:multiLevelType w:val="hybridMultilevel"/>
    <w:tmpl w:val="C7860844"/>
    <w:lvl w:ilvl="0" w:tplc="421C85BA">
      <w:start w:val="2"/>
      <w:numFmt w:val="bullet"/>
      <w:lvlText w:val="-"/>
      <w:lvlJc w:val="left"/>
      <w:pPr>
        <w:ind w:left="405" w:hanging="360"/>
      </w:pPr>
      <w:rPr>
        <w:rFonts w:ascii="Arial" w:eastAsia="Times New Roman" w:hAnsi="Aria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16cid:durableId="1915822795">
    <w:abstractNumId w:val="10"/>
  </w:num>
  <w:num w:numId="2" w16cid:durableId="1171874653">
    <w:abstractNumId w:val="13"/>
  </w:num>
  <w:num w:numId="3" w16cid:durableId="2057116222">
    <w:abstractNumId w:val="0"/>
  </w:num>
  <w:num w:numId="4" w16cid:durableId="1694380854">
    <w:abstractNumId w:val="12"/>
  </w:num>
  <w:num w:numId="5" w16cid:durableId="970405255">
    <w:abstractNumId w:val="11"/>
  </w:num>
  <w:num w:numId="6" w16cid:durableId="1454834440">
    <w:abstractNumId w:val="1"/>
  </w:num>
  <w:num w:numId="7" w16cid:durableId="956909262">
    <w:abstractNumId w:val="8"/>
  </w:num>
  <w:num w:numId="8" w16cid:durableId="1914120494">
    <w:abstractNumId w:val="9"/>
  </w:num>
  <w:num w:numId="9" w16cid:durableId="875506611">
    <w:abstractNumId w:val="14"/>
  </w:num>
  <w:num w:numId="10" w16cid:durableId="60056920">
    <w:abstractNumId w:val="6"/>
  </w:num>
  <w:num w:numId="11" w16cid:durableId="152528921">
    <w:abstractNumId w:val="3"/>
  </w:num>
  <w:num w:numId="12" w16cid:durableId="1701392011">
    <w:abstractNumId w:val="4"/>
  </w:num>
  <w:num w:numId="13" w16cid:durableId="1054040922">
    <w:abstractNumId w:val="7"/>
  </w:num>
  <w:num w:numId="14" w16cid:durableId="1803108765">
    <w:abstractNumId w:val="2"/>
  </w:num>
  <w:num w:numId="15" w16cid:durableId="960300584">
    <w:abstractNumId w:val="5"/>
  </w:num>
  <w:num w:numId="16" w16cid:durableId="17061780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02"/>
    <w:rsid w:val="00093FF6"/>
    <w:rsid w:val="000A50F7"/>
    <w:rsid w:val="000F68DB"/>
    <w:rsid w:val="00130844"/>
    <w:rsid w:val="00162648"/>
    <w:rsid w:val="00162F6E"/>
    <w:rsid w:val="001966C4"/>
    <w:rsid w:val="001C2FA2"/>
    <w:rsid w:val="00235147"/>
    <w:rsid w:val="003432D9"/>
    <w:rsid w:val="0040484C"/>
    <w:rsid w:val="004259D1"/>
    <w:rsid w:val="0049073F"/>
    <w:rsid w:val="004B2A2E"/>
    <w:rsid w:val="005D3772"/>
    <w:rsid w:val="00761227"/>
    <w:rsid w:val="007B6CA9"/>
    <w:rsid w:val="007C26EB"/>
    <w:rsid w:val="007D7776"/>
    <w:rsid w:val="00814EED"/>
    <w:rsid w:val="009701A4"/>
    <w:rsid w:val="00A17618"/>
    <w:rsid w:val="00A506D3"/>
    <w:rsid w:val="00A64367"/>
    <w:rsid w:val="00A9269D"/>
    <w:rsid w:val="00A92F7A"/>
    <w:rsid w:val="00AD6FB5"/>
    <w:rsid w:val="00B03D20"/>
    <w:rsid w:val="00B10F8B"/>
    <w:rsid w:val="00B14DBE"/>
    <w:rsid w:val="00B438EF"/>
    <w:rsid w:val="00BC5A82"/>
    <w:rsid w:val="00BF1254"/>
    <w:rsid w:val="00C76FCA"/>
    <w:rsid w:val="00C80B6F"/>
    <w:rsid w:val="00C84FBD"/>
    <w:rsid w:val="00C95541"/>
    <w:rsid w:val="00CB0F51"/>
    <w:rsid w:val="00CC4F02"/>
    <w:rsid w:val="00CC54C1"/>
    <w:rsid w:val="00D06518"/>
    <w:rsid w:val="00DE6FF3"/>
    <w:rsid w:val="00E2490D"/>
    <w:rsid w:val="00FA62B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3639"/>
  <w15:docId w15:val="{7CF13952-F0CC-4447-82D0-9C0C7E8E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96D"/>
    <w:rPr>
      <w:sz w:val="24"/>
      <w:szCs w:val="24"/>
    </w:rPr>
  </w:style>
  <w:style w:type="paragraph" w:styleId="Titre1">
    <w:name w:val="heading 1"/>
    <w:basedOn w:val="Normal"/>
    <w:next w:val="Normal"/>
    <w:link w:val="Titre1Car"/>
    <w:qFormat/>
    <w:rsid w:val="00BE3C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qFormat/>
    <w:rsid w:val="00E0282E"/>
    <w:pPr>
      <w:keepNext/>
      <w:spacing w:before="240" w:after="60"/>
      <w:ind w:left="284"/>
      <w:outlineLvl w:val="1"/>
    </w:pPr>
    <w:rPr>
      <w:i/>
      <w:szCs w:val="20"/>
      <w:u w:val="single"/>
    </w:rPr>
  </w:style>
  <w:style w:type="paragraph" w:styleId="Titre3">
    <w:name w:val="heading 3"/>
    <w:basedOn w:val="Normal"/>
    <w:next w:val="Normal"/>
    <w:link w:val="Titre3Car"/>
    <w:uiPriority w:val="9"/>
    <w:qFormat/>
    <w:rsid w:val="00E0282E"/>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qFormat/>
    <w:locked/>
    <w:rPr>
      <w:rFonts w:ascii="Cambria" w:eastAsia="Times New Roman" w:hAnsi="Cambria" w:cs="Times New Roman"/>
      <w:b/>
      <w:bCs/>
      <w:i/>
      <w:iCs/>
      <w:sz w:val="28"/>
      <w:szCs w:val="28"/>
    </w:rPr>
  </w:style>
  <w:style w:type="character" w:customStyle="1" w:styleId="Titre3Car">
    <w:name w:val="Titre 3 Car"/>
    <w:link w:val="Titre3"/>
    <w:uiPriority w:val="9"/>
    <w:semiHidden/>
    <w:qFormat/>
    <w:locked/>
    <w:rPr>
      <w:rFonts w:ascii="Cambria" w:eastAsia="Times New Roman" w:hAnsi="Cambria" w:cs="Times New Roman"/>
      <w:b/>
      <w:bCs/>
      <w:sz w:val="26"/>
      <w:szCs w:val="26"/>
    </w:rPr>
  </w:style>
  <w:style w:type="character" w:styleId="Lienhypertexte">
    <w:name w:val="Hyperlink"/>
    <w:uiPriority w:val="99"/>
    <w:rsid w:val="001B5BCB"/>
    <w:rPr>
      <w:rFonts w:cs="Times New Roman"/>
      <w:color w:val="0000FF"/>
      <w:u w:val="single"/>
    </w:rPr>
  </w:style>
  <w:style w:type="character" w:customStyle="1" w:styleId="TextedebullesCar">
    <w:name w:val="Texte de bulles Car"/>
    <w:link w:val="Textedebulles"/>
    <w:uiPriority w:val="99"/>
    <w:semiHidden/>
    <w:qFormat/>
    <w:locked/>
    <w:rPr>
      <w:rFonts w:ascii="Tahoma" w:hAnsi="Tahoma" w:cs="Tahoma"/>
      <w:sz w:val="16"/>
      <w:szCs w:val="16"/>
    </w:rPr>
  </w:style>
  <w:style w:type="character" w:customStyle="1" w:styleId="RetraitcorpsdetexteCar">
    <w:name w:val="Retrait corps de texte Car"/>
    <w:link w:val="Retraitcorpsdetexte"/>
    <w:uiPriority w:val="99"/>
    <w:semiHidden/>
    <w:qFormat/>
    <w:locked/>
    <w:rPr>
      <w:rFonts w:cs="Times New Roman"/>
      <w:sz w:val="24"/>
      <w:szCs w:val="24"/>
    </w:rPr>
  </w:style>
  <w:style w:type="character" w:customStyle="1" w:styleId="CorpsdetexteCar">
    <w:name w:val="Corps de texte Car"/>
    <w:link w:val="Corpsdetexte"/>
    <w:uiPriority w:val="99"/>
    <w:semiHidden/>
    <w:qFormat/>
    <w:locked/>
    <w:rPr>
      <w:rFonts w:cs="Times New Roman"/>
      <w:sz w:val="24"/>
      <w:szCs w:val="24"/>
    </w:rPr>
  </w:style>
  <w:style w:type="character" w:customStyle="1" w:styleId="En-tteCar">
    <w:name w:val="En-tête Car"/>
    <w:link w:val="En-tte"/>
    <w:uiPriority w:val="99"/>
    <w:qFormat/>
    <w:locked/>
    <w:rPr>
      <w:rFonts w:cs="Times New Roman"/>
      <w:sz w:val="24"/>
      <w:szCs w:val="24"/>
    </w:rPr>
  </w:style>
  <w:style w:type="character" w:styleId="lev">
    <w:name w:val="Strong"/>
    <w:uiPriority w:val="22"/>
    <w:qFormat/>
    <w:rsid w:val="00F65D1A"/>
    <w:rPr>
      <w:rFonts w:cs="Times New Roman"/>
      <w:b/>
    </w:rPr>
  </w:style>
  <w:style w:type="character" w:styleId="Marquedecommentaire">
    <w:name w:val="annotation reference"/>
    <w:uiPriority w:val="99"/>
    <w:unhideWhenUsed/>
    <w:qFormat/>
    <w:rsid w:val="00024047"/>
    <w:rPr>
      <w:sz w:val="16"/>
      <w:szCs w:val="16"/>
    </w:rPr>
  </w:style>
  <w:style w:type="character" w:customStyle="1" w:styleId="CommentaireCar">
    <w:name w:val="Commentaire Car"/>
    <w:basedOn w:val="Policepardfaut"/>
    <w:link w:val="Commentaire"/>
    <w:uiPriority w:val="99"/>
    <w:qFormat/>
    <w:rsid w:val="00024047"/>
  </w:style>
  <w:style w:type="character" w:customStyle="1" w:styleId="ObjetducommentaireCar">
    <w:name w:val="Objet du commentaire Car"/>
    <w:link w:val="Objetducommentaire"/>
    <w:semiHidden/>
    <w:qFormat/>
    <w:rsid w:val="002B38E3"/>
    <w:rPr>
      <w:b/>
      <w:bCs/>
    </w:rPr>
  </w:style>
  <w:style w:type="character" w:styleId="Numrodepage">
    <w:name w:val="page number"/>
    <w:qFormat/>
    <w:rsid w:val="00BE5B24"/>
  </w:style>
  <w:style w:type="character" w:customStyle="1" w:styleId="PieddepageCar">
    <w:name w:val="Pied de page Car"/>
    <w:link w:val="Pieddepage"/>
    <w:qFormat/>
    <w:rsid w:val="00D51025"/>
    <w:rPr>
      <w:sz w:val="24"/>
      <w:szCs w:val="24"/>
    </w:rPr>
  </w:style>
  <w:style w:type="character" w:styleId="Textedelespacerserv">
    <w:name w:val="Placeholder Text"/>
    <w:uiPriority w:val="99"/>
    <w:semiHidden/>
    <w:qFormat/>
    <w:rsid w:val="00CC2D58"/>
    <w:rPr>
      <w:color w:val="808080"/>
    </w:rPr>
  </w:style>
  <w:style w:type="character" w:customStyle="1" w:styleId="RedTxtCar">
    <w:name w:val="RedTxt Car"/>
    <w:link w:val="RedTxt"/>
    <w:qFormat/>
    <w:locked/>
    <w:rsid w:val="00A0746C"/>
    <w:rPr>
      <w:rFonts w:ascii="Arial" w:hAnsi="Arial" w:cs="Arial"/>
      <w:sz w:val="18"/>
      <w:szCs w:val="18"/>
    </w:rPr>
  </w:style>
  <w:style w:type="character" w:styleId="Mentionnonrsolue">
    <w:name w:val="Unresolved Mention"/>
    <w:basedOn w:val="Policepardfaut"/>
    <w:uiPriority w:val="99"/>
    <w:semiHidden/>
    <w:unhideWhenUsed/>
    <w:qFormat/>
    <w:rsid w:val="007A4891"/>
    <w:rPr>
      <w:color w:val="605E5C"/>
      <w:shd w:val="clear" w:color="auto" w:fill="E1DFDD"/>
    </w:rPr>
  </w:style>
  <w:style w:type="character" w:customStyle="1" w:styleId="Titre1Car">
    <w:name w:val="Titre 1 Car"/>
    <w:basedOn w:val="Policepardfaut"/>
    <w:link w:val="Titre1"/>
    <w:qFormat/>
    <w:rsid w:val="00BE3CB3"/>
    <w:rPr>
      <w:rFonts w:asciiTheme="majorHAnsi" w:eastAsiaTheme="majorEastAsia" w:hAnsiTheme="majorHAnsi" w:cstheme="majorBidi"/>
      <w:color w:val="2E74B5" w:themeColor="accent1" w:themeShade="BF"/>
      <w:sz w:val="32"/>
      <w:szCs w:val="32"/>
    </w:rPr>
  </w:style>
  <w:style w:type="character" w:customStyle="1" w:styleId="Sous-titreCar">
    <w:name w:val="Sous-titre Car"/>
    <w:basedOn w:val="Policepardfaut"/>
    <w:link w:val="Sous-titre"/>
    <w:qFormat/>
    <w:rsid w:val="00BE3CB3"/>
    <w:rPr>
      <w:rFonts w:asciiTheme="minorHAnsi" w:eastAsiaTheme="minorEastAsia" w:hAnsiTheme="minorHAnsi" w:cstheme="minorBidi"/>
      <w:b/>
      <w:color w:val="0D0D0D" w:themeColor="text1" w:themeTint="F2"/>
      <w:spacing w:val="15"/>
      <w:sz w:val="28"/>
      <w:szCs w:val="22"/>
      <w:u w:val="single"/>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uiPriority w:val="99"/>
    <w:rsid w:val="00E0282E"/>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uiPriority w:val="99"/>
    <w:qFormat/>
    <w:rsid w:val="001B5BCB"/>
    <w:pPr>
      <w:spacing w:beforeAutospacing="1" w:afterAutospacing="1"/>
    </w:pPr>
  </w:style>
  <w:style w:type="paragraph" w:styleId="Textedebulles">
    <w:name w:val="Balloon Text"/>
    <w:basedOn w:val="Normal"/>
    <w:link w:val="TextedebullesCar"/>
    <w:uiPriority w:val="99"/>
    <w:semiHidden/>
    <w:qFormat/>
    <w:rsid w:val="001B5BCB"/>
    <w:rPr>
      <w:rFonts w:ascii="Tahoma" w:hAnsi="Tahoma" w:cs="Tahoma"/>
      <w:sz w:val="16"/>
      <w:szCs w:val="16"/>
    </w:rPr>
  </w:style>
  <w:style w:type="paragraph" w:customStyle="1" w:styleId="RedTitre1">
    <w:name w:val="RedTitre1"/>
    <w:basedOn w:val="Normal"/>
    <w:qFormat/>
    <w:rsid w:val="000A196D"/>
    <w:pPr>
      <w:widowControl w:val="0"/>
      <w:jc w:val="center"/>
    </w:pPr>
    <w:rPr>
      <w:rFonts w:ascii="Arial" w:hAnsi="Arial" w:cs="Arial"/>
      <w:b/>
      <w:bCs/>
      <w:sz w:val="22"/>
      <w:szCs w:val="22"/>
    </w:rPr>
  </w:style>
  <w:style w:type="paragraph" w:customStyle="1" w:styleId="Normal2">
    <w:name w:val="Normal2"/>
    <w:basedOn w:val="Normal"/>
    <w:qFormat/>
    <w:rsid w:val="00E0282E"/>
    <w:pPr>
      <w:keepLines/>
      <w:tabs>
        <w:tab w:val="left" w:pos="567"/>
        <w:tab w:val="left" w:pos="851"/>
        <w:tab w:val="left" w:pos="1134"/>
      </w:tabs>
      <w:ind w:left="284" w:firstLine="284"/>
      <w:jc w:val="both"/>
    </w:pPr>
    <w:rPr>
      <w:szCs w:val="20"/>
    </w:rPr>
  </w:style>
  <w:style w:type="paragraph" w:styleId="Retraitcorpsdetexte">
    <w:name w:val="Body Text Indent"/>
    <w:basedOn w:val="Normal"/>
    <w:link w:val="RetraitcorpsdetexteCar"/>
    <w:uiPriority w:val="99"/>
    <w:rsid w:val="00E0282E"/>
    <w:pPr>
      <w:ind w:left="284"/>
    </w:pPr>
    <w:rPr>
      <w:szCs w:val="20"/>
    </w:rPr>
  </w:style>
  <w:style w:type="paragraph" w:customStyle="1" w:styleId="RedTxt">
    <w:name w:val="RedTxt"/>
    <w:basedOn w:val="Normal"/>
    <w:link w:val="RedTxtCar"/>
    <w:qFormat/>
    <w:rsid w:val="00E0282E"/>
    <w:pPr>
      <w:widowControl w:val="0"/>
    </w:pPr>
    <w:rPr>
      <w:rFonts w:ascii="Arial" w:hAnsi="Arial" w:cs="Arial"/>
      <w:sz w:val="18"/>
      <w:szCs w:val="18"/>
    </w:rPr>
  </w:style>
  <w:style w:type="paragraph" w:customStyle="1" w:styleId="Normal1">
    <w:name w:val="Normal1"/>
    <w:basedOn w:val="Normal"/>
    <w:qFormat/>
    <w:rsid w:val="00E0282E"/>
    <w:pPr>
      <w:keepLines/>
      <w:tabs>
        <w:tab w:val="left" w:pos="284"/>
        <w:tab w:val="left" w:pos="567"/>
        <w:tab w:val="left" w:pos="851"/>
      </w:tabs>
      <w:ind w:firstLine="284"/>
      <w:jc w:val="both"/>
    </w:pPr>
    <w:rPr>
      <w:szCs w:val="20"/>
    </w:rPr>
  </w:style>
  <w:style w:type="paragraph" w:customStyle="1" w:styleId="Retrait1">
    <w:name w:val="Retrait1"/>
    <w:basedOn w:val="Normal"/>
    <w:qFormat/>
    <w:rsid w:val="00E0282E"/>
    <w:pPr>
      <w:numPr>
        <w:numId w:val="2"/>
      </w:numPr>
      <w:jc w:val="both"/>
    </w:pPr>
    <w:rPr>
      <w:szCs w:val="20"/>
    </w:rPr>
  </w:style>
  <w:style w:type="paragraph" w:customStyle="1" w:styleId="SousTitre2">
    <w:name w:val="SousTitre2"/>
    <w:basedOn w:val="Normal"/>
    <w:qFormat/>
    <w:rsid w:val="00E0282E"/>
    <w:pPr>
      <w:jc w:val="both"/>
    </w:pPr>
    <w:rPr>
      <w:szCs w:val="20"/>
    </w:rPr>
  </w:style>
  <w:style w:type="paragraph" w:customStyle="1" w:styleId="En-tteetpieddepage">
    <w:name w:val="En-tête et pied de page"/>
    <w:basedOn w:val="Normal"/>
    <w:qFormat/>
  </w:style>
  <w:style w:type="paragraph" w:styleId="En-tte">
    <w:name w:val="header"/>
    <w:basedOn w:val="Normal"/>
    <w:link w:val="En-tteCar"/>
    <w:uiPriority w:val="99"/>
    <w:rsid w:val="00E0282E"/>
    <w:pPr>
      <w:tabs>
        <w:tab w:val="center" w:pos="4819"/>
        <w:tab w:val="right" w:pos="9071"/>
      </w:tabs>
    </w:pPr>
    <w:rPr>
      <w:rFonts w:ascii="Tms Rmn" w:hAnsi="Tms Rmn"/>
      <w:sz w:val="20"/>
      <w:szCs w:val="20"/>
    </w:rPr>
  </w:style>
  <w:style w:type="paragraph" w:styleId="Paragraphedeliste">
    <w:name w:val="List Paragraph"/>
    <w:basedOn w:val="Normal"/>
    <w:uiPriority w:val="34"/>
    <w:qFormat/>
    <w:rsid w:val="00690AC2"/>
    <w:pPr>
      <w:ind w:left="708"/>
    </w:pPr>
  </w:style>
  <w:style w:type="paragraph" w:customStyle="1" w:styleId="RedRub">
    <w:name w:val="RedRub"/>
    <w:basedOn w:val="Normal"/>
    <w:qFormat/>
    <w:rsid w:val="00E86EE6"/>
    <w:pPr>
      <w:keepNext/>
      <w:widowControl w:val="0"/>
      <w:spacing w:before="60" w:after="60"/>
    </w:pPr>
    <w:rPr>
      <w:rFonts w:ascii="Arial" w:hAnsi="Arial" w:cs="Arial"/>
      <w:b/>
      <w:bCs/>
      <w:sz w:val="22"/>
      <w:szCs w:val="22"/>
    </w:rPr>
  </w:style>
  <w:style w:type="paragraph" w:customStyle="1" w:styleId="TITRE10">
    <w:name w:val="TITRE 1"/>
    <w:basedOn w:val="Normal"/>
    <w:qFormat/>
    <w:rsid w:val="00EC5975"/>
    <w:pPr>
      <w:widowControl w:val="0"/>
      <w:pBdr>
        <w:top w:val="single" w:sz="6" w:space="1" w:color="000000"/>
        <w:left w:val="single" w:sz="6" w:space="1" w:color="000000"/>
        <w:bottom w:val="single" w:sz="6" w:space="1" w:color="000000"/>
        <w:right w:val="single" w:sz="6" w:space="1" w:color="000000"/>
      </w:pBdr>
      <w:spacing w:before="240" w:after="60"/>
    </w:pPr>
    <w:rPr>
      <w:rFonts w:ascii="Arial" w:hAnsi="Arial" w:cs="Arial"/>
      <w:b/>
      <w:bCs/>
    </w:rPr>
  </w:style>
  <w:style w:type="paragraph" w:customStyle="1" w:styleId="Default">
    <w:name w:val="Default"/>
    <w:qFormat/>
    <w:rsid w:val="00EC5975"/>
    <w:rPr>
      <w:rFonts w:ascii="Arial" w:hAnsi="Arial" w:cs="Arial"/>
      <w:color w:val="000000"/>
      <w:sz w:val="24"/>
      <w:szCs w:val="24"/>
    </w:rPr>
  </w:style>
  <w:style w:type="paragraph" w:customStyle="1" w:styleId="RedPara">
    <w:name w:val="RedPara"/>
    <w:basedOn w:val="Normal"/>
    <w:qFormat/>
    <w:rsid w:val="00B95C71"/>
    <w:pPr>
      <w:keepNext/>
      <w:widowControl w:val="0"/>
      <w:spacing w:before="120" w:after="60"/>
    </w:pPr>
    <w:rPr>
      <w:rFonts w:ascii="Arial" w:hAnsi="Arial" w:cs="Arial"/>
      <w:b/>
      <w:bCs/>
      <w:sz w:val="22"/>
      <w:szCs w:val="22"/>
    </w:rPr>
  </w:style>
  <w:style w:type="paragraph" w:customStyle="1" w:styleId="RedTitre2">
    <w:name w:val="RedTitre2"/>
    <w:basedOn w:val="Normal"/>
    <w:qFormat/>
    <w:rsid w:val="008F21BD"/>
    <w:pPr>
      <w:keepNext/>
      <w:widowControl w:val="0"/>
      <w:pBdr>
        <w:top w:val="single" w:sz="6" w:space="1" w:color="000000"/>
        <w:left w:val="single" w:sz="6" w:space="1" w:color="000000"/>
        <w:bottom w:val="single" w:sz="6" w:space="1" w:color="000000"/>
        <w:right w:val="single" w:sz="6" w:space="1" w:color="000000"/>
      </w:pBdr>
      <w:spacing w:before="240" w:after="60"/>
    </w:pPr>
    <w:rPr>
      <w:rFonts w:ascii="Arial" w:hAnsi="Arial" w:cs="Arial"/>
      <w:b/>
      <w:bCs/>
    </w:rPr>
  </w:style>
  <w:style w:type="paragraph" w:styleId="Commentaire">
    <w:name w:val="annotation text"/>
    <w:basedOn w:val="Normal"/>
    <w:link w:val="CommentaireCar"/>
    <w:uiPriority w:val="99"/>
    <w:unhideWhenUsed/>
    <w:qFormat/>
    <w:rsid w:val="00024047"/>
    <w:pPr>
      <w:spacing w:after="120"/>
    </w:pPr>
    <w:rPr>
      <w:sz w:val="20"/>
      <w:szCs w:val="20"/>
    </w:rPr>
  </w:style>
  <w:style w:type="paragraph" w:styleId="Objetducommentaire">
    <w:name w:val="annotation subject"/>
    <w:basedOn w:val="Commentaire"/>
    <w:next w:val="Commentaire"/>
    <w:link w:val="ObjetducommentaireCar"/>
    <w:semiHidden/>
    <w:unhideWhenUsed/>
    <w:qFormat/>
    <w:rsid w:val="002B38E3"/>
    <w:pPr>
      <w:spacing w:after="0"/>
    </w:pPr>
    <w:rPr>
      <w:b/>
      <w:bCs/>
    </w:rPr>
  </w:style>
  <w:style w:type="paragraph" w:styleId="TM1">
    <w:name w:val="toc 1"/>
    <w:basedOn w:val="Normal"/>
    <w:next w:val="Normal"/>
    <w:autoRedefine/>
    <w:uiPriority w:val="39"/>
    <w:rsid w:val="00D537BE"/>
    <w:pPr>
      <w:widowControl w:val="0"/>
    </w:pPr>
    <w:rPr>
      <w:rFonts w:ascii="Arial" w:hAnsi="Arial" w:cs="Arial"/>
      <w:sz w:val="20"/>
      <w:szCs w:val="20"/>
    </w:rPr>
  </w:style>
  <w:style w:type="paragraph" w:styleId="TM2">
    <w:name w:val="toc 2"/>
    <w:basedOn w:val="Normal"/>
    <w:next w:val="Normal"/>
    <w:autoRedefine/>
    <w:uiPriority w:val="39"/>
    <w:rsid w:val="00D537BE"/>
    <w:pPr>
      <w:widowControl w:val="0"/>
      <w:ind w:left="200"/>
    </w:pPr>
    <w:rPr>
      <w:rFonts w:ascii="Arial" w:hAnsi="Arial" w:cs="Arial"/>
      <w:sz w:val="20"/>
      <w:szCs w:val="20"/>
    </w:rPr>
  </w:style>
  <w:style w:type="paragraph" w:styleId="Pieddepage">
    <w:name w:val="footer"/>
    <w:basedOn w:val="Normal"/>
    <w:link w:val="PieddepageCar"/>
    <w:unhideWhenUsed/>
    <w:rsid w:val="00D51025"/>
    <w:pPr>
      <w:tabs>
        <w:tab w:val="center" w:pos="4536"/>
        <w:tab w:val="right" w:pos="9072"/>
      </w:tabs>
    </w:pPr>
  </w:style>
  <w:style w:type="paragraph" w:customStyle="1" w:styleId="Textepardfaut">
    <w:name w:val="Texte par défaut"/>
    <w:basedOn w:val="Normal"/>
    <w:qFormat/>
    <w:rsid w:val="008E031D"/>
    <w:pPr>
      <w:overflowPunct w:val="0"/>
      <w:textAlignment w:val="baseline"/>
    </w:pPr>
    <w:rPr>
      <w:color w:val="000000"/>
      <w:szCs w:val="20"/>
      <w:lang w:val="en-US"/>
    </w:rPr>
  </w:style>
  <w:style w:type="paragraph" w:styleId="Sous-titre">
    <w:name w:val="Subtitle"/>
    <w:basedOn w:val="Normal"/>
    <w:next w:val="Normal"/>
    <w:link w:val="Sous-titreCar"/>
    <w:qFormat/>
    <w:rsid w:val="00BE3CB3"/>
    <w:pPr>
      <w:spacing w:after="160"/>
    </w:pPr>
    <w:rPr>
      <w:rFonts w:asciiTheme="minorHAnsi" w:eastAsiaTheme="minorEastAsia" w:hAnsiTheme="minorHAnsi" w:cstheme="minorBidi"/>
      <w:b/>
      <w:color w:val="0D0D0D" w:themeColor="text1" w:themeTint="F2"/>
      <w:spacing w:val="15"/>
      <w:sz w:val="28"/>
      <w:szCs w:val="22"/>
      <w:u w:val="single"/>
    </w:rPr>
  </w:style>
  <w:style w:type="paragraph" w:styleId="Rvision">
    <w:name w:val="Revision"/>
    <w:uiPriority w:val="99"/>
    <w:semiHidden/>
    <w:qFormat/>
    <w:rsid w:val="0010480B"/>
    <w:rPr>
      <w:sz w:val="24"/>
      <w:szCs w:val="24"/>
    </w:rPr>
  </w:style>
  <w:style w:type="paragraph" w:customStyle="1" w:styleId="Contenudecadre">
    <w:name w:val="Contenu de cadre"/>
    <w:basedOn w:val="Normal"/>
    <w:qFormat/>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EC5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maps/place/data=!4m2!3m1!1s0x47922a6dca9680db:0x1e1f25033b34601f?sa=X&amp;ved=1t:8290&amp;ictx=11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CFE32-794F-46B6-997B-161ED852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11</Pages>
  <Words>4147</Words>
  <Characters>22812</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RC marché de MOE</vt:lpstr>
    </vt:vector>
  </TitlesOfParts>
  <Company>Conseil Général de Saône et Loire</Company>
  <LinksUpToDate>false</LinksUpToDate>
  <CharactersWithSpaces>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marché de MOE</dc:title>
  <dc:subject/>
  <dc:creator>Aurelien VILFROY</dc:creator>
  <dc:description/>
  <cp:lastModifiedBy>Aurélien VILFROY</cp:lastModifiedBy>
  <cp:revision>12</cp:revision>
  <cp:lastPrinted>2010-04-30T15:49:00Z</cp:lastPrinted>
  <dcterms:created xsi:type="dcterms:W3CDTF">2024-09-30T07:11:00Z</dcterms:created>
  <dcterms:modified xsi:type="dcterms:W3CDTF">2024-10-04T07:48:00Z</dcterms:modified>
  <dc:language>fr-FR</dc:language>
</cp:coreProperties>
</file>