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04A9A551"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 xml:space="preserve">BJET Du projet de </w:t>
            </w:r>
            <w:r w:rsidR="00545E06" w:rsidRPr="0006068D">
              <w:rPr>
                <w:rFonts w:asciiTheme="minorHAnsi" w:hAnsiTheme="minorHAnsi" w:cstheme="minorHAnsi"/>
                <w:b/>
                <w:caps/>
                <w:sz w:val="22"/>
                <w:szCs w:val="22"/>
              </w:rPr>
              <w:t>CONTRAT :</w:t>
            </w:r>
          </w:p>
          <w:p w14:paraId="2BB50EB0" w14:textId="77777777" w:rsidR="00484840" w:rsidRDefault="00484840" w:rsidP="00484840">
            <w:pPr>
              <w:jc w:val="both"/>
              <w:rPr>
                <w:rFonts w:asciiTheme="minorHAnsi" w:hAnsiTheme="minorHAnsi" w:cstheme="minorHAnsi"/>
                <w:sz w:val="22"/>
                <w:szCs w:val="22"/>
              </w:rPr>
            </w:pPr>
          </w:p>
          <w:p w14:paraId="38516A26" w14:textId="65967FF9" w:rsidR="00484840" w:rsidRPr="00484840" w:rsidRDefault="00484840" w:rsidP="00484840">
            <w:pPr>
              <w:jc w:val="both"/>
              <w:rPr>
                <w:rFonts w:ascii="Times New Roman" w:eastAsia="Times New Roman" w:hAnsi="Times New Roman"/>
                <w:i/>
              </w:rPr>
            </w:pPr>
            <w:r w:rsidRPr="00484840">
              <w:rPr>
                <w:rFonts w:asciiTheme="minorHAnsi" w:hAnsiTheme="minorHAnsi" w:cstheme="minorHAnsi"/>
                <w:i/>
                <w:sz w:val="22"/>
                <w:szCs w:val="22"/>
              </w:rPr>
              <w:t>MARCHE DE FOURNITURES RELATIF A LA LIVRAISON DE MATERIEL</w:t>
            </w:r>
            <w:r>
              <w:rPr>
                <w:rFonts w:asciiTheme="minorHAnsi" w:hAnsiTheme="minorHAnsi" w:cstheme="minorHAnsi"/>
                <w:i/>
                <w:sz w:val="22"/>
                <w:szCs w:val="22"/>
              </w:rPr>
              <w:t>, CONSOMMABLES</w:t>
            </w:r>
            <w:r w:rsidRPr="00484840">
              <w:rPr>
                <w:rFonts w:asciiTheme="minorHAnsi" w:hAnsiTheme="minorHAnsi" w:cstheme="minorHAnsi"/>
                <w:i/>
                <w:sz w:val="22"/>
                <w:szCs w:val="22"/>
              </w:rPr>
              <w:t xml:space="preserve"> INFORMATIQUE</w:t>
            </w:r>
            <w:r>
              <w:rPr>
                <w:rFonts w:asciiTheme="minorHAnsi" w:hAnsiTheme="minorHAnsi" w:cstheme="minorHAnsi"/>
                <w:i/>
                <w:sz w:val="22"/>
                <w:szCs w:val="22"/>
              </w:rPr>
              <w:t xml:space="preserve">S ET DE VIDEO-PROJECTEURS AU PROFIT </w:t>
            </w:r>
            <w:r w:rsidRPr="00484840">
              <w:rPr>
                <w:rFonts w:asciiTheme="minorHAnsi" w:hAnsiTheme="minorHAnsi" w:cstheme="minorHAnsi"/>
                <w:i/>
                <w:sz w:val="22"/>
                <w:szCs w:val="22"/>
              </w:rPr>
              <w:t>D’EXPERTISE FRANCE EN REPUBLIQUE DEMOCRATIQUE DU CONGO</w:t>
            </w:r>
          </w:p>
          <w:p w14:paraId="2B8821F0" w14:textId="271CD3F4" w:rsidR="0083082B" w:rsidRPr="0006068D" w:rsidRDefault="0083082B" w:rsidP="0083082B">
            <w:pPr>
              <w:jc w:val="both"/>
              <w:rPr>
                <w:rFonts w:asciiTheme="minorHAnsi" w:hAnsiTheme="minorHAnsi" w:cstheme="minorHAnsi"/>
                <w:b/>
                <w:sz w:val="22"/>
                <w:szCs w:val="22"/>
              </w:rPr>
            </w:pP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0CE86CC" w14:textId="77777777" w:rsidR="002C2006" w:rsidRDefault="0083082B" w:rsidP="0050210D">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r w:rsidR="002C2006">
              <w:rPr>
                <w:rFonts w:asciiTheme="minorHAnsi" w:hAnsiTheme="minorHAnsi" w:cstheme="minorHAnsi"/>
                <w:b/>
                <w:caps/>
                <w:smallCaps/>
                <w:sz w:val="22"/>
                <w:szCs w:val="22"/>
              </w:rPr>
              <w:t xml:space="preserve"> </w:t>
            </w:r>
          </w:p>
          <w:p w14:paraId="10B7A1C3" w14:textId="77777777" w:rsidR="002C2006" w:rsidRDefault="002C2006" w:rsidP="0050210D">
            <w:pPr>
              <w:rPr>
                <w:rFonts w:asciiTheme="minorHAnsi" w:hAnsiTheme="minorHAnsi" w:cstheme="minorHAnsi"/>
                <w:b/>
                <w:caps/>
                <w:smallCaps/>
                <w:sz w:val="22"/>
                <w:szCs w:val="22"/>
              </w:rPr>
            </w:pPr>
          </w:p>
          <w:p w14:paraId="5ADFEC75" w14:textId="30146388" w:rsidR="0083082B" w:rsidRPr="002C2006" w:rsidRDefault="00C75196" w:rsidP="0050210D">
            <w:pPr>
              <w:rPr>
                <w:rFonts w:asciiTheme="minorHAnsi" w:hAnsiTheme="minorHAnsi" w:cstheme="minorHAnsi"/>
                <w:b/>
                <w:caps/>
                <w:smallCaps/>
                <w:sz w:val="22"/>
                <w:szCs w:val="22"/>
              </w:rPr>
            </w:pPr>
            <w:r>
              <w:rPr>
                <w:rFonts w:asciiTheme="minorHAnsi" w:hAnsiTheme="minorHAnsi" w:cstheme="minorHAnsi"/>
                <w:b/>
                <w:sz w:val="22"/>
                <w:szCs w:val="22"/>
                <w:highlight w:val="yellow"/>
              </w:rPr>
              <w:t>15 novem</w:t>
            </w:r>
            <w:r w:rsidR="00033B0F" w:rsidRPr="00380B9E">
              <w:rPr>
                <w:rFonts w:asciiTheme="minorHAnsi" w:hAnsiTheme="minorHAnsi" w:cstheme="minorHAnsi"/>
                <w:b/>
                <w:sz w:val="22"/>
                <w:szCs w:val="22"/>
                <w:highlight w:val="yellow"/>
              </w:rPr>
              <w:t xml:space="preserve">bre </w:t>
            </w:r>
            <w:r w:rsidR="002C2006" w:rsidRPr="00380B9E">
              <w:rPr>
                <w:rFonts w:asciiTheme="minorHAnsi" w:hAnsiTheme="minorHAnsi" w:cstheme="minorHAnsi"/>
                <w:b/>
                <w:sz w:val="22"/>
                <w:szCs w:val="22"/>
                <w:highlight w:val="yellow"/>
              </w:rPr>
              <w:t>2024 à 17</w:t>
            </w:r>
            <w:r w:rsidR="00033B0F" w:rsidRPr="00380B9E">
              <w:rPr>
                <w:rFonts w:asciiTheme="minorHAnsi" w:hAnsiTheme="minorHAnsi" w:cstheme="minorHAnsi"/>
                <w:b/>
                <w:sz w:val="22"/>
                <w:szCs w:val="22"/>
                <w:highlight w:val="yellow"/>
              </w:rPr>
              <w:t xml:space="preserve"> Heures</w:t>
            </w:r>
            <w:r w:rsidR="002C2006" w:rsidRPr="00380B9E">
              <w:rPr>
                <w:rFonts w:asciiTheme="minorHAnsi" w:hAnsiTheme="minorHAnsi" w:cstheme="minorHAnsi"/>
                <w:b/>
                <w:sz w:val="22"/>
                <w:szCs w:val="22"/>
                <w:highlight w:val="yellow"/>
              </w:rPr>
              <w:t xml:space="preserve"> (Heure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02AF8197" w14:textId="0C63A0DA" w:rsidR="00E346FB"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80418365" w:history="1">
            <w:r w:rsidR="00E346FB" w:rsidRPr="0012494B">
              <w:rPr>
                <w:rStyle w:val="Lienhypertexte"/>
                <w:rFonts w:cstheme="minorHAnsi"/>
                <w:b/>
                <w:caps/>
                <w:noProof/>
              </w:rPr>
              <w:t>ARTICLE 1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Objet et étendue de la consultation</w:t>
            </w:r>
            <w:r w:rsidR="00E346FB">
              <w:rPr>
                <w:noProof/>
                <w:webHidden/>
              </w:rPr>
              <w:tab/>
            </w:r>
            <w:r w:rsidR="00E346FB">
              <w:rPr>
                <w:noProof/>
                <w:webHidden/>
              </w:rPr>
              <w:fldChar w:fldCharType="begin"/>
            </w:r>
            <w:r w:rsidR="00E346FB">
              <w:rPr>
                <w:noProof/>
                <w:webHidden/>
              </w:rPr>
              <w:instrText xml:space="preserve"> PAGEREF _Toc180418365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220B31DC" w14:textId="5C6D3AFC" w:rsidR="00E346FB" w:rsidRDefault="00E352AB">
          <w:pPr>
            <w:pStyle w:val="TM2"/>
            <w:rPr>
              <w:noProof/>
            </w:rPr>
          </w:pPr>
          <w:hyperlink w:anchor="_Toc180418366" w:history="1">
            <w:r w:rsidR="00E346FB" w:rsidRPr="0012494B">
              <w:rPr>
                <w:rStyle w:val="Lienhypertexte"/>
                <w:rFonts w:cstheme="minorHAnsi"/>
                <w:noProof/>
              </w:rPr>
              <w:t>Objet de la consultation</w:t>
            </w:r>
            <w:r w:rsidR="00E346FB">
              <w:rPr>
                <w:noProof/>
                <w:webHidden/>
              </w:rPr>
              <w:tab/>
            </w:r>
            <w:r w:rsidR="00E346FB">
              <w:rPr>
                <w:noProof/>
                <w:webHidden/>
              </w:rPr>
              <w:fldChar w:fldCharType="begin"/>
            </w:r>
            <w:r w:rsidR="00E346FB">
              <w:rPr>
                <w:noProof/>
                <w:webHidden/>
              </w:rPr>
              <w:instrText xml:space="preserve"> PAGEREF _Toc180418366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22847AA6" w14:textId="7FC52811" w:rsidR="00E346FB" w:rsidRDefault="00E352AB">
          <w:pPr>
            <w:pStyle w:val="TM2"/>
            <w:rPr>
              <w:noProof/>
            </w:rPr>
          </w:pPr>
          <w:hyperlink w:anchor="_Toc180418367" w:history="1">
            <w:r w:rsidR="00E346FB" w:rsidRPr="0012494B">
              <w:rPr>
                <w:rStyle w:val="Lienhypertexte"/>
                <w:rFonts w:cstheme="minorHAnsi"/>
                <w:noProof/>
              </w:rPr>
              <w:t>Etendue de la consultation</w:t>
            </w:r>
            <w:r w:rsidR="00E346FB">
              <w:rPr>
                <w:noProof/>
                <w:webHidden/>
              </w:rPr>
              <w:tab/>
            </w:r>
            <w:r w:rsidR="00E346FB">
              <w:rPr>
                <w:noProof/>
                <w:webHidden/>
              </w:rPr>
              <w:fldChar w:fldCharType="begin"/>
            </w:r>
            <w:r w:rsidR="00E346FB">
              <w:rPr>
                <w:noProof/>
                <w:webHidden/>
              </w:rPr>
              <w:instrText xml:space="preserve"> PAGEREF _Toc180418367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4F6205D9" w14:textId="76C97FD0" w:rsidR="00E346FB" w:rsidRDefault="00E352AB">
          <w:pPr>
            <w:pStyle w:val="TM2"/>
            <w:rPr>
              <w:noProof/>
            </w:rPr>
          </w:pPr>
          <w:hyperlink w:anchor="_Toc180418368" w:history="1">
            <w:r w:rsidR="00E346FB" w:rsidRPr="0012494B">
              <w:rPr>
                <w:rStyle w:val="Lienhypertexte"/>
                <w:rFonts w:cstheme="minorHAnsi"/>
                <w:noProof/>
              </w:rPr>
              <w:t>Calendrier prévisionnel de la consultation</w:t>
            </w:r>
            <w:r w:rsidR="00E346FB">
              <w:rPr>
                <w:noProof/>
                <w:webHidden/>
              </w:rPr>
              <w:tab/>
            </w:r>
            <w:r w:rsidR="00E346FB">
              <w:rPr>
                <w:noProof/>
                <w:webHidden/>
              </w:rPr>
              <w:fldChar w:fldCharType="begin"/>
            </w:r>
            <w:r w:rsidR="00E346FB">
              <w:rPr>
                <w:noProof/>
                <w:webHidden/>
              </w:rPr>
              <w:instrText xml:space="preserve"> PAGEREF _Toc180418368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7E8743F9" w14:textId="4F113839" w:rsidR="00E346FB" w:rsidRDefault="00E352AB">
          <w:pPr>
            <w:pStyle w:val="TM2"/>
            <w:rPr>
              <w:noProof/>
            </w:rPr>
          </w:pPr>
          <w:hyperlink w:anchor="_Toc180418369" w:history="1">
            <w:r w:rsidR="00E346FB" w:rsidRPr="0012494B">
              <w:rPr>
                <w:rStyle w:val="Lienhypertexte"/>
                <w:rFonts w:cstheme="minorHAnsi"/>
                <w:noProof/>
              </w:rPr>
              <w:t>Langue de la consultation – unité monétaire</w:t>
            </w:r>
            <w:r w:rsidR="00E346FB">
              <w:rPr>
                <w:noProof/>
                <w:webHidden/>
              </w:rPr>
              <w:tab/>
            </w:r>
            <w:r w:rsidR="00E346FB">
              <w:rPr>
                <w:noProof/>
                <w:webHidden/>
              </w:rPr>
              <w:fldChar w:fldCharType="begin"/>
            </w:r>
            <w:r w:rsidR="00E346FB">
              <w:rPr>
                <w:noProof/>
                <w:webHidden/>
              </w:rPr>
              <w:instrText xml:space="preserve"> PAGEREF _Toc180418369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2647A81C" w14:textId="35480E3E" w:rsidR="00E346FB" w:rsidRDefault="00E352AB">
          <w:pPr>
            <w:pStyle w:val="TM2"/>
            <w:rPr>
              <w:noProof/>
            </w:rPr>
          </w:pPr>
          <w:hyperlink w:anchor="_Toc180418370" w:history="1">
            <w:r w:rsidR="00E346FB" w:rsidRPr="0012494B">
              <w:rPr>
                <w:rStyle w:val="Lienhypertexte"/>
                <w:rFonts w:cstheme="minorHAnsi"/>
                <w:noProof/>
              </w:rPr>
              <w:t>Composition du dossier de consultation</w:t>
            </w:r>
            <w:r w:rsidR="00E346FB">
              <w:rPr>
                <w:noProof/>
                <w:webHidden/>
              </w:rPr>
              <w:tab/>
            </w:r>
            <w:r w:rsidR="00E346FB">
              <w:rPr>
                <w:noProof/>
                <w:webHidden/>
              </w:rPr>
              <w:fldChar w:fldCharType="begin"/>
            </w:r>
            <w:r w:rsidR="00E346FB">
              <w:rPr>
                <w:noProof/>
                <w:webHidden/>
              </w:rPr>
              <w:instrText xml:space="preserve"> PAGEREF _Toc180418370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26090F5E" w14:textId="349ABCA4" w:rsidR="00E346FB" w:rsidRDefault="00E352AB">
          <w:pPr>
            <w:pStyle w:val="TM2"/>
            <w:rPr>
              <w:noProof/>
            </w:rPr>
          </w:pPr>
          <w:hyperlink w:anchor="_Toc180418371" w:history="1">
            <w:r w:rsidR="00E346FB" w:rsidRPr="0012494B">
              <w:rPr>
                <w:rStyle w:val="Lienhypertexte"/>
                <w:rFonts w:cstheme="minorHAnsi"/>
                <w:noProof/>
              </w:rPr>
              <w:t>Modification du dossier de consultation</w:t>
            </w:r>
            <w:r w:rsidR="00E346FB">
              <w:rPr>
                <w:noProof/>
                <w:webHidden/>
              </w:rPr>
              <w:tab/>
            </w:r>
            <w:r w:rsidR="00E346FB">
              <w:rPr>
                <w:noProof/>
                <w:webHidden/>
              </w:rPr>
              <w:fldChar w:fldCharType="begin"/>
            </w:r>
            <w:r w:rsidR="00E346FB">
              <w:rPr>
                <w:noProof/>
                <w:webHidden/>
              </w:rPr>
              <w:instrText xml:space="preserve"> PAGEREF _Toc180418371 \h </w:instrText>
            </w:r>
            <w:r w:rsidR="00E346FB">
              <w:rPr>
                <w:noProof/>
                <w:webHidden/>
              </w:rPr>
            </w:r>
            <w:r w:rsidR="00E346FB">
              <w:rPr>
                <w:noProof/>
                <w:webHidden/>
              </w:rPr>
              <w:fldChar w:fldCharType="separate"/>
            </w:r>
            <w:r w:rsidR="009C63A9">
              <w:rPr>
                <w:noProof/>
                <w:webHidden/>
              </w:rPr>
              <w:t>4</w:t>
            </w:r>
            <w:r w:rsidR="00E346FB">
              <w:rPr>
                <w:noProof/>
                <w:webHidden/>
              </w:rPr>
              <w:fldChar w:fldCharType="end"/>
            </w:r>
          </w:hyperlink>
        </w:p>
        <w:p w14:paraId="449F50C8" w14:textId="51F6C905"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372" w:history="1">
            <w:r w:rsidR="00E346FB" w:rsidRPr="0012494B">
              <w:rPr>
                <w:rStyle w:val="Lienhypertexte"/>
                <w:rFonts w:cstheme="minorHAnsi"/>
                <w:b/>
                <w:caps/>
                <w:noProof/>
              </w:rPr>
              <w:t>ARTICLE 2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Caracteristiques GENERALES du projet de contrat</w:t>
            </w:r>
            <w:r w:rsidR="00E346FB">
              <w:rPr>
                <w:noProof/>
                <w:webHidden/>
              </w:rPr>
              <w:tab/>
            </w:r>
            <w:r w:rsidR="00E346FB">
              <w:rPr>
                <w:noProof/>
                <w:webHidden/>
              </w:rPr>
              <w:fldChar w:fldCharType="begin"/>
            </w:r>
            <w:r w:rsidR="00E346FB">
              <w:rPr>
                <w:noProof/>
                <w:webHidden/>
              </w:rPr>
              <w:instrText xml:space="preserve"> PAGEREF _Toc180418372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2EEAD502" w14:textId="78D2BABE" w:rsidR="00E346FB" w:rsidRDefault="00E352AB">
          <w:pPr>
            <w:pStyle w:val="TM2"/>
            <w:rPr>
              <w:noProof/>
            </w:rPr>
          </w:pPr>
          <w:hyperlink w:anchor="_Toc180418373" w:history="1">
            <w:r w:rsidR="00E346FB" w:rsidRPr="0012494B">
              <w:rPr>
                <w:rStyle w:val="Lienhypertexte"/>
                <w:rFonts w:cstheme="minorHAnsi"/>
                <w:noProof/>
              </w:rPr>
              <w:t>Forme du contrat</w:t>
            </w:r>
            <w:r w:rsidR="00E346FB">
              <w:rPr>
                <w:noProof/>
                <w:webHidden/>
              </w:rPr>
              <w:tab/>
            </w:r>
            <w:r w:rsidR="00E346FB">
              <w:rPr>
                <w:noProof/>
                <w:webHidden/>
              </w:rPr>
              <w:fldChar w:fldCharType="begin"/>
            </w:r>
            <w:r w:rsidR="00E346FB">
              <w:rPr>
                <w:noProof/>
                <w:webHidden/>
              </w:rPr>
              <w:instrText xml:space="preserve"> PAGEREF _Toc180418373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01FA8B17" w14:textId="5641B4A5" w:rsidR="00E346FB" w:rsidRDefault="00E352AB">
          <w:pPr>
            <w:pStyle w:val="TM2"/>
            <w:rPr>
              <w:noProof/>
            </w:rPr>
          </w:pPr>
          <w:hyperlink w:anchor="_Toc180418374" w:history="1">
            <w:r w:rsidR="00E346FB" w:rsidRPr="0012494B">
              <w:rPr>
                <w:rStyle w:val="Lienhypertexte"/>
                <w:rFonts w:cstheme="minorHAnsi"/>
                <w:noProof/>
              </w:rPr>
              <w:t>Montant estimatif du besoin</w:t>
            </w:r>
            <w:r w:rsidR="00E346FB">
              <w:rPr>
                <w:noProof/>
                <w:webHidden/>
              </w:rPr>
              <w:tab/>
            </w:r>
            <w:r w:rsidR="00E346FB">
              <w:rPr>
                <w:noProof/>
                <w:webHidden/>
              </w:rPr>
              <w:fldChar w:fldCharType="begin"/>
            </w:r>
            <w:r w:rsidR="00E346FB">
              <w:rPr>
                <w:noProof/>
                <w:webHidden/>
              </w:rPr>
              <w:instrText xml:space="preserve"> PAGEREF _Toc180418374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03B6B146" w14:textId="12B32A1E" w:rsidR="00E346FB" w:rsidRDefault="00E352AB">
          <w:pPr>
            <w:pStyle w:val="TM2"/>
            <w:rPr>
              <w:noProof/>
            </w:rPr>
          </w:pPr>
          <w:hyperlink w:anchor="_Toc180418375" w:history="1">
            <w:r w:rsidR="00E346FB" w:rsidRPr="0012494B">
              <w:rPr>
                <w:rStyle w:val="Lienhypertexte"/>
                <w:rFonts w:cstheme="minorHAnsi"/>
                <w:noProof/>
              </w:rPr>
              <w:t>Durée du contrat</w:t>
            </w:r>
            <w:r w:rsidR="00E346FB">
              <w:rPr>
                <w:noProof/>
                <w:webHidden/>
              </w:rPr>
              <w:tab/>
            </w:r>
            <w:r w:rsidR="00E346FB">
              <w:rPr>
                <w:noProof/>
                <w:webHidden/>
              </w:rPr>
              <w:fldChar w:fldCharType="begin"/>
            </w:r>
            <w:r w:rsidR="00E346FB">
              <w:rPr>
                <w:noProof/>
                <w:webHidden/>
              </w:rPr>
              <w:instrText xml:space="preserve"> PAGEREF _Toc180418375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12BB7B97" w14:textId="483DBB01" w:rsidR="00E346FB" w:rsidRDefault="00E352AB">
          <w:pPr>
            <w:pStyle w:val="TM2"/>
            <w:rPr>
              <w:noProof/>
            </w:rPr>
          </w:pPr>
          <w:hyperlink w:anchor="_Toc180418376" w:history="1">
            <w:r w:rsidR="00E346FB" w:rsidRPr="0012494B">
              <w:rPr>
                <w:rStyle w:val="Lienhypertexte"/>
                <w:rFonts w:cstheme="minorHAnsi"/>
                <w:noProof/>
              </w:rPr>
              <w:t>Allotissement</w:t>
            </w:r>
            <w:r w:rsidR="00E346FB">
              <w:rPr>
                <w:noProof/>
                <w:webHidden/>
              </w:rPr>
              <w:tab/>
            </w:r>
            <w:r w:rsidR="00E346FB">
              <w:rPr>
                <w:noProof/>
                <w:webHidden/>
              </w:rPr>
              <w:fldChar w:fldCharType="begin"/>
            </w:r>
            <w:r w:rsidR="00E346FB">
              <w:rPr>
                <w:noProof/>
                <w:webHidden/>
              </w:rPr>
              <w:instrText xml:space="preserve"> PAGEREF _Toc180418376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3D80F9F5" w14:textId="2D826D7F" w:rsidR="00E346FB" w:rsidRDefault="00E352AB">
          <w:pPr>
            <w:pStyle w:val="TM2"/>
            <w:rPr>
              <w:noProof/>
            </w:rPr>
          </w:pPr>
          <w:hyperlink w:anchor="_Toc180418377" w:history="1">
            <w:r w:rsidR="00E346FB" w:rsidRPr="0012494B">
              <w:rPr>
                <w:rStyle w:val="Lienhypertexte"/>
                <w:rFonts w:ascii="Times New Roman" w:hAnsi="Times New Roman"/>
                <w:noProof/>
              </w:rPr>
              <w:t>Variantes</w:t>
            </w:r>
            <w:r w:rsidR="00E346FB">
              <w:rPr>
                <w:noProof/>
                <w:webHidden/>
              </w:rPr>
              <w:tab/>
            </w:r>
            <w:r w:rsidR="00E346FB">
              <w:rPr>
                <w:noProof/>
                <w:webHidden/>
              </w:rPr>
              <w:fldChar w:fldCharType="begin"/>
            </w:r>
            <w:r w:rsidR="00E346FB">
              <w:rPr>
                <w:noProof/>
                <w:webHidden/>
              </w:rPr>
              <w:instrText xml:space="preserve"> PAGEREF _Toc180418377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1801F9BF" w14:textId="05DAA1DE" w:rsidR="00E346FB" w:rsidRDefault="00E352AB">
          <w:pPr>
            <w:pStyle w:val="TM2"/>
            <w:rPr>
              <w:noProof/>
            </w:rPr>
          </w:pPr>
          <w:hyperlink w:anchor="_Toc180418378" w:history="1">
            <w:r w:rsidR="00E346FB" w:rsidRPr="0012494B">
              <w:rPr>
                <w:rStyle w:val="Lienhypertexte"/>
                <w:rFonts w:cstheme="minorHAnsi"/>
                <w:noProof/>
              </w:rPr>
              <w:t>Prestations supplémentaires éventuelles (PSE)</w:t>
            </w:r>
            <w:r w:rsidR="00E346FB">
              <w:rPr>
                <w:noProof/>
                <w:webHidden/>
              </w:rPr>
              <w:tab/>
            </w:r>
            <w:r w:rsidR="00E346FB">
              <w:rPr>
                <w:noProof/>
                <w:webHidden/>
              </w:rPr>
              <w:fldChar w:fldCharType="begin"/>
            </w:r>
            <w:r w:rsidR="00E346FB">
              <w:rPr>
                <w:noProof/>
                <w:webHidden/>
              </w:rPr>
              <w:instrText xml:space="preserve"> PAGEREF _Toc180418378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1ED6C5FE" w14:textId="6DB2A2F3"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379" w:history="1">
            <w:r w:rsidR="00E346FB" w:rsidRPr="0012494B">
              <w:rPr>
                <w:rStyle w:val="Lienhypertexte"/>
                <w:rFonts w:cstheme="minorHAnsi"/>
                <w:b/>
                <w:caps/>
                <w:noProof/>
              </w:rPr>
              <w:t>ARTICLE 3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Conditions de participation de candidats</w:t>
            </w:r>
            <w:r w:rsidR="00E346FB">
              <w:rPr>
                <w:noProof/>
                <w:webHidden/>
              </w:rPr>
              <w:tab/>
            </w:r>
            <w:r w:rsidR="00E346FB">
              <w:rPr>
                <w:noProof/>
                <w:webHidden/>
              </w:rPr>
              <w:fldChar w:fldCharType="begin"/>
            </w:r>
            <w:r w:rsidR="00E346FB">
              <w:rPr>
                <w:noProof/>
                <w:webHidden/>
              </w:rPr>
              <w:instrText xml:space="preserve"> PAGEREF _Toc180418379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30765E31" w14:textId="31D53E00" w:rsidR="00E346FB" w:rsidRDefault="00E352AB">
          <w:pPr>
            <w:pStyle w:val="TM2"/>
            <w:rPr>
              <w:noProof/>
            </w:rPr>
          </w:pPr>
          <w:hyperlink w:anchor="_Toc180418380" w:history="1">
            <w:r w:rsidR="00E346FB" w:rsidRPr="0012494B">
              <w:rPr>
                <w:rStyle w:val="Lienhypertexte"/>
                <w:rFonts w:cstheme="minorHAnsi"/>
                <w:noProof/>
              </w:rPr>
              <w:t>Conditions de présentation des candidatures</w:t>
            </w:r>
            <w:r w:rsidR="00E346FB">
              <w:rPr>
                <w:noProof/>
                <w:webHidden/>
              </w:rPr>
              <w:tab/>
            </w:r>
            <w:r w:rsidR="00E346FB">
              <w:rPr>
                <w:noProof/>
                <w:webHidden/>
              </w:rPr>
              <w:fldChar w:fldCharType="begin"/>
            </w:r>
            <w:r w:rsidR="00E346FB">
              <w:rPr>
                <w:noProof/>
                <w:webHidden/>
              </w:rPr>
              <w:instrText xml:space="preserve"> PAGEREF _Toc180418380 \h </w:instrText>
            </w:r>
            <w:r w:rsidR="00E346FB">
              <w:rPr>
                <w:noProof/>
                <w:webHidden/>
              </w:rPr>
            </w:r>
            <w:r w:rsidR="00E346FB">
              <w:rPr>
                <w:noProof/>
                <w:webHidden/>
              </w:rPr>
              <w:fldChar w:fldCharType="separate"/>
            </w:r>
            <w:r w:rsidR="009C63A9">
              <w:rPr>
                <w:noProof/>
                <w:webHidden/>
              </w:rPr>
              <w:t>5</w:t>
            </w:r>
            <w:r w:rsidR="00E346FB">
              <w:rPr>
                <w:noProof/>
                <w:webHidden/>
              </w:rPr>
              <w:fldChar w:fldCharType="end"/>
            </w:r>
          </w:hyperlink>
        </w:p>
        <w:p w14:paraId="48084B20" w14:textId="28F3C4C3" w:rsidR="00E346FB" w:rsidRDefault="00E352AB">
          <w:pPr>
            <w:pStyle w:val="TM2"/>
            <w:rPr>
              <w:noProof/>
            </w:rPr>
          </w:pPr>
          <w:hyperlink w:anchor="_Toc180418381" w:history="1">
            <w:r w:rsidR="00E346FB" w:rsidRPr="0012494B">
              <w:rPr>
                <w:rStyle w:val="Lienhypertexte"/>
                <w:rFonts w:cstheme="minorHAnsi"/>
                <w:noProof/>
              </w:rPr>
              <w:t>Motifs et conditions d’exclusion</w:t>
            </w:r>
            <w:r w:rsidR="00E346FB">
              <w:rPr>
                <w:noProof/>
                <w:webHidden/>
              </w:rPr>
              <w:tab/>
            </w:r>
            <w:r w:rsidR="00E346FB">
              <w:rPr>
                <w:noProof/>
                <w:webHidden/>
              </w:rPr>
              <w:fldChar w:fldCharType="begin"/>
            </w:r>
            <w:r w:rsidR="00E346FB">
              <w:rPr>
                <w:noProof/>
                <w:webHidden/>
              </w:rPr>
              <w:instrText xml:space="preserve"> PAGEREF _Toc180418381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0136F5DA" w14:textId="0F577F60" w:rsidR="00E346FB" w:rsidRDefault="00E352AB">
          <w:pPr>
            <w:pStyle w:val="TM2"/>
            <w:rPr>
              <w:noProof/>
            </w:rPr>
          </w:pPr>
          <w:hyperlink w:anchor="_Toc180418382" w:history="1">
            <w:r w:rsidR="00E346FB" w:rsidRPr="0012494B">
              <w:rPr>
                <w:rStyle w:val="Lienhypertexte"/>
                <w:rFonts w:cstheme="minorHAnsi"/>
                <w:noProof/>
              </w:rPr>
              <w:t>Précisions concernant les groupements d'opérateurs économiques (consortium)</w:t>
            </w:r>
            <w:r w:rsidR="00E346FB">
              <w:rPr>
                <w:noProof/>
                <w:webHidden/>
              </w:rPr>
              <w:tab/>
            </w:r>
            <w:r w:rsidR="00E346FB">
              <w:rPr>
                <w:noProof/>
                <w:webHidden/>
              </w:rPr>
              <w:fldChar w:fldCharType="begin"/>
            </w:r>
            <w:r w:rsidR="00E346FB">
              <w:rPr>
                <w:noProof/>
                <w:webHidden/>
              </w:rPr>
              <w:instrText xml:space="preserve"> PAGEREF _Toc180418382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34825CE6" w14:textId="5E54C73F" w:rsidR="00E346FB" w:rsidRDefault="00E352AB">
          <w:pPr>
            <w:pStyle w:val="TM2"/>
            <w:rPr>
              <w:noProof/>
            </w:rPr>
          </w:pPr>
          <w:hyperlink w:anchor="_Toc180418383" w:history="1">
            <w:r w:rsidR="00E346FB" w:rsidRPr="0012494B">
              <w:rPr>
                <w:rStyle w:val="Lienhypertexte"/>
                <w:rFonts w:cstheme="minorHAnsi"/>
                <w:i/>
                <w:noProof/>
              </w:rPr>
              <w:t>Motifs d'exclusion en cas de groupement d'opérateurs économiques</w:t>
            </w:r>
            <w:r w:rsidR="00E346FB">
              <w:rPr>
                <w:noProof/>
                <w:webHidden/>
              </w:rPr>
              <w:tab/>
            </w:r>
            <w:r w:rsidR="00E346FB">
              <w:rPr>
                <w:noProof/>
                <w:webHidden/>
              </w:rPr>
              <w:fldChar w:fldCharType="begin"/>
            </w:r>
            <w:r w:rsidR="00E346FB">
              <w:rPr>
                <w:noProof/>
                <w:webHidden/>
              </w:rPr>
              <w:instrText xml:space="preserve"> PAGEREF _Toc180418383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0832BFF2" w14:textId="62EF4446" w:rsidR="00E346FB" w:rsidRDefault="00E352AB">
          <w:pPr>
            <w:pStyle w:val="TM2"/>
            <w:rPr>
              <w:noProof/>
            </w:rPr>
          </w:pPr>
          <w:hyperlink w:anchor="_Toc180418384" w:history="1">
            <w:r w:rsidR="00E346FB" w:rsidRPr="0012494B">
              <w:rPr>
                <w:rStyle w:val="Lienhypertexte"/>
                <w:rFonts w:cstheme="minorHAnsi"/>
                <w:i/>
                <w:noProof/>
              </w:rPr>
              <w:t>Forme du groupement</w:t>
            </w:r>
            <w:r w:rsidR="00E346FB">
              <w:rPr>
                <w:noProof/>
                <w:webHidden/>
              </w:rPr>
              <w:tab/>
            </w:r>
            <w:r w:rsidR="00E346FB">
              <w:rPr>
                <w:noProof/>
                <w:webHidden/>
              </w:rPr>
              <w:fldChar w:fldCharType="begin"/>
            </w:r>
            <w:r w:rsidR="00E346FB">
              <w:rPr>
                <w:noProof/>
                <w:webHidden/>
              </w:rPr>
              <w:instrText xml:space="preserve"> PAGEREF _Toc180418384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1DFA6478" w14:textId="7ACB0DDF" w:rsidR="00E346FB" w:rsidRDefault="00E352AB">
          <w:pPr>
            <w:pStyle w:val="TM2"/>
            <w:rPr>
              <w:noProof/>
            </w:rPr>
          </w:pPr>
          <w:hyperlink w:anchor="_Toc180418385" w:history="1">
            <w:r w:rsidR="00E346FB" w:rsidRPr="0012494B">
              <w:rPr>
                <w:rStyle w:val="Lienhypertexte"/>
                <w:rFonts w:cstheme="minorHAnsi"/>
                <w:noProof/>
              </w:rPr>
              <w:t>Précisions concernant la sous-traitance</w:t>
            </w:r>
            <w:r w:rsidR="00E346FB">
              <w:rPr>
                <w:noProof/>
                <w:webHidden/>
              </w:rPr>
              <w:tab/>
            </w:r>
            <w:r w:rsidR="00E346FB">
              <w:rPr>
                <w:noProof/>
                <w:webHidden/>
              </w:rPr>
              <w:fldChar w:fldCharType="begin"/>
            </w:r>
            <w:r w:rsidR="00E346FB">
              <w:rPr>
                <w:noProof/>
                <w:webHidden/>
              </w:rPr>
              <w:instrText xml:space="preserve"> PAGEREF _Toc180418385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29ED1E9B" w14:textId="61000493" w:rsidR="00E346FB" w:rsidRDefault="00E352AB">
          <w:pPr>
            <w:pStyle w:val="TM2"/>
            <w:rPr>
              <w:noProof/>
            </w:rPr>
          </w:pPr>
          <w:hyperlink w:anchor="_Toc180418386" w:history="1">
            <w:r w:rsidR="00E346FB" w:rsidRPr="0012494B">
              <w:rPr>
                <w:rStyle w:val="Lienhypertexte"/>
                <w:rFonts w:cstheme="minorHAnsi"/>
                <w:i/>
                <w:noProof/>
              </w:rPr>
              <w:t>Motifs d'exclusion en cas de sous-traitance</w:t>
            </w:r>
            <w:r w:rsidR="00E346FB">
              <w:rPr>
                <w:noProof/>
                <w:webHidden/>
              </w:rPr>
              <w:tab/>
            </w:r>
            <w:r w:rsidR="00E346FB">
              <w:rPr>
                <w:noProof/>
                <w:webHidden/>
              </w:rPr>
              <w:fldChar w:fldCharType="begin"/>
            </w:r>
            <w:r w:rsidR="00E346FB">
              <w:rPr>
                <w:noProof/>
                <w:webHidden/>
              </w:rPr>
              <w:instrText xml:space="preserve"> PAGEREF _Toc180418386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08BBFBB0" w14:textId="4EBCBF10" w:rsidR="00E346FB" w:rsidRDefault="00E352AB">
          <w:pPr>
            <w:pStyle w:val="TM2"/>
            <w:rPr>
              <w:noProof/>
            </w:rPr>
          </w:pPr>
          <w:hyperlink w:anchor="_Toc180418387" w:history="1">
            <w:r w:rsidR="00E346FB" w:rsidRPr="0012494B">
              <w:rPr>
                <w:rStyle w:val="Lienhypertexte"/>
                <w:rFonts w:cstheme="minorHAnsi"/>
                <w:i/>
                <w:noProof/>
              </w:rPr>
              <w:t>Présentation d’un sous-traitant</w:t>
            </w:r>
            <w:r w:rsidR="00E346FB">
              <w:rPr>
                <w:noProof/>
                <w:webHidden/>
              </w:rPr>
              <w:tab/>
            </w:r>
            <w:r w:rsidR="00E346FB">
              <w:rPr>
                <w:noProof/>
                <w:webHidden/>
              </w:rPr>
              <w:fldChar w:fldCharType="begin"/>
            </w:r>
            <w:r w:rsidR="00E346FB">
              <w:rPr>
                <w:noProof/>
                <w:webHidden/>
              </w:rPr>
              <w:instrText xml:space="preserve"> PAGEREF _Toc180418387 \h </w:instrText>
            </w:r>
            <w:r w:rsidR="00E346FB">
              <w:rPr>
                <w:noProof/>
                <w:webHidden/>
              </w:rPr>
            </w:r>
            <w:r w:rsidR="00E346FB">
              <w:rPr>
                <w:noProof/>
                <w:webHidden/>
              </w:rPr>
              <w:fldChar w:fldCharType="separate"/>
            </w:r>
            <w:r w:rsidR="009C63A9">
              <w:rPr>
                <w:noProof/>
                <w:webHidden/>
              </w:rPr>
              <w:t>6</w:t>
            </w:r>
            <w:r w:rsidR="00E346FB">
              <w:rPr>
                <w:noProof/>
                <w:webHidden/>
              </w:rPr>
              <w:fldChar w:fldCharType="end"/>
            </w:r>
          </w:hyperlink>
        </w:p>
        <w:p w14:paraId="2EB342D4" w14:textId="5F02550E"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388" w:history="1">
            <w:r w:rsidR="00E346FB" w:rsidRPr="0012494B">
              <w:rPr>
                <w:rStyle w:val="Lienhypertexte"/>
                <w:rFonts w:cstheme="minorHAnsi"/>
                <w:b/>
                <w:caps/>
                <w:noProof/>
              </w:rPr>
              <w:t>ARTICLE 4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Présentation des plis et modalités de depôt</w:t>
            </w:r>
            <w:r w:rsidR="00E346FB">
              <w:rPr>
                <w:noProof/>
                <w:webHidden/>
              </w:rPr>
              <w:tab/>
            </w:r>
            <w:r w:rsidR="00E346FB">
              <w:rPr>
                <w:noProof/>
                <w:webHidden/>
              </w:rPr>
              <w:fldChar w:fldCharType="begin"/>
            </w:r>
            <w:r w:rsidR="00E346FB">
              <w:rPr>
                <w:noProof/>
                <w:webHidden/>
              </w:rPr>
              <w:instrText xml:space="preserve"> PAGEREF _Toc180418388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2E177D78" w14:textId="65874C9A" w:rsidR="00E346FB" w:rsidRDefault="00E352AB">
          <w:pPr>
            <w:pStyle w:val="TM2"/>
            <w:rPr>
              <w:noProof/>
            </w:rPr>
          </w:pPr>
          <w:hyperlink w:anchor="_Toc180418389" w:history="1">
            <w:r w:rsidR="00E346FB" w:rsidRPr="0012494B">
              <w:rPr>
                <w:rStyle w:val="Lienhypertexte"/>
                <w:rFonts w:cstheme="minorHAnsi"/>
                <w:noProof/>
              </w:rPr>
              <w:t>Pièces constitutives de la candidature</w:t>
            </w:r>
            <w:r w:rsidR="00E346FB">
              <w:rPr>
                <w:noProof/>
                <w:webHidden/>
              </w:rPr>
              <w:tab/>
            </w:r>
            <w:r w:rsidR="00E346FB">
              <w:rPr>
                <w:noProof/>
                <w:webHidden/>
              </w:rPr>
              <w:fldChar w:fldCharType="begin"/>
            </w:r>
            <w:r w:rsidR="00E346FB">
              <w:rPr>
                <w:noProof/>
                <w:webHidden/>
              </w:rPr>
              <w:instrText xml:space="preserve"> PAGEREF _Toc180418389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56353A7F" w14:textId="1DF89073" w:rsidR="00E346FB" w:rsidRDefault="00E352AB">
          <w:pPr>
            <w:pStyle w:val="TM2"/>
            <w:rPr>
              <w:noProof/>
            </w:rPr>
          </w:pPr>
          <w:hyperlink w:anchor="_Toc180418390" w:history="1">
            <w:r w:rsidR="00E346FB" w:rsidRPr="0012494B">
              <w:rPr>
                <w:rStyle w:val="Lienhypertexte"/>
                <w:rFonts w:cstheme="minorHAnsi"/>
                <w:noProof/>
              </w:rPr>
              <w:t>Pièces constitutives de l’offre</w:t>
            </w:r>
            <w:r w:rsidR="00E346FB">
              <w:rPr>
                <w:noProof/>
                <w:webHidden/>
              </w:rPr>
              <w:tab/>
            </w:r>
            <w:r w:rsidR="00E346FB">
              <w:rPr>
                <w:noProof/>
                <w:webHidden/>
              </w:rPr>
              <w:fldChar w:fldCharType="begin"/>
            </w:r>
            <w:r w:rsidR="00E346FB">
              <w:rPr>
                <w:noProof/>
                <w:webHidden/>
              </w:rPr>
              <w:instrText xml:space="preserve"> PAGEREF _Toc180418390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531210C9" w14:textId="61342EEC" w:rsidR="00E346FB" w:rsidRDefault="00E352AB">
          <w:pPr>
            <w:pStyle w:val="TM2"/>
            <w:rPr>
              <w:noProof/>
            </w:rPr>
          </w:pPr>
          <w:hyperlink w:anchor="_Toc180418391" w:history="1">
            <w:r w:rsidR="00E346FB" w:rsidRPr="0012494B">
              <w:rPr>
                <w:rStyle w:val="Lienhypertexte"/>
                <w:rFonts w:cstheme="minorHAnsi"/>
                <w:noProof/>
              </w:rPr>
              <w:t>Délai de validité des offres</w:t>
            </w:r>
            <w:r w:rsidR="00E346FB">
              <w:rPr>
                <w:noProof/>
                <w:webHidden/>
              </w:rPr>
              <w:tab/>
            </w:r>
            <w:r w:rsidR="00E346FB">
              <w:rPr>
                <w:noProof/>
                <w:webHidden/>
              </w:rPr>
              <w:fldChar w:fldCharType="begin"/>
            </w:r>
            <w:r w:rsidR="00E346FB">
              <w:rPr>
                <w:noProof/>
                <w:webHidden/>
              </w:rPr>
              <w:instrText xml:space="preserve"> PAGEREF _Toc180418391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771ACDBA" w14:textId="4EDE6524" w:rsidR="00E346FB" w:rsidRDefault="00E352AB">
          <w:pPr>
            <w:pStyle w:val="TM2"/>
            <w:rPr>
              <w:noProof/>
            </w:rPr>
          </w:pPr>
          <w:hyperlink w:anchor="_Toc180418392" w:history="1">
            <w:r w:rsidR="00E346FB" w:rsidRPr="0012494B">
              <w:rPr>
                <w:rStyle w:val="Lienhypertexte"/>
                <w:rFonts w:cstheme="minorHAnsi"/>
                <w:noProof/>
              </w:rPr>
              <w:t>Modalités de remise des plis</w:t>
            </w:r>
            <w:r w:rsidR="00E346FB">
              <w:rPr>
                <w:noProof/>
                <w:webHidden/>
              </w:rPr>
              <w:tab/>
            </w:r>
            <w:r w:rsidR="00E346FB">
              <w:rPr>
                <w:noProof/>
                <w:webHidden/>
              </w:rPr>
              <w:fldChar w:fldCharType="begin"/>
            </w:r>
            <w:r w:rsidR="00E346FB">
              <w:rPr>
                <w:noProof/>
                <w:webHidden/>
              </w:rPr>
              <w:instrText xml:space="preserve"> PAGEREF _Toc180418392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5A534930" w14:textId="1F9D0BC0" w:rsidR="00E346FB" w:rsidRDefault="00E352AB">
          <w:pPr>
            <w:pStyle w:val="TM2"/>
            <w:rPr>
              <w:noProof/>
            </w:rPr>
          </w:pPr>
          <w:hyperlink w:anchor="_Toc180418393" w:history="1">
            <w:r w:rsidR="00E346FB" w:rsidRPr="0012494B">
              <w:rPr>
                <w:rStyle w:val="Lienhypertexte"/>
                <w:rFonts w:cstheme="minorHAnsi"/>
                <w:i/>
                <w:noProof/>
              </w:rPr>
              <w:t>Remise des plis sous format papier</w:t>
            </w:r>
            <w:r w:rsidR="00E346FB">
              <w:rPr>
                <w:noProof/>
                <w:webHidden/>
              </w:rPr>
              <w:tab/>
            </w:r>
            <w:r w:rsidR="00E346FB">
              <w:rPr>
                <w:noProof/>
                <w:webHidden/>
              </w:rPr>
              <w:fldChar w:fldCharType="begin"/>
            </w:r>
            <w:r w:rsidR="00E346FB">
              <w:rPr>
                <w:noProof/>
                <w:webHidden/>
              </w:rPr>
              <w:instrText xml:space="preserve"> PAGEREF _Toc180418393 \h </w:instrText>
            </w:r>
            <w:r w:rsidR="00E346FB">
              <w:rPr>
                <w:noProof/>
                <w:webHidden/>
              </w:rPr>
            </w:r>
            <w:r w:rsidR="00E346FB">
              <w:rPr>
                <w:noProof/>
                <w:webHidden/>
              </w:rPr>
              <w:fldChar w:fldCharType="separate"/>
            </w:r>
            <w:r w:rsidR="009C63A9">
              <w:rPr>
                <w:noProof/>
                <w:webHidden/>
              </w:rPr>
              <w:t>7</w:t>
            </w:r>
            <w:r w:rsidR="00E346FB">
              <w:rPr>
                <w:noProof/>
                <w:webHidden/>
              </w:rPr>
              <w:fldChar w:fldCharType="end"/>
            </w:r>
          </w:hyperlink>
        </w:p>
        <w:p w14:paraId="482B9093" w14:textId="1C23FCBE" w:rsidR="00E346FB" w:rsidRDefault="00E352AB">
          <w:pPr>
            <w:pStyle w:val="TM2"/>
            <w:rPr>
              <w:noProof/>
            </w:rPr>
          </w:pPr>
          <w:hyperlink w:anchor="_Toc180418394" w:history="1">
            <w:r w:rsidR="00E346FB" w:rsidRPr="0012494B">
              <w:rPr>
                <w:rStyle w:val="Lienhypertexte"/>
                <w:rFonts w:cstheme="minorHAnsi"/>
                <w:i/>
                <w:noProof/>
              </w:rPr>
              <w:t>Remise électronique</w:t>
            </w:r>
            <w:r w:rsidR="00E346FB">
              <w:rPr>
                <w:noProof/>
                <w:webHidden/>
              </w:rPr>
              <w:tab/>
            </w:r>
            <w:r w:rsidR="00E346FB">
              <w:rPr>
                <w:noProof/>
                <w:webHidden/>
              </w:rPr>
              <w:fldChar w:fldCharType="begin"/>
            </w:r>
            <w:r w:rsidR="00E346FB">
              <w:rPr>
                <w:noProof/>
                <w:webHidden/>
              </w:rPr>
              <w:instrText xml:space="preserve"> PAGEREF _Toc180418394 \h </w:instrText>
            </w:r>
            <w:r w:rsidR="00E346FB">
              <w:rPr>
                <w:noProof/>
                <w:webHidden/>
              </w:rPr>
            </w:r>
            <w:r w:rsidR="00E346FB">
              <w:rPr>
                <w:noProof/>
                <w:webHidden/>
              </w:rPr>
              <w:fldChar w:fldCharType="separate"/>
            </w:r>
            <w:r w:rsidR="009C63A9">
              <w:rPr>
                <w:noProof/>
                <w:webHidden/>
              </w:rPr>
              <w:t>8</w:t>
            </w:r>
            <w:r w:rsidR="00E346FB">
              <w:rPr>
                <w:noProof/>
                <w:webHidden/>
              </w:rPr>
              <w:fldChar w:fldCharType="end"/>
            </w:r>
          </w:hyperlink>
        </w:p>
        <w:p w14:paraId="4A5644F2" w14:textId="434B93C6"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395" w:history="1">
            <w:r w:rsidR="00E346FB" w:rsidRPr="0012494B">
              <w:rPr>
                <w:rStyle w:val="Lienhypertexte"/>
                <w:rFonts w:cstheme="minorHAnsi"/>
                <w:b/>
                <w:caps/>
                <w:noProof/>
              </w:rPr>
              <w:t>ARTICLE 5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MODALITES D’ATTRIBUTION DU MARCHE</w:t>
            </w:r>
            <w:r w:rsidR="00E346FB">
              <w:rPr>
                <w:noProof/>
                <w:webHidden/>
              </w:rPr>
              <w:tab/>
            </w:r>
            <w:r w:rsidR="00E346FB">
              <w:rPr>
                <w:noProof/>
                <w:webHidden/>
              </w:rPr>
              <w:fldChar w:fldCharType="begin"/>
            </w:r>
            <w:r w:rsidR="00E346FB">
              <w:rPr>
                <w:noProof/>
                <w:webHidden/>
              </w:rPr>
              <w:instrText xml:space="preserve"> PAGEREF _Toc180418395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6A9FE72E" w14:textId="1A267CFF" w:rsidR="00E346FB" w:rsidRDefault="00E352AB">
          <w:pPr>
            <w:pStyle w:val="TM2"/>
            <w:rPr>
              <w:noProof/>
            </w:rPr>
          </w:pPr>
          <w:hyperlink w:anchor="_Toc180418396" w:history="1">
            <w:r w:rsidR="00E346FB" w:rsidRPr="0012494B">
              <w:rPr>
                <w:rStyle w:val="Lienhypertexte"/>
                <w:rFonts w:cstheme="minorHAnsi"/>
                <w:noProof/>
              </w:rPr>
              <w:t>Ouverture des plis</w:t>
            </w:r>
            <w:r w:rsidR="00E346FB">
              <w:rPr>
                <w:noProof/>
                <w:webHidden/>
              </w:rPr>
              <w:tab/>
            </w:r>
            <w:r w:rsidR="00E346FB">
              <w:rPr>
                <w:noProof/>
                <w:webHidden/>
              </w:rPr>
              <w:fldChar w:fldCharType="begin"/>
            </w:r>
            <w:r w:rsidR="00E346FB">
              <w:rPr>
                <w:noProof/>
                <w:webHidden/>
              </w:rPr>
              <w:instrText xml:space="preserve"> PAGEREF _Toc180418396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1374C5CD" w14:textId="0400A654" w:rsidR="00E346FB" w:rsidRDefault="00E352AB">
          <w:pPr>
            <w:pStyle w:val="TM2"/>
            <w:rPr>
              <w:noProof/>
            </w:rPr>
          </w:pPr>
          <w:hyperlink w:anchor="_Toc180418397" w:history="1">
            <w:r w:rsidR="00E346FB" w:rsidRPr="0012494B">
              <w:rPr>
                <w:rStyle w:val="Lienhypertexte"/>
                <w:rFonts w:cstheme="minorHAnsi"/>
                <w:noProof/>
              </w:rPr>
              <w:t>Examen des candidatures</w:t>
            </w:r>
            <w:r w:rsidR="00E346FB">
              <w:rPr>
                <w:noProof/>
                <w:webHidden/>
              </w:rPr>
              <w:tab/>
            </w:r>
            <w:r w:rsidR="00E346FB">
              <w:rPr>
                <w:noProof/>
                <w:webHidden/>
              </w:rPr>
              <w:fldChar w:fldCharType="begin"/>
            </w:r>
            <w:r w:rsidR="00E346FB">
              <w:rPr>
                <w:noProof/>
                <w:webHidden/>
              </w:rPr>
              <w:instrText xml:space="preserve"> PAGEREF _Toc180418397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01D50725" w14:textId="2C62C74B" w:rsidR="00E346FB" w:rsidRDefault="00E352AB">
          <w:pPr>
            <w:pStyle w:val="TM2"/>
            <w:rPr>
              <w:noProof/>
            </w:rPr>
          </w:pPr>
          <w:hyperlink w:anchor="_Toc180418398" w:history="1">
            <w:r w:rsidR="00E346FB" w:rsidRPr="0012494B">
              <w:rPr>
                <w:rStyle w:val="Lienhypertexte"/>
                <w:rFonts w:cstheme="minorHAnsi"/>
                <w:noProof/>
              </w:rPr>
              <w:t>Recevabilité des candidatures</w:t>
            </w:r>
            <w:r w:rsidR="00E346FB">
              <w:rPr>
                <w:noProof/>
                <w:webHidden/>
              </w:rPr>
              <w:tab/>
            </w:r>
            <w:r w:rsidR="00E346FB">
              <w:rPr>
                <w:noProof/>
                <w:webHidden/>
              </w:rPr>
              <w:fldChar w:fldCharType="begin"/>
            </w:r>
            <w:r w:rsidR="00E346FB">
              <w:rPr>
                <w:noProof/>
                <w:webHidden/>
              </w:rPr>
              <w:instrText xml:space="preserve"> PAGEREF _Toc180418398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647FB65C" w14:textId="434C9357"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399" w:history="1">
            <w:r w:rsidR="00E346FB" w:rsidRPr="0012494B">
              <w:rPr>
                <w:rStyle w:val="Lienhypertexte"/>
                <w:rFonts w:cstheme="minorHAnsi"/>
                <w:b/>
                <w:caps/>
                <w:noProof/>
              </w:rPr>
              <w:t>ARTICLE 6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Evaluation des offres, négociation et attribution</w:t>
            </w:r>
            <w:r w:rsidR="00E346FB">
              <w:rPr>
                <w:noProof/>
                <w:webHidden/>
              </w:rPr>
              <w:tab/>
            </w:r>
            <w:r w:rsidR="00E346FB">
              <w:rPr>
                <w:noProof/>
                <w:webHidden/>
              </w:rPr>
              <w:fldChar w:fldCharType="begin"/>
            </w:r>
            <w:r w:rsidR="00E346FB">
              <w:rPr>
                <w:noProof/>
                <w:webHidden/>
              </w:rPr>
              <w:instrText xml:space="preserve"> PAGEREF _Toc180418399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1283CFCD" w14:textId="57BB4AA3" w:rsidR="00E346FB" w:rsidRDefault="00E352AB">
          <w:pPr>
            <w:pStyle w:val="TM2"/>
            <w:rPr>
              <w:noProof/>
            </w:rPr>
          </w:pPr>
          <w:hyperlink w:anchor="_Toc180418400" w:history="1">
            <w:r w:rsidR="00E346FB" w:rsidRPr="0012494B">
              <w:rPr>
                <w:rStyle w:val="Lienhypertexte"/>
                <w:rFonts w:cstheme="minorHAnsi"/>
                <w:noProof/>
              </w:rPr>
              <w:t>Rejet des offres hors délais - Ouverture des offres</w:t>
            </w:r>
            <w:r w:rsidR="00E346FB">
              <w:rPr>
                <w:noProof/>
                <w:webHidden/>
              </w:rPr>
              <w:tab/>
            </w:r>
            <w:r w:rsidR="00E346FB">
              <w:rPr>
                <w:noProof/>
                <w:webHidden/>
              </w:rPr>
              <w:fldChar w:fldCharType="begin"/>
            </w:r>
            <w:r w:rsidR="00E346FB">
              <w:rPr>
                <w:noProof/>
                <w:webHidden/>
              </w:rPr>
              <w:instrText xml:space="preserve"> PAGEREF _Toc180418400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65C7B6EC" w14:textId="5F70BD22" w:rsidR="00E346FB" w:rsidRDefault="00E352AB">
          <w:pPr>
            <w:pStyle w:val="TM2"/>
            <w:rPr>
              <w:noProof/>
            </w:rPr>
          </w:pPr>
          <w:hyperlink w:anchor="_Toc180418401" w:history="1">
            <w:r w:rsidR="00E346FB" w:rsidRPr="0012494B">
              <w:rPr>
                <w:rStyle w:val="Lienhypertexte"/>
                <w:rFonts w:cstheme="minorHAnsi"/>
                <w:noProof/>
              </w:rPr>
              <w:t>Analyse des offres</w:t>
            </w:r>
            <w:r w:rsidR="00E346FB">
              <w:rPr>
                <w:noProof/>
                <w:webHidden/>
              </w:rPr>
              <w:tab/>
            </w:r>
            <w:r w:rsidR="00E346FB">
              <w:rPr>
                <w:noProof/>
                <w:webHidden/>
              </w:rPr>
              <w:fldChar w:fldCharType="begin"/>
            </w:r>
            <w:r w:rsidR="00E346FB">
              <w:rPr>
                <w:noProof/>
                <w:webHidden/>
              </w:rPr>
              <w:instrText xml:space="preserve"> PAGEREF _Toc180418401 \h </w:instrText>
            </w:r>
            <w:r w:rsidR="00E346FB">
              <w:rPr>
                <w:noProof/>
                <w:webHidden/>
              </w:rPr>
            </w:r>
            <w:r w:rsidR="00E346FB">
              <w:rPr>
                <w:noProof/>
                <w:webHidden/>
              </w:rPr>
              <w:fldChar w:fldCharType="separate"/>
            </w:r>
            <w:r w:rsidR="009C63A9">
              <w:rPr>
                <w:noProof/>
                <w:webHidden/>
              </w:rPr>
              <w:t>9</w:t>
            </w:r>
            <w:r w:rsidR="00E346FB">
              <w:rPr>
                <w:noProof/>
                <w:webHidden/>
              </w:rPr>
              <w:fldChar w:fldCharType="end"/>
            </w:r>
          </w:hyperlink>
        </w:p>
        <w:p w14:paraId="39C17891" w14:textId="4B8F1612" w:rsidR="00E346FB" w:rsidRDefault="00E352AB">
          <w:pPr>
            <w:pStyle w:val="TM2"/>
            <w:rPr>
              <w:noProof/>
            </w:rPr>
          </w:pPr>
          <w:hyperlink w:anchor="_Toc180418402" w:history="1">
            <w:r w:rsidR="00E346FB" w:rsidRPr="0012494B">
              <w:rPr>
                <w:rStyle w:val="Lienhypertexte"/>
                <w:rFonts w:cstheme="minorHAnsi"/>
                <w:noProof/>
              </w:rPr>
              <w:t>Rejet des offres irrégulières, inacceptables et inappropriées</w:t>
            </w:r>
            <w:r w:rsidR="00E346FB">
              <w:rPr>
                <w:noProof/>
                <w:webHidden/>
              </w:rPr>
              <w:tab/>
            </w:r>
            <w:r w:rsidR="00E346FB">
              <w:rPr>
                <w:noProof/>
                <w:webHidden/>
              </w:rPr>
              <w:fldChar w:fldCharType="begin"/>
            </w:r>
            <w:r w:rsidR="00E346FB">
              <w:rPr>
                <w:noProof/>
                <w:webHidden/>
              </w:rPr>
              <w:instrText xml:space="preserve"> PAGEREF _Toc180418402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4E3B1DAE" w14:textId="2180F880" w:rsidR="00E346FB" w:rsidRDefault="00E352AB">
          <w:pPr>
            <w:pStyle w:val="TM2"/>
            <w:rPr>
              <w:noProof/>
            </w:rPr>
          </w:pPr>
          <w:hyperlink w:anchor="_Toc180418403" w:history="1">
            <w:r w:rsidR="00E346FB" w:rsidRPr="0012494B">
              <w:rPr>
                <w:rStyle w:val="Lienhypertexte"/>
                <w:rFonts w:cstheme="minorHAnsi"/>
                <w:noProof/>
              </w:rPr>
              <w:t>Comparaison des offres pour sélection de l’offre économiquement la plus avantageuse</w:t>
            </w:r>
            <w:r w:rsidR="00E346FB">
              <w:rPr>
                <w:noProof/>
                <w:webHidden/>
              </w:rPr>
              <w:tab/>
            </w:r>
            <w:r w:rsidR="00E346FB">
              <w:rPr>
                <w:noProof/>
                <w:webHidden/>
              </w:rPr>
              <w:fldChar w:fldCharType="begin"/>
            </w:r>
            <w:r w:rsidR="00E346FB">
              <w:rPr>
                <w:noProof/>
                <w:webHidden/>
              </w:rPr>
              <w:instrText xml:space="preserve"> PAGEREF _Toc180418403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4CEE6F3B" w14:textId="3E681EEA" w:rsidR="00E346FB" w:rsidRDefault="00E352AB">
          <w:pPr>
            <w:pStyle w:val="TM2"/>
            <w:rPr>
              <w:noProof/>
            </w:rPr>
          </w:pPr>
          <w:hyperlink w:anchor="_Toc180418404" w:history="1">
            <w:r w:rsidR="00E346FB" w:rsidRPr="0012494B">
              <w:rPr>
                <w:rStyle w:val="Lienhypertexte"/>
                <w:rFonts w:cstheme="minorHAnsi"/>
                <w:i/>
                <w:noProof/>
              </w:rPr>
              <w:t>Critère 1 : prix des prestations</w:t>
            </w:r>
            <w:r w:rsidR="00E346FB">
              <w:rPr>
                <w:noProof/>
                <w:webHidden/>
              </w:rPr>
              <w:tab/>
            </w:r>
            <w:r w:rsidR="00E346FB">
              <w:rPr>
                <w:noProof/>
                <w:webHidden/>
              </w:rPr>
              <w:fldChar w:fldCharType="begin"/>
            </w:r>
            <w:r w:rsidR="00E346FB">
              <w:rPr>
                <w:noProof/>
                <w:webHidden/>
              </w:rPr>
              <w:instrText xml:space="preserve"> PAGEREF _Toc180418404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722E0E29" w14:textId="5933DB1F" w:rsidR="00E346FB" w:rsidRDefault="00E352AB">
          <w:pPr>
            <w:pStyle w:val="TM2"/>
            <w:rPr>
              <w:noProof/>
            </w:rPr>
          </w:pPr>
          <w:hyperlink w:anchor="_Toc180418405" w:history="1">
            <w:r w:rsidR="00E346FB" w:rsidRPr="0012494B">
              <w:rPr>
                <w:rStyle w:val="Lienhypertexte"/>
                <w:rFonts w:cstheme="minorHAnsi"/>
                <w:i/>
                <w:noProof/>
              </w:rPr>
              <w:t>Critère 2 : Qualité technique</w:t>
            </w:r>
            <w:r w:rsidR="00E346FB">
              <w:rPr>
                <w:noProof/>
                <w:webHidden/>
              </w:rPr>
              <w:tab/>
            </w:r>
            <w:r w:rsidR="00E346FB">
              <w:rPr>
                <w:noProof/>
                <w:webHidden/>
              </w:rPr>
              <w:fldChar w:fldCharType="begin"/>
            </w:r>
            <w:r w:rsidR="00E346FB">
              <w:rPr>
                <w:noProof/>
                <w:webHidden/>
              </w:rPr>
              <w:instrText xml:space="preserve"> PAGEREF _Toc180418405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6BE23207" w14:textId="43BF69AF" w:rsidR="00E346FB" w:rsidRDefault="00E352AB">
          <w:pPr>
            <w:pStyle w:val="TM2"/>
            <w:rPr>
              <w:noProof/>
            </w:rPr>
          </w:pPr>
          <w:hyperlink w:anchor="_Toc180418406" w:history="1">
            <w:r w:rsidR="00E346FB" w:rsidRPr="0012494B">
              <w:rPr>
                <w:rStyle w:val="Lienhypertexte"/>
                <w:rFonts w:cstheme="minorHAnsi"/>
                <w:noProof/>
              </w:rPr>
              <w:t>Négociations</w:t>
            </w:r>
            <w:r w:rsidR="00E346FB">
              <w:rPr>
                <w:noProof/>
                <w:webHidden/>
              </w:rPr>
              <w:tab/>
            </w:r>
            <w:r w:rsidR="00E346FB">
              <w:rPr>
                <w:noProof/>
                <w:webHidden/>
              </w:rPr>
              <w:fldChar w:fldCharType="begin"/>
            </w:r>
            <w:r w:rsidR="00E346FB">
              <w:rPr>
                <w:noProof/>
                <w:webHidden/>
              </w:rPr>
              <w:instrText xml:space="preserve"> PAGEREF _Toc180418406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5FA62F8D" w14:textId="1B5FA9AB" w:rsidR="00E346FB" w:rsidRDefault="00E352AB">
          <w:pPr>
            <w:pStyle w:val="TM2"/>
            <w:rPr>
              <w:noProof/>
            </w:rPr>
          </w:pPr>
          <w:hyperlink w:anchor="_Toc180418407" w:history="1">
            <w:r w:rsidR="00E346FB" w:rsidRPr="0012494B">
              <w:rPr>
                <w:rStyle w:val="Lienhypertexte"/>
                <w:rFonts w:cstheme="minorHAnsi"/>
                <w:noProof/>
              </w:rPr>
              <w:t>Attribution</w:t>
            </w:r>
            <w:r w:rsidR="00E346FB">
              <w:rPr>
                <w:noProof/>
                <w:webHidden/>
              </w:rPr>
              <w:tab/>
            </w:r>
            <w:r w:rsidR="00E346FB">
              <w:rPr>
                <w:noProof/>
                <w:webHidden/>
              </w:rPr>
              <w:fldChar w:fldCharType="begin"/>
            </w:r>
            <w:r w:rsidR="00E346FB">
              <w:rPr>
                <w:noProof/>
                <w:webHidden/>
              </w:rPr>
              <w:instrText xml:space="preserve"> PAGEREF _Toc180418407 \h </w:instrText>
            </w:r>
            <w:r w:rsidR="00E346FB">
              <w:rPr>
                <w:noProof/>
                <w:webHidden/>
              </w:rPr>
            </w:r>
            <w:r w:rsidR="00E346FB">
              <w:rPr>
                <w:noProof/>
                <w:webHidden/>
              </w:rPr>
              <w:fldChar w:fldCharType="separate"/>
            </w:r>
            <w:r w:rsidR="009C63A9">
              <w:rPr>
                <w:noProof/>
                <w:webHidden/>
              </w:rPr>
              <w:t>10</w:t>
            </w:r>
            <w:r w:rsidR="00E346FB">
              <w:rPr>
                <w:noProof/>
                <w:webHidden/>
              </w:rPr>
              <w:fldChar w:fldCharType="end"/>
            </w:r>
          </w:hyperlink>
        </w:p>
        <w:p w14:paraId="057B1B8D" w14:textId="6005B770"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408" w:history="1">
            <w:r w:rsidR="00E346FB" w:rsidRPr="0012494B">
              <w:rPr>
                <w:rStyle w:val="Lienhypertexte"/>
                <w:rFonts w:cstheme="minorHAnsi"/>
                <w:b/>
                <w:caps/>
                <w:noProof/>
              </w:rPr>
              <w:t>ARTICLE 7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Traitement des données à caractère personnel dans le cadre de la présente consultation et pour le suivi d’exécution du contrat</w:t>
            </w:r>
            <w:r w:rsidR="00E346FB">
              <w:rPr>
                <w:noProof/>
                <w:webHidden/>
              </w:rPr>
              <w:tab/>
            </w:r>
            <w:r w:rsidR="00E346FB">
              <w:rPr>
                <w:noProof/>
                <w:webHidden/>
              </w:rPr>
              <w:fldChar w:fldCharType="begin"/>
            </w:r>
            <w:r w:rsidR="00E346FB">
              <w:rPr>
                <w:noProof/>
                <w:webHidden/>
              </w:rPr>
              <w:instrText xml:space="preserve"> PAGEREF _Toc180418408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5EDCB634" w14:textId="03C47079" w:rsidR="00E346FB" w:rsidRDefault="00E352AB">
          <w:pPr>
            <w:pStyle w:val="TM2"/>
            <w:rPr>
              <w:noProof/>
            </w:rPr>
          </w:pPr>
          <w:hyperlink w:anchor="_Toc180418409" w:history="1">
            <w:r w:rsidR="00E346FB" w:rsidRPr="0012494B">
              <w:rPr>
                <w:rStyle w:val="Lienhypertexte"/>
                <w:rFonts w:cstheme="minorHAnsi"/>
                <w:noProof/>
              </w:rPr>
              <w:t>Identité et coordonnées du responsable de traitement et de son représentant :</w:t>
            </w:r>
            <w:r w:rsidR="00E346FB">
              <w:rPr>
                <w:noProof/>
                <w:webHidden/>
              </w:rPr>
              <w:tab/>
            </w:r>
            <w:r w:rsidR="00E346FB">
              <w:rPr>
                <w:noProof/>
                <w:webHidden/>
              </w:rPr>
              <w:fldChar w:fldCharType="begin"/>
            </w:r>
            <w:r w:rsidR="00E346FB">
              <w:rPr>
                <w:noProof/>
                <w:webHidden/>
              </w:rPr>
              <w:instrText xml:space="preserve"> PAGEREF _Toc180418409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5446DBC1" w14:textId="152581A3" w:rsidR="00E346FB" w:rsidRDefault="00E352AB">
          <w:pPr>
            <w:pStyle w:val="TM2"/>
            <w:rPr>
              <w:noProof/>
            </w:rPr>
          </w:pPr>
          <w:hyperlink w:anchor="_Toc180418410" w:history="1">
            <w:r w:rsidR="00E346FB" w:rsidRPr="0012494B">
              <w:rPr>
                <w:rStyle w:val="Lienhypertexte"/>
                <w:rFonts w:cstheme="minorHAnsi"/>
                <w:noProof/>
              </w:rPr>
              <w:t>Pour la plateforme PLACE :</w:t>
            </w:r>
            <w:r w:rsidR="00E346FB">
              <w:rPr>
                <w:noProof/>
                <w:webHidden/>
              </w:rPr>
              <w:tab/>
            </w:r>
            <w:r w:rsidR="00E346FB">
              <w:rPr>
                <w:noProof/>
                <w:webHidden/>
              </w:rPr>
              <w:fldChar w:fldCharType="begin"/>
            </w:r>
            <w:r w:rsidR="00E346FB">
              <w:rPr>
                <w:noProof/>
                <w:webHidden/>
              </w:rPr>
              <w:instrText xml:space="preserve"> PAGEREF _Toc180418410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3D696669" w14:textId="0532B40B" w:rsidR="00E346FB" w:rsidRDefault="00E352AB">
          <w:pPr>
            <w:pStyle w:val="TM2"/>
            <w:rPr>
              <w:noProof/>
            </w:rPr>
          </w:pPr>
          <w:hyperlink w:anchor="_Toc180418411" w:history="1">
            <w:r w:rsidR="00E346FB" w:rsidRPr="0012494B">
              <w:rPr>
                <w:rStyle w:val="Lienhypertexte"/>
                <w:rFonts w:cstheme="minorHAnsi"/>
                <w:noProof/>
              </w:rPr>
              <w:t>Coordonnées du délégué à la protection des données personnelles :</w:t>
            </w:r>
            <w:r w:rsidR="00E346FB">
              <w:rPr>
                <w:noProof/>
                <w:webHidden/>
              </w:rPr>
              <w:tab/>
            </w:r>
            <w:r w:rsidR="00E346FB">
              <w:rPr>
                <w:noProof/>
                <w:webHidden/>
              </w:rPr>
              <w:fldChar w:fldCharType="begin"/>
            </w:r>
            <w:r w:rsidR="00E346FB">
              <w:rPr>
                <w:noProof/>
                <w:webHidden/>
              </w:rPr>
              <w:instrText xml:space="preserve"> PAGEREF _Toc180418411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0F8AA82F" w14:textId="61A8CC55" w:rsidR="00E346FB" w:rsidRDefault="00E352AB">
          <w:pPr>
            <w:pStyle w:val="TM2"/>
            <w:rPr>
              <w:noProof/>
            </w:rPr>
          </w:pPr>
          <w:hyperlink w:anchor="_Toc180418412" w:history="1">
            <w:r w:rsidR="00E346FB" w:rsidRPr="0012494B">
              <w:rPr>
                <w:rStyle w:val="Lienhypertexte"/>
                <w:rFonts w:cstheme="minorHAnsi"/>
                <w:noProof/>
              </w:rPr>
              <w:t>Pour l’autorité contractante :</w:t>
            </w:r>
            <w:r w:rsidR="00E346FB">
              <w:rPr>
                <w:noProof/>
                <w:webHidden/>
              </w:rPr>
              <w:tab/>
            </w:r>
            <w:r w:rsidR="00E346FB">
              <w:rPr>
                <w:noProof/>
                <w:webHidden/>
              </w:rPr>
              <w:fldChar w:fldCharType="begin"/>
            </w:r>
            <w:r w:rsidR="00E346FB">
              <w:rPr>
                <w:noProof/>
                <w:webHidden/>
              </w:rPr>
              <w:instrText xml:space="preserve"> PAGEREF _Toc180418412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5562C4FA" w14:textId="4276F083" w:rsidR="00E346FB" w:rsidRDefault="00E352AB">
          <w:pPr>
            <w:pStyle w:val="TM2"/>
            <w:rPr>
              <w:noProof/>
            </w:rPr>
          </w:pPr>
          <w:hyperlink w:anchor="_Toc180418413" w:history="1">
            <w:r w:rsidR="00E346FB" w:rsidRPr="0012494B">
              <w:rPr>
                <w:rStyle w:val="Lienhypertexte"/>
                <w:rFonts w:cstheme="minorHAnsi"/>
                <w:noProof/>
              </w:rPr>
              <w:t>Coordonnées du délégué à la protection des données personnelles :</w:t>
            </w:r>
            <w:r w:rsidR="00E346FB">
              <w:rPr>
                <w:noProof/>
                <w:webHidden/>
              </w:rPr>
              <w:tab/>
            </w:r>
            <w:r w:rsidR="00E346FB">
              <w:rPr>
                <w:noProof/>
                <w:webHidden/>
              </w:rPr>
              <w:fldChar w:fldCharType="begin"/>
            </w:r>
            <w:r w:rsidR="00E346FB">
              <w:rPr>
                <w:noProof/>
                <w:webHidden/>
              </w:rPr>
              <w:instrText xml:space="preserve"> PAGEREF _Toc180418413 \h </w:instrText>
            </w:r>
            <w:r w:rsidR="00E346FB">
              <w:rPr>
                <w:noProof/>
                <w:webHidden/>
              </w:rPr>
            </w:r>
            <w:r w:rsidR="00E346FB">
              <w:rPr>
                <w:noProof/>
                <w:webHidden/>
              </w:rPr>
              <w:fldChar w:fldCharType="separate"/>
            </w:r>
            <w:r w:rsidR="009C63A9">
              <w:rPr>
                <w:noProof/>
                <w:webHidden/>
              </w:rPr>
              <w:t>11</w:t>
            </w:r>
            <w:r w:rsidR="00E346FB">
              <w:rPr>
                <w:noProof/>
                <w:webHidden/>
              </w:rPr>
              <w:fldChar w:fldCharType="end"/>
            </w:r>
          </w:hyperlink>
        </w:p>
        <w:p w14:paraId="492B839C" w14:textId="5720283C"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414" w:history="1">
            <w:r w:rsidR="00E346FB" w:rsidRPr="0012494B">
              <w:rPr>
                <w:rStyle w:val="Lienhypertexte"/>
                <w:rFonts w:cstheme="minorHAnsi"/>
                <w:b/>
                <w:caps/>
                <w:noProof/>
              </w:rPr>
              <w:t>ARTICLE 8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AUTRES RENSEIGNEMENTS</w:t>
            </w:r>
            <w:r w:rsidR="00E346FB">
              <w:rPr>
                <w:noProof/>
                <w:webHidden/>
              </w:rPr>
              <w:tab/>
            </w:r>
            <w:r w:rsidR="00E346FB">
              <w:rPr>
                <w:noProof/>
                <w:webHidden/>
              </w:rPr>
              <w:fldChar w:fldCharType="begin"/>
            </w:r>
            <w:r w:rsidR="00E346FB">
              <w:rPr>
                <w:noProof/>
                <w:webHidden/>
              </w:rPr>
              <w:instrText xml:space="preserve"> PAGEREF _Toc180418414 \h </w:instrText>
            </w:r>
            <w:r w:rsidR="00E346FB">
              <w:rPr>
                <w:noProof/>
                <w:webHidden/>
              </w:rPr>
            </w:r>
            <w:r w:rsidR="00E346FB">
              <w:rPr>
                <w:noProof/>
                <w:webHidden/>
              </w:rPr>
              <w:fldChar w:fldCharType="separate"/>
            </w:r>
            <w:r w:rsidR="009C63A9">
              <w:rPr>
                <w:noProof/>
                <w:webHidden/>
              </w:rPr>
              <w:t>12</w:t>
            </w:r>
            <w:r w:rsidR="00E346FB">
              <w:rPr>
                <w:noProof/>
                <w:webHidden/>
              </w:rPr>
              <w:fldChar w:fldCharType="end"/>
            </w:r>
          </w:hyperlink>
        </w:p>
        <w:p w14:paraId="2564DAE1" w14:textId="2FB42BA5" w:rsidR="00E346FB" w:rsidRDefault="00E352AB">
          <w:pPr>
            <w:pStyle w:val="TM1"/>
            <w:tabs>
              <w:tab w:val="left" w:pos="1540"/>
              <w:tab w:val="right" w:leader="dot" w:pos="9329"/>
            </w:tabs>
            <w:rPr>
              <w:rFonts w:asciiTheme="minorHAnsi" w:eastAsiaTheme="minorEastAsia" w:hAnsiTheme="minorHAnsi" w:cstheme="minorBidi"/>
              <w:noProof/>
              <w:sz w:val="22"/>
              <w:szCs w:val="22"/>
            </w:rPr>
          </w:pPr>
          <w:hyperlink w:anchor="_Toc180418415" w:history="1">
            <w:r w:rsidR="00E346FB" w:rsidRPr="0012494B">
              <w:rPr>
                <w:rStyle w:val="Lienhypertexte"/>
                <w:rFonts w:cstheme="minorHAnsi"/>
                <w:b/>
                <w:caps/>
                <w:noProof/>
              </w:rPr>
              <w:t>ARTICLE 9 :</w:t>
            </w:r>
            <w:r w:rsidR="00E346FB">
              <w:rPr>
                <w:rFonts w:asciiTheme="minorHAnsi" w:eastAsiaTheme="minorEastAsia" w:hAnsiTheme="minorHAnsi" w:cstheme="minorBidi"/>
                <w:noProof/>
                <w:sz w:val="22"/>
                <w:szCs w:val="22"/>
              </w:rPr>
              <w:tab/>
            </w:r>
            <w:r w:rsidR="00E346FB" w:rsidRPr="0012494B">
              <w:rPr>
                <w:rStyle w:val="Lienhypertexte"/>
                <w:rFonts w:cstheme="minorHAnsi"/>
                <w:b/>
                <w:caps/>
                <w:noProof/>
              </w:rPr>
              <w:t>Voies et délais de recours</w:t>
            </w:r>
            <w:r w:rsidR="00E346FB">
              <w:rPr>
                <w:noProof/>
                <w:webHidden/>
              </w:rPr>
              <w:tab/>
            </w:r>
            <w:r w:rsidR="00E346FB">
              <w:rPr>
                <w:noProof/>
                <w:webHidden/>
              </w:rPr>
              <w:fldChar w:fldCharType="begin"/>
            </w:r>
            <w:r w:rsidR="00E346FB">
              <w:rPr>
                <w:noProof/>
                <w:webHidden/>
              </w:rPr>
              <w:instrText xml:space="preserve"> PAGEREF _Toc180418415 \h </w:instrText>
            </w:r>
            <w:r w:rsidR="00E346FB">
              <w:rPr>
                <w:noProof/>
                <w:webHidden/>
              </w:rPr>
            </w:r>
            <w:r w:rsidR="00E346FB">
              <w:rPr>
                <w:noProof/>
                <w:webHidden/>
              </w:rPr>
              <w:fldChar w:fldCharType="separate"/>
            </w:r>
            <w:r w:rsidR="009C63A9">
              <w:rPr>
                <w:noProof/>
                <w:webHidden/>
              </w:rPr>
              <w:t>12</w:t>
            </w:r>
            <w:r w:rsidR="00E346FB">
              <w:rPr>
                <w:noProof/>
                <w:webHidden/>
              </w:rPr>
              <w:fldChar w:fldCharType="end"/>
            </w:r>
          </w:hyperlink>
        </w:p>
        <w:p w14:paraId="1F57A7CE" w14:textId="645A9914"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180418365"/>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3"/>
    </w:p>
    <w:p w14:paraId="2D91BE64" w14:textId="77777777" w:rsidR="00A3468C" w:rsidRDefault="00A3468C"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p>
    <w:p w14:paraId="07814D03" w14:textId="22A1A05C"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12" w:name="_Toc180418366"/>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07CA96C1" w:rsidR="00A5417F" w:rsidRPr="00484840" w:rsidRDefault="00484840" w:rsidP="000E152E">
      <w:pPr>
        <w:pStyle w:val="u"/>
        <w:overflowPunct/>
        <w:autoSpaceDE/>
        <w:autoSpaceDN/>
        <w:adjustRightInd/>
        <w:spacing w:before="120"/>
        <w:ind w:left="0"/>
        <w:textAlignment w:val="auto"/>
        <w:rPr>
          <w:rFonts w:asciiTheme="minorHAnsi" w:hAnsiTheme="minorHAnsi" w:cstheme="minorHAnsi"/>
          <w:szCs w:val="22"/>
        </w:rPr>
      </w:pPr>
      <w:r w:rsidRPr="00484840">
        <w:rPr>
          <w:rFonts w:asciiTheme="minorHAnsi" w:hAnsiTheme="minorHAnsi" w:cstheme="minorHAnsi"/>
        </w:rPr>
        <w:t>Ce marché de fournitures consiste en la fourniture et livraison de matériel</w:t>
      </w:r>
      <w:r>
        <w:rPr>
          <w:rFonts w:asciiTheme="minorHAnsi" w:hAnsiTheme="minorHAnsi" w:cstheme="minorHAnsi"/>
        </w:rPr>
        <w:t>, de consommables</w:t>
      </w:r>
      <w:r w:rsidRPr="00484840">
        <w:rPr>
          <w:rFonts w:asciiTheme="minorHAnsi" w:hAnsiTheme="minorHAnsi" w:cstheme="minorHAnsi"/>
        </w:rPr>
        <w:t xml:space="preserve"> informatique</w:t>
      </w:r>
      <w:r>
        <w:rPr>
          <w:rFonts w:asciiTheme="minorHAnsi" w:hAnsiTheme="minorHAnsi" w:cstheme="minorHAnsi"/>
        </w:rPr>
        <w:t>s et de vidéoprojecteur au profit d’Expertise France en République Démocratique du Congo.</w:t>
      </w:r>
    </w:p>
    <w:p w14:paraId="1CDB2FCE" w14:textId="7F0A1B51" w:rsidR="00A3468C"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1C6F69A" w14:textId="77777777" w:rsidR="008B6FAD" w:rsidRDefault="008B6FAD" w:rsidP="00F10B36">
      <w:pPr>
        <w:spacing w:before="120" w:line="240" w:lineRule="auto"/>
        <w:jc w:val="both"/>
        <w:rPr>
          <w:rFonts w:asciiTheme="minorHAnsi" w:hAnsiTheme="minorHAnsi" w:cstheme="minorHAnsi"/>
          <w:sz w:val="22"/>
          <w:szCs w:val="22"/>
        </w:rPr>
      </w:pP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80418367"/>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5BE08E4" w14:textId="2A256C32" w:rsidR="009009F8" w:rsidRPr="00545E06" w:rsidRDefault="00545E06" w:rsidP="00F32194">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w:t>
      </w:r>
      <w:r w:rsidR="005B215B">
        <w:rPr>
          <w:rFonts w:asciiTheme="minorHAnsi" w:hAnsiTheme="minorHAnsi" w:cstheme="minorHAnsi"/>
          <w:szCs w:val="22"/>
        </w:rPr>
        <w:t xml:space="preserve">par </w:t>
      </w:r>
      <w:r w:rsidR="005B215B" w:rsidRPr="000B4EAA">
        <w:rPr>
          <w:rFonts w:asciiTheme="minorHAnsi" w:hAnsiTheme="minorHAnsi" w:cstheme="minorHAnsi"/>
          <w:szCs w:val="22"/>
        </w:rPr>
        <w:t>procédure adaptée en application des articles L. 2123-1 et R. 2123-1 au R. 2123-7 du CCP</w:t>
      </w:r>
      <w:r>
        <w:rPr>
          <w:rFonts w:asciiTheme="minorHAnsi" w:hAnsiTheme="minorHAnsi" w:cstheme="minorHAnsi"/>
          <w:szCs w:val="22"/>
        </w:rPr>
        <w:t>.</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7A834BF" w14:textId="77777777" w:rsidR="008B00F3" w:rsidRPr="008B00F3" w:rsidRDefault="009009F8" w:rsidP="008B00F3">
      <w:pPr>
        <w:pStyle w:val="Titre2"/>
        <w:spacing w:line="240" w:lineRule="auto"/>
        <w:ind w:hanging="113"/>
        <w:jc w:val="both"/>
        <w:rPr>
          <w:rFonts w:ascii="Times New Roman" w:hAnsi="Times New Roman" w:cs="Times New Roman"/>
          <w:sz w:val="22"/>
          <w:szCs w:val="22"/>
        </w:rPr>
      </w:pPr>
      <w:bookmarkStart w:id="14" w:name="_Toc180418368"/>
      <w:r w:rsidRPr="00593476">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p w14:paraId="5AFC3630" w14:textId="77777777" w:rsidR="008B00F3" w:rsidRPr="008B00F3" w:rsidRDefault="008B00F3" w:rsidP="008B00F3">
      <w:pPr>
        <w:suppressAutoHyphens/>
      </w:pPr>
    </w:p>
    <w:tbl>
      <w:tblPr>
        <w:tblW w:w="8647" w:type="dxa"/>
        <w:tblInd w:w="108" w:type="dxa"/>
        <w:tblLayout w:type="fixed"/>
        <w:tblLook w:val="0000" w:firstRow="0" w:lastRow="0" w:firstColumn="0" w:lastColumn="0" w:noHBand="0" w:noVBand="0"/>
      </w:tblPr>
      <w:tblGrid>
        <w:gridCol w:w="3968"/>
        <w:gridCol w:w="2410"/>
        <w:gridCol w:w="2269"/>
      </w:tblGrid>
      <w:tr w:rsidR="008B00F3" w:rsidRPr="008B00F3" w14:paraId="28C871CE" w14:textId="77777777" w:rsidTr="008B00F3">
        <w:tc>
          <w:tcPr>
            <w:tcW w:w="3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B7AF20" w14:textId="77777777" w:rsidR="008B00F3" w:rsidRPr="008B00F3" w:rsidRDefault="008B00F3" w:rsidP="008B00F3">
            <w:pPr>
              <w:keepNext/>
              <w:widowControl w:val="0"/>
              <w:suppressAutoHyphens/>
              <w:spacing w:line="240" w:lineRule="auto"/>
              <w:jc w:val="both"/>
              <w:rPr>
                <w:rFonts w:ascii="Calibri" w:hAnsi="Calibri" w:cs="Calibri"/>
                <w:b/>
                <w:sz w:val="22"/>
                <w:szCs w:val="22"/>
              </w:rPr>
            </w:pPr>
            <w:r w:rsidRPr="008B00F3">
              <w:rPr>
                <w:rFonts w:ascii="Calibri" w:hAnsi="Calibri" w:cs="Calibri"/>
                <w:b/>
                <w:sz w:val="22"/>
                <w:szCs w:val="22"/>
              </w:rPr>
              <w:t>ECHEANCE</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C61060" w14:textId="77777777" w:rsidR="008B00F3" w:rsidRPr="008B00F3" w:rsidRDefault="008B00F3" w:rsidP="008B00F3">
            <w:pPr>
              <w:keepNext/>
              <w:widowControl w:val="0"/>
              <w:suppressAutoHyphens/>
              <w:spacing w:line="240" w:lineRule="auto"/>
              <w:jc w:val="both"/>
              <w:rPr>
                <w:rFonts w:ascii="Calibri" w:hAnsi="Calibri" w:cs="Calibri"/>
                <w:b/>
                <w:sz w:val="22"/>
                <w:szCs w:val="22"/>
              </w:rPr>
            </w:pPr>
            <w:r w:rsidRPr="008B00F3">
              <w:rPr>
                <w:rFonts w:ascii="Calibri" w:hAnsi="Calibri" w:cs="Calibri"/>
                <w:b/>
                <w:sz w:val="22"/>
                <w:szCs w:val="22"/>
              </w:rPr>
              <w:t>DATE</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6F2418" w14:textId="77777777" w:rsidR="008B00F3" w:rsidRPr="008B00F3" w:rsidRDefault="008B00F3" w:rsidP="008B00F3">
            <w:pPr>
              <w:widowControl w:val="0"/>
              <w:suppressAutoHyphens/>
              <w:spacing w:line="240" w:lineRule="auto"/>
              <w:jc w:val="both"/>
              <w:rPr>
                <w:rFonts w:ascii="Calibri" w:hAnsi="Calibri" w:cs="Calibri"/>
                <w:b/>
                <w:sz w:val="22"/>
                <w:szCs w:val="22"/>
              </w:rPr>
            </w:pPr>
            <w:r w:rsidRPr="008B00F3">
              <w:rPr>
                <w:rFonts w:ascii="Calibri" w:hAnsi="Calibri" w:cs="Calibri"/>
                <w:b/>
                <w:sz w:val="22"/>
                <w:szCs w:val="22"/>
              </w:rPr>
              <w:t>HEURE</w:t>
            </w:r>
          </w:p>
        </w:tc>
      </w:tr>
      <w:tr w:rsidR="008B00F3" w:rsidRPr="008B00F3" w14:paraId="6F84A93B" w14:textId="77777777" w:rsidTr="00380B9E">
        <w:tc>
          <w:tcPr>
            <w:tcW w:w="3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CC2B172" w14:textId="77777777" w:rsidR="008B00F3" w:rsidRPr="008B00F3" w:rsidRDefault="008B00F3" w:rsidP="008B00F3">
            <w:pPr>
              <w:keepNext/>
              <w:widowControl w:val="0"/>
              <w:numPr>
                <w:ilvl w:val="0"/>
                <w:numId w:val="41"/>
              </w:numPr>
              <w:suppressAutoHyphens/>
              <w:spacing w:after="240" w:line="240" w:lineRule="auto"/>
              <w:contextualSpacing/>
              <w:jc w:val="both"/>
              <w:rPr>
                <w:rFonts w:ascii="Calibri" w:hAnsi="Calibri" w:cs="Calibri"/>
                <w:bCs/>
                <w:sz w:val="22"/>
                <w:szCs w:val="22"/>
              </w:rPr>
            </w:pPr>
            <w:r w:rsidRPr="008B00F3">
              <w:rPr>
                <w:rFonts w:ascii="Calibri" w:hAnsi="Calibri" w:cs="Calibri"/>
                <w:bCs/>
                <w:sz w:val="22"/>
                <w:szCs w:val="22"/>
              </w:rPr>
              <w:t>Date limite pour adresser une demande d’éclaircissement au pouvoir adjudicateur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41E3270" w14:textId="1808572A" w:rsidR="008B00F3" w:rsidRPr="00380B9E" w:rsidRDefault="00A3468C" w:rsidP="008B00F3">
            <w:pPr>
              <w:widowControl w:val="0"/>
              <w:suppressAutoHyphens/>
              <w:spacing w:line="240" w:lineRule="auto"/>
              <w:jc w:val="both"/>
              <w:rPr>
                <w:rFonts w:ascii="Calibri" w:hAnsi="Calibri" w:cs="Calibri"/>
                <w:sz w:val="22"/>
                <w:szCs w:val="22"/>
              </w:rPr>
            </w:pPr>
            <w:r>
              <w:rPr>
                <w:rFonts w:ascii="Calibri" w:hAnsi="Calibri" w:cs="Calibri"/>
                <w:sz w:val="22"/>
                <w:szCs w:val="22"/>
              </w:rPr>
              <w:t>07/11</w:t>
            </w:r>
            <w:r w:rsidR="008B00F3" w:rsidRPr="00380B9E">
              <w:rPr>
                <w:rFonts w:ascii="Calibri" w:hAnsi="Calibri" w:cs="Calibri"/>
                <w:sz w:val="22"/>
                <w:szCs w:val="22"/>
              </w:rPr>
              <w:t>/2024</w:t>
            </w:r>
          </w:p>
        </w:tc>
        <w:tc>
          <w:tcPr>
            <w:tcW w:w="2269" w:type="dxa"/>
            <w:tcBorders>
              <w:top w:val="single" w:sz="4" w:space="0" w:color="000000"/>
              <w:left w:val="single" w:sz="4" w:space="0" w:color="000000"/>
              <w:bottom w:val="single" w:sz="4" w:space="0" w:color="000000"/>
              <w:right w:val="single" w:sz="4" w:space="0" w:color="000000"/>
            </w:tcBorders>
          </w:tcPr>
          <w:p w14:paraId="5581CC3A" w14:textId="77777777" w:rsidR="008B00F3" w:rsidRPr="008B00F3" w:rsidRDefault="008B00F3" w:rsidP="008B00F3">
            <w:pPr>
              <w:widowControl w:val="0"/>
              <w:suppressAutoHyphens/>
              <w:spacing w:line="240" w:lineRule="auto"/>
              <w:jc w:val="both"/>
              <w:rPr>
                <w:rFonts w:ascii="Calibri" w:hAnsi="Calibri" w:cs="Calibri"/>
                <w:sz w:val="22"/>
                <w:szCs w:val="22"/>
              </w:rPr>
            </w:pPr>
          </w:p>
        </w:tc>
      </w:tr>
      <w:tr w:rsidR="008B00F3" w:rsidRPr="008B00F3" w14:paraId="7028D03F" w14:textId="77777777" w:rsidTr="00380B9E">
        <w:tc>
          <w:tcPr>
            <w:tcW w:w="3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D264F" w14:textId="77777777" w:rsidR="008B00F3" w:rsidRPr="008B00F3" w:rsidRDefault="008B00F3" w:rsidP="008B00F3">
            <w:pPr>
              <w:widowControl w:val="0"/>
              <w:numPr>
                <w:ilvl w:val="0"/>
                <w:numId w:val="41"/>
              </w:numPr>
              <w:suppressAutoHyphens/>
              <w:spacing w:after="240" w:line="240" w:lineRule="auto"/>
              <w:contextualSpacing/>
              <w:jc w:val="both"/>
              <w:rPr>
                <w:rFonts w:ascii="Calibri" w:hAnsi="Calibri" w:cs="Calibri"/>
                <w:bCs/>
                <w:sz w:val="22"/>
                <w:szCs w:val="22"/>
              </w:rPr>
            </w:pPr>
            <w:r w:rsidRPr="008B00F3">
              <w:rPr>
                <w:rFonts w:ascii="Calibri" w:hAnsi="Calibri" w:cs="Calibri"/>
                <w:bCs/>
                <w:sz w:val="22"/>
                <w:szCs w:val="22"/>
              </w:rPr>
              <w:t>Date limite pour la fourniture d'éclaircissements par le pouvoir adjudicateur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3937180" w14:textId="5A231801" w:rsidR="008B00F3" w:rsidRPr="00380B9E" w:rsidRDefault="00A3468C" w:rsidP="008B00F3">
            <w:pPr>
              <w:widowControl w:val="0"/>
              <w:suppressAutoHyphens/>
              <w:spacing w:line="240" w:lineRule="auto"/>
              <w:jc w:val="both"/>
              <w:rPr>
                <w:rFonts w:ascii="Calibri" w:hAnsi="Calibri" w:cs="Calibri"/>
                <w:sz w:val="22"/>
                <w:szCs w:val="22"/>
              </w:rPr>
            </w:pPr>
            <w:r>
              <w:rPr>
                <w:rFonts w:ascii="Calibri" w:hAnsi="Calibri" w:cs="Calibri"/>
                <w:sz w:val="22"/>
                <w:szCs w:val="22"/>
              </w:rPr>
              <w:t>11/11</w:t>
            </w:r>
            <w:r w:rsidR="006514EE" w:rsidRPr="00380B9E">
              <w:rPr>
                <w:rFonts w:ascii="Calibri" w:hAnsi="Calibri" w:cs="Calibri"/>
                <w:sz w:val="22"/>
                <w:szCs w:val="22"/>
              </w:rPr>
              <w:t>/2024</w:t>
            </w:r>
          </w:p>
        </w:tc>
        <w:tc>
          <w:tcPr>
            <w:tcW w:w="2269" w:type="dxa"/>
            <w:tcBorders>
              <w:top w:val="single" w:sz="4" w:space="0" w:color="000000"/>
              <w:left w:val="single" w:sz="4" w:space="0" w:color="000000"/>
              <w:bottom w:val="single" w:sz="4" w:space="0" w:color="000000"/>
              <w:right w:val="single" w:sz="4" w:space="0" w:color="000000"/>
            </w:tcBorders>
          </w:tcPr>
          <w:p w14:paraId="0A761C50" w14:textId="77777777" w:rsidR="008B00F3" w:rsidRPr="008B00F3" w:rsidRDefault="008B00F3" w:rsidP="008B00F3">
            <w:pPr>
              <w:widowControl w:val="0"/>
              <w:suppressAutoHyphens/>
              <w:spacing w:line="240" w:lineRule="auto"/>
              <w:jc w:val="both"/>
              <w:rPr>
                <w:rFonts w:ascii="Calibri" w:hAnsi="Calibri" w:cs="Calibri"/>
                <w:sz w:val="22"/>
                <w:szCs w:val="22"/>
              </w:rPr>
            </w:pPr>
          </w:p>
        </w:tc>
      </w:tr>
      <w:tr w:rsidR="008B00F3" w:rsidRPr="008B00F3" w14:paraId="062EBCA2" w14:textId="77777777" w:rsidTr="00380B9E">
        <w:tc>
          <w:tcPr>
            <w:tcW w:w="3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CA0103" w14:textId="77777777" w:rsidR="008B00F3" w:rsidRPr="008B00F3" w:rsidRDefault="008B00F3" w:rsidP="008B00F3">
            <w:pPr>
              <w:widowControl w:val="0"/>
              <w:numPr>
                <w:ilvl w:val="0"/>
                <w:numId w:val="41"/>
              </w:numPr>
              <w:suppressAutoHyphens/>
              <w:spacing w:after="240" w:line="240" w:lineRule="auto"/>
              <w:contextualSpacing/>
              <w:jc w:val="both"/>
              <w:rPr>
                <w:rFonts w:ascii="Calibri" w:hAnsi="Calibri" w:cs="Calibri"/>
                <w:bCs/>
                <w:sz w:val="22"/>
                <w:szCs w:val="22"/>
              </w:rPr>
            </w:pPr>
            <w:r w:rsidRPr="008B00F3">
              <w:rPr>
                <w:rFonts w:ascii="Calibri" w:hAnsi="Calibri" w:cs="Calibri"/>
                <w:bCs/>
                <w:sz w:val="22"/>
                <w:szCs w:val="22"/>
              </w:rPr>
              <w:t>Date limite de réception des offres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95C14F" w14:textId="29534778" w:rsidR="008B00F3" w:rsidRPr="00380B9E" w:rsidRDefault="00A3468C" w:rsidP="008B00F3">
            <w:pPr>
              <w:widowControl w:val="0"/>
              <w:suppressAutoHyphens/>
              <w:spacing w:line="240" w:lineRule="auto"/>
              <w:jc w:val="both"/>
              <w:rPr>
                <w:rFonts w:ascii="Calibri" w:hAnsi="Calibri" w:cs="Calibri"/>
                <w:color w:val="FF0000"/>
                <w:sz w:val="22"/>
                <w:szCs w:val="22"/>
              </w:rPr>
            </w:pPr>
            <w:r>
              <w:rPr>
                <w:rFonts w:ascii="Calibri" w:hAnsi="Calibri" w:cs="Calibri"/>
                <w:sz w:val="22"/>
                <w:szCs w:val="22"/>
              </w:rPr>
              <w:t>15/11</w:t>
            </w:r>
            <w:r w:rsidR="008B00F3" w:rsidRPr="00380B9E">
              <w:rPr>
                <w:rFonts w:ascii="Calibri" w:hAnsi="Calibri" w:cs="Calibri"/>
                <w:sz w:val="22"/>
                <w:szCs w:val="22"/>
              </w:rPr>
              <w:t>/2024</w:t>
            </w:r>
          </w:p>
        </w:tc>
        <w:tc>
          <w:tcPr>
            <w:tcW w:w="2269" w:type="dxa"/>
            <w:tcBorders>
              <w:top w:val="single" w:sz="4" w:space="0" w:color="000000"/>
              <w:left w:val="single" w:sz="4" w:space="0" w:color="000000"/>
              <w:bottom w:val="single" w:sz="4" w:space="0" w:color="000000"/>
              <w:right w:val="single" w:sz="4" w:space="0" w:color="000000"/>
            </w:tcBorders>
          </w:tcPr>
          <w:p w14:paraId="1425B8C9" w14:textId="4F9ECCCC" w:rsidR="008B00F3" w:rsidRPr="008B00F3" w:rsidRDefault="008B00F3" w:rsidP="008B00F3">
            <w:pPr>
              <w:widowControl w:val="0"/>
              <w:suppressAutoHyphens/>
              <w:spacing w:line="240" w:lineRule="auto"/>
              <w:jc w:val="both"/>
              <w:rPr>
                <w:rFonts w:ascii="Calibri" w:hAnsi="Calibri" w:cs="Calibri"/>
                <w:sz w:val="22"/>
                <w:szCs w:val="22"/>
              </w:rPr>
            </w:pPr>
            <w:r w:rsidRPr="008B00F3">
              <w:rPr>
                <w:rFonts w:ascii="Calibri" w:hAnsi="Calibri" w:cs="Calibri"/>
                <w:sz w:val="22"/>
                <w:szCs w:val="22"/>
              </w:rPr>
              <w:t>1</w:t>
            </w:r>
            <w:r w:rsidR="00A3468C">
              <w:rPr>
                <w:rFonts w:ascii="Calibri" w:hAnsi="Calibri" w:cs="Calibri"/>
                <w:sz w:val="22"/>
                <w:szCs w:val="22"/>
              </w:rPr>
              <w:t>6</w:t>
            </w:r>
            <w:r w:rsidRPr="008B00F3">
              <w:rPr>
                <w:rFonts w:ascii="Calibri" w:hAnsi="Calibri" w:cs="Calibri"/>
                <w:sz w:val="22"/>
                <w:szCs w:val="22"/>
              </w:rPr>
              <w:t xml:space="preserve">H00 </w:t>
            </w:r>
            <w:r>
              <w:rPr>
                <w:rFonts w:ascii="Calibri" w:hAnsi="Calibri" w:cs="Calibri"/>
                <w:sz w:val="22"/>
                <w:szCs w:val="22"/>
              </w:rPr>
              <w:t>(</w:t>
            </w:r>
            <w:r w:rsidRPr="008B00F3">
              <w:rPr>
                <w:rFonts w:ascii="Calibri" w:hAnsi="Calibri" w:cs="Calibri"/>
                <w:sz w:val="22"/>
                <w:szCs w:val="22"/>
              </w:rPr>
              <w:t>Heure de Paris</w:t>
            </w:r>
            <w:r>
              <w:rPr>
                <w:rFonts w:ascii="Calibri" w:hAnsi="Calibri" w:cs="Calibri"/>
                <w:sz w:val="22"/>
                <w:szCs w:val="22"/>
              </w:rPr>
              <w:t>)</w:t>
            </w:r>
          </w:p>
        </w:tc>
      </w:tr>
      <w:tr w:rsidR="008B00F3" w:rsidRPr="008B00F3" w14:paraId="2E7230AE" w14:textId="77777777" w:rsidTr="00380B9E">
        <w:tc>
          <w:tcPr>
            <w:tcW w:w="3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073C83" w14:textId="77777777" w:rsidR="008B00F3" w:rsidRPr="008B00F3" w:rsidRDefault="008B00F3" w:rsidP="008B00F3">
            <w:pPr>
              <w:widowControl w:val="0"/>
              <w:numPr>
                <w:ilvl w:val="0"/>
                <w:numId w:val="41"/>
              </w:numPr>
              <w:tabs>
                <w:tab w:val="left" w:pos="851"/>
              </w:tabs>
              <w:suppressAutoHyphens/>
              <w:spacing w:after="240" w:line="240" w:lineRule="auto"/>
              <w:contextualSpacing/>
              <w:jc w:val="both"/>
              <w:rPr>
                <w:rFonts w:ascii="Calibri" w:hAnsi="Calibri" w:cs="Calibri"/>
                <w:bCs/>
                <w:sz w:val="22"/>
                <w:szCs w:val="22"/>
              </w:rPr>
            </w:pPr>
            <w:r w:rsidRPr="008B00F3">
              <w:rPr>
                <w:rFonts w:ascii="Calibri" w:hAnsi="Calibri" w:cs="Calibri"/>
                <w:bCs/>
                <w:sz w:val="22"/>
                <w:szCs w:val="22"/>
              </w:rPr>
              <w:t>Notification du marché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A94722" w14:textId="632B148E" w:rsidR="008B00F3" w:rsidRPr="00380B9E" w:rsidRDefault="00A3468C" w:rsidP="008B00F3">
            <w:pPr>
              <w:widowControl w:val="0"/>
              <w:tabs>
                <w:tab w:val="left" w:pos="851"/>
              </w:tabs>
              <w:suppressAutoHyphens/>
              <w:spacing w:line="240" w:lineRule="auto"/>
              <w:jc w:val="both"/>
              <w:rPr>
                <w:rFonts w:ascii="Calibri" w:hAnsi="Calibri" w:cs="Calibri"/>
                <w:sz w:val="22"/>
                <w:szCs w:val="22"/>
              </w:rPr>
            </w:pPr>
            <w:r>
              <w:rPr>
                <w:rFonts w:ascii="Calibri" w:hAnsi="Calibri" w:cs="Calibri"/>
                <w:sz w:val="22"/>
                <w:szCs w:val="22"/>
              </w:rPr>
              <w:t>21</w:t>
            </w:r>
            <w:r w:rsidR="006514EE" w:rsidRPr="00380B9E">
              <w:rPr>
                <w:rFonts w:ascii="Calibri" w:hAnsi="Calibri" w:cs="Calibri"/>
                <w:sz w:val="22"/>
                <w:szCs w:val="22"/>
              </w:rPr>
              <w:t>/11/2024</w:t>
            </w:r>
          </w:p>
        </w:tc>
        <w:tc>
          <w:tcPr>
            <w:tcW w:w="2269" w:type="dxa"/>
            <w:tcBorders>
              <w:top w:val="single" w:sz="4" w:space="0" w:color="000000"/>
              <w:left w:val="single" w:sz="4" w:space="0" w:color="000000"/>
              <w:bottom w:val="single" w:sz="4" w:space="0" w:color="000000"/>
              <w:right w:val="single" w:sz="4" w:space="0" w:color="000000"/>
            </w:tcBorders>
          </w:tcPr>
          <w:p w14:paraId="031A9927" w14:textId="77777777" w:rsidR="008B00F3" w:rsidRPr="008B00F3" w:rsidRDefault="008B00F3" w:rsidP="008B00F3">
            <w:pPr>
              <w:widowControl w:val="0"/>
              <w:tabs>
                <w:tab w:val="left" w:pos="851"/>
              </w:tabs>
              <w:suppressAutoHyphens/>
              <w:spacing w:line="240" w:lineRule="auto"/>
              <w:jc w:val="both"/>
              <w:rPr>
                <w:rFonts w:ascii="Calibri" w:hAnsi="Calibri" w:cs="Calibri"/>
                <w:sz w:val="22"/>
                <w:szCs w:val="22"/>
              </w:rPr>
            </w:pPr>
            <w:bookmarkStart w:id="15" w:name="_Hlk497583055"/>
            <w:bookmarkEnd w:id="15"/>
          </w:p>
        </w:tc>
      </w:tr>
    </w:tbl>
    <w:p w14:paraId="6DC24FF0" w14:textId="77777777" w:rsidR="008B00F3" w:rsidRPr="008B00F3" w:rsidRDefault="008B00F3" w:rsidP="008B00F3">
      <w:pPr>
        <w:suppressAutoHyphens/>
        <w:spacing w:line="240" w:lineRule="auto"/>
        <w:jc w:val="both"/>
        <w:rPr>
          <w:rFonts w:ascii="Times New Roman" w:eastAsia="Times New Roman" w:hAnsi="Times New Roman"/>
          <w:sz w:val="22"/>
          <w:szCs w:val="22"/>
        </w:rPr>
      </w:pPr>
    </w:p>
    <w:p w14:paraId="32F1A50D" w14:textId="645EEA62" w:rsidR="009009F8" w:rsidRPr="0006068D" w:rsidRDefault="009009F8" w:rsidP="008B00F3">
      <w:pPr>
        <w:pStyle w:val="Titre2"/>
        <w:spacing w:before="120" w:after="120" w:line="240" w:lineRule="auto"/>
        <w:jc w:val="both"/>
        <w:rPr>
          <w:rFonts w:asciiTheme="minorHAnsi" w:hAnsiTheme="minorHAnsi" w:cstheme="minorHAnsi"/>
          <w:sz w:val="22"/>
          <w:szCs w:val="22"/>
          <w:u w:val="single"/>
        </w:rPr>
      </w:pPr>
      <w:bookmarkStart w:id="16" w:name="_Toc180418369"/>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6"/>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4FB28D1E"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7C24FB">
        <w:rPr>
          <w:rFonts w:asciiTheme="minorHAnsi" w:hAnsiTheme="minorHAnsi" w:cstheme="minorHAnsi"/>
          <w:sz w:val="22"/>
          <w:szCs w:val="22"/>
        </w:rPr>
        <w:t>USD ($</w:t>
      </w:r>
      <w:r w:rsidRPr="00921E55">
        <w:rPr>
          <w:rFonts w:asciiTheme="minorHAnsi" w:hAnsiTheme="minorHAnsi" w:cstheme="minorHAnsi"/>
          <w:sz w:val="22"/>
          <w:szCs w:val="22"/>
        </w:rPr>
        <w:t>)</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7" w:name="_Toc180418370"/>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7"/>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354A2045" w:rsidR="004B18E1"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7C4D9D2" w14:textId="3F9653CE" w:rsidR="00A3468C" w:rsidRPr="00A3468C" w:rsidRDefault="00A3468C" w:rsidP="00A3468C">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107E6D5C" w14:textId="608C0E6B" w:rsidR="00CF5C72" w:rsidRDefault="00CF5C72" w:rsidP="00CF5C72">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w:t>
      </w:r>
      <w:r>
        <w:rPr>
          <w:rFonts w:asciiTheme="minorHAnsi" w:hAnsiTheme="minorHAnsi" w:cstheme="minorHAnsi"/>
          <w:szCs w:val="22"/>
        </w:rPr>
        <w:t>B</w:t>
      </w:r>
      <w:r w:rsidRPr="00921E55">
        <w:rPr>
          <w:rFonts w:asciiTheme="minorHAnsi" w:hAnsiTheme="minorHAnsi" w:cstheme="minorHAnsi"/>
          <w:szCs w:val="22"/>
        </w:rPr>
        <w:t xml:space="preserve">ordereau des </w:t>
      </w:r>
      <w:r>
        <w:rPr>
          <w:rFonts w:asciiTheme="minorHAnsi" w:hAnsiTheme="minorHAnsi" w:cstheme="minorHAnsi"/>
          <w:szCs w:val="22"/>
        </w:rPr>
        <w:t>P</w:t>
      </w:r>
      <w:r w:rsidRPr="00921E55">
        <w:rPr>
          <w:rFonts w:asciiTheme="minorHAnsi" w:hAnsiTheme="minorHAnsi" w:cstheme="minorHAnsi"/>
          <w:szCs w:val="22"/>
        </w:rPr>
        <w:t>rix</w:t>
      </w:r>
      <w:r w:rsidR="00A962E1">
        <w:rPr>
          <w:rFonts w:asciiTheme="minorHAnsi" w:hAnsiTheme="minorHAnsi" w:cstheme="minorHAnsi"/>
          <w:szCs w:val="22"/>
        </w:rPr>
        <w:t xml:space="preserve"> </w:t>
      </w:r>
      <w:r>
        <w:rPr>
          <w:rFonts w:asciiTheme="minorHAnsi" w:hAnsiTheme="minorHAnsi" w:cstheme="minorHAnsi"/>
          <w:szCs w:val="22"/>
        </w:rPr>
        <w:t>:</w:t>
      </w:r>
    </w:p>
    <w:p w14:paraId="3520E380" w14:textId="0EB75445" w:rsidR="00CF5C72" w:rsidRPr="003313C1" w:rsidRDefault="00CF5C72" w:rsidP="00CF5C72">
      <w:pPr>
        <w:pStyle w:val="Paragraphedeliste"/>
        <w:numPr>
          <w:ilvl w:val="0"/>
          <w:numId w:val="7"/>
        </w:numPr>
        <w:spacing w:line="240" w:lineRule="auto"/>
        <w:rPr>
          <w:rFonts w:asciiTheme="minorHAnsi" w:eastAsia="Times New Roman" w:hAnsiTheme="minorHAnsi" w:cstheme="minorHAnsi"/>
          <w:sz w:val="22"/>
          <w:szCs w:val="22"/>
        </w:rPr>
      </w:pPr>
      <w:r w:rsidRPr="003313C1">
        <w:rPr>
          <w:rFonts w:asciiTheme="minorHAnsi" w:eastAsia="Times New Roman" w:hAnsiTheme="minorHAnsi" w:cstheme="minorHAnsi"/>
          <w:sz w:val="22"/>
          <w:szCs w:val="22"/>
        </w:rPr>
        <w:t>Le cadre de réponse technique</w:t>
      </w:r>
    </w:p>
    <w:p w14:paraId="26915B9B" w14:textId="0255023D" w:rsid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12438E0B" w14:textId="51276E21" w:rsidR="00CF5C72" w:rsidRPr="00B25E12" w:rsidRDefault="00CF5C72">
      <w:pPr>
        <w:pStyle w:val="v"/>
        <w:widowControl w:val="0"/>
        <w:numPr>
          <w:ilvl w:val="0"/>
          <w:numId w:val="7"/>
        </w:numPr>
        <w:rPr>
          <w:rFonts w:asciiTheme="minorHAnsi" w:hAnsiTheme="minorHAnsi" w:cstheme="minorHAnsi"/>
          <w:szCs w:val="22"/>
        </w:rPr>
      </w:pPr>
      <w:r w:rsidRPr="005473F4">
        <w:rPr>
          <w:rFonts w:asciiTheme="minorHAnsi" w:hAnsiTheme="minorHAnsi" w:cstheme="minorHAnsi"/>
          <w:szCs w:val="22"/>
        </w:rPr>
        <w:t>Le Guide utilisation PLACE pour les entreprises</w:t>
      </w:r>
      <w:r>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8" w:name="_Toc180418371"/>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8"/>
    </w:p>
    <w:p w14:paraId="5CD530C3" w14:textId="544D7772"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D702AA">
        <w:rPr>
          <w:rFonts w:asciiTheme="minorHAnsi" w:hAnsiTheme="minorHAnsi" w:cstheme="minorHAnsi"/>
          <w:sz w:val="22"/>
          <w:szCs w:val="22"/>
        </w:rPr>
        <w:t>quatre (04</w:t>
      </w:r>
      <w:r w:rsidR="00707722">
        <w:rPr>
          <w:rFonts w:asciiTheme="minorHAnsi" w:hAnsiTheme="minorHAnsi" w:cstheme="minorHAnsi"/>
          <w:sz w:val="22"/>
          <w:szCs w:val="22"/>
        </w:rPr>
        <w:t>)</w:t>
      </w:r>
      <w:r w:rsidRPr="00921E55">
        <w:rPr>
          <w:rFonts w:asciiTheme="minorHAnsi" w:hAnsiTheme="minorHAnsi" w:cstheme="minorHAnsi"/>
          <w:sz w:val="22"/>
          <w:szCs w:val="22"/>
        </w:rPr>
        <w:t xml:space="preserve"> jours avant la date limite de réception des plis</w:t>
      </w:r>
      <w:r w:rsidR="00D702AA">
        <w:rPr>
          <w:rFonts w:asciiTheme="minorHAnsi" w:hAnsiTheme="minorHAnsi" w:cstheme="minorHAnsi"/>
          <w:sz w:val="22"/>
          <w:szCs w:val="22"/>
        </w:rPr>
        <w:t>.</w:t>
      </w:r>
    </w:p>
    <w:p w14:paraId="79BC8ED0" w14:textId="43492441"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lastRenderedPageBreak/>
        <w:t xml:space="preserve">Les modifications sont communiquées aux seuls opérateurs économiques dûment identifiés lors du </w:t>
      </w:r>
      <w:r w:rsidR="00707722"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28DE3E78" w:rsidR="00425606" w:rsidRDefault="00707722" w:rsidP="0049285C">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Les </w:t>
      </w:r>
      <w:r w:rsidR="00390B8F" w:rsidRPr="00921E55">
        <w:rPr>
          <w:rFonts w:asciiTheme="minorHAnsi" w:hAnsiTheme="minorHAnsi" w:cstheme="minorHAnsi"/>
          <w:sz w:val="22"/>
          <w:szCs w:val="22"/>
        </w:rPr>
        <w:t>soumissionnaires devront répondre sur la base du dernier dossier modi</w:t>
      </w:r>
      <w:r>
        <w:rPr>
          <w:rFonts w:asciiTheme="minorHAnsi" w:hAnsiTheme="minorHAnsi" w:cstheme="minorHAnsi"/>
          <w:sz w:val="22"/>
          <w:szCs w:val="22"/>
        </w:rPr>
        <w:t xml:space="preserve">fié. Dans le cas où un </w:t>
      </w:r>
      <w:r w:rsidR="00390B8F" w:rsidRPr="00921E55">
        <w:rPr>
          <w:rFonts w:asciiTheme="minorHAnsi" w:hAnsiTheme="minorHAnsi" w:cstheme="minorHAnsi"/>
          <w:sz w:val="22"/>
          <w:szCs w:val="22"/>
        </w:rPr>
        <w:t>s</w:t>
      </w:r>
      <w:r>
        <w:rPr>
          <w:rFonts w:asciiTheme="minorHAnsi" w:hAnsiTheme="minorHAnsi" w:cstheme="minorHAnsi"/>
          <w:sz w:val="22"/>
          <w:szCs w:val="22"/>
        </w:rPr>
        <w:t xml:space="preserve">oumissionnaire aurait remis </w:t>
      </w:r>
      <w:r w:rsidR="00390B8F" w:rsidRPr="00921E55">
        <w:rPr>
          <w:rFonts w:asciiTheme="minorHAnsi" w:hAnsiTheme="minorHAnsi" w:cstheme="minorHAnsi"/>
          <w:sz w:val="22"/>
          <w:szCs w:val="22"/>
        </w:rPr>
        <w:t>une offre avant les modifications, il pourra en remettre une nouvelle sur la base du dernier dossier modifié, avant la date et heure limites de réception des plis.</w:t>
      </w:r>
    </w:p>
    <w:p w14:paraId="710F49D2" w14:textId="77777777" w:rsidR="0049285C" w:rsidRDefault="0049285C" w:rsidP="0049285C">
      <w:pPr>
        <w:spacing w:line="240" w:lineRule="auto"/>
        <w:jc w:val="both"/>
        <w:rPr>
          <w:rFonts w:asciiTheme="minorHAnsi" w:hAnsiTheme="minorHAnsi" w:cstheme="minorHAnsi"/>
          <w:b/>
          <w:caps/>
          <w:sz w:val="28"/>
          <w:szCs w:val="22"/>
          <w:u w:val="single"/>
        </w:rPr>
      </w:pP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9" w:name="_Toc180418372"/>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9"/>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20" w:name="_Toc180418373"/>
      <w:r w:rsidRPr="00E23E75">
        <w:rPr>
          <w:rFonts w:asciiTheme="minorHAnsi" w:hAnsiTheme="minorHAnsi" w:cstheme="minorHAnsi"/>
          <w:sz w:val="22"/>
          <w:szCs w:val="22"/>
          <w:u w:val="single"/>
        </w:rPr>
        <w:t>Forme du contrat</w:t>
      </w:r>
      <w:bookmarkEnd w:id="20"/>
    </w:p>
    <w:p w14:paraId="6986A270" w14:textId="6894E7B7" w:rsidR="00093D39" w:rsidRPr="0006068D" w:rsidRDefault="008139A8" w:rsidP="00E0425F">
      <w:pPr>
        <w:spacing w:line="240" w:lineRule="auto"/>
        <w:rPr>
          <w:rFonts w:asciiTheme="minorHAnsi" w:hAnsiTheme="minorHAnsi" w:cstheme="minorHAnsi"/>
          <w:sz w:val="22"/>
          <w:szCs w:val="22"/>
        </w:rPr>
      </w:pPr>
      <w:r w:rsidRPr="00084D4D">
        <w:rPr>
          <w:rFonts w:asciiTheme="minorHAnsi" w:hAnsiTheme="minorHAnsi" w:cstheme="minorHAnsi"/>
          <w:sz w:val="22"/>
          <w:szCs w:val="22"/>
        </w:rPr>
        <w:t xml:space="preserve">Le contrat est </w:t>
      </w:r>
      <w:r w:rsidR="00093D39" w:rsidRPr="00084D4D">
        <w:rPr>
          <w:rFonts w:asciiTheme="minorHAnsi" w:hAnsiTheme="minorHAnsi" w:cstheme="minorHAnsi"/>
          <w:sz w:val="22"/>
          <w:szCs w:val="22"/>
        </w:rPr>
        <w:t xml:space="preserve">un marché public </w:t>
      </w:r>
      <w:r w:rsidRPr="00084D4D">
        <w:rPr>
          <w:rFonts w:asciiTheme="minorHAnsi" w:hAnsiTheme="minorHAnsi" w:cstheme="minorHAnsi"/>
          <w:sz w:val="22"/>
          <w:szCs w:val="22"/>
        </w:rPr>
        <w:t>composé d’un poste unique à prix unitaires</w:t>
      </w:r>
      <w:r w:rsidR="00707722" w:rsidRPr="00084D4D">
        <w:rPr>
          <w:rFonts w:asciiTheme="minorHAnsi" w:hAnsiTheme="minorHAnsi" w:cstheme="minorHAnsi"/>
          <w:sz w:val="22"/>
          <w:szCs w:val="22"/>
        </w:rPr>
        <w:t>.</w:t>
      </w:r>
    </w:p>
    <w:p w14:paraId="7D9886AA" w14:textId="77777777" w:rsidR="00093D39" w:rsidRPr="0006068D" w:rsidRDefault="00093D39"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1" w:name="_Toc180418374"/>
      <w:r w:rsidRPr="0006068D">
        <w:rPr>
          <w:rFonts w:asciiTheme="minorHAnsi" w:hAnsiTheme="minorHAnsi" w:cstheme="minorHAnsi"/>
          <w:sz w:val="22"/>
          <w:szCs w:val="22"/>
          <w:u w:val="single"/>
        </w:rPr>
        <w:t>Montant estimatif du besoin</w:t>
      </w:r>
      <w:bookmarkEnd w:id="21"/>
    </w:p>
    <w:p w14:paraId="29B3A32A" w14:textId="129821F0" w:rsidR="008139A8" w:rsidRPr="0006068D" w:rsidRDefault="008139A8"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CE445E">
        <w:rPr>
          <w:rFonts w:asciiTheme="minorHAnsi" w:hAnsiTheme="minorHAnsi" w:cstheme="minorHAnsi"/>
          <w:sz w:val="22"/>
          <w:szCs w:val="22"/>
        </w:rPr>
        <w:t>estimatif non contractuel</w:t>
      </w:r>
      <w:r w:rsidR="003B09B7"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du contrat est fixé à </w:t>
      </w:r>
      <w:r w:rsidR="00593476" w:rsidRPr="00593476">
        <w:rPr>
          <w:rFonts w:asciiTheme="minorHAnsi" w:hAnsiTheme="minorHAnsi" w:cstheme="minorHAnsi"/>
          <w:b/>
          <w:sz w:val="22"/>
          <w:szCs w:val="22"/>
        </w:rPr>
        <w:t>16</w:t>
      </w:r>
      <w:r w:rsidR="00A3468C" w:rsidRPr="00593476">
        <w:rPr>
          <w:rFonts w:asciiTheme="minorHAnsi" w:hAnsiTheme="minorHAnsi" w:cstheme="minorHAnsi"/>
          <w:b/>
          <w:sz w:val="22"/>
          <w:szCs w:val="22"/>
        </w:rPr>
        <w:t>0</w:t>
      </w:r>
      <w:r w:rsidR="00A962E1" w:rsidRPr="00593476">
        <w:rPr>
          <w:rFonts w:asciiTheme="minorHAnsi" w:hAnsiTheme="minorHAnsi" w:cstheme="minorHAnsi"/>
          <w:b/>
          <w:sz w:val="22"/>
          <w:szCs w:val="22"/>
        </w:rPr>
        <w:t> </w:t>
      </w:r>
      <w:r w:rsidR="00A3468C" w:rsidRPr="00593476">
        <w:rPr>
          <w:rFonts w:asciiTheme="minorHAnsi" w:hAnsiTheme="minorHAnsi" w:cstheme="minorHAnsi"/>
          <w:b/>
          <w:sz w:val="22"/>
          <w:szCs w:val="22"/>
        </w:rPr>
        <w:t>0</w:t>
      </w:r>
      <w:r w:rsidR="00707722" w:rsidRPr="00593476">
        <w:rPr>
          <w:rFonts w:asciiTheme="minorHAnsi" w:hAnsiTheme="minorHAnsi" w:cstheme="minorHAnsi"/>
          <w:b/>
          <w:sz w:val="22"/>
          <w:szCs w:val="22"/>
        </w:rPr>
        <w:t>00</w:t>
      </w:r>
      <w:r w:rsidR="00A962E1" w:rsidRPr="00593476">
        <w:rPr>
          <w:rFonts w:asciiTheme="minorHAnsi" w:hAnsiTheme="minorHAnsi" w:cstheme="minorHAnsi"/>
          <w:b/>
          <w:sz w:val="22"/>
          <w:szCs w:val="22"/>
        </w:rPr>
        <w:t xml:space="preserve"> </w:t>
      </w:r>
      <w:r w:rsidRPr="00593476">
        <w:rPr>
          <w:rFonts w:asciiTheme="minorHAnsi" w:hAnsiTheme="minorHAnsi" w:cstheme="minorHAnsi"/>
          <w:b/>
          <w:sz w:val="22"/>
          <w:szCs w:val="22"/>
        </w:rPr>
        <w:t>€</w:t>
      </w:r>
      <w:r w:rsidR="00A962E1" w:rsidRPr="00593476">
        <w:rPr>
          <w:rFonts w:asciiTheme="minorHAnsi" w:hAnsiTheme="minorHAnsi" w:cstheme="minorHAnsi"/>
          <w:b/>
          <w:sz w:val="22"/>
          <w:szCs w:val="22"/>
        </w:rPr>
        <w:t xml:space="preserve"> HT</w:t>
      </w:r>
      <w:r w:rsidRPr="00593476">
        <w:rPr>
          <w:rFonts w:asciiTheme="minorHAnsi" w:hAnsiTheme="minorHAnsi" w:cstheme="minorHAnsi"/>
          <w:b/>
          <w:sz w:val="22"/>
          <w:szCs w:val="22"/>
        </w:rPr>
        <w:t xml:space="preserve"> maximum</w:t>
      </w:r>
      <w:r w:rsidR="00535791" w:rsidRPr="00593476">
        <w:rPr>
          <w:rFonts w:asciiTheme="minorHAnsi" w:hAnsiTheme="minorHAnsi" w:cstheme="minorHAnsi"/>
          <w:b/>
          <w:sz w:val="22"/>
          <w:szCs w:val="22"/>
        </w:rPr>
        <w:t>.</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2" w:name="_Toc180418375"/>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2"/>
    </w:p>
    <w:p w14:paraId="0DCA8895" w14:textId="11E1A9CA" w:rsidR="002E6805" w:rsidRPr="00674899" w:rsidRDefault="00674899" w:rsidP="002E6805">
      <w:pPr>
        <w:spacing w:line="240" w:lineRule="auto"/>
        <w:jc w:val="both"/>
        <w:rPr>
          <w:rFonts w:asciiTheme="minorHAnsi" w:hAnsiTheme="minorHAnsi" w:cstheme="minorHAnsi"/>
          <w:sz w:val="22"/>
          <w:szCs w:val="22"/>
        </w:rPr>
      </w:pPr>
      <w:r w:rsidRPr="00674899">
        <w:rPr>
          <w:rFonts w:asciiTheme="minorHAnsi" w:hAnsiTheme="minorHAnsi" w:cstheme="minorHAnsi"/>
          <w:sz w:val="22"/>
          <w:szCs w:val="22"/>
        </w:rPr>
        <w:t xml:space="preserve">Le marché débute à la notification </w:t>
      </w:r>
      <w:r>
        <w:rPr>
          <w:rFonts w:asciiTheme="minorHAnsi" w:hAnsiTheme="minorHAnsi" w:cstheme="minorHAnsi"/>
          <w:sz w:val="22"/>
          <w:szCs w:val="22"/>
        </w:rPr>
        <w:t>du contrat</w:t>
      </w:r>
      <w:r w:rsidRPr="00674899">
        <w:rPr>
          <w:rFonts w:asciiTheme="minorHAnsi" w:hAnsiTheme="minorHAnsi" w:cstheme="minorHAnsi"/>
          <w:sz w:val="22"/>
          <w:szCs w:val="22"/>
        </w:rPr>
        <w:t xml:space="preserve"> et prend fin à la réception définitive</w:t>
      </w:r>
      <w:r>
        <w:rPr>
          <w:rFonts w:asciiTheme="minorHAnsi" w:hAnsiTheme="minorHAnsi" w:cstheme="minorHAnsi"/>
          <w:sz w:val="22"/>
          <w:szCs w:val="22"/>
        </w:rPr>
        <w:t xml:space="preserve"> des fournitures</w:t>
      </w:r>
      <w:r w:rsidRPr="00674899">
        <w:rPr>
          <w:rFonts w:asciiTheme="minorHAnsi" w:hAnsiTheme="minorHAnsi" w:cstheme="minorHAnsi"/>
          <w:sz w:val="22"/>
          <w:szCs w:val="22"/>
        </w:rPr>
        <w:t>. Il n’est pas prévu une reconduction</w:t>
      </w:r>
      <w:r w:rsidR="0057309E" w:rsidRPr="00674899">
        <w:rPr>
          <w:rFonts w:asciiTheme="minorHAnsi" w:hAnsiTheme="minorHAnsi" w:cstheme="minorHAnsi"/>
          <w:sz w:val="22"/>
          <w:szCs w:val="22"/>
        </w:rPr>
        <w:t>.</w:t>
      </w:r>
      <w:r w:rsidR="002E6805" w:rsidRPr="00674899">
        <w:rPr>
          <w:rFonts w:asciiTheme="minorHAnsi" w:hAnsiTheme="minorHAnsi" w:cstheme="minorHAnsi"/>
          <w:sz w:val="22"/>
          <w:szCs w:val="22"/>
        </w:rPr>
        <w:t xml:space="preserve"> A titre indicatif, la date prévisionnelle de notification est le </w:t>
      </w:r>
      <w:r w:rsidRPr="00593476">
        <w:rPr>
          <w:rFonts w:asciiTheme="minorHAnsi" w:hAnsiTheme="minorHAnsi" w:cstheme="minorHAnsi"/>
          <w:sz w:val="22"/>
          <w:szCs w:val="22"/>
        </w:rPr>
        <w:t>2</w:t>
      </w:r>
      <w:r w:rsidR="004F2F10" w:rsidRPr="00593476">
        <w:rPr>
          <w:rFonts w:asciiTheme="minorHAnsi" w:hAnsiTheme="minorHAnsi" w:cstheme="minorHAnsi"/>
          <w:sz w:val="22"/>
          <w:szCs w:val="22"/>
        </w:rPr>
        <w:t>1</w:t>
      </w:r>
      <w:r w:rsidR="00D702AA" w:rsidRPr="00593476">
        <w:rPr>
          <w:rFonts w:asciiTheme="minorHAnsi" w:hAnsiTheme="minorHAnsi" w:cstheme="minorHAnsi"/>
          <w:sz w:val="22"/>
          <w:szCs w:val="22"/>
        </w:rPr>
        <w:t xml:space="preserve"> novembre</w:t>
      </w:r>
      <w:r w:rsidR="0049285C" w:rsidRPr="00593476">
        <w:rPr>
          <w:rFonts w:asciiTheme="minorHAnsi" w:hAnsiTheme="minorHAnsi" w:cstheme="minorHAnsi"/>
          <w:sz w:val="22"/>
          <w:szCs w:val="22"/>
        </w:rPr>
        <w:t xml:space="preserve"> 2024</w:t>
      </w:r>
      <w:r w:rsidR="00D702AA" w:rsidRPr="00593476">
        <w:rPr>
          <w:rFonts w:asciiTheme="minorHAnsi" w:hAnsiTheme="minorHAnsi" w:cstheme="minorHAns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23" w:name="_Toc180418376"/>
      <w:r w:rsidRPr="00BC4295">
        <w:rPr>
          <w:rFonts w:asciiTheme="minorHAnsi" w:hAnsiTheme="minorHAnsi" w:cstheme="minorHAnsi"/>
          <w:sz w:val="22"/>
          <w:szCs w:val="22"/>
          <w:u w:val="single"/>
        </w:rPr>
        <w:t>Allotissement</w:t>
      </w:r>
      <w:bookmarkEnd w:id="23"/>
    </w:p>
    <w:p w14:paraId="3E3AFBAC" w14:textId="29B0AC38" w:rsidR="003D2522" w:rsidRDefault="009B6B50" w:rsidP="00510257">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00535791">
        <w:rPr>
          <w:rFonts w:asciiTheme="minorHAnsi" w:hAnsiTheme="minorHAnsi" w:cstheme="minorHAnsi"/>
          <w:sz w:val="22"/>
          <w:szCs w:val="22"/>
        </w:rPr>
        <w:t xml:space="preserve"> consultation n’est pas allotie.</w:t>
      </w:r>
      <w:bookmarkStart w:id="24" w:name="_Toc417653425"/>
      <w:bookmarkStart w:id="25" w:name="_Toc419212441"/>
      <w:bookmarkStart w:id="26" w:name="_Toc443657775"/>
      <w:bookmarkStart w:id="27" w:name="_Toc446628694"/>
    </w:p>
    <w:p w14:paraId="79CBAEA4" w14:textId="77777777" w:rsidR="0049285C" w:rsidRDefault="0049285C" w:rsidP="00510257">
      <w:pPr>
        <w:spacing w:line="240" w:lineRule="auto"/>
        <w:jc w:val="both"/>
        <w:rPr>
          <w:rFonts w:asciiTheme="minorHAnsi" w:hAnsiTheme="minorHAnsi" w:cstheme="minorHAnsi"/>
          <w:sz w:val="22"/>
          <w:szCs w:val="22"/>
        </w:rPr>
      </w:pPr>
    </w:p>
    <w:p w14:paraId="78157605" w14:textId="50628D71" w:rsidR="00F07EDC" w:rsidRPr="00F07EDC" w:rsidRDefault="0049285C" w:rsidP="0049285C">
      <w:pPr>
        <w:pStyle w:val="Titre2"/>
        <w:spacing w:before="120" w:after="120" w:line="240" w:lineRule="auto"/>
        <w:jc w:val="both"/>
        <w:rPr>
          <w:rFonts w:asciiTheme="minorHAnsi" w:hAnsiTheme="minorHAnsi" w:cstheme="minorHAnsi"/>
          <w:i/>
          <w:sz w:val="22"/>
          <w:szCs w:val="22"/>
        </w:rPr>
      </w:pPr>
      <w:bookmarkStart w:id="28" w:name="_Toc180418377"/>
      <w:r w:rsidRPr="0049285C">
        <w:rPr>
          <w:rFonts w:ascii="Times New Roman" w:hAnsi="Times New Roman"/>
          <w:sz w:val="22"/>
          <w:szCs w:val="22"/>
          <w:u w:val="single"/>
        </w:rPr>
        <w:t>Variantes</w:t>
      </w:r>
      <w:bookmarkEnd w:id="28"/>
      <w:r w:rsidRPr="00F07EDC">
        <w:rPr>
          <w:rFonts w:asciiTheme="minorHAnsi" w:hAnsiTheme="minorHAnsi" w:cstheme="minorHAnsi"/>
          <w:i/>
          <w:sz w:val="22"/>
          <w:szCs w:val="22"/>
        </w:rPr>
        <w:t xml:space="preserve"> </w:t>
      </w:r>
    </w:p>
    <w:p w14:paraId="6A5DA150" w14:textId="3D3B70AE" w:rsidR="00F07EDC" w:rsidRPr="00E23E75" w:rsidRDefault="00535791" w:rsidP="00F07EDC">
      <w:pPr>
        <w:jc w:val="both"/>
        <w:rPr>
          <w:rFonts w:asciiTheme="minorHAnsi" w:hAnsiTheme="minorHAnsi" w:cstheme="minorHAnsi"/>
          <w:bCs/>
          <w:iCs/>
          <w:sz w:val="22"/>
          <w:szCs w:val="22"/>
        </w:rPr>
      </w:pPr>
      <w:r>
        <w:rPr>
          <w:rFonts w:asciiTheme="minorHAnsi" w:hAnsiTheme="minorHAnsi" w:cstheme="minorHAnsi"/>
          <w:bCs/>
          <w:iCs/>
          <w:sz w:val="22"/>
          <w:szCs w:val="22"/>
        </w:rPr>
        <w:t>Sans objet</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29" w:name="_Toc491193961"/>
      <w:bookmarkEnd w:id="29"/>
    </w:p>
    <w:p w14:paraId="05D832B9" w14:textId="2E5CC9C0" w:rsidR="003D2522" w:rsidRPr="0049285C" w:rsidRDefault="0049285C" w:rsidP="0049285C">
      <w:pPr>
        <w:pStyle w:val="Titre2"/>
        <w:spacing w:before="120" w:after="120" w:line="240" w:lineRule="auto"/>
        <w:jc w:val="both"/>
        <w:rPr>
          <w:rFonts w:asciiTheme="minorHAnsi" w:hAnsiTheme="minorHAnsi" w:cstheme="minorHAnsi"/>
          <w:sz w:val="22"/>
          <w:szCs w:val="22"/>
          <w:u w:val="single"/>
        </w:rPr>
      </w:pPr>
      <w:bookmarkStart w:id="30" w:name="_Toc180418378"/>
      <w:r>
        <w:rPr>
          <w:rFonts w:asciiTheme="minorHAnsi" w:hAnsiTheme="minorHAnsi" w:cstheme="minorHAnsi"/>
          <w:sz w:val="22"/>
          <w:szCs w:val="22"/>
          <w:u w:val="single"/>
        </w:rPr>
        <w:t>Prestations supplémentaires éventuelles (PSE)</w:t>
      </w:r>
      <w:bookmarkEnd w:id="30"/>
    </w:p>
    <w:p w14:paraId="575B60BF" w14:textId="28FB6229" w:rsidR="003D2522" w:rsidRPr="0006068D" w:rsidRDefault="00D15904" w:rsidP="003D2522">
      <w:pPr>
        <w:spacing w:line="240" w:lineRule="auto"/>
        <w:jc w:val="both"/>
        <w:rPr>
          <w:rFonts w:asciiTheme="minorHAnsi" w:hAnsiTheme="minorHAnsi" w:cstheme="minorHAnsi"/>
          <w:sz w:val="22"/>
          <w:szCs w:val="22"/>
        </w:rPr>
      </w:pPr>
      <w:r>
        <w:rPr>
          <w:rFonts w:asciiTheme="minorHAnsi" w:hAnsiTheme="minorHAnsi" w:cstheme="minorHAnsi"/>
          <w:sz w:val="22"/>
          <w:szCs w:val="22"/>
        </w:rPr>
        <w:t>Sans objet</w:t>
      </w:r>
    </w:p>
    <w:p w14:paraId="391AF406" w14:textId="2952F9C2" w:rsidR="00F61E7E" w:rsidRPr="0006068D" w:rsidRDefault="00F61E7E" w:rsidP="0006068D"/>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1" w:name="_Toc180418379"/>
      <w:bookmarkEnd w:id="24"/>
      <w:bookmarkEnd w:id="25"/>
      <w:bookmarkEnd w:id="26"/>
      <w:bookmarkEnd w:id="27"/>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1"/>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2" w:name="_Toc1804183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2"/>
    </w:p>
    <w:p w14:paraId="73F7C4C4" w14:textId="63E2EC93" w:rsidR="00DD0FD9" w:rsidRPr="00921E55" w:rsidRDefault="00DD0FD9" w:rsidP="0002779F">
      <w:pPr>
        <w:pStyle w:val="Standard"/>
      </w:pPr>
      <w:r w:rsidRPr="00921E55">
        <w:t>Une même personne ne peut représenter plus d'un candidat pour un même marché (article R. 2142-4 du code de la commande publique). Mais dans le cadre de la consult</w:t>
      </w:r>
      <w:r w:rsidR="00D15904">
        <w:t xml:space="preserve">ation, le pouvoir adjudicateur </w:t>
      </w:r>
      <w:r w:rsidRPr="00921E55">
        <w:t>n’autorise pas le candidat à présenter plusieurs offres en agissant à la fois :</w:t>
      </w:r>
    </w:p>
    <w:p w14:paraId="03447BCF" w14:textId="77777777" w:rsidR="00DD0FD9" w:rsidRPr="00921E55" w:rsidRDefault="00DD0FD9" w:rsidP="0002779F">
      <w:pPr>
        <w:pStyle w:val="Standard"/>
        <w:numPr>
          <w:ilvl w:val="0"/>
          <w:numId w:val="35"/>
        </w:numPr>
      </w:pPr>
      <w:r w:rsidRPr="00921E55">
        <w:t>en qualité de candidat individuel et de membre d'un ou plusieurs groupements d'opérateurs économiques;</w:t>
      </w:r>
    </w:p>
    <w:p w14:paraId="754E5730" w14:textId="77777777" w:rsidR="00DD0FD9" w:rsidRPr="00921E55" w:rsidRDefault="00DD0FD9" w:rsidP="0002779F">
      <w:pPr>
        <w:pStyle w:val="Standard"/>
        <w:numPr>
          <w:ilvl w:val="0"/>
          <w:numId w:val="35"/>
        </w:numPr>
      </w:pPr>
      <w:r w:rsidRPr="00921E55">
        <w:t>en qualité de membres de plusieurs groupements d'opérateurs économiques.</w:t>
      </w:r>
    </w:p>
    <w:p w14:paraId="5973C5F9" w14:textId="77777777" w:rsidR="00DD0FD9" w:rsidRPr="00921E55" w:rsidRDefault="00DD0FD9" w:rsidP="0002779F">
      <w:pPr>
        <w:pStyle w:val="Standard"/>
      </w:pPr>
    </w:p>
    <w:p w14:paraId="1341165C" w14:textId="66DFBAE1" w:rsidR="00DB5F36" w:rsidRPr="00E23E75" w:rsidRDefault="00DD0FD9" w:rsidP="0002779F">
      <w:pPr>
        <w:pStyle w:val="Standard"/>
        <w:rPr>
          <w:rFonts w:eastAsia="Times"/>
          <w:kern w:val="0"/>
          <w:lang w:eastAsia="fr-FR"/>
        </w:rPr>
      </w:pPr>
      <w:r w:rsidRPr="00921E55">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20B9E822" w:rsidR="00C810F9" w:rsidRDefault="00C810F9" w:rsidP="0002779F">
      <w:pPr>
        <w:pStyle w:val="Standard"/>
      </w:pPr>
    </w:p>
    <w:p w14:paraId="170B1B66" w14:textId="77777777" w:rsidR="00C329A6" w:rsidRPr="0006068D" w:rsidRDefault="00C329A6" w:rsidP="0002779F">
      <w:pPr>
        <w:pStyle w:val="Standard"/>
      </w:pPr>
    </w:p>
    <w:p w14:paraId="0E818944" w14:textId="2DBBB468"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3" w:name="_Toc180418381"/>
      <w:r w:rsidRPr="0006068D">
        <w:rPr>
          <w:rFonts w:asciiTheme="minorHAnsi" w:hAnsiTheme="minorHAnsi" w:cstheme="minorHAnsi"/>
          <w:sz w:val="22"/>
          <w:szCs w:val="22"/>
          <w:u w:val="single"/>
        </w:rPr>
        <w:lastRenderedPageBreak/>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3"/>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02779F">
      <w:pPr>
        <w:pStyle w:val="Standard"/>
      </w:pPr>
      <w:r w:rsidRPr="0006068D">
        <w:t xml:space="preserve">En application, notamment : </w:t>
      </w:r>
    </w:p>
    <w:p w14:paraId="03311E18" w14:textId="77777777" w:rsidR="00B84C4A" w:rsidRPr="0006068D" w:rsidRDefault="00B84C4A" w:rsidP="0002779F">
      <w:pPr>
        <w:pStyle w:val="Standard"/>
        <w:numPr>
          <w:ilvl w:val="0"/>
          <w:numId w:val="38"/>
        </w:numPr>
      </w:pPr>
      <w:r w:rsidRPr="0006068D">
        <w:t>de la loi n°2016-1691 du 9 décembre 2016 relative à la transparence, à la lutte contre la corruption et à la modernisation de la vie économique, dite loi « Sapin II »,</w:t>
      </w:r>
    </w:p>
    <w:p w14:paraId="0E5C43E2" w14:textId="77777777" w:rsidR="00B84C4A" w:rsidRPr="0006068D" w:rsidRDefault="00B84C4A" w:rsidP="0002779F">
      <w:pPr>
        <w:pStyle w:val="Standard"/>
        <w:numPr>
          <w:ilvl w:val="0"/>
          <w:numId w:val="38"/>
        </w:numPr>
      </w:pPr>
      <w:r w:rsidRPr="0006068D">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2779F">
      <w:pPr>
        <w:pStyle w:val="Standard"/>
        <w:numPr>
          <w:ilvl w:val="0"/>
          <w:numId w:val="38"/>
        </w:numPr>
      </w:pPr>
      <w:r w:rsidRPr="0006068D">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2779F">
      <w:pPr>
        <w:pStyle w:val="Standard"/>
      </w:pPr>
    </w:p>
    <w:p w14:paraId="19C06C33" w14:textId="30113CC1" w:rsidR="00D003D8" w:rsidRPr="0006068D" w:rsidRDefault="005D4593" w:rsidP="0002779F">
      <w:pPr>
        <w:pStyle w:val="Standard"/>
      </w:pPr>
      <w:r w:rsidRPr="0006068D">
        <w:t xml:space="preserve">Les candidats ou leur représentant se trouvant dans un des cas </w:t>
      </w:r>
      <w:r w:rsidR="004A2256" w:rsidRPr="0006068D">
        <w:t>énumérés aux articles</w:t>
      </w:r>
      <w:r w:rsidR="00474075" w:rsidRPr="0006068D">
        <w:t xml:space="preserve"> L.2141-1 à L.2141-10 </w:t>
      </w:r>
      <w:r w:rsidR="004A2256" w:rsidRPr="0006068D">
        <w:t>du code de la commande publique</w:t>
      </w:r>
      <w:r w:rsidR="00187DA0" w:rsidRPr="0006068D">
        <w:t xml:space="preserve">, ou qui figurent sur une liste d’exclusion </w:t>
      </w:r>
      <w:r w:rsidR="00B84C4A" w:rsidRPr="0006068D">
        <w:t>officielle</w:t>
      </w:r>
      <w:r w:rsidR="004A2256" w:rsidRPr="0006068D">
        <w:t xml:space="preserve"> </w:t>
      </w:r>
      <w:r w:rsidR="003E32DB" w:rsidRPr="0006068D">
        <w:t>sont exclu</w:t>
      </w:r>
      <w:r w:rsidRPr="0006068D">
        <w:t>s de la procédure</w:t>
      </w:r>
      <w:r w:rsidR="00B7709C" w:rsidRPr="0006068D">
        <w:t xml:space="preserve">, que leur situation soit révélée par leurs propres déclarations ou par la mise en œuvre </w:t>
      </w:r>
      <w:r w:rsidR="003E32DB" w:rsidRPr="0006068D">
        <w:t xml:space="preserve">des mesures de vigilance </w:t>
      </w:r>
      <w:r w:rsidR="00187DA0" w:rsidRPr="0006068D">
        <w:t>par l’autorité contractante</w:t>
      </w:r>
      <w:r w:rsidR="00B7709C" w:rsidRPr="0006068D">
        <w:t>.</w:t>
      </w:r>
    </w:p>
    <w:p w14:paraId="43A66929" w14:textId="77777777" w:rsidR="00C17896" w:rsidRPr="0006068D" w:rsidRDefault="00C17896" w:rsidP="0002779F">
      <w:pPr>
        <w:pStyle w:val="Standard"/>
      </w:pPr>
    </w:p>
    <w:p w14:paraId="06039189" w14:textId="365AE9FC" w:rsidR="00D003D8" w:rsidRPr="00E23E75" w:rsidRDefault="003E32DB" w:rsidP="0002779F">
      <w:pPr>
        <w:pStyle w:val="Standard"/>
      </w:pPr>
      <w:r w:rsidRPr="0006068D">
        <w:rPr>
          <w:rFonts w:eastAsia="Times"/>
          <w:kern w:val="0"/>
          <w:lang w:eastAsia="fr-FR" w:bidi="ar-SA"/>
        </w:rPr>
        <w:t>Toutefois, l</w:t>
      </w:r>
      <w:r w:rsidR="00D003D8" w:rsidRPr="0006068D">
        <w:rPr>
          <w:rFonts w:eastAsia="Times"/>
          <w:kern w:val="0"/>
          <w:lang w:eastAsia="fr-FR" w:bidi="ar-SA"/>
        </w:rPr>
        <w:t xml:space="preserve">orsque </w:t>
      </w:r>
      <w:r w:rsidRPr="0006068D">
        <w:rPr>
          <w:rFonts w:eastAsia="Times"/>
          <w:kern w:val="0"/>
          <w:lang w:eastAsia="fr-FR" w:bidi="ar-SA"/>
        </w:rPr>
        <w:t xml:space="preserve">la décision d’exclusion est laissée à l’appréciation de l’autorité contractante, </w:t>
      </w:r>
      <w:r w:rsidRPr="00E23E75">
        <w:t>celle-ci invite le</w:t>
      </w:r>
      <w:r w:rsidR="00EF4A88" w:rsidRPr="00E23E75">
        <w:t>(s)</w:t>
      </w:r>
      <w:r w:rsidRPr="0006068D">
        <w:t xml:space="preserve"> candidat</w:t>
      </w:r>
      <w:r w:rsidR="00EF4A88" w:rsidRPr="0006068D">
        <w:t>(s)</w:t>
      </w:r>
      <w:r w:rsidRPr="0006068D">
        <w:t xml:space="preserve"> susceptible</w:t>
      </w:r>
      <w:r w:rsidR="00EF4A88" w:rsidRPr="0006068D">
        <w:t>(s)</w:t>
      </w:r>
      <w:r w:rsidRPr="0006068D">
        <w:t xml:space="preserve"> d’être exclu</w:t>
      </w:r>
      <w:r w:rsidR="00EF4A88" w:rsidRPr="0006068D">
        <w:t>(s)</w:t>
      </w:r>
      <w:r w:rsidR="00D003D8" w:rsidRPr="0006068D">
        <w:t xml:space="preserve"> </w:t>
      </w:r>
      <w:r w:rsidR="00EF4A88" w:rsidRPr="0006068D">
        <w:t>à</w:t>
      </w:r>
      <w:r w:rsidR="00D003D8" w:rsidRPr="0006068D">
        <w:t xml:space="preserve"> présenter ses</w:t>
      </w:r>
      <w:r w:rsidR="00EF4A88" w:rsidRPr="0006068D">
        <w:t>(leurs)</w:t>
      </w:r>
      <w:r w:rsidR="00D003D8" w:rsidRPr="0006068D">
        <w:t xml:space="preserve"> observations afin d'établir dans un délai rais</w:t>
      </w:r>
      <w:r w:rsidR="00EF4A88" w:rsidRPr="0006068D">
        <w:t xml:space="preserve">onnable </w:t>
      </w:r>
      <w:r w:rsidR="002104E9" w:rsidRPr="0006068D">
        <w:t xml:space="preserve">n’excédant pas 10 jours, </w:t>
      </w:r>
      <w:r w:rsidR="00EF4A88" w:rsidRPr="0006068D">
        <w:t>et par tout moyen</w:t>
      </w:r>
      <w:r w:rsidR="001302BD" w:rsidRPr="0006068D">
        <w:t>,</w:t>
      </w:r>
      <w:r w:rsidR="00EF4A88" w:rsidRPr="0006068D">
        <w:t xml:space="preserve"> que </w:t>
      </w:r>
      <w:r w:rsidR="00D003D8" w:rsidRPr="0006068D">
        <w:t xml:space="preserve">les mesures nécessaires pour corriger les manquements </w:t>
      </w:r>
      <w:r w:rsidR="00EF4A88" w:rsidRPr="0006068D">
        <w:t>à l’origine de l’exclusion</w:t>
      </w:r>
      <w:r w:rsidR="00CF286F" w:rsidRPr="0006068D">
        <w:t xml:space="preserve"> ont été prises</w:t>
      </w:r>
      <w:r w:rsidR="00D003D8" w:rsidRPr="0006068D">
        <w:t xml:space="preserve"> et, le cas échéant, que sa</w:t>
      </w:r>
      <w:r w:rsidR="00CF286F" w:rsidRPr="0006068D">
        <w:t>(leur)</w:t>
      </w:r>
      <w:r w:rsidR="00D003D8" w:rsidRPr="0006068D">
        <w:t xml:space="preserve"> participation à la </w:t>
      </w:r>
      <w:r w:rsidR="00CF286F" w:rsidRPr="0006068D">
        <w:t xml:space="preserve">consultation </w:t>
      </w:r>
      <w:r w:rsidR="00D003D8" w:rsidRPr="0006068D">
        <w:t xml:space="preserve">n'est pas susceptible de porter atteinte à l'égalité de </w:t>
      </w:r>
      <w:r w:rsidR="00D003D8" w:rsidRPr="0006068D">
        <w:rPr>
          <w:rFonts w:eastAsia="Times"/>
          <w:kern w:val="0"/>
          <w:lang w:eastAsia="fr-FR" w:bidi="ar-SA"/>
        </w:rPr>
        <w:t>traitement.</w:t>
      </w:r>
    </w:p>
    <w:p w14:paraId="5EA27560" w14:textId="77777777" w:rsidR="00B7709C" w:rsidRPr="0006068D" w:rsidRDefault="00B7709C" w:rsidP="0002779F">
      <w:pPr>
        <w:pStyle w:val="Standard"/>
      </w:pPr>
    </w:p>
    <w:p w14:paraId="70770D49" w14:textId="00E65D29" w:rsidR="00C810F9" w:rsidRPr="00E23E75" w:rsidRDefault="005D4593" w:rsidP="0002779F">
      <w:pPr>
        <w:pStyle w:val="Standard"/>
      </w:pPr>
      <w:r w:rsidRPr="0006068D">
        <w:t>Lorsqu'un opérateur économique se trouve, en cours de procédure, en situation d'exclusion, il en informe sans délai le pouvoir adjudicateur qui l'exclut pour ce motif.</w:t>
      </w:r>
    </w:p>
    <w:p w14:paraId="5C16BEA5" w14:textId="29252F26" w:rsidR="0002779F" w:rsidRPr="0002779F" w:rsidRDefault="0002779F" w:rsidP="00B71AB0">
      <w:pPr>
        <w:pStyle w:val="Standard"/>
        <w:ind w:left="0"/>
      </w:pPr>
    </w:p>
    <w:p w14:paraId="05C8477C" w14:textId="23C354C9" w:rsidR="004C6134" w:rsidRPr="00AB47E6" w:rsidRDefault="002F2416" w:rsidP="00AB47E6">
      <w:pPr>
        <w:pStyle w:val="Titre2"/>
        <w:spacing w:before="120" w:after="120" w:line="240" w:lineRule="auto"/>
        <w:jc w:val="both"/>
        <w:rPr>
          <w:rFonts w:asciiTheme="minorHAnsi" w:hAnsiTheme="minorHAnsi" w:cstheme="minorHAnsi"/>
          <w:sz w:val="22"/>
          <w:szCs w:val="22"/>
          <w:u w:val="single"/>
        </w:rPr>
      </w:pPr>
      <w:bookmarkStart w:id="34" w:name="__RefHeading__47578_1391709442"/>
      <w:bookmarkStart w:id="35" w:name="_Toc55543747"/>
      <w:bookmarkStart w:id="36" w:name="_Toc55543797"/>
      <w:bookmarkStart w:id="37" w:name="_Toc180418382"/>
      <w:r w:rsidRPr="0006068D">
        <w:rPr>
          <w:rFonts w:asciiTheme="minorHAnsi" w:hAnsiTheme="minorHAnsi" w:cstheme="minorHAnsi"/>
          <w:sz w:val="22"/>
          <w:szCs w:val="22"/>
          <w:u w:val="single"/>
        </w:rPr>
        <w:t>Précisions concernant les groupements d'opérateurs économiques</w:t>
      </w:r>
      <w:bookmarkEnd w:id="34"/>
      <w:bookmarkEnd w:id="35"/>
      <w:bookmarkEnd w:id="36"/>
      <w:r w:rsidR="00127407" w:rsidRPr="0006068D">
        <w:rPr>
          <w:rFonts w:asciiTheme="minorHAnsi" w:hAnsiTheme="minorHAnsi" w:cstheme="minorHAnsi"/>
          <w:sz w:val="22"/>
          <w:szCs w:val="22"/>
          <w:u w:val="single"/>
        </w:rPr>
        <w:t xml:space="preserve"> (consortium)</w:t>
      </w:r>
      <w:bookmarkEnd w:id="37"/>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38" w:name="_Toc55543798"/>
      <w:bookmarkStart w:id="39" w:name="_Toc180418383"/>
      <w:r w:rsidRPr="0006068D">
        <w:rPr>
          <w:rFonts w:asciiTheme="minorHAnsi" w:hAnsiTheme="minorHAnsi" w:cstheme="minorHAnsi"/>
          <w:i/>
          <w:sz w:val="22"/>
          <w:szCs w:val="22"/>
        </w:rPr>
        <w:t>Motifs d'exclusion en cas de groupement d'opérateurs économiques</w:t>
      </w:r>
      <w:bookmarkEnd w:id="38"/>
      <w:bookmarkEnd w:id="39"/>
    </w:p>
    <w:p w14:paraId="55422F18" w14:textId="04677305" w:rsidR="002F2416" w:rsidRPr="0006068D" w:rsidRDefault="002F2416" w:rsidP="0002779F">
      <w:pPr>
        <w:pStyle w:val="Standard"/>
      </w:pPr>
      <w:r w:rsidRPr="00E23E75">
        <w:t xml:space="preserve">Lorsque le motif d'exclusion de la procédure de passation concerne un des membres du groupement, </w:t>
      </w:r>
      <w:r w:rsidRPr="0006068D">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45AD06F5"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0" w:name="_Toc55543800"/>
      <w:bookmarkStart w:id="41" w:name="_Toc180418384"/>
      <w:r w:rsidRPr="0006068D">
        <w:rPr>
          <w:rFonts w:asciiTheme="minorHAnsi" w:hAnsiTheme="minorHAnsi" w:cstheme="minorHAnsi"/>
          <w:i/>
          <w:sz w:val="22"/>
          <w:szCs w:val="22"/>
        </w:rPr>
        <w:t>Forme du groupement</w:t>
      </w:r>
      <w:bookmarkEnd w:id="40"/>
      <w:bookmarkEnd w:id="41"/>
    </w:p>
    <w:p w14:paraId="364B8863" w14:textId="0E589D27" w:rsidR="00127407" w:rsidRPr="0006068D" w:rsidRDefault="00127407" w:rsidP="0002779F">
      <w:pPr>
        <w:pStyle w:val="Standard"/>
      </w:pPr>
      <w:r w:rsidRPr="0006068D">
        <w:t>La forme du groupement est solidaire</w:t>
      </w:r>
      <w:r w:rsidR="00EC10C1" w:rsidRPr="0006068D">
        <w:t>.</w:t>
      </w:r>
    </w:p>
    <w:p w14:paraId="537FED1F" w14:textId="5128A599"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2" w:name="__RefHeading__47580_1391709442"/>
      <w:bookmarkStart w:id="43" w:name="_Toc55543748"/>
      <w:bookmarkStart w:id="44" w:name="_Toc55543801"/>
      <w:bookmarkStart w:id="45" w:name="_Toc180418385"/>
      <w:r w:rsidRPr="0006068D">
        <w:rPr>
          <w:rFonts w:asciiTheme="minorHAnsi" w:hAnsiTheme="minorHAnsi" w:cstheme="minorHAnsi"/>
          <w:sz w:val="22"/>
          <w:szCs w:val="22"/>
          <w:u w:val="single"/>
        </w:rPr>
        <w:t>Précisions concernant la sous-traitance</w:t>
      </w:r>
      <w:bookmarkEnd w:id="42"/>
      <w:bookmarkEnd w:id="43"/>
      <w:bookmarkEnd w:id="44"/>
      <w:bookmarkEnd w:id="45"/>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46" w:name="_Toc55543802"/>
      <w:bookmarkStart w:id="47" w:name="_Toc180418386"/>
      <w:r w:rsidRPr="0006068D">
        <w:rPr>
          <w:rFonts w:asciiTheme="minorHAnsi" w:hAnsiTheme="minorHAnsi" w:cstheme="minorHAnsi"/>
          <w:i/>
          <w:sz w:val="22"/>
          <w:szCs w:val="22"/>
        </w:rPr>
        <w:t>Motifs d'exclusion en cas de sous-traitance</w:t>
      </w:r>
      <w:bookmarkEnd w:id="46"/>
      <w:bookmarkEnd w:id="47"/>
    </w:p>
    <w:p w14:paraId="5CE0F86D" w14:textId="77777777" w:rsidR="002F2416" w:rsidRPr="00E23E75" w:rsidRDefault="002F2416" w:rsidP="0002779F">
      <w:pPr>
        <w:pStyle w:val="Standard"/>
      </w:pPr>
      <w:r w:rsidRPr="00E23E75">
        <w:t>Les personnes à l'encontre desquelles il existe un motif d'exclusion ne peuvent être acceptées en tant que sous-traitant.</w:t>
      </w:r>
    </w:p>
    <w:p w14:paraId="3DA7634F" w14:textId="77777777" w:rsidR="002F2416" w:rsidRPr="0006068D" w:rsidRDefault="002F2416" w:rsidP="0002779F">
      <w:pPr>
        <w:pStyle w:val="Standard"/>
      </w:pPr>
      <w:r w:rsidRPr="0006068D">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48" w:name="_Toc55543803"/>
      <w:bookmarkStart w:id="49" w:name="_Toc180418387"/>
      <w:r w:rsidRPr="0006068D">
        <w:rPr>
          <w:rFonts w:asciiTheme="minorHAnsi" w:hAnsiTheme="minorHAnsi" w:cstheme="minorHAnsi"/>
          <w:i/>
          <w:sz w:val="22"/>
          <w:szCs w:val="22"/>
        </w:rPr>
        <w:t>Présentation d’un sous-traitant</w:t>
      </w:r>
      <w:bookmarkEnd w:id="48"/>
      <w:bookmarkEnd w:id="49"/>
    </w:p>
    <w:p w14:paraId="2675AC38" w14:textId="4044A137" w:rsidR="002F2416" w:rsidRPr="0006068D" w:rsidRDefault="002F2416" w:rsidP="0002779F">
      <w:pPr>
        <w:pStyle w:val="Standard"/>
      </w:pPr>
      <w:r w:rsidRPr="00E23E75">
        <w:t>La présentation d'un sous-traitant se fait à l'aide de l'imprimé DC 4 (Déclaration de sous-traitance)</w:t>
      </w:r>
      <w:r w:rsidR="00315565" w:rsidRPr="0006068D">
        <w:rPr>
          <w:rStyle w:val="Appelnotedebasdep"/>
          <w:rFonts w:asciiTheme="minorHAnsi" w:hAnsiTheme="minorHAnsi" w:cstheme="minorHAnsi"/>
          <w:bCs/>
          <w:iCs/>
          <w:lang w:bidi="ar-SA"/>
        </w:rPr>
        <w:footnoteReference w:id="1"/>
      </w:r>
      <w:r w:rsidRPr="00E23E75">
        <w:t xml:space="preserve"> dûment rempli par le</w:t>
      </w:r>
      <w:r w:rsidRPr="0006068D">
        <w:t xml:space="preserve"> sous-traitant et le candidat, comportant l'indication des capacités professionnelles, </w:t>
      </w:r>
      <w:r w:rsidRPr="0006068D">
        <w:lastRenderedPageBreak/>
        <w:t xml:space="preserve">techniques et financières du sous-traitant ainsi que la déclaration sur l'honneur que le sous-traitant ne se trouve pas sous le coup d'une interdiction d'accéder aux marchés publics. </w:t>
      </w:r>
    </w:p>
    <w:p w14:paraId="1A7BA67C" w14:textId="77777777" w:rsidR="002F2416" w:rsidRDefault="002F2416" w:rsidP="0002779F">
      <w:pPr>
        <w:pStyle w:val="Standard"/>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0" w:name="_Toc56722965"/>
      <w:bookmarkStart w:id="51" w:name="_Toc56789984"/>
      <w:bookmarkStart w:id="52" w:name="_Toc56790441"/>
      <w:bookmarkStart w:id="53" w:name="_Toc63419888"/>
      <w:bookmarkStart w:id="54" w:name="_Toc180418388"/>
      <w:bookmarkEnd w:id="50"/>
      <w:bookmarkEnd w:id="51"/>
      <w:bookmarkEnd w:id="52"/>
      <w:bookmarkEnd w:id="53"/>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54"/>
    </w:p>
    <w:p w14:paraId="04029397" w14:textId="4CC31177" w:rsidR="00E93FA3" w:rsidRPr="0006068D" w:rsidRDefault="003405CD">
      <w:pPr>
        <w:pStyle w:val="v"/>
        <w:widowControl w:val="0"/>
        <w:ind w:left="0" w:firstLine="0"/>
        <w:rPr>
          <w:rFonts w:asciiTheme="minorHAnsi" w:hAnsiTheme="minorHAnsi" w:cstheme="minorHAnsi"/>
          <w:szCs w:val="22"/>
        </w:rPr>
      </w:pPr>
      <w:bookmarkStart w:id="55" w:name="_Toc417653428"/>
      <w:bookmarkStart w:id="56" w:name="_Toc419212444"/>
      <w:bookmarkStart w:id="57" w:name="_Toc443657778"/>
      <w:bookmarkStart w:id="58"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59" w:name="_Toc452049149"/>
      <w:bookmarkStart w:id="60" w:name="_Toc455587889"/>
      <w:bookmarkStart w:id="61" w:name="_Toc455679215"/>
      <w:bookmarkStart w:id="62" w:name="_Toc455768072"/>
      <w:bookmarkStart w:id="63" w:name="_Toc180418389"/>
      <w:bookmarkEnd w:id="55"/>
      <w:bookmarkEnd w:id="56"/>
      <w:bookmarkEnd w:id="57"/>
      <w:bookmarkEnd w:id="58"/>
      <w:r w:rsidRPr="00384E6F">
        <w:rPr>
          <w:rFonts w:asciiTheme="minorHAnsi" w:hAnsiTheme="minorHAnsi" w:cstheme="minorHAnsi"/>
          <w:sz w:val="22"/>
          <w:szCs w:val="22"/>
          <w:u w:val="single"/>
        </w:rPr>
        <w:t xml:space="preserve">Pièces constitutives de </w:t>
      </w:r>
      <w:bookmarkEnd w:id="59"/>
      <w:bookmarkEnd w:id="60"/>
      <w:bookmarkEnd w:id="61"/>
      <w:bookmarkEnd w:id="62"/>
      <w:r w:rsidRPr="00384E6F">
        <w:rPr>
          <w:rFonts w:asciiTheme="minorHAnsi" w:hAnsiTheme="minorHAnsi" w:cstheme="minorHAnsi"/>
          <w:sz w:val="22"/>
          <w:szCs w:val="22"/>
          <w:u w:val="single"/>
        </w:rPr>
        <w:t>la candidature</w:t>
      </w:r>
      <w:bookmarkEnd w:id="63"/>
    </w:p>
    <w:p w14:paraId="25807D05" w14:textId="30B3E2D3" w:rsidR="00CF5C72" w:rsidRPr="007405AC" w:rsidRDefault="00A2297A" w:rsidP="00CF5C72">
      <w:pPr>
        <w:suppressAutoHyphens/>
        <w:spacing w:line="240" w:lineRule="auto"/>
        <w:jc w:val="both"/>
        <w:rPr>
          <w:rFonts w:asciiTheme="minorHAnsi" w:hAnsiTheme="minorHAnsi" w:cstheme="minorHAnsi"/>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r w:rsidR="00CF5C72" w:rsidRPr="00CF5C72">
        <w:rPr>
          <w:rFonts w:asciiTheme="minorHAnsi" w:hAnsiTheme="minorHAnsi" w:cstheme="minorHAnsi"/>
        </w:rPr>
        <w:t xml:space="preserve"> </w:t>
      </w:r>
    </w:p>
    <w:p w14:paraId="4D48F05F" w14:textId="3039842E" w:rsidR="00CF5C72" w:rsidRPr="00CF5C72" w:rsidRDefault="00CF5C72" w:rsidP="00CF5C72">
      <w:pPr>
        <w:pStyle w:val="Paragraphedeliste"/>
        <w:widowControl w:val="0"/>
        <w:numPr>
          <w:ilvl w:val="0"/>
          <w:numId w:val="43"/>
        </w:numPr>
        <w:suppressAutoHyphens/>
        <w:autoSpaceDE w:val="0"/>
        <w:autoSpaceDN w:val="0"/>
        <w:spacing w:before="98" w:line="240" w:lineRule="auto"/>
        <w:ind w:right="270"/>
        <w:jc w:val="both"/>
        <w:rPr>
          <w:rFonts w:asciiTheme="minorHAnsi" w:eastAsia="Times New Roman" w:hAnsiTheme="minorHAnsi" w:cstheme="minorHAnsi"/>
          <w:color w:val="000000"/>
          <w:sz w:val="22"/>
          <w:szCs w:val="22"/>
        </w:rPr>
      </w:pPr>
      <w:r w:rsidRPr="00CF5C72">
        <w:rPr>
          <w:rFonts w:asciiTheme="minorHAnsi" w:hAnsiTheme="minorHAnsi" w:cstheme="minorBidi"/>
          <w:sz w:val="22"/>
          <w:szCs w:val="22"/>
        </w:rPr>
        <w:t>Une copie du Numéro d’Identification Fiscal (NIF) ;</w:t>
      </w:r>
    </w:p>
    <w:p w14:paraId="023A5843" w14:textId="77777777" w:rsidR="00CF5C72" w:rsidRPr="00CF5C72" w:rsidRDefault="00CF5C72" w:rsidP="00CF5C72">
      <w:pPr>
        <w:pStyle w:val="Paragraphedeliste"/>
        <w:widowControl w:val="0"/>
        <w:numPr>
          <w:ilvl w:val="0"/>
          <w:numId w:val="43"/>
        </w:numPr>
        <w:suppressAutoHyphens/>
        <w:autoSpaceDE w:val="0"/>
        <w:autoSpaceDN w:val="0"/>
        <w:spacing w:before="98" w:line="240" w:lineRule="auto"/>
        <w:ind w:right="270"/>
        <w:jc w:val="both"/>
        <w:rPr>
          <w:rFonts w:asciiTheme="minorHAnsi" w:eastAsia="Times New Roman" w:hAnsiTheme="minorHAnsi" w:cstheme="minorHAnsi"/>
          <w:color w:val="000000"/>
          <w:sz w:val="22"/>
          <w:szCs w:val="22"/>
        </w:rPr>
      </w:pPr>
      <w:r w:rsidRPr="00CF5C72">
        <w:rPr>
          <w:rFonts w:asciiTheme="minorHAnsi" w:hAnsiTheme="minorHAnsi" w:cstheme="minorHAnsi"/>
          <w:sz w:val="22"/>
          <w:szCs w:val="22"/>
        </w:rPr>
        <w:t>Une preuve de l’enregistrement du candidat au registre de commerce ;</w:t>
      </w:r>
    </w:p>
    <w:p w14:paraId="1358BD76" w14:textId="77777777" w:rsidR="00CF5C72" w:rsidRPr="00CF5C72" w:rsidRDefault="00CF5C72" w:rsidP="00CF5C72">
      <w:pPr>
        <w:pStyle w:val="Paragraphedeliste"/>
        <w:numPr>
          <w:ilvl w:val="0"/>
          <w:numId w:val="43"/>
        </w:numPr>
        <w:suppressAutoHyphens/>
        <w:spacing w:line="240" w:lineRule="auto"/>
        <w:jc w:val="both"/>
        <w:rPr>
          <w:rFonts w:asciiTheme="minorHAnsi" w:eastAsia="Times New Roman" w:hAnsiTheme="minorHAnsi" w:cstheme="minorHAnsi"/>
          <w:color w:val="000000"/>
          <w:sz w:val="22"/>
          <w:szCs w:val="22"/>
        </w:rPr>
      </w:pPr>
      <w:r w:rsidRPr="00CF5C72">
        <w:rPr>
          <w:rFonts w:asciiTheme="minorHAnsi" w:eastAsia="Times New Roman" w:hAnsiTheme="minorHAnsi" w:cstheme="minorHAnsi"/>
          <w:color w:val="000000"/>
          <w:sz w:val="22"/>
          <w:szCs w:val="22"/>
        </w:rPr>
        <w:t>Attestation de paiement des cotisations CNSS ou équivalent ;</w:t>
      </w:r>
    </w:p>
    <w:p w14:paraId="4E691768" w14:textId="77777777" w:rsidR="00CF5C72" w:rsidRPr="00CF5C72" w:rsidRDefault="00CF5C72" w:rsidP="00CF5C72">
      <w:pPr>
        <w:pStyle w:val="Paragraphedeliste"/>
        <w:numPr>
          <w:ilvl w:val="0"/>
          <w:numId w:val="43"/>
        </w:numPr>
        <w:suppressAutoHyphens/>
        <w:spacing w:line="240" w:lineRule="auto"/>
        <w:jc w:val="both"/>
        <w:rPr>
          <w:rFonts w:asciiTheme="minorHAnsi" w:eastAsia="Times New Roman" w:hAnsiTheme="minorHAnsi" w:cstheme="minorHAnsi"/>
          <w:color w:val="000000"/>
          <w:sz w:val="22"/>
          <w:szCs w:val="22"/>
        </w:rPr>
      </w:pPr>
      <w:r w:rsidRPr="00CF5C72">
        <w:rPr>
          <w:rFonts w:asciiTheme="minorHAnsi" w:eastAsia="Times New Roman" w:hAnsiTheme="minorHAnsi" w:cstheme="minorHAnsi"/>
          <w:color w:val="000000"/>
          <w:sz w:val="22"/>
          <w:szCs w:val="22"/>
        </w:rPr>
        <w:t>Attestation de paiement des impôts ;</w:t>
      </w:r>
    </w:p>
    <w:p w14:paraId="04A26FC7" w14:textId="1828EBB8" w:rsidR="00A2297A" w:rsidRPr="00CF5C72" w:rsidRDefault="00A2297A" w:rsidP="00CF5C72">
      <w:pPr>
        <w:pStyle w:val="Paragraphedeliste"/>
        <w:numPr>
          <w:ilvl w:val="0"/>
          <w:numId w:val="43"/>
        </w:numPr>
        <w:spacing w:line="240" w:lineRule="auto"/>
        <w:jc w:val="both"/>
        <w:rPr>
          <w:rFonts w:asciiTheme="minorHAnsi" w:hAnsiTheme="minorHAnsi" w:cstheme="minorHAnsi"/>
          <w:sz w:val="22"/>
          <w:szCs w:val="22"/>
        </w:rPr>
      </w:pPr>
      <w:r w:rsidRPr="00CF5C72">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sidR="00CF5C72">
        <w:rPr>
          <w:rFonts w:asciiTheme="minorHAnsi" w:hAnsiTheme="minorHAnsi" w:cstheme="minorHAnsi"/>
          <w:sz w:val="22"/>
          <w:szCs w:val="22"/>
        </w:rPr>
        <w:t xml:space="preserve"> (fourni)</w:t>
      </w:r>
      <w:r w:rsidRPr="00CF5C72">
        <w:rPr>
          <w:rFonts w:asciiTheme="minorHAnsi" w:hAnsiTheme="minorHAnsi" w:cstheme="minorHAnsi"/>
          <w:sz w:val="22"/>
          <w:szCs w:val="22"/>
        </w:rPr>
        <w:t> ;</w:t>
      </w:r>
    </w:p>
    <w:p w14:paraId="6A6BD901" w14:textId="77777777" w:rsidR="00782122" w:rsidRDefault="00A2297A" w:rsidP="00782122">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79D5138B" w14:textId="599D740D" w:rsidR="00782122" w:rsidRPr="007E680C" w:rsidRDefault="00782122" w:rsidP="00782122">
      <w:pPr>
        <w:pStyle w:val="Default"/>
        <w:numPr>
          <w:ilvl w:val="0"/>
          <w:numId w:val="18"/>
        </w:numPr>
        <w:jc w:val="both"/>
        <w:rPr>
          <w:rFonts w:asciiTheme="minorHAnsi" w:hAnsiTheme="minorHAnsi" w:cstheme="minorHAnsi"/>
          <w:sz w:val="22"/>
          <w:szCs w:val="22"/>
        </w:rPr>
      </w:pPr>
      <w:r w:rsidRPr="007E680C">
        <w:rPr>
          <w:rFonts w:asciiTheme="minorHAnsi" w:eastAsia="Times" w:hAnsiTheme="minorHAnsi" w:cstheme="minorHAnsi"/>
          <w:color w:val="auto"/>
          <w:sz w:val="22"/>
          <w:szCs w:val="22"/>
        </w:rPr>
        <w:t xml:space="preserve">Un dossier </w:t>
      </w:r>
      <w:r w:rsidR="007E680C" w:rsidRPr="007E680C">
        <w:rPr>
          <w:rFonts w:asciiTheme="minorHAnsi" w:eastAsia="Times" w:hAnsiTheme="minorHAnsi" w:cstheme="minorHAnsi"/>
          <w:color w:val="auto"/>
          <w:sz w:val="22"/>
          <w:szCs w:val="22"/>
        </w:rPr>
        <w:t>démontrant la capacité,</w:t>
      </w:r>
      <w:r w:rsidRPr="007E680C">
        <w:rPr>
          <w:rFonts w:asciiTheme="minorHAnsi" w:eastAsia="Times" w:hAnsiTheme="minorHAnsi" w:cstheme="minorHAnsi"/>
          <w:color w:val="auto"/>
          <w:sz w:val="22"/>
          <w:szCs w:val="22"/>
        </w:rPr>
        <w:t xml:space="preserve"> </w:t>
      </w:r>
      <w:r w:rsidR="007E680C" w:rsidRPr="007E680C">
        <w:rPr>
          <w:rFonts w:asciiTheme="minorHAnsi" w:hAnsiTheme="minorHAnsi" w:cstheme="minorHAnsi"/>
          <w:sz w:val="22"/>
          <w:szCs w:val="22"/>
        </w:rPr>
        <w:t>tant du point de vue économique et financier que du point de vue technique, de mener à bien le présent marché public</w:t>
      </w:r>
      <w:r w:rsidRPr="007E680C">
        <w:rPr>
          <w:rFonts w:asciiTheme="minorHAnsi" w:eastAsia="Times" w:hAnsiTheme="minorHAnsi" w:cstheme="minorHAnsi"/>
          <w:color w:val="auto"/>
          <w:sz w:val="22"/>
          <w:szCs w:val="22"/>
        </w:rPr>
        <w:t> :</w:t>
      </w:r>
    </w:p>
    <w:p w14:paraId="1BFB5399" w14:textId="1D646345" w:rsidR="00782122" w:rsidRPr="007E680C" w:rsidRDefault="007E680C" w:rsidP="007E680C">
      <w:pPr>
        <w:pStyle w:val="Default"/>
        <w:numPr>
          <w:ilvl w:val="1"/>
          <w:numId w:val="18"/>
        </w:numPr>
        <w:jc w:val="both"/>
        <w:rPr>
          <w:rFonts w:asciiTheme="minorHAnsi" w:eastAsia="Times" w:hAnsiTheme="minorHAnsi" w:cstheme="minorHAnsi"/>
          <w:color w:val="auto"/>
          <w:sz w:val="22"/>
          <w:szCs w:val="22"/>
        </w:rPr>
      </w:pPr>
      <w:r w:rsidRPr="007E680C">
        <w:rPr>
          <w:rFonts w:asciiTheme="minorHAnsi" w:hAnsiTheme="minorHAnsi" w:cstheme="minorHAnsi"/>
          <w:sz w:val="22"/>
          <w:szCs w:val="22"/>
        </w:rPr>
        <w:t>Le soumissionnaire doit disposer des références suivantes de livraisons, qui ont été effectuées au cours des trois dernières années. Tout soumissionnaire qui postule doit avoir réaliser une référence pertinente de marché similaire d’un montant de 35 000 euros exécuté au cours des trois dernières années. (</w:t>
      </w:r>
      <w:r w:rsidRPr="007E680C">
        <w:rPr>
          <w:rFonts w:asciiTheme="minorHAnsi" w:hAnsiTheme="minorHAnsi" w:cstheme="minorHAnsi"/>
          <w:b/>
          <w:sz w:val="22"/>
          <w:szCs w:val="22"/>
        </w:rPr>
        <w:t>Joindre Contrat et PV de livraison</w:t>
      </w:r>
      <w:r w:rsidRPr="007E680C">
        <w:rPr>
          <w:rFonts w:asciiTheme="minorHAnsi" w:hAnsiTheme="minorHAnsi" w:cstheme="minorHAnsi"/>
          <w:sz w:val="22"/>
          <w:szCs w:val="22"/>
        </w:rPr>
        <w:t>)</w:t>
      </w:r>
    </w:p>
    <w:p w14:paraId="327107E4" w14:textId="093DE066" w:rsidR="007E680C" w:rsidRPr="007E680C" w:rsidRDefault="007E680C" w:rsidP="007E680C">
      <w:pPr>
        <w:pStyle w:val="Default"/>
        <w:numPr>
          <w:ilvl w:val="1"/>
          <w:numId w:val="18"/>
        </w:numPr>
        <w:suppressAutoHyphens/>
        <w:autoSpaceDE/>
        <w:autoSpaceDN/>
        <w:adjustRightInd/>
        <w:jc w:val="both"/>
      </w:pPr>
      <w:r w:rsidRPr="007E680C">
        <w:rPr>
          <w:rFonts w:asciiTheme="minorHAnsi" w:hAnsiTheme="minorHAnsi" w:cstheme="minorHAnsi"/>
          <w:sz w:val="22"/>
          <w:szCs w:val="22"/>
        </w:rPr>
        <w:t>Chiffre d’affaires</w:t>
      </w:r>
      <w:r>
        <w:rPr>
          <w:rFonts w:asciiTheme="minorHAnsi" w:hAnsiTheme="minorHAnsi" w:cstheme="minorHAnsi"/>
          <w:sz w:val="22"/>
          <w:szCs w:val="22"/>
        </w:rPr>
        <w:t xml:space="preserve"> : </w:t>
      </w:r>
      <w:r w:rsidRPr="007E680C">
        <w:rPr>
          <w:rFonts w:asciiTheme="minorHAnsi" w:hAnsiTheme="minorHAnsi" w:cstheme="minorHAnsi"/>
          <w:sz w:val="22"/>
          <w:szCs w:val="22"/>
        </w:rPr>
        <w:t>Tout soumissionnaire doit avoir réalisé un chiffre d’affaires moyen annuel certifié par les services des impôts de 70 000 euros au cours des trois derniers exercices clos (2022, 2021 et 2020) ; (</w:t>
      </w:r>
      <w:r w:rsidRPr="007E680C">
        <w:rPr>
          <w:rFonts w:asciiTheme="minorHAnsi" w:hAnsiTheme="minorHAnsi" w:cstheme="minorHAnsi"/>
          <w:b/>
          <w:sz w:val="22"/>
          <w:szCs w:val="22"/>
        </w:rPr>
        <w:t>joindre attestation de certification du bilan et les états financiers</w:t>
      </w:r>
      <w:r w:rsidRPr="007E680C">
        <w:rPr>
          <w:rFonts w:asciiTheme="minorHAnsi" w:hAnsiTheme="minorHAnsi" w:cstheme="minorHAnsi"/>
          <w:sz w:val="22"/>
          <w:szCs w:val="22"/>
        </w:rPr>
        <w:t>)</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64" w:name="_Toc180418390"/>
      <w:r w:rsidRPr="00BB7942">
        <w:rPr>
          <w:rFonts w:asciiTheme="minorHAnsi" w:hAnsiTheme="minorHAnsi" w:cstheme="minorHAnsi"/>
          <w:sz w:val="22"/>
          <w:szCs w:val="22"/>
          <w:u w:val="single"/>
        </w:rPr>
        <w:t>Pièces constitutives de l’offre</w:t>
      </w:r>
      <w:bookmarkEnd w:id="64"/>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1693F141" w14:textId="11FAA3E5" w:rsidR="00A2297A" w:rsidRPr="00E23E75" w:rsidRDefault="00A2297A" w:rsidP="00A2297A">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 xml:space="preserve">Le </w:t>
      </w:r>
      <w:r w:rsidRPr="0025761B">
        <w:rPr>
          <w:rFonts w:asciiTheme="minorHAnsi" w:hAnsiTheme="minorHAnsi" w:cstheme="minorHAnsi"/>
          <w:b/>
          <w:bCs/>
          <w:sz w:val="22"/>
          <w:szCs w:val="22"/>
          <w:u w:val="single"/>
        </w:rPr>
        <w:t>projet de contrat</w:t>
      </w:r>
      <w:r w:rsidRPr="00BB7942">
        <w:rPr>
          <w:rFonts w:asciiTheme="minorHAnsi" w:hAnsiTheme="minorHAnsi" w:cstheme="minorHAnsi"/>
          <w:sz w:val="22"/>
          <w:szCs w:val="22"/>
        </w:rPr>
        <w:t xml:space="preserve"> </w:t>
      </w:r>
      <w:r w:rsidRPr="00E23E75">
        <w:rPr>
          <w:rFonts w:asciiTheme="minorHAnsi" w:eastAsia="Times" w:hAnsiTheme="minorHAnsi" w:cstheme="minorHAnsi"/>
          <w:color w:val="auto"/>
          <w:sz w:val="22"/>
          <w:szCs w:val="22"/>
        </w:rPr>
        <w:t>dûment renseigné, daté et signé</w:t>
      </w:r>
      <w:r w:rsidR="00A962E1">
        <w:rPr>
          <w:rFonts w:asciiTheme="minorHAnsi" w:eastAsia="Times" w:hAnsiTheme="minorHAnsi" w:cstheme="minorHAnsi"/>
          <w:color w:val="auto"/>
          <w:sz w:val="22"/>
          <w:szCs w:val="22"/>
        </w:rPr>
        <w:t xml:space="preserve"> </w:t>
      </w:r>
      <w:r w:rsidRPr="00E23E75">
        <w:rPr>
          <w:rFonts w:asciiTheme="minorHAnsi" w:eastAsia="Times" w:hAnsiTheme="minorHAnsi" w:cstheme="minorHAnsi"/>
          <w:color w:val="auto"/>
          <w:sz w:val="22"/>
          <w:szCs w:val="22"/>
        </w:rPr>
        <w:t xml:space="preserve">: </w:t>
      </w:r>
    </w:p>
    <w:p w14:paraId="07FBB693" w14:textId="26DE2550" w:rsidR="00A2297A" w:rsidRPr="00A962E1" w:rsidRDefault="00A2297A" w:rsidP="00A962E1">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Le </w:t>
      </w:r>
      <w:r w:rsidRPr="0025761B">
        <w:rPr>
          <w:rFonts w:asciiTheme="minorHAnsi" w:eastAsia="Times" w:hAnsiTheme="minorHAnsi" w:cstheme="minorHAnsi"/>
          <w:b/>
          <w:bCs/>
          <w:color w:val="auto"/>
          <w:sz w:val="22"/>
          <w:szCs w:val="22"/>
          <w:u w:val="single"/>
        </w:rPr>
        <w:t xml:space="preserve">Bordereau des Prix </w:t>
      </w:r>
      <w:r w:rsidR="00A962E1" w:rsidRPr="00E23E75">
        <w:rPr>
          <w:rFonts w:asciiTheme="minorHAnsi" w:eastAsia="Times" w:hAnsiTheme="minorHAnsi" w:cstheme="minorHAnsi"/>
          <w:color w:val="auto"/>
          <w:sz w:val="22"/>
          <w:szCs w:val="22"/>
        </w:rPr>
        <w:t>dûment renseigné, daté et signé</w:t>
      </w:r>
      <w:r w:rsidR="00A962E1">
        <w:rPr>
          <w:rFonts w:asciiTheme="minorHAnsi" w:eastAsia="Times" w:hAnsiTheme="minorHAnsi" w:cstheme="minorHAnsi"/>
          <w:color w:val="auto"/>
          <w:sz w:val="22"/>
          <w:szCs w:val="22"/>
        </w:rPr>
        <w:t> ;</w:t>
      </w:r>
    </w:p>
    <w:p w14:paraId="442AA055" w14:textId="7866CB4B" w:rsidR="000E629C" w:rsidRPr="0006068D" w:rsidRDefault="000E629C" w:rsidP="000E629C">
      <w:pPr>
        <w:pStyle w:val="v"/>
        <w:widowControl w:val="0"/>
        <w:numPr>
          <w:ilvl w:val="0"/>
          <w:numId w:val="18"/>
        </w:numPr>
        <w:rPr>
          <w:rFonts w:asciiTheme="minorHAnsi" w:hAnsiTheme="minorHAnsi" w:cstheme="minorHAnsi"/>
          <w:szCs w:val="22"/>
        </w:rPr>
      </w:pPr>
      <w:r>
        <w:rPr>
          <w:rFonts w:asciiTheme="minorHAnsi" w:hAnsiTheme="minorHAnsi" w:cstheme="minorHAnsi"/>
          <w:szCs w:val="22"/>
        </w:rPr>
        <w:t xml:space="preserve">Le </w:t>
      </w:r>
      <w:r w:rsidRPr="0025761B">
        <w:rPr>
          <w:rFonts w:asciiTheme="minorHAnsi" w:hAnsiTheme="minorHAnsi" w:cstheme="minorHAnsi"/>
          <w:b/>
          <w:bCs/>
          <w:szCs w:val="22"/>
          <w:u w:val="single"/>
        </w:rPr>
        <w:t>cadre de réponse</w:t>
      </w:r>
      <w:r>
        <w:rPr>
          <w:rFonts w:asciiTheme="minorHAnsi" w:hAnsiTheme="minorHAnsi" w:cstheme="minorHAnsi"/>
          <w:szCs w:val="22"/>
        </w:rPr>
        <w:t xml:space="preserve"> </w:t>
      </w:r>
      <w:r w:rsidR="00C75196">
        <w:rPr>
          <w:rFonts w:asciiTheme="minorHAnsi" w:hAnsiTheme="minorHAnsi" w:cstheme="minorHAnsi"/>
          <w:szCs w:val="22"/>
        </w:rPr>
        <w:t xml:space="preserve">et éventuellement un </w:t>
      </w:r>
      <w:r w:rsidRPr="0025761B">
        <w:rPr>
          <w:rFonts w:asciiTheme="minorHAnsi" w:hAnsiTheme="minorHAnsi" w:cstheme="minorHAnsi"/>
          <w:b/>
          <w:bCs/>
          <w:szCs w:val="22"/>
          <w:u w:val="single"/>
        </w:rPr>
        <w:t>mémoire technique</w:t>
      </w:r>
      <w:r w:rsidRPr="00E23E75">
        <w:rPr>
          <w:rFonts w:asciiTheme="minorHAnsi" w:hAnsiTheme="minorHAnsi" w:cstheme="minorHAnsi"/>
          <w:szCs w:val="22"/>
        </w:rPr>
        <w:t xml:space="preserve"> comprenant les informations suivantes</w:t>
      </w:r>
      <w:r w:rsidRPr="0006068D">
        <w:rPr>
          <w:rFonts w:asciiTheme="minorHAnsi" w:hAnsiTheme="minorHAnsi" w:cstheme="minorHAnsi"/>
          <w:b/>
          <w:szCs w:val="22"/>
        </w:rPr>
        <w:t xml:space="preserve"> </w:t>
      </w:r>
      <w:r w:rsidRPr="0006068D">
        <w:rPr>
          <w:rFonts w:asciiTheme="minorHAnsi" w:hAnsiTheme="minorHAnsi" w:cstheme="minorHAnsi"/>
          <w:szCs w:val="22"/>
        </w:rPr>
        <w:t>:</w:t>
      </w:r>
    </w:p>
    <w:p w14:paraId="3255BFB6" w14:textId="77777777" w:rsidR="000E629C" w:rsidRPr="0006068D" w:rsidRDefault="000E629C" w:rsidP="000E629C">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 xml:space="preserve">Délais et modalités de livraison ainsi que modalités de traçabilité des commandes ; </w:t>
      </w:r>
    </w:p>
    <w:p w14:paraId="1EA87300" w14:textId="0CCAC3EA" w:rsidR="000E629C" w:rsidRPr="00DA7A70" w:rsidRDefault="000E629C" w:rsidP="000E629C">
      <w:pPr>
        <w:pStyle w:val="Default"/>
        <w:numPr>
          <w:ilvl w:val="1"/>
          <w:numId w:val="18"/>
        </w:numPr>
        <w:jc w:val="both"/>
        <w:rPr>
          <w:rFonts w:asciiTheme="minorHAnsi" w:hAnsiTheme="minorHAnsi" w:cstheme="minorHAnsi"/>
          <w:sz w:val="22"/>
          <w:szCs w:val="22"/>
        </w:rPr>
      </w:pPr>
      <w:r w:rsidRPr="00282470">
        <w:rPr>
          <w:rFonts w:asciiTheme="minorHAnsi" w:eastAsia="Times" w:hAnsiTheme="minorHAnsi" w:cstheme="minorHAnsi"/>
          <w:color w:val="auto"/>
          <w:sz w:val="22"/>
          <w:szCs w:val="22"/>
        </w:rPr>
        <w:t>Méthodologie proposée d’exécution des prestations et modalités de communication</w:t>
      </w:r>
      <w:r>
        <w:rPr>
          <w:rFonts w:asciiTheme="minorHAnsi" w:eastAsia="Times" w:hAnsiTheme="minorHAnsi" w:cstheme="minorHAnsi"/>
          <w:color w:val="auto"/>
          <w:sz w:val="22"/>
          <w:szCs w:val="22"/>
        </w:rPr>
        <w:t xml:space="preserve"> (plateforme web, proc</w:t>
      </w:r>
      <w:r w:rsidR="0076298B">
        <w:rPr>
          <w:rFonts w:asciiTheme="minorHAnsi" w:eastAsia="Times" w:hAnsiTheme="minorHAnsi" w:cstheme="minorHAnsi"/>
          <w:color w:val="auto"/>
          <w:sz w:val="22"/>
          <w:szCs w:val="22"/>
        </w:rPr>
        <w:t>édure</w:t>
      </w:r>
      <w:r>
        <w:rPr>
          <w:rFonts w:asciiTheme="minorHAnsi" w:eastAsia="Times" w:hAnsiTheme="minorHAnsi" w:cstheme="minorHAnsi"/>
          <w:color w:val="auto"/>
          <w:sz w:val="22"/>
          <w:szCs w:val="22"/>
        </w:rPr>
        <w:t xml:space="preserve"> de gestion des réclamations client</w:t>
      </w:r>
      <w:r w:rsidR="0076298B">
        <w:rPr>
          <w:rFonts w:asciiTheme="minorHAnsi" w:eastAsia="Times" w:hAnsiTheme="minorHAnsi" w:cstheme="minorHAnsi"/>
          <w:color w:val="auto"/>
          <w:sz w:val="22"/>
          <w:szCs w:val="22"/>
        </w:rPr>
        <w:t xml:space="preserve"> et conditions de retours/échanges de produits </w:t>
      </w:r>
      <w:r w:rsidR="009C73E7">
        <w:rPr>
          <w:rFonts w:asciiTheme="minorHAnsi" w:eastAsia="Times" w:hAnsiTheme="minorHAnsi" w:cstheme="minorHAnsi"/>
          <w:color w:val="auto"/>
          <w:sz w:val="22"/>
          <w:szCs w:val="22"/>
        </w:rPr>
        <w:t>…) ;</w:t>
      </w:r>
    </w:p>
    <w:p w14:paraId="7A1A7928" w14:textId="3709C937" w:rsidR="000E629C" w:rsidRPr="000E629C" w:rsidRDefault="000E629C" w:rsidP="000E629C">
      <w:pPr>
        <w:pStyle w:val="Default"/>
        <w:numPr>
          <w:ilvl w:val="1"/>
          <w:numId w:val="18"/>
        </w:numPr>
        <w:jc w:val="both"/>
        <w:rPr>
          <w:rFonts w:asciiTheme="minorHAnsi" w:hAnsiTheme="minorHAnsi" w:cstheme="minorHAnsi"/>
          <w:sz w:val="22"/>
          <w:szCs w:val="22"/>
        </w:rPr>
      </w:pPr>
      <w:r>
        <w:rPr>
          <w:rFonts w:asciiTheme="minorHAnsi" w:hAnsiTheme="minorHAnsi" w:cstheme="minorHAnsi"/>
          <w:sz w:val="22"/>
          <w:szCs w:val="22"/>
        </w:rPr>
        <w:t>Pour l’ensemble des produits détaillés au Bordereau des Prix unitaires, une fiche technique avec photographies.</w:t>
      </w:r>
    </w:p>
    <w:p w14:paraId="3C6E01EE" w14:textId="5CD9216D"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65" w:name="_Toc180418391"/>
      <w:r>
        <w:rPr>
          <w:rFonts w:asciiTheme="minorHAnsi" w:hAnsiTheme="minorHAnsi" w:cstheme="minorHAnsi"/>
          <w:sz w:val="22"/>
          <w:szCs w:val="22"/>
          <w:u w:val="single"/>
        </w:rPr>
        <w:t>D</w:t>
      </w:r>
      <w:r w:rsidR="00814AB2">
        <w:rPr>
          <w:rFonts w:asciiTheme="minorHAnsi" w:hAnsiTheme="minorHAnsi" w:cstheme="minorHAnsi"/>
          <w:sz w:val="22"/>
          <w:szCs w:val="22"/>
          <w:u w:val="single"/>
        </w:rPr>
        <w:t>élai</w:t>
      </w:r>
      <w:r w:rsidRPr="0006068D">
        <w:rPr>
          <w:rFonts w:asciiTheme="minorHAnsi" w:hAnsiTheme="minorHAnsi" w:cstheme="minorHAnsi"/>
          <w:sz w:val="22"/>
          <w:szCs w:val="22"/>
          <w:u w:val="single"/>
        </w:rPr>
        <w:t xml:space="preserve"> de validité des offres</w:t>
      </w:r>
      <w:bookmarkEnd w:id="65"/>
    </w:p>
    <w:p w14:paraId="634CE425" w14:textId="32DA85C2" w:rsidR="009009F8" w:rsidRPr="00814AB2" w:rsidRDefault="00814AB2" w:rsidP="00814AB2">
      <w:pPr>
        <w:suppressAutoHyphens/>
        <w:jc w:val="both"/>
        <w:rPr>
          <w:rFonts w:asciiTheme="minorHAnsi" w:hAnsiTheme="minorHAnsi" w:cstheme="minorHAnsi"/>
        </w:rPr>
      </w:pPr>
      <w:r w:rsidRPr="00814AB2">
        <w:rPr>
          <w:rFonts w:asciiTheme="minorHAnsi" w:hAnsiTheme="minorHAnsi" w:cstheme="minorHAnsi"/>
          <w:sz w:val="22"/>
          <w:szCs w:val="22"/>
        </w:rPr>
        <w:t>Le délai de validité des offres est fixé à 04 mois (120 jours) à compter de la date limite de réception des plis.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66" w:name="_Toc491193511"/>
      <w:bookmarkStart w:id="67" w:name="_Toc491193966"/>
      <w:bookmarkStart w:id="68" w:name="_Toc180418392"/>
      <w:bookmarkEnd w:id="66"/>
      <w:bookmarkEnd w:id="67"/>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68"/>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69" w:name="_Toc180418393"/>
      <w:r w:rsidRPr="0006068D">
        <w:rPr>
          <w:rFonts w:asciiTheme="minorHAnsi" w:hAnsiTheme="minorHAnsi" w:cstheme="minorHAnsi"/>
          <w:i/>
          <w:sz w:val="22"/>
          <w:szCs w:val="22"/>
        </w:rPr>
        <w:t>Remise des plis sous format papier</w:t>
      </w:r>
      <w:bookmarkEnd w:id="69"/>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0" w:name="_Toc180418394"/>
      <w:r w:rsidRPr="0006068D">
        <w:rPr>
          <w:rFonts w:asciiTheme="minorHAnsi" w:hAnsiTheme="minorHAnsi" w:cstheme="minorHAnsi"/>
          <w:i/>
          <w:sz w:val="22"/>
          <w:szCs w:val="22"/>
        </w:rPr>
        <w:lastRenderedPageBreak/>
        <w:t>Remise électronique</w:t>
      </w:r>
      <w:bookmarkEnd w:id="70"/>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E352AB"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37883C4D"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w:t>
      </w:r>
      <w:r w:rsidR="003C34B1" w:rsidRPr="0006068D">
        <w:rPr>
          <w:rFonts w:asciiTheme="minorHAnsi" w:hAnsiTheme="minorHAnsi" w:cstheme="minorHAnsi"/>
          <w:sz w:val="22"/>
          <w:szCs w:val="22"/>
        </w:rPr>
        <w:t xml:space="preserve"> « guide</w:t>
      </w:r>
      <w:r w:rsidRPr="0006068D">
        <w:rPr>
          <w:rFonts w:asciiTheme="minorHAnsi" w:hAnsiTheme="minorHAnsi" w:cstheme="minorHAnsi"/>
          <w:sz w:val="22"/>
          <w:szCs w:val="22"/>
        </w:rPr>
        <w:t xml:space="preserve"> </w:t>
      </w:r>
      <w:r w:rsidR="003C34B1" w:rsidRPr="0006068D">
        <w:rPr>
          <w:rFonts w:asciiTheme="minorHAnsi" w:hAnsiTheme="minorHAnsi" w:cstheme="minorHAnsi"/>
          <w:sz w:val="22"/>
          <w:szCs w:val="22"/>
        </w:rPr>
        <w:t>utilisateur »</w:t>
      </w:r>
      <w:r w:rsidRPr="0006068D">
        <w:rPr>
          <w:rFonts w:asciiTheme="minorHAnsi" w:hAnsiTheme="minorHAnsi" w:cstheme="minorHAnsi"/>
          <w:sz w:val="22"/>
          <w:szCs w:val="22"/>
        </w:rPr>
        <w:t xml:space="preserve"> téléchargeable qui précise les conditions d'utilisations de la plate-forme des achats de l'État, notamment les </w:t>
      </w:r>
      <w:r w:rsidR="003C34B1" w:rsidRPr="0006068D">
        <w:rPr>
          <w:rFonts w:asciiTheme="minorHAnsi" w:hAnsiTheme="minorHAnsi" w:cstheme="minorHAnsi"/>
          <w:sz w:val="22"/>
          <w:szCs w:val="22"/>
        </w:rPr>
        <w:t>prérequis</w:t>
      </w:r>
      <w:r w:rsidRPr="0006068D">
        <w:rPr>
          <w:rFonts w:asciiTheme="minorHAnsi" w:hAnsiTheme="minorHAnsi" w:cstheme="minorHAnsi"/>
          <w:sz w:val="22"/>
          <w:szCs w:val="22"/>
        </w:rPr>
        <w:t xml:space="preserve">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791863BD" w:rsidR="00D60BBF"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37B74E22" w14:textId="7FBC33C6" w:rsidR="00CE3EB6" w:rsidRDefault="00CE3EB6" w:rsidP="00F10B36">
      <w:pPr>
        <w:spacing w:before="120" w:line="240" w:lineRule="auto"/>
        <w:jc w:val="both"/>
        <w:rPr>
          <w:rFonts w:asciiTheme="minorHAnsi" w:hAnsiTheme="minorHAnsi" w:cstheme="minorHAnsi"/>
          <w:sz w:val="22"/>
          <w:szCs w:val="22"/>
        </w:rPr>
      </w:pPr>
    </w:p>
    <w:p w14:paraId="721B2677" w14:textId="0C5D35EA" w:rsidR="00C75196" w:rsidRDefault="00C75196" w:rsidP="00F10B36">
      <w:pPr>
        <w:spacing w:before="120" w:line="240" w:lineRule="auto"/>
        <w:jc w:val="both"/>
        <w:rPr>
          <w:rFonts w:asciiTheme="minorHAnsi" w:hAnsiTheme="minorHAnsi" w:cstheme="minorHAnsi"/>
          <w:sz w:val="22"/>
          <w:szCs w:val="22"/>
        </w:rPr>
      </w:pPr>
    </w:p>
    <w:p w14:paraId="6EEA0209" w14:textId="77777777" w:rsidR="00C75196" w:rsidRPr="0006068D" w:rsidRDefault="00C75196" w:rsidP="00F10B36">
      <w:pPr>
        <w:spacing w:before="120" w:line="240" w:lineRule="auto"/>
        <w:jc w:val="both"/>
        <w:rPr>
          <w:rFonts w:asciiTheme="minorHAnsi" w:hAnsiTheme="minorHAnsi" w:cstheme="minorHAnsi"/>
          <w:sz w:val="22"/>
          <w:szCs w:val="22"/>
        </w:rPr>
      </w:pPr>
    </w:p>
    <w:p w14:paraId="6E8C855D" w14:textId="04873F21" w:rsidR="00562652" w:rsidRPr="00CE3EB6"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1" w:name="_Toc63419901"/>
      <w:bookmarkStart w:id="72" w:name="_Toc63419905"/>
      <w:bookmarkEnd w:id="71"/>
      <w:bookmarkEnd w:id="72"/>
      <w:r w:rsidRPr="0006068D">
        <w:rPr>
          <w:rFonts w:asciiTheme="minorHAnsi" w:hAnsiTheme="minorHAnsi" w:cstheme="minorHAnsi"/>
          <w:b/>
          <w:caps/>
          <w:sz w:val="28"/>
          <w:szCs w:val="22"/>
          <w:u w:val="single"/>
        </w:rPr>
        <w:lastRenderedPageBreak/>
        <w:t> </w:t>
      </w:r>
      <w:bookmarkStart w:id="73" w:name="_Toc180418395"/>
      <w:r w:rsidR="00CE3EB6">
        <w:rPr>
          <w:rFonts w:asciiTheme="minorHAnsi" w:hAnsiTheme="minorHAnsi" w:cstheme="minorHAnsi"/>
          <w:b/>
          <w:caps/>
          <w:sz w:val="28"/>
          <w:szCs w:val="22"/>
          <w:u w:val="single"/>
        </w:rPr>
        <w:t>MODALITES D’ATTRIBUTION DU MARCHE</w:t>
      </w:r>
      <w:bookmarkEnd w:id="73"/>
    </w:p>
    <w:p w14:paraId="46727DB9" w14:textId="62B5BCCB" w:rsidR="00CE3EB6" w:rsidRDefault="00ED1945"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CE3EB6">
        <w:rPr>
          <w:rFonts w:asciiTheme="minorHAnsi" w:hAnsiTheme="minorHAnsi" w:cstheme="minorHAnsi"/>
          <w:color w:val="000000"/>
          <w:sz w:val="22"/>
          <w:szCs w:val="22"/>
        </w:rPr>
        <w:t>.</w:t>
      </w:r>
    </w:p>
    <w:p w14:paraId="3956B9A1" w14:textId="1555DF6E" w:rsidR="00D23FE8" w:rsidRPr="0006068D" w:rsidRDefault="00CE3EB6" w:rsidP="0006068D">
      <w:pPr>
        <w:pStyle w:val="Titre2"/>
        <w:spacing w:before="120" w:after="120" w:line="240" w:lineRule="auto"/>
        <w:jc w:val="both"/>
        <w:rPr>
          <w:rFonts w:asciiTheme="minorHAnsi" w:hAnsiTheme="minorHAnsi" w:cstheme="minorHAnsi"/>
          <w:sz w:val="22"/>
          <w:szCs w:val="22"/>
          <w:u w:val="single"/>
        </w:rPr>
      </w:pPr>
      <w:bookmarkStart w:id="74" w:name="_Toc180418396"/>
      <w:r>
        <w:rPr>
          <w:rFonts w:asciiTheme="minorHAnsi" w:hAnsiTheme="minorHAnsi" w:cstheme="minorHAnsi"/>
          <w:sz w:val="22"/>
          <w:szCs w:val="22"/>
          <w:u w:val="single"/>
        </w:rPr>
        <w:t>Ouverture des plis</w:t>
      </w:r>
      <w:bookmarkEnd w:id="74"/>
    </w:p>
    <w:p w14:paraId="0C6BB796" w14:textId="2C69E2D1" w:rsidR="00ED1945" w:rsidRPr="00CE3EB6" w:rsidRDefault="00CE3EB6" w:rsidP="00CE3EB6">
      <w:pPr>
        <w:suppressAutoHyphens/>
        <w:spacing w:line="240" w:lineRule="auto"/>
        <w:jc w:val="both"/>
        <w:rPr>
          <w:rFonts w:asciiTheme="minorHAnsi" w:hAnsiTheme="minorHAnsi" w:cstheme="minorHAnsi"/>
          <w:sz w:val="22"/>
          <w:szCs w:val="22"/>
        </w:rPr>
      </w:pPr>
      <w:r w:rsidRPr="00CE3EB6">
        <w:rPr>
          <w:rFonts w:asciiTheme="minorHAnsi" w:hAnsiTheme="minorHAnsi" w:cstheme="minorHAnsi"/>
          <w:sz w:val="22"/>
          <w:szCs w:val="22"/>
        </w:rPr>
        <w:t>Seuls peuvent être ouverts les plis qui ont été reçus au plus tard à la date et à l’heure limites de réception des offres annoncées dans l’avis d’appel public à la concurrence et sur la page de garde du présent document.</w:t>
      </w:r>
    </w:p>
    <w:p w14:paraId="5929F4B1" w14:textId="6BDF4C5A" w:rsidR="00F31102" w:rsidRPr="00D23FE8" w:rsidRDefault="00CE3EB6" w:rsidP="00F31102">
      <w:pPr>
        <w:pStyle w:val="Titre2"/>
        <w:spacing w:before="120" w:after="120" w:line="240" w:lineRule="auto"/>
        <w:jc w:val="both"/>
        <w:rPr>
          <w:rFonts w:asciiTheme="minorHAnsi" w:hAnsiTheme="minorHAnsi" w:cstheme="minorHAnsi"/>
          <w:sz w:val="22"/>
          <w:szCs w:val="22"/>
          <w:u w:val="single"/>
        </w:rPr>
      </w:pPr>
      <w:bookmarkStart w:id="75" w:name="_Toc180418397"/>
      <w:r>
        <w:rPr>
          <w:rFonts w:asciiTheme="minorHAnsi" w:hAnsiTheme="minorHAnsi" w:cstheme="minorHAnsi"/>
          <w:sz w:val="22"/>
          <w:szCs w:val="22"/>
          <w:u w:val="single"/>
        </w:rPr>
        <w:t>Examen des candidatures</w:t>
      </w:r>
      <w:bookmarkEnd w:id="75"/>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76" w:name="_Toc180418398"/>
      <w:r w:rsidRPr="0006068D">
        <w:rPr>
          <w:rFonts w:asciiTheme="minorHAnsi" w:hAnsiTheme="minorHAnsi" w:cstheme="minorHAnsi"/>
          <w:sz w:val="22"/>
          <w:szCs w:val="22"/>
          <w:u w:val="single"/>
        </w:rPr>
        <w:t>Recevabilité des candidatures</w:t>
      </w:r>
      <w:bookmarkEnd w:id="76"/>
    </w:p>
    <w:p w14:paraId="7A2F5CBC" w14:textId="77777777" w:rsidR="00CE3EB6" w:rsidRPr="00CE3EB6" w:rsidRDefault="00CE3EB6" w:rsidP="00CE3EB6">
      <w:pPr>
        <w:spacing w:line="240" w:lineRule="auto"/>
        <w:jc w:val="both"/>
        <w:rPr>
          <w:rFonts w:asciiTheme="minorHAnsi" w:hAnsiTheme="minorHAnsi" w:cstheme="minorHAnsi"/>
        </w:rPr>
      </w:pPr>
      <w:r w:rsidRPr="00CE3EB6">
        <w:rPr>
          <w:rFonts w:asciiTheme="minorHAnsi" w:hAnsiTheme="minorHAnsi" w:cstheme="minorHAnsi"/>
          <w:color w:val="000000"/>
          <w:sz w:val="22"/>
          <w:szCs w:val="22"/>
        </w:rPr>
        <w:t>Avant de procéder à l’examen des candidatures, si le pouvoir adjudicateur constate que des pièces visées à l’article 4 du présent règlement de consultation sont manquantes ou incomplètes, il peut décider de demander à tous les candidats concernés de produire ou de compléter ces pièces dans un délai approprié et identique pour tous.</w:t>
      </w:r>
    </w:p>
    <w:p w14:paraId="06059F65" w14:textId="77777777" w:rsidR="00CE3EB6" w:rsidRPr="00CE3EB6" w:rsidRDefault="00CE3EB6" w:rsidP="00CE3EB6">
      <w:pPr>
        <w:spacing w:line="240" w:lineRule="auto"/>
        <w:jc w:val="both"/>
        <w:rPr>
          <w:rFonts w:asciiTheme="minorHAnsi" w:hAnsiTheme="minorHAnsi" w:cstheme="minorHAnsi"/>
        </w:rPr>
      </w:pPr>
      <w:r w:rsidRPr="00CE3EB6">
        <w:rPr>
          <w:rFonts w:asciiTheme="minorHAnsi" w:hAnsiTheme="minorHAnsi" w:cstheme="minorHAnsi"/>
          <w:color w:val="000000"/>
          <w:sz w:val="22"/>
          <w:szCs w:val="22"/>
        </w:rPr>
        <w:t>Les candidatures incomplètes ou demeurées incomplètes à la suite d'une demande de compléments sont éliminées.</w:t>
      </w:r>
    </w:p>
    <w:p w14:paraId="20C0AC5A" w14:textId="77777777" w:rsidR="00CE3EB6" w:rsidRPr="00CE3EB6" w:rsidRDefault="00CE3EB6" w:rsidP="00CE3EB6">
      <w:pPr>
        <w:spacing w:line="240" w:lineRule="auto"/>
        <w:jc w:val="both"/>
        <w:rPr>
          <w:rFonts w:asciiTheme="minorHAnsi" w:hAnsiTheme="minorHAnsi" w:cstheme="minorHAnsi"/>
          <w:color w:val="000000"/>
          <w:sz w:val="22"/>
          <w:szCs w:val="22"/>
        </w:rPr>
      </w:pPr>
    </w:p>
    <w:p w14:paraId="1AA0B730" w14:textId="77777777" w:rsidR="00CE3EB6" w:rsidRPr="00CE3EB6" w:rsidRDefault="00CE3EB6" w:rsidP="00CE3EB6">
      <w:pPr>
        <w:spacing w:line="240" w:lineRule="auto"/>
        <w:jc w:val="both"/>
        <w:rPr>
          <w:rFonts w:asciiTheme="minorHAnsi" w:hAnsiTheme="minorHAnsi" w:cstheme="minorHAnsi"/>
        </w:rPr>
      </w:pPr>
      <w:r w:rsidRPr="00CE3EB6">
        <w:rPr>
          <w:rFonts w:asciiTheme="minorHAnsi" w:hAnsiTheme="minorHAnsi" w:cstheme="minorHAnsi"/>
          <w:color w:val="000000"/>
          <w:sz w:val="22"/>
          <w:szCs w:val="22"/>
        </w:rPr>
        <w:t>Les candidatures conformes et recevables seront examinées, à partir des renseignements et documents en vigueur détenus par le pouvoir adjudicateur, pour évaluer la situation juridique ainsi que les capacités professionnelles, techniques et financières des candidats.</w:t>
      </w:r>
    </w:p>
    <w:p w14:paraId="22A072A6" w14:textId="77777777" w:rsidR="00CE3EB6" w:rsidRPr="00CE3EB6" w:rsidRDefault="00CE3EB6" w:rsidP="00CE3EB6">
      <w:pPr>
        <w:spacing w:line="240" w:lineRule="auto"/>
        <w:jc w:val="both"/>
        <w:rPr>
          <w:rFonts w:asciiTheme="minorHAnsi" w:hAnsiTheme="minorHAnsi" w:cstheme="minorHAnsi"/>
          <w:color w:val="000000"/>
          <w:sz w:val="22"/>
          <w:szCs w:val="22"/>
        </w:rPr>
      </w:pPr>
    </w:p>
    <w:p w14:paraId="005B055A" w14:textId="77777777" w:rsidR="00CE3EB6" w:rsidRPr="00CE3EB6" w:rsidRDefault="00CE3EB6" w:rsidP="00CE3EB6">
      <w:pPr>
        <w:spacing w:line="240" w:lineRule="auto"/>
        <w:jc w:val="both"/>
        <w:rPr>
          <w:rFonts w:asciiTheme="minorHAnsi" w:hAnsiTheme="minorHAnsi" w:cstheme="minorHAnsi"/>
        </w:rPr>
      </w:pPr>
      <w:r w:rsidRPr="00CE3EB6">
        <w:rPr>
          <w:rFonts w:asciiTheme="minorHAnsi" w:hAnsiTheme="minorHAnsi" w:cstheme="minorHAnsi"/>
          <w:color w:val="000000"/>
          <w:sz w:val="22"/>
          <w:szCs w:val="22"/>
        </w:rPr>
        <w:t>Conformément à l’article R.2144-3 du Code de la commande publique, l’examen des candidatures pourra intervenir à tout moment de la procédure et au plus tard avant l’attribution du présent marché public.</w:t>
      </w:r>
    </w:p>
    <w:p w14:paraId="3EE90644" w14:textId="77777777" w:rsidR="00CE3EB6" w:rsidRPr="00CE3EB6" w:rsidRDefault="00CE3EB6" w:rsidP="00CE3EB6">
      <w:pPr>
        <w:spacing w:line="240" w:lineRule="auto"/>
        <w:jc w:val="both"/>
        <w:rPr>
          <w:rFonts w:asciiTheme="minorHAnsi" w:hAnsiTheme="minorHAnsi" w:cstheme="minorHAnsi"/>
          <w:color w:val="000000"/>
          <w:sz w:val="22"/>
          <w:szCs w:val="22"/>
        </w:rPr>
      </w:pPr>
    </w:p>
    <w:p w14:paraId="0CA23DDE" w14:textId="5AA3097E" w:rsidR="00CE3EB6" w:rsidRPr="00CE3EB6" w:rsidRDefault="00CE3EB6" w:rsidP="00CE3EB6">
      <w:pPr>
        <w:spacing w:line="240" w:lineRule="auto"/>
        <w:jc w:val="both"/>
        <w:rPr>
          <w:rFonts w:asciiTheme="minorHAnsi" w:hAnsiTheme="minorHAnsi" w:cstheme="minorHAnsi"/>
        </w:rPr>
      </w:pPr>
      <w:r w:rsidRPr="00CE3EB6">
        <w:rPr>
          <w:rFonts w:asciiTheme="minorHAnsi" w:hAnsiTheme="minorHAnsi" w:cstheme="minorHAnsi"/>
          <w:color w:val="000000"/>
          <w:sz w:val="22"/>
          <w:szCs w:val="22"/>
        </w:rPr>
        <w:t>Si un candidat se trouve dans un cas d’interdiction de soumissionner, ne satisfait pas aux conditions de participation fixées ci-dessus ou ne peut produire dans le délai imparti les documents justificatifs, les moyens de preuve, les compléments ou explications requis, sa candidature est déclarée irrecevable et le candidat est éliminé.</w:t>
      </w:r>
    </w:p>
    <w:p w14:paraId="472C235F" w14:textId="1F6F974F" w:rsidR="00CE3EB6" w:rsidRDefault="00CE3EB6" w:rsidP="00CE3EB6">
      <w:pPr>
        <w:spacing w:line="240" w:lineRule="auto"/>
        <w:jc w:val="both"/>
        <w:rPr>
          <w:rFonts w:ascii="Times New Roman" w:hAnsi="Times New Roman"/>
          <w:color w:val="000000"/>
          <w:sz w:val="22"/>
          <w:szCs w:val="22"/>
        </w:rPr>
      </w:pPr>
    </w:p>
    <w:p w14:paraId="26A8AFDE" w14:textId="43320FCF" w:rsidR="0076298B" w:rsidRPr="007A7641" w:rsidRDefault="0076298B" w:rsidP="00CE3EB6">
      <w:pPr>
        <w:spacing w:line="240" w:lineRule="auto"/>
        <w:jc w:val="both"/>
        <w:rPr>
          <w:rFonts w:ascii="Times New Roman" w:hAnsi="Times New Roman"/>
          <w:color w:val="000000"/>
          <w:sz w:val="22"/>
          <w:szCs w:val="22"/>
        </w:rPr>
      </w:pPr>
    </w:p>
    <w:p w14:paraId="5E6F48B6" w14:textId="03873239"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7" w:name="_Toc180418399"/>
      <w:r w:rsidRPr="0006068D">
        <w:rPr>
          <w:rFonts w:asciiTheme="minorHAnsi" w:hAnsiTheme="minorHAnsi" w:cstheme="minorHAnsi"/>
          <w:b/>
          <w:caps/>
          <w:sz w:val="28"/>
          <w:szCs w:val="22"/>
          <w:u w:val="single"/>
        </w:rPr>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77"/>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78" w:name="_Toc180418400"/>
      <w:r w:rsidRPr="001414BF">
        <w:rPr>
          <w:rFonts w:asciiTheme="minorHAnsi" w:hAnsiTheme="minorHAnsi" w:cstheme="minorHAnsi"/>
          <w:sz w:val="22"/>
          <w:szCs w:val="22"/>
          <w:u w:val="single"/>
        </w:rPr>
        <w:t>Rejet des offres hors délais - Ouverture des offres</w:t>
      </w:r>
      <w:bookmarkEnd w:id="78"/>
    </w:p>
    <w:p w14:paraId="2BBE4DC9" w14:textId="1DE80E33"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w:t>
      </w:r>
      <w:r w:rsidR="000E629C">
        <w:rPr>
          <w:rFonts w:asciiTheme="minorHAnsi" w:hAnsiTheme="minorHAnsi" w:cstheme="minorHAnsi"/>
          <w:color w:val="000000"/>
          <w:sz w:val="22"/>
          <w:szCs w:val="22"/>
        </w:rPr>
        <w:t xml:space="preserve"> (séance non publique) recense </w:t>
      </w:r>
      <w:r w:rsidRPr="00E23E75">
        <w:rPr>
          <w:rFonts w:asciiTheme="minorHAnsi" w:hAnsiTheme="minorHAnsi" w:cstheme="minorHAnsi"/>
          <w:color w:val="000000"/>
          <w:sz w:val="22"/>
          <w:szCs w:val="22"/>
        </w:rPr>
        <w:t>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79" w:name="_Toc180418401"/>
      <w:r w:rsidRPr="00E23E75">
        <w:rPr>
          <w:rFonts w:asciiTheme="minorHAnsi" w:hAnsiTheme="minorHAnsi" w:cstheme="minorHAnsi"/>
          <w:sz w:val="22"/>
          <w:szCs w:val="22"/>
          <w:u w:val="single"/>
        </w:rPr>
        <w:t>Analyse des offres</w:t>
      </w:r>
      <w:bookmarkEnd w:id="79"/>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0" w:name="_Toc180418402"/>
      <w:r w:rsidRPr="00E23E75">
        <w:rPr>
          <w:rFonts w:asciiTheme="minorHAnsi" w:hAnsiTheme="minorHAnsi" w:cstheme="minorHAnsi"/>
          <w:sz w:val="22"/>
          <w:szCs w:val="22"/>
          <w:u w:val="single"/>
        </w:rPr>
        <w:lastRenderedPageBreak/>
        <w:t xml:space="preserve">Rejet des offres </w:t>
      </w:r>
      <w:r w:rsidR="005A1233" w:rsidRPr="00E23E75">
        <w:rPr>
          <w:rFonts w:asciiTheme="minorHAnsi" w:hAnsiTheme="minorHAnsi" w:cstheme="minorHAnsi"/>
          <w:sz w:val="22"/>
          <w:szCs w:val="22"/>
          <w:u w:val="single"/>
        </w:rPr>
        <w:t>irrégulières, inacceptables et inappropriées</w:t>
      </w:r>
      <w:bookmarkEnd w:id="80"/>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1" w:name="_Toc180418403"/>
      <w:r w:rsidRPr="004D69D4">
        <w:rPr>
          <w:rFonts w:asciiTheme="minorHAnsi" w:hAnsiTheme="minorHAnsi" w:cstheme="minorHAnsi"/>
          <w:sz w:val="22"/>
          <w:szCs w:val="22"/>
          <w:u w:val="single"/>
        </w:rPr>
        <w:t>Comparaison des offres pour sélection de l’offre économiquement la plus avantageuse</w:t>
      </w:r>
      <w:bookmarkEnd w:id="81"/>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2" w:name="_Toc180418404"/>
      <w:r w:rsidRPr="0006068D">
        <w:rPr>
          <w:rFonts w:asciiTheme="minorHAnsi" w:hAnsiTheme="minorHAnsi" w:cstheme="minorHAnsi"/>
          <w:i/>
          <w:sz w:val="22"/>
          <w:szCs w:val="22"/>
        </w:rPr>
        <w:t>Critère 1 : prix des prestations</w:t>
      </w:r>
      <w:bookmarkEnd w:id="82"/>
      <w:r w:rsidRPr="0006068D">
        <w:rPr>
          <w:rFonts w:asciiTheme="minorHAnsi" w:hAnsiTheme="minorHAnsi" w:cstheme="minorHAnsi"/>
          <w:i/>
          <w:sz w:val="22"/>
          <w:szCs w:val="22"/>
        </w:rPr>
        <w:t xml:space="preserve"> </w:t>
      </w:r>
    </w:p>
    <w:p w14:paraId="427BB65A" w14:textId="41D49C68"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Pr="00084D4D">
        <w:rPr>
          <w:rFonts w:asciiTheme="minorHAnsi" w:hAnsiTheme="minorHAnsi" w:cstheme="minorHAnsi"/>
          <w:b/>
          <w:sz w:val="22"/>
          <w:szCs w:val="22"/>
        </w:rPr>
        <w:t>40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3" w:name="_Toc180418405"/>
      <w:r w:rsidRPr="0006068D">
        <w:rPr>
          <w:rFonts w:asciiTheme="minorHAnsi" w:hAnsiTheme="minorHAnsi" w:cstheme="minorHAnsi"/>
          <w:i/>
          <w:sz w:val="22"/>
          <w:szCs w:val="22"/>
        </w:rPr>
        <w:t>Critère 2 : Qualité technique</w:t>
      </w:r>
      <w:bookmarkEnd w:id="83"/>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Ind w:w="704" w:type="dxa"/>
        <w:tblLook w:val="04A0" w:firstRow="1" w:lastRow="0" w:firstColumn="1" w:lastColumn="0" w:noHBand="0" w:noVBand="1"/>
      </w:tblPr>
      <w:tblGrid>
        <w:gridCol w:w="5837"/>
        <w:gridCol w:w="2692"/>
      </w:tblGrid>
      <w:tr w:rsidR="000E629C" w:rsidRPr="0006068D" w14:paraId="146D9188" w14:textId="77777777" w:rsidTr="000E629C">
        <w:tc>
          <w:tcPr>
            <w:tcW w:w="5837" w:type="dxa"/>
            <w:shd w:val="clear" w:color="auto" w:fill="D9D9D9" w:themeFill="background1" w:themeFillShade="D9"/>
          </w:tcPr>
          <w:p w14:paraId="741317ED" w14:textId="77777777" w:rsidR="000E629C" w:rsidRPr="0006068D" w:rsidRDefault="000E629C" w:rsidP="00D702AA">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1B89E6F2" w14:textId="77777777" w:rsidR="000E629C" w:rsidRPr="0006068D" w:rsidRDefault="000E629C" w:rsidP="00D702AA">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0E629C" w:rsidRPr="0006068D" w14:paraId="4EB1BB44" w14:textId="77777777" w:rsidTr="000E629C">
        <w:tc>
          <w:tcPr>
            <w:tcW w:w="5837" w:type="dxa"/>
          </w:tcPr>
          <w:p w14:paraId="4A74CA0D" w14:textId="3F2A5139" w:rsidR="000E629C" w:rsidRPr="007F7769" w:rsidRDefault="000E629C" w:rsidP="00D702AA">
            <w:pPr>
              <w:jc w:val="both"/>
              <w:rPr>
                <w:rFonts w:asciiTheme="minorHAnsi" w:hAnsiTheme="minorHAnsi" w:cstheme="minorHAnsi"/>
                <w:b/>
                <w:sz w:val="22"/>
                <w:szCs w:val="22"/>
              </w:rPr>
            </w:pPr>
            <w:r w:rsidRPr="007F7769">
              <w:rPr>
                <w:rFonts w:asciiTheme="minorHAnsi" w:hAnsiTheme="minorHAnsi" w:cstheme="minorHAnsi"/>
                <w:b/>
                <w:sz w:val="22"/>
                <w:szCs w:val="22"/>
              </w:rPr>
              <w:t xml:space="preserve">Sous-critère </w:t>
            </w:r>
            <w:r>
              <w:rPr>
                <w:rFonts w:asciiTheme="minorHAnsi" w:hAnsiTheme="minorHAnsi" w:cstheme="minorHAnsi"/>
                <w:b/>
                <w:sz w:val="22"/>
                <w:szCs w:val="22"/>
              </w:rPr>
              <w:t>1</w:t>
            </w:r>
            <w:r w:rsidRPr="007F7769">
              <w:rPr>
                <w:rFonts w:asciiTheme="minorHAnsi" w:hAnsiTheme="minorHAnsi" w:cstheme="minorHAnsi"/>
                <w:b/>
                <w:sz w:val="22"/>
                <w:szCs w:val="22"/>
              </w:rPr>
              <w:t xml:space="preserve"> : </w:t>
            </w:r>
            <w:r w:rsidR="008B5B51" w:rsidRPr="008B5B51">
              <w:rPr>
                <w:rFonts w:asciiTheme="minorHAnsi" w:hAnsiTheme="minorHAnsi" w:cstheme="minorHAnsi"/>
                <w:b/>
                <w:sz w:val="22"/>
                <w:szCs w:val="22"/>
              </w:rPr>
              <w:t>Méthodologie proposée d’exécution des prestations et modalités de communication (plateforme web, procédure de gestion des réclamations client et conditions de retours/échanges de produits …)</w:t>
            </w:r>
            <w:r w:rsidR="008B5B51">
              <w:rPr>
                <w:rFonts w:asciiTheme="minorHAnsi" w:hAnsiTheme="minorHAnsi" w:cstheme="minorHAnsi"/>
                <w:sz w:val="22"/>
                <w:szCs w:val="22"/>
              </w:rPr>
              <w:t> </w:t>
            </w:r>
          </w:p>
        </w:tc>
        <w:tc>
          <w:tcPr>
            <w:tcW w:w="2692" w:type="dxa"/>
          </w:tcPr>
          <w:p w14:paraId="7D781EAC" w14:textId="77777777" w:rsidR="000E629C" w:rsidRDefault="000E629C" w:rsidP="00D702AA">
            <w:pPr>
              <w:jc w:val="center"/>
              <w:rPr>
                <w:rFonts w:asciiTheme="minorHAnsi" w:hAnsiTheme="minorHAnsi" w:cstheme="minorHAnsi"/>
                <w:b/>
                <w:sz w:val="22"/>
                <w:szCs w:val="22"/>
              </w:rPr>
            </w:pPr>
          </w:p>
          <w:p w14:paraId="043DB768" w14:textId="018B3EFC" w:rsidR="000E629C" w:rsidRPr="007F7769" w:rsidRDefault="008B5B51" w:rsidP="00D702AA">
            <w:pPr>
              <w:jc w:val="center"/>
              <w:rPr>
                <w:rFonts w:asciiTheme="minorHAnsi" w:hAnsiTheme="minorHAnsi" w:cstheme="minorHAnsi"/>
                <w:b/>
                <w:sz w:val="22"/>
                <w:szCs w:val="22"/>
              </w:rPr>
            </w:pPr>
            <w:r>
              <w:rPr>
                <w:rFonts w:asciiTheme="minorHAnsi" w:hAnsiTheme="minorHAnsi" w:cstheme="minorHAnsi"/>
                <w:b/>
                <w:sz w:val="22"/>
                <w:szCs w:val="22"/>
              </w:rPr>
              <w:t>3</w:t>
            </w:r>
            <w:r w:rsidR="000E629C">
              <w:rPr>
                <w:rFonts w:asciiTheme="minorHAnsi" w:hAnsiTheme="minorHAnsi" w:cstheme="minorHAnsi"/>
                <w:b/>
                <w:sz w:val="22"/>
                <w:szCs w:val="22"/>
              </w:rPr>
              <w:t>0</w:t>
            </w:r>
          </w:p>
        </w:tc>
      </w:tr>
      <w:tr w:rsidR="000E629C" w:rsidRPr="0006068D" w14:paraId="7AFBC154" w14:textId="77777777" w:rsidTr="000E629C">
        <w:tc>
          <w:tcPr>
            <w:tcW w:w="5837" w:type="dxa"/>
          </w:tcPr>
          <w:p w14:paraId="1369F92C" w14:textId="77777777" w:rsidR="000E629C" w:rsidRPr="007F7769" w:rsidRDefault="000E629C" w:rsidP="00D702AA">
            <w:pPr>
              <w:jc w:val="both"/>
              <w:rPr>
                <w:rFonts w:asciiTheme="minorHAnsi" w:hAnsiTheme="minorHAnsi" w:cstheme="minorHAnsi"/>
                <w:b/>
                <w:sz w:val="22"/>
                <w:szCs w:val="22"/>
              </w:rPr>
            </w:pPr>
            <w:r w:rsidRPr="007F7769">
              <w:rPr>
                <w:rFonts w:asciiTheme="minorHAnsi" w:hAnsiTheme="minorHAnsi" w:cstheme="minorHAnsi"/>
                <w:b/>
                <w:sz w:val="22"/>
                <w:szCs w:val="22"/>
              </w:rPr>
              <w:t xml:space="preserve">Sous-critère </w:t>
            </w:r>
            <w:r>
              <w:rPr>
                <w:rFonts w:asciiTheme="minorHAnsi" w:hAnsiTheme="minorHAnsi" w:cstheme="minorHAnsi"/>
                <w:b/>
                <w:sz w:val="22"/>
                <w:szCs w:val="22"/>
              </w:rPr>
              <w:t>2</w:t>
            </w:r>
            <w:r w:rsidRPr="007F7769">
              <w:rPr>
                <w:rFonts w:asciiTheme="minorHAnsi" w:hAnsiTheme="minorHAnsi" w:cstheme="minorHAnsi"/>
                <w:b/>
                <w:sz w:val="22"/>
                <w:szCs w:val="22"/>
              </w:rPr>
              <w:t xml:space="preserve"> : </w:t>
            </w:r>
            <w:r>
              <w:rPr>
                <w:rFonts w:asciiTheme="minorHAnsi" w:hAnsiTheme="minorHAnsi" w:cstheme="minorHAnsi"/>
                <w:b/>
                <w:sz w:val="22"/>
                <w:szCs w:val="22"/>
              </w:rPr>
              <w:t>Délais et modalités de livraison ainsi que mode opératoire sur la traçabilité des commandes</w:t>
            </w:r>
          </w:p>
        </w:tc>
        <w:tc>
          <w:tcPr>
            <w:tcW w:w="2692" w:type="dxa"/>
          </w:tcPr>
          <w:p w14:paraId="6388BBD0" w14:textId="77777777" w:rsidR="000E629C" w:rsidRDefault="000E629C" w:rsidP="00D702AA">
            <w:pPr>
              <w:jc w:val="center"/>
              <w:rPr>
                <w:rFonts w:asciiTheme="minorHAnsi" w:hAnsiTheme="minorHAnsi" w:cstheme="minorHAnsi"/>
                <w:b/>
                <w:sz w:val="22"/>
                <w:szCs w:val="22"/>
              </w:rPr>
            </w:pPr>
          </w:p>
          <w:p w14:paraId="0F9A088F" w14:textId="77777777" w:rsidR="000E629C" w:rsidRDefault="000E629C" w:rsidP="00D702AA">
            <w:pPr>
              <w:jc w:val="center"/>
              <w:rPr>
                <w:rFonts w:asciiTheme="minorHAnsi" w:hAnsiTheme="minorHAnsi" w:cstheme="minorHAnsi"/>
                <w:b/>
                <w:sz w:val="22"/>
                <w:szCs w:val="22"/>
              </w:rPr>
            </w:pPr>
            <w:r>
              <w:rPr>
                <w:rFonts w:asciiTheme="minorHAnsi" w:hAnsiTheme="minorHAnsi" w:cstheme="minorHAnsi"/>
                <w:b/>
                <w:sz w:val="22"/>
                <w:szCs w:val="22"/>
              </w:rPr>
              <w:t>10</w:t>
            </w:r>
          </w:p>
          <w:p w14:paraId="2347224E" w14:textId="77777777" w:rsidR="000E629C" w:rsidRPr="007F7769" w:rsidRDefault="000E629C" w:rsidP="00D702AA">
            <w:pPr>
              <w:jc w:val="center"/>
              <w:rPr>
                <w:rFonts w:asciiTheme="minorHAnsi" w:hAnsiTheme="minorHAnsi" w:cstheme="minorHAnsi"/>
                <w:b/>
                <w:sz w:val="22"/>
                <w:szCs w:val="22"/>
              </w:rPr>
            </w:pPr>
          </w:p>
        </w:tc>
      </w:tr>
      <w:tr w:rsidR="000E629C" w:rsidRPr="00921E55" w14:paraId="1906E9BF" w14:textId="77777777" w:rsidTr="000E629C">
        <w:tc>
          <w:tcPr>
            <w:tcW w:w="5837" w:type="dxa"/>
          </w:tcPr>
          <w:p w14:paraId="2734C028" w14:textId="5C268A3C" w:rsidR="000E629C" w:rsidRPr="002B5252" w:rsidRDefault="000E629C" w:rsidP="00BE5244">
            <w:pPr>
              <w:jc w:val="both"/>
              <w:rPr>
                <w:rFonts w:asciiTheme="minorHAnsi" w:hAnsiTheme="minorHAnsi" w:cstheme="minorHAnsi"/>
                <w:b/>
                <w:sz w:val="22"/>
                <w:szCs w:val="22"/>
              </w:rPr>
            </w:pPr>
            <w:r w:rsidRPr="007F7769">
              <w:rPr>
                <w:rFonts w:asciiTheme="minorHAnsi" w:hAnsiTheme="minorHAnsi" w:cstheme="minorHAnsi"/>
                <w:b/>
                <w:sz w:val="22"/>
                <w:szCs w:val="22"/>
              </w:rPr>
              <w:t xml:space="preserve">Sous-critère </w:t>
            </w:r>
            <w:r>
              <w:rPr>
                <w:rFonts w:asciiTheme="minorHAnsi" w:hAnsiTheme="minorHAnsi" w:cstheme="minorHAnsi"/>
                <w:b/>
                <w:sz w:val="22"/>
                <w:szCs w:val="22"/>
              </w:rPr>
              <w:t>3</w:t>
            </w:r>
            <w:r w:rsidRPr="007F7769">
              <w:rPr>
                <w:rFonts w:asciiTheme="minorHAnsi" w:hAnsiTheme="minorHAnsi" w:cstheme="minorHAnsi"/>
                <w:b/>
                <w:sz w:val="22"/>
                <w:szCs w:val="22"/>
              </w:rPr>
              <w:t> :</w:t>
            </w:r>
            <w:r>
              <w:rPr>
                <w:rFonts w:asciiTheme="minorHAnsi" w:hAnsiTheme="minorHAnsi" w:cstheme="minorHAnsi"/>
                <w:b/>
                <w:sz w:val="22"/>
                <w:szCs w:val="22"/>
              </w:rPr>
              <w:t xml:space="preserve"> Qualité des fournitures proposées au regard des fiches techniques de chaque référence</w:t>
            </w:r>
          </w:p>
        </w:tc>
        <w:tc>
          <w:tcPr>
            <w:tcW w:w="2692" w:type="dxa"/>
          </w:tcPr>
          <w:p w14:paraId="2DBC9620" w14:textId="77777777" w:rsidR="000E629C" w:rsidRDefault="000E629C" w:rsidP="00D702AA">
            <w:pPr>
              <w:jc w:val="center"/>
              <w:rPr>
                <w:rFonts w:asciiTheme="minorHAnsi" w:hAnsiTheme="minorHAnsi" w:cstheme="minorHAnsi"/>
                <w:b/>
                <w:sz w:val="22"/>
                <w:szCs w:val="22"/>
              </w:rPr>
            </w:pPr>
          </w:p>
          <w:p w14:paraId="36D80A10" w14:textId="77777777" w:rsidR="000E629C" w:rsidRPr="007F7769" w:rsidRDefault="000E629C" w:rsidP="00D702AA">
            <w:pPr>
              <w:jc w:val="center"/>
              <w:rPr>
                <w:rFonts w:asciiTheme="minorHAnsi" w:hAnsiTheme="minorHAnsi" w:cstheme="minorHAnsi"/>
                <w:b/>
                <w:sz w:val="22"/>
                <w:szCs w:val="22"/>
              </w:rPr>
            </w:pPr>
            <w:r>
              <w:rPr>
                <w:rFonts w:asciiTheme="minorHAnsi" w:hAnsiTheme="minorHAnsi" w:cstheme="minorHAnsi"/>
                <w:b/>
                <w:sz w:val="22"/>
                <w:szCs w:val="22"/>
              </w:rPr>
              <w:t>20</w:t>
            </w:r>
          </w:p>
        </w:tc>
      </w:tr>
      <w:tr w:rsidR="000E629C" w:rsidRPr="0006068D" w14:paraId="3B9CEE90" w14:textId="77777777" w:rsidTr="000E629C">
        <w:tc>
          <w:tcPr>
            <w:tcW w:w="5837" w:type="dxa"/>
          </w:tcPr>
          <w:p w14:paraId="44402CCD" w14:textId="77777777" w:rsidR="000E629C" w:rsidRPr="007F7769" w:rsidRDefault="000E629C" w:rsidP="00D702AA">
            <w:pPr>
              <w:jc w:val="right"/>
              <w:rPr>
                <w:rFonts w:asciiTheme="minorHAnsi" w:hAnsiTheme="minorHAnsi" w:cstheme="minorHAnsi"/>
                <w:b/>
                <w:sz w:val="22"/>
                <w:szCs w:val="22"/>
              </w:rPr>
            </w:pPr>
            <w:r w:rsidRPr="007F7769">
              <w:rPr>
                <w:rFonts w:asciiTheme="minorHAnsi" w:hAnsiTheme="minorHAnsi" w:cstheme="minorHAnsi"/>
                <w:b/>
                <w:sz w:val="22"/>
                <w:szCs w:val="22"/>
              </w:rPr>
              <w:t>TOTAL</w:t>
            </w:r>
          </w:p>
        </w:tc>
        <w:tc>
          <w:tcPr>
            <w:tcW w:w="2692" w:type="dxa"/>
          </w:tcPr>
          <w:p w14:paraId="6D03889D" w14:textId="77777777" w:rsidR="000E629C" w:rsidRPr="007F7769" w:rsidRDefault="000E629C" w:rsidP="00D702AA">
            <w:pPr>
              <w:jc w:val="center"/>
              <w:rPr>
                <w:rFonts w:asciiTheme="minorHAnsi" w:hAnsiTheme="minorHAnsi" w:cstheme="minorHAnsi"/>
                <w:b/>
                <w:sz w:val="22"/>
                <w:szCs w:val="22"/>
              </w:rPr>
            </w:pPr>
            <w:r>
              <w:rPr>
                <w:rFonts w:asciiTheme="minorHAnsi" w:hAnsiTheme="minorHAnsi" w:cstheme="minorHAnsi"/>
                <w:b/>
                <w:sz w:val="22"/>
                <w:szCs w:val="22"/>
              </w:rPr>
              <w:t>6</w:t>
            </w:r>
            <w:r w:rsidRPr="007F7769">
              <w:rPr>
                <w:rFonts w:asciiTheme="minorHAnsi" w:hAnsiTheme="minorHAnsi" w:cstheme="minorHAnsi"/>
                <w:b/>
                <w:sz w:val="22"/>
                <w:szCs w:val="22"/>
              </w:rPr>
              <w:t>0</w:t>
            </w:r>
          </w:p>
        </w:tc>
      </w:tr>
    </w:tbl>
    <w:p w14:paraId="15B5C580" w14:textId="17B9DE2D" w:rsidR="00134851"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Pr="006D6A03">
        <w:rPr>
          <w:rFonts w:asciiTheme="minorHAnsi" w:hAnsiTheme="minorHAnsi" w:cstheme="minorHAnsi"/>
          <w:b/>
          <w:sz w:val="22"/>
          <w:szCs w:val="22"/>
        </w:rPr>
        <w:t>60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84" w:name="_Toc180418406"/>
      <w:r w:rsidRPr="0006068D">
        <w:rPr>
          <w:rFonts w:asciiTheme="minorHAnsi" w:hAnsiTheme="minorHAnsi" w:cstheme="minorHAnsi"/>
          <w:sz w:val="22"/>
          <w:szCs w:val="22"/>
          <w:u w:val="single"/>
        </w:rPr>
        <w:t>Négociations</w:t>
      </w:r>
      <w:bookmarkEnd w:id="84"/>
    </w:p>
    <w:p w14:paraId="3B8CB715" w14:textId="6C771A53"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167A696F" w14:textId="5648A440" w:rsidR="00915372" w:rsidRPr="0050210D" w:rsidRDefault="000A457A" w:rsidP="0050210D">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85" w:name="_Toc180418407"/>
      <w:r w:rsidRPr="0006068D">
        <w:rPr>
          <w:rFonts w:asciiTheme="minorHAnsi" w:hAnsiTheme="minorHAnsi" w:cstheme="minorHAnsi"/>
          <w:sz w:val="22"/>
          <w:szCs w:val="22"/>
          <w:u w:val="single"/>
        </w:rPr>
        <w:t>Attribution</w:t>
      </w:r>
      <w:bookmarkEnd w:id="85"/>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43C5435F" w:rsidR="004D69D4"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1B65D2C" w14:textId="77777777" w:rsidR="004D69D4" w:rsidRDefault="004D69D4">
      <w:pPr>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5197B345" w14:textId="77777777" w:rsidR="00A60E9D" w:rsidRDefault="00A60E9D" w:rsidP="00403232">
      <w:pPr>
        <w:spacing w:before="120" w:line="240" w:lineRule="auto"/>
        <w:jc w:val="both"/>
        <w:rPr>
          <w:rFonts w:asciiTheme="minorHAnsi" w:hAnsiTheme="minorHAnsi" w:cstheme="minorHAnsi"/>
          <w:color w:val="000000"/>
          <w:sz w:val="22"/>
          <w:szCs w:val="22"/>
        </w:rPr>
      </w:pPr>
    </w:p>
    <w:p w14:paraId="2B1A5EA9" w14:textId="77777777" w:rsidR="00134851" w:rsidRPr="00A60E9D" w:rsidRDefault="00134851" w:rsidP="00403232">
      <w:pPr>
        <w:spacing w:before="120" w:line="240" w:lineRule="auto"/>
        <w:jc w:val="both"/>
        <w:rPr>
          <w:rFonts w:asciiTheme="minorHAnsi" w:hAnsiTheme="minorHAnsi" w:cstheme="minorHAnsi"/>
          <w:color w:val="000000"/>
          <w:sz w:val="22"/>
          <w:szCs w:val="22"/>
        </w:rPr>
      </w:pP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86" w:name="_Toc491193515"/>
      <w:bookmarkStart w:id="87" w:name="_Toc491193970"/>
      <w:bookmarkStart w:id="88" w:name="_Toc180418408"/>
      <w:bookmarkEnd w:id="86"/>
      <w:bookmarkEnd w:id="87"/>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88"/>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89" w:name="_Toc180418409"/>
      <w:r w:rsidRPr="0006068D">
        <w:rPr>
          <w:rFonts w:asciiTheme="minorHAnsi" w:hAnsiTheme="minorHAnsi" w:cstheme="minorHAnsi"/>
          <w:sz w:val="22"/>
          <w:szCs w:val="22"/>
          <w:u w:val="single"/>
        </w:rPr>
        <w:t>Identité et coordonnées du responsable de traitement et de son représentant :</w:t>
      </w:r>
      <w:bookmarkEnd w:id="89"/>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0" w:name="_Toc180418410"/>
      <w:r w:rsidRPr="0006068D">
        <w:rPr>
          <w:rFonts w:asciiTheme="minorHAnsi" w:hAnsiTheme="minorHAnsi" w:cstheme="minorHAnsi"/>
          <w:sz w:val="22"/>
          <w:szCs w:val="22"/>
          <w:u w:val="single"/>
        </w:rPr>
        <w:t>Pour la plateforme PLACE :</w:t>
      </w:r>
      <w:bookmarkEnd w:id="90"/>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1" w:name="_Toc180418411"/>
      <w:r w:rsidRPr="0006068D">
        <w:rPr>
          <w:rFonts w:asciiTheme="minorHAnsi" w:hAnsiTheme="minorHAnsi" w:cstheme="minorHAnsi"/>
          <w:sz w:val="22"/>
          <w:szCs w:val="22"/>
          <w:u w:val="single"/>
        </w:rPr>
        <w:t>Coordonnées du délégué à la protection des données personnelles :</w:t>
      </w:r>
      <w:bookmarkEnd w:id="91"/>
    </w:p>
    <w:p w14:paraId="4A91DEFE" w14:textId="5924A205" w:rsidR="00FB79BF" w:rsidRPr="0006068D" w:rsidRDefault="00E352AB"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le-delegue-a-la-protection-des-donnees-personnelles@finances.gouv.fr</w:t>
        </w:r>
      </w:hyperlink>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2" w:name="_Toc180418412"/>
      <w:r w:rsidRPr="0006068D">
        <w:rPr>
          <w:rFonts w:asciiTheme="minorHAnsi" w:hAnsiTheme="minorHAnsi" w:cstheme="minorHAnsi"/>
          <w:sz w:val="22"/>
          <w:szCs w:val="22"/>
          <w:u w:val="single"/>
        </w:rPr>
        <w:t>Pour l’autorité contractante :</w:t>
      </w:r>
      <w:bookmarkEnd w:id="92"/>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3" w:name="_Toc180418413"/>
      <w:r w:rsidRPr="0006068D">
        <w:rPr>
          <w:rFonts w:asciiTheme="minorHAnsi" w:hAnsiTheme="minorHAnsi" w:cstheme="minorHAnsi"/>
          <w:sz w:val="22"/>
          <w:szCs w:val="22"/>
          <w:u w:val="single"/>
        </w:rPr>
        <w:t>Coordonnées du délégué à la protection des données personnelles :</w:t>
      </w:r>
      <w:bookmarkEnd w:id="93"/>
    </w:p>
    <w:p w14:paraId="48F60AE8" w14:textId="77777777" w:rsidR="00FB79BF" w:rsidRDefault="00E352AB" w:rsidP="0002417A">
      <w:pPr>
        <w:pStyle w:val="Default"/>
        <w:spacing w:before="120"/>
        <w:jc w:val="both"/>
        <w:rPr>
          <w:rFonts w:asciiTheme="minorHAnsi" w:hAnsiTheme="minorHAnsi" w:cstheme="minorHAnsi"/>
          <w:color w:val="auto"/>
          <w:sz w:val="22"/>
          <w:szCs w:val="22"/>
        </w:rPr>
      </w:pPr>
      <w:hyperlink r:id="rId16"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4" w:name="_Toc180418414"/>
      <w:r w:rsidRPr="00921E55">
        <w:rPr>
          <w:rFonts w:asciiTheme="minorHAnsi" w:hAnsiTheme="minorHAnsi" w:cstheme="minorHAnsi"/>
          <w:b/>
          <w:caps/>
          <w:sz w:val="28"/>
          <w:szCs w:val="22"/>
          <w:u w:val="single"/>
        </w:rPr>
        <w:t>AUTRES RENSEIGNEMENTS</w:t>
      </w:r>
      <w:bookmarkEnd w:id="94"/>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5" w:name="_Toc410899708"/>
      <w:bookmarkStart w:id="96" w:name="_Toc180418415"/>
      <w:r w:rsidRPr="0006068D">
        <w:rPr>
          <w:rFonts w:asciiTheme="minorHAnsi" w:hAnsiTheme="minorHAnsi" w:cstheme="minorHAnsi"/>
          <w:b/>
          <w:caps/>
          <w:sz w:val="28"/>
          <w:szCs w:val="22"/>
          <w:u w:val="single"/>
        </w:rPr>
        <w:t>Voies et délais de recours</w:t>
      </w:r>
      <w:bookmarkEnd w:id="95"/>
      <w:bookmarkEnd w:id="96"/>
    </w:p>
    <w:p w14:paraId="6A77F115" w14:textId="77777777" w:rsidR="00261023" w:rsidRDefault="00261023" w:rsidP="00FB7361">
      <w:pPr>
        <w:rPr>
          <w:rFonts w:asciiTheme="minorHAnsi" w:hAnsiTheme="minorHAnsi" w:cstheme="minorHAnsi"/>
          <w:sz w:val="22"/>
          <w:szCs w:val="22"/>
        </w:rPr>
      </w:pPr>
    </w:p>
    <w:p w14:paraId="488457DD" w14:textId="77777777" w:rsidR="00261023" w:rsidRDefault="00261023" w:rsidP="00261023">
      <w:pPr>
        <w:jc w:val="both"/>
        <w:rPr>
          <w:rFonts w:asciiTheme="minorHAnsi" w:hAnsiTheme="minorHAnsi" w:cstheme="minorHAnsi"/>
          <w:sz w:val="22"/>
          <w:szCs w:val="22"/>
        </w:rPr>
      </w:pPr>
      <w:r w:rsidRPr="00261023">
        <w:rPr>
          <w:rFonts w:asciiTheme="minorHAnsi" w:hAnsiTheme="minorHAnsi" w:cstheme="minorHAnsi"/>
          <w:sz w:val="22"/>
          <w:szCs w:val="22"/>
        </w:rPr>
        <w:t>Le marché doit être exécuté et interp</w:t>
      </w:r>
      <w:r>
        <w:rPr>
          <w:rFonts w:asciiTheme="minorHAnsi" w:hAnsiTheme="minorHAnsi" w:cstheme="minorHAnsi"/>
          <w:sz w:val="22"/>
          <w:szCs w:val="22"/>
        </w:rPr>
        <w:t>rété conformément au droit français</w:t>
      </w:r>
      <w:r w:rsidRPr="00261023">
        <w:rPr>
          <w:rFonts w:asciiTheme="minorHAnsi" w:hAnsiTheme="minorHAnsi" w:cstheme="minorHAnsi"/>
          <w:sz w:val="22"/>
          <w:szCs w:val="22"/>
        </w:rPr>
        <w:t xml:space="preserve">. </w:t>
      </w:r>
    </w:p>
    <w:p w14:paraId="1C82F795" w14:textId="77777777" w:rsidR="00261023" w:rsidRDefault="00261023" w:rsidP="00261023">
      <w:pPr>
        <w:jc w:val="both"/>
        <w:rPr>
          <w:rFonts w:asciiTheme="minorHAnsi" w:hAnsiTheme="minorHAnsi" w:cstheme="minorHAnsi"/>
          <w:sz w:val="22"/>
          <w:szCs w:val="22"/>
        </w:rPr>
      </w:pPr>
    </w:p>
    <w:p w14:paraId="34C79726" w14:textId="4140A7F3" w:rsidR="00261023" w:rsidRDefault="00261023" w:rsidP="00261023">
      <w:pPr>
        <w:jc w:val="both"/>
        <w:rPr>
          <w:rFonts w:asciiTheme="minorHAnsi" w:hAnsiTheme="minorHAnsi" w:cstheme="minorHAnsi"/>
          <w:sz w:val="22"/>
          <w:szCs w:val="22"/>
        </w:rPr>
      </w:pPr>
      <w:r w:rsidRPr="00261023">
        <w:rPr>
          <w:rFonts w:asciiTheme="minorHAnsi" w:hAnsiTheme="minorHAnsi" w:cstheme="minorHAnsi"/>
          <w:sz w:val="22"/>
          <w:szCs w:val="22"/>
        </w:rPr>
        <w:t>Les parties s’engagent à remplir de bonne foi leurs engagemen</w:t>
      </w:r>
      <w:r>
        <w:rPr>
          <w:rFonts w:asciiTheme="minorHAnsi" w:hAnsiTheme="minorHAnsi" w:cstheme="minorHAnsi"/>
          <w:sz w:val="22"/>
          <w:szCs w:val="22"/>
        </w:rPr>
        <w:t>ts en vue d’assurer la bonne exécution</w:t>
      </w:r>
      <w:r w:rsidRPr="00261023">
        <w:rPr>
          <w:rFonts w:asciiTheme="minorHAnsi" w:hAnsiTheme="minorHAnsi" w:cstheme="minorHAnsi"/>
          <w:sz w:val="22"/>
          <w:szCs w:val="22"/>
        </w:rPr>
        <w:t xml:space="preserve"> du marché. </w:t>
      </w:r>
    </w:p>
    <w:p w14:paraId="1B047A84" w14:textId="77777777" w:rsidR="00261023" w:rsidRDefault="00261023" w:rsidP="00261023">
      <w:pPr>
        <w:jc w:val="both"/>
        <w:rPr>
          <w:rFonts w:asciiTheme="minorHAnsi" w:hAnsiTheme="minorHAnsi" w:cstheme="minorHAnsi"/>
          <w:sz w:val="22"/>
          <w:szCs w:val="22"/>
        </w:rPr>
      </w:pPr>
    </w:p>
    <w:p w14:paraId="273F6085" w14:textId="3D600A14" w:rsidR="00261023" w:rsidRPr="00261023" w:rsidRDefault="00261023" w:rsidP="00261023">
      <w:pPr>
        <w:jc w:val="both"/>
        <w:rPr>
          <w:rFonts w:asciiTheme="minorHAnsi" w:hAnsiTheme="minorHAnsi" w:cstheme="minorHAnsi"/>
          <w:sz w:val="22"/>
          <w:szCs w:val="22"/>
        </w:rPr>
      </w:pPr>
      <w:r w:rsidRPr="00261023">
        <w:rPr>
          <w:rFonts w:asciiTheme="minorHAnsi" w:hAnsiTheme="minorHAnsi" w:cstheme="minorHAnsi"/>
          <w:sz w:val="22"/>
          <w:szCs w:val="22"/>
        </w:rPr>
        <w:t>En cas de litige ou de divergence d’opinion, les parties se concerteront pour trouver une solution</w:t>
      </w:r>
      <w:r>
        <w:rPr>
          <w:rFonts w:asciiTheme="minorHAnsi" w:hAnsiTheme="minorHAnsi" w:cstheme="minorHAnsi"/>
          <w:sz w:val="22"/>
          <w:szCs w:val="22"/>
        </w:rPr>
        <w:t xml:space="preserve"> amiable</w:t>
      </w:r>
      <w:r w:rsidRPr="00261023">
        <w:rPr>
          <w:rFonts w:asciiTheme="minorHAnsi" w:hAnsiTheme="minorHAnsi" w:cstheme="minorHAnsi"/>
          <w:sz w:val="22"/>
          <w:szCs w:val="22"/>
        </w:rPr>
        <w:t xml:space="preserve">. À défaut d’accord, les tribunaux de </w:t>
      </w:r>
      <w:r>
        <w:rPr>
          <w:rFonts w:asciiTheme="minorHAnsi" w:hAnsiTheme="minorHAnsi" w:cstheme="minorHAnsi"/>
          <w:sz w:val="22"/>
          <w:szCs w:val="22"/>
        </w:rPr>
        <w:t>Paris</w:t>
      </w:r>
      <w:r w:rsidRPr="00261023">
        <w:rPr>
          <w:rFonts w:asciiTheme="minorHAnsi" w:hAnsiTheme="minorHAnsi" w:cstheme="minorHAnsi"/>
          <w:sz w:val="22"/>
          <w:szCs w:val="22"/>
        </w:rPr>
        <w:t xml:space="preserve"> sont seuls compétents pour trouver une solution</w:t>
      </w:r>
    </w:p>
    <w:p w14:paraId="66A616B6" w14:textId="77777777" w:rsidR="00FB7361" w:rsidRPr="00FB7361" w:rsidRDefault="00FB7361" w:rsidP="00FB7361">
      <w:pPr>
        <w:rPr>
          <w:rFonts w:asciiTheme="minorHAnsi" w:hAnsiTheme="minorHAnsi" w:cstheme="minorHAnsi"/>
          <w:sz w:val="22"/>
          <w:szCs w:val="22"/>
        </w:rPr>
      </w:pPr>
    </w:p>
    <w:p w14:paraId="54F5A54B" w14:textId="77777777" w:rsidR="00FB7361" w:rsidRPr="00E23E75" w:rsidRDefault="00FB7361" w:rsidP="00B32F8E">
      <w:pPr>
        <w:jc w:val="both"/>
        <w:rPr>
          <w:rFonts w:asciiTheme="minorHAnsi" w:hAnsiTheme="minorHAnsi" w:cstheme="minorHAnsi"/>
          <w:szCs w:val="22"/>
        </w:rPr>
      </w:pPr>
    </w:p>
    <w:sectPr w:rsidR="00FB7361" w:rsidRPr="00E23E75" w:rsidSect="00CA5CD2">
      <w:headerReference w:type="default" r:id="rId17"/>
      <w:footerReference w:type="even" r:id="rId18"/>
      <w:footerReference w:type="default" r:id="rId19"/>
      <w:headerReference w:type="first" r:id="rId20"/>
      <w:footerReference w:type="first" r:id="rId21"/>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FC2BB" w14:textId="77777777" w:rsidR="00E352AB" w:rsidRDefault="00E352AB">
      <w:r>
        <w:separator/>
      </w:r>
    </w:p>
  </w:endnote>
  <w:endnote w:type="continuationSeparator" w:id="0">
    <w:p w14:paraId="3858AF50" w14:textId="77777777" w:rsidR="00E352AB" w:rsidRDefault="00E3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4D69D4" w:rsidRDefault="004D69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4D69D4" w:rsidRDefault="004D69D4">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4D69D4" w:rsidRPr="00EE0FDD" w:rsidRDefault="004D69D4"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1BABED1D" w:rsidR="004D69D4" w:rsidRPr="0036169C" w:rsidRDefault="00E352AB"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4D69D4" w:rsidRPr="0036169C">
          <w:rPr>
            <w:rFonts w:asciiTheme="minorHAnsi" w:hAnsiTheme="minorHAnsi"/>
            <w:sz w:val="22"/>
            <w:szCs w:val="22"/>
          </w:rPr>
          <w:tab/>
          <w:t xml:space="preserve">Page </w:t>
        </w:r>
        <w:r w:rsidR="004D69D4" w:rsidRPr="0036169C">
          <w:rPr>
            <w:rFonts w:asciiTheme="minorHAnsi" w:hAnsiTheme="minorHAnsi"/>
            <w:b/>
            <w:bCs/>
            <w:sz w:val="22"/>
            <w:szCs w:val="22"/>
          </w:rPr>
          <w:fldChar w:fldCharType="begin"/>
        </w:r>
        <w:r w:rsidR="004D69D4" w:rsidRPr="0036169C">
          <w:rPr>
            <w:rFonts w:asciiTheme="minorHAnsi" w:hAnsiTheme="minorHAnsi"/>
            <w:b/>
            <w:bCs/>
            <w:sz w:val="22"/>
            <w:szCs w:val="22"/>
          </w:rPr>
          <w:instrText>PAGE</w:instrText>
        </w:r>
        <w:r w:rsidR="004D69D4" w:rsidRPr="0036169C">
          <w:rPr>
            <w:rFonts w:asciiTheme="minorHAnsi" w:hAnsiTheme="minorHAnsi"/>
            <w:b/>
            <w:bCs/>
            <w:sz w:val="22"/>
            <w:szCs w:val="22"/>
          </w:rPr>
          <w:fldChar w:fldCharType="separate"/>
        </w:r>
        <w:r w:rsidR="00BF626C">
          <w:rPr>
            <w:rFonts w:asciiTheme="minorHAnsi" w:hAnsiTheme="minorHAnsi"/>
            <w:b/>
            <w:bCs/>
            <w:noProof/>
            <w:sz w:val="22"/>
            <w:szCs w:val="22"/>
          </w:rPr>
          <w:t>3</w:t>
        </w:r>
        <w:r w:rsidR="004D69D4" w:rsidRPr="0036169C">
          <w:rPr>
            <w:rFonts w:asciiTheme="minorHAnsi" w:hAnsiTheme="minorHAnsi"/>
            <w:b/>
            <w:bCs/>
            <w:sz w:val="22"/>
            <w:szCs w:val="22"/>
          </w:rPr>
          <w:fldChar w:fldCharType="end"/>
        </w:r>
        <w:r w:rsidR="004D69D4" w:rsidRPr="0036169C">
          <w:rPr>
            <w:rFonts w:asciiTheme="minorHAnsi" w:hAnsiTheme="minorHAnsi"/>
            <w:sz w:val="22"/>
            <w:szCs w:val="22"/>
          </w:rPr>
          <w:t xml:space="preserve"> sur </w:t>
        </w:r>
        <w:r w:rsidR="004D69D4" w:rsidRPr="0036169C">
          <w:rPr>
            <w:rFonts w:asciiTheme="minorHAnsi" w:hAnsiTheme="minorHAnsi"/>
            <w:b/>
            <w:bCs/>
            <w:sz w:val="22"/>
            <w:szCs w:val="22"/>
          </w:rPr>
          <w:fldChar w:fldCharType="begin"/>
        </w:r>
        <w:r w:rsidR="004D69D4" w:rsidRPr="0036169C">
          <w:rPr>
            <w:rFonts w:asciiTheme="minorHAnsi" w:hAnsiTheme="minorHAnsi"/>
            <w:b/>
            <w:bCs/>
            <w:sz w:val="22"/>
            <w:szCs w:val="22"/>
          </w:rPr>
          <w:instrText>NUMPAGES</w:instrText>
        </w:r>
        <w:r w:rsidR="004D69D4" w:rsidRPr="0036169C">
          <w:rPr>
            <w:rFonts w:asciiTheme="minorHAnsi" w:hAnsiTheme="minorHAnsi"/>
            <w:b/>
            <w:bCs/>
            <w:sz w:val="22"/>
            <w:szCs w:val="22"/>
          </w:rPr>
          <w:fldChar w:fldCharType="separate"/>
        </w:r>
        <w:r w:rsidR="00BF626C">
          <w:rPr>
            <w:rFonts w:asciiTheme="minorHAnsi" w:hAnsiTheme="minorHAnsi"/>
            <w:b/>
            <w:bCs/>
            <w:noProof/>
            <w:sz w:val="22"/>
            <w:szCs w:val="22"/>
          </w:rPr>
          <w:t>12</w:t>
        </w:r>
        <w:r w:rsidR="004D69D4"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4D69D4" w:rsidRPr="00825775" w:rsidRDefault="004D69D4"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341433B1" w:rsidR="004D69D4" w:rsidRPr="00825775" w:rsidRDefault="00E352AB"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4D69D4">
                  <w:rPr>
                    <w:rFonts w:asciiTheme="minorHAnsi" w:hAnsiTheme="minorHAnsi" w:cstheme="minorHAnsi"/>
                    <w:sz w:val="22"/>
                    <w:szCs w:val="22"/>
                  </w:rPr>
                  <w:t>RC_</w:t>
                </w:r>
                <w:r w:rsidR="004D69D4" w:rsidRPr="00C0652F">
                  <w:rPr>
                    <w:rFonts w:asciiTheme="minorHAnsi" w:hAnsiTheme="minorHAnsi"/>
                    <w:smallCaps/>
                    <w:sz w:val="22"/>
                    <w:szCs w:val="22"/>
                  </w:rPr>
                  <w:t>24-MR8099</w:t>
                </w:r>
                <w:r w:rsidR="004D69D4" w:rsidRPr="00C0652F">
                  <w:rPr>
                    <w:rFonts w:asciiTheme="minorHAnsi" w:hAnsiTheme="minorHAnsi"/>
                    <w:sz w:val="22"/>
                    <w:szCs w:val="22"/>
                  </w:rPr>
                  <w:t>_</w:t>
                </w:r>
                <w:r w:rsidR="00BF626C">
                  <w:rPr>
                    <w:rFonts w:asciiTheme="minorHAnsi" w:hAnsiTheme="minorHAnsi"/>
                    <w:sz w:val="22"/>
                    <w:szCs w:val="22"/>
                  </w:rPr>
                  <w:t>Fourniture de m</w:t>
                </w:r>
                <w:r w:rsidR="004D69D4" w:rsidRPr="00C0652F">
                  <w:rPr>
                    <w:rFonts w:asciiTheme="minorHAnsi" w:hAnsiTheme="minorHAnsi"/>
                    <w:sz w:val="22"/>
                    <w:szCs w:val="22"/>
                  </w:rPr>
                  <w:t>atériel, consommables informatiques</w:t>
                </w:r>
                <w:r w:rsidR="00BF626C">
                  <w:rPr>
                    <w:rFonts w:asciiTheme="minorHAnsi" w:hAnsiTheme="minorHAnsi"/>
                    <w:sz w:val="22"/>
                    <w:szCs w:val="22"/>
                  </w:rPr>
                  <w:t xml:space="preserve"> </w:t>
                </w:r>
                <w:r w:rsidR="004D69D4">
                  <w:rPr>
                    <w:rFonts w:asciiTheme="minorHAnsi" w:hAnsiTheme="minorHAnsi"/>
                    <w:sz w:val="22"/>
                    <w:szCs w:val="22"/>
                  </w:rPr>
                  <w:t>_</w:t>
                </w:r>
                <w:r w:rsidR="00BF626C">
                  <w:rPr>
                    <w:rFonts w:asciiTheme="minorHAnsi" w:hAnsiTheme="minorHAnsi"/>
                    <w:sz w:val="22"/>
                    <w:szCs w:val="22"/>
                  </w:rPr>
                  <w:t xml:space="preserve"> </w:t>
                </w:r>
                <w:r w:rsidR="004D69D4">
                  <w:rPr>
                    <w:rFonts w:asciiTheme="minorHAnsi" w:hAnsiTheme="minorHAnsi"/>
                    <w:sz w:val="22"/>
                    <w:szCs w:val="22"/>
                  </w:rPr>
                  <w:t>Laboh-Kin</w:t>
                </w:r>
                <w:r w:rsidR="004D69D4" w:rsidRPr="00825775">
                  <w:rPr>
                    <w:rFonts w:asciiTheme="minorHAnsi" w:hAnsiTheme="minorHAnsi" w:cstheme="minorHAnsi"/>
                    <w:sz w:val="22"/>
                    <w:szCs w:val="22"/>
                  </w:rPr>
                  <w:tab/>
                </w:r>
              </w:sdtContent>
            </w:sdt>
          </w:p>
          <w:p w14:paraId="0A77421D" w14:textId="52B633F5" w:rsidR="004D69D4" w:rsidRPr="00825775" w:rsidRDefault="004D69D4"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Octobre 2024</w:t>
            </w:r>
          </w:p>
          <w:p w14:paraId="57BF858C" w14:textId="77777777" w:rsidR="004D69D4" w:rsidRPr="00825775" w:rsidRDefault="004D69D4" w:rsidP="007D74CD">
            <w:pPr>
              <w:pStyle w:val="Pieddepage"/>
              <w:spacing w:line="240" w:lineRule="exact"/>
              <w:rPr>
                <w:rFonts w:asciiTheme="minorHAnsi" w:hAnsiTheme="minorHAnsi" w:cstheme="minorHAnsi"/>
                <w:b/>
                <w:sz w:val="22"/>
                <w:szCs w:val="22"/>
              </w:rPr>
            </w:pPr>
            <w:bookmarkStart w:id="2" w:name="_GoBack"/>
            <w:bookmarkEnd w:id="2"/>
          </w:p>
          <w:p w14:paraId="7660B93D" w14:textId="4962C7BB" w:rsidR="004D69D4" w:rsidRPr="00825775" w:rsidRDefault="004D69D4"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4D69D4" w:rsidRDefault="004D69D4">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4D69D4" w:rsidRDefault="004D69D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D80AA88" w:rsidR="004D69D4" w:rsidRPr="00FB089A" w:rsidRDefault="00E352AB"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4D69D4">
          <w:rPr>
            <w:rFonts w:asciiTheme="minorHAnsi" w:hAnsiTheme="minorHAnsi"/>
            <w:sz w:val="22"/>
            <w:szCs w:val="22"/>
          </w:rPr>
          <w:tab/>
          <w:t xml:space="preserve">Page </w:t>
        </w:r>
        <w:r w:rsidR="004D69D4">
          <w:rPr>
            <w:rFonts w:asciiTheme="minorHAnsi" w:hAnsiTheme="minorHAnsi"/>
            <w:b/>
            <w:bCs/>
            <w:sz w:val="22"/>
            <w:szCs w:val="22"/>
          </w:rPr>
          <w:fldChar w:fldCharType="begin"/>
        </w:r>
        <w:r w:rsidR="004D69D4">
          <w:rPr>
            <w:rFonts w:asciiTheme="minorHAnsi" w:hAnsiTheme="minorHAnsi"/>
            <w:b/>
            <w:bCs/>
            <w:sz w:val="22"/>
            <w:szCs w:val="22"/>
          </w:rPr>
          <w:instrText>PAGE</w:instrText>
        </w:r>
        <w:r w:rsidR="004D69D4">
          <w:rPr>
            <w:rFonts w:asciiTheme="minorHAnsi" w:hAnsiTheme="minorHAnsi"/>
            <w:b/>
            <w:bCs/>
            <w:sz w:val="22"/>
            <w:szCs w:val="22"/>
          </w:rPr>
          <w:fldChar w:fldCharType="separate"/>
        </w:r>
        <w:r w:rsidR="00BF626C">
          <w:rPr>
            <w:rFonts w:asciiTheme="minorHAnsi" w:hAnsiTheme="minorHAnsi"/>
            <w:b/>
            <w:bCs/>
            <w:noProof/>
            <w:sz w:val="22"/>
            <w:szCs w:val="22"/>
          </w:rPr>
          <w:t>12</w:t>
        </w:r>
        <w:r w:rsidR="004D69D4">
          <w:rPr>
            <w:rFonts w:asciiTheme="minorHAnsi" w:hAnsiTheme="minorHAnsi"/>
            <w:b/>
            <w:bCs/>
            <w:sz w:val="22"/>
            <w:szCs w:val="22"/>
          </w:rPr>
          <w:fldChar w:fldCharType="end"/>
        </w:r>
        <w:r w:rsidR="004D69D4">
          <w:rPr>
            <w:rFonts w:asciiTheme="minorHAnsi" w:hAnsiTheme="minorHAnsi"/>
            <w:sz w:val="22"/>
            <w:szCs w:val="22"/>
          </w:rPr>
          <w:t xml:space="preserve"> sur </w:t>
        </w:r>
        <w:r w:rsidR="004D69D4">
          <w:rPr>
            <w:rFonts w:asciiTheme="minorHAnsi" w:hAnsiTheme="minorHAnsi"/>
            <w:b/>
            <w:bCs/>
            <w:sz w:val="22"/>
            <w:szCs w:val="22"/>
          </w:rPr>
          <w:fldChar w:fldCharType="begin"/>
        </w:r>
        <w:r w:rsidR="004D69D4">
          <w:rPr>
            <w:rFonts w:asciiTheme="minorHAnsi" w:hAnsiTheme="minorHAnsi"/>
            <w:b/>
            <w:bCs/>
            <w:sz w:val="22"/>
            <w:szCs w:val="22"/>
          </w:rPr>
          <w:instrText>NUMPAGES</w:instrText>
        </w:r>
        <w:r w:rsidR="004D69D4">
          <w:rPr>
            <w:rFonts w:asciiTheme="minorHAnsi" w:hAnsiTheme="minorHAnsi"/>
            <w:b/>
            <w:bCs/>
            <w:sz w:val="22"/>
            <w:szCs w:val="22"/>
          </w:rPr>
          <w:fldChar w:fldCharType="separate"/>
        </w:r>
        <w:r w:rsidR="00BF626C">
          <w:rPr>
            <w:rFonts w:asciiTheme="minorHAnsi" w:hAnsiTheme="minorHAnsi"/>
            <w:b/>
            <w:bCs/>
            <w:noProof/>
            <w:sz w:val="22"/>
            <w:szCs w:val="22"/>
          </w:rPr>
          <w:t>12</w:t>
        </w:r>
        <w:r w:rsidR="004D69D4">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4D69D4" w:rsidRDefault="004D69D4"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5FEAA634" w:rsidR="004D69D4" w:rsidRPr="00825775" w:rsidRDefault="00E352AB"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4D69D4">
                  <w:rPr>
                    <w:rFonts w:asciiTheme="minorHAnsi" w:hAnsiTheme="minorHAnsi"/>
                    <w:sz w:val="22"/>
                    <w:szCs w:val="22"/>
                  </w:rPr>
                  <w:tab/>
                  <w:t xml:space="preserve">Page </w:t>
                </w:r>
                <w:r w:rsidR="004D69D4">
                  <w:rPr>
                    <w:rFonts w:asciiTheme="minorHAnsi" w:hAnsiTheme="minorHAnsi"/>
                    <w:b/>
                    <w:bCs/>
                    <w:sz w:val="22"/>
                    <w:szCs w:val="22"/>
                  </w:rPr>
                  <w:fldChar w:fldCharType="begin"/>
                </w:r>
                <w:r w:rsidR="004D69D4">
                  <w:rPr>
                    <w:rFonts w:asciiTheme="minorHAnsi" w:hAnsiTheme="minorHAnsi"/>
                    <w:b/>
                    <w:bCs/>
                    <w:sz w:val="22"/>
                    <w:szCs w:val="22"/>
                  </w:rPr>
                  <w:instrText>PAGE</w:instrText>
                </w:r>
                <w:r w:rsidR="004D69D4">
                  <w:rPr>
                    <w:rFonts w:asciiTheme="minorHAnsi" w:hAnsiTheme="minorHAnsi"/>
                    <w:b/>
                    <w:bCs/>
                    <w:sz w:val="22"/>
                    <w:szCs w:val="22"/>
                  </w:rPr>
                  <w:fldChar w:fldCharType="separate"/>
                </w:r>
                <w:r w:rsidR="00BF626C">
                  <w:rPr>
                    <w:rFonts w:asciiTheme="minorHAnsi" w:hAnsiTheme="minorHAnsi"/>
                    <w:b/>
                    <w:bCs/>
                    <w:noProof/>
                    <w:sz w:val="22"/>
                    <w:szCs w:val="22"/>
                  </w:rPr>
                  <w:t>4</w:t>
                </w:r>
                <w:r w:rsidR="004D69D4">
                  <w:rPr>
                    <w:rFonts w:asciiTheme="minorHAnsi" w:hAnsiTheme="minorHAnsi"/>
                    <w:b/>
                    <w:bCs/>
                    <w:sz w:val="22"/>
                    <w:szCs w:val="22"/>
                  </w:rPr>
                  <w:fldChar w:fldCharType="end"/>
                </w:r>
                <w:r w:rsidR="004D69D4">
                  <w:rPr>
                    <w:rFonts w:asciiTheme="minorHAnsi" w:hAnsiTheme="minorHAnsi"/>
                    <w:sz w:val="22"/>
                    <w:szCs w:val="22"/>
                  </w:rPr>
                  <w:t xml:space="preserve"> sur </w:t>
                </w:r>
                <w:r w:rsidR="004D69D4">
                  <w:rPr>
                    <w:rFonts w:asciiTheme="minorHAnsi" w:hAnsiTheme="minorHAnsi"/>
                    <w:b/>
                    <w:bCs/>
                    <w:sz w:val="22"/>
                    <w:szCs w:val="22"/>
                  </w:rPr>
                  <w:fldChar w:fldCharType="begin"/>
                </w:r>
                <w:r w:rsidR="004D69D4">
                  <w:rPr>
                    <w:rFonts w:asciiTheme="minorHAnsi" w:hAnsiTheme="minorHAnsi"/>
                    <w:b/>
                    <w:bCs/>
                    <w:sz w:val="22"/>
                    <w:szCs w:val="22"/>
                  </w:rPr>
                  <w:instrText>NUMPAGES</w:instrText>
                </w:r>
                <w:r w:rsidR="004D69D4">
                  <w:rPr>
                    <w:rFonts w:asciiTheme="minorHAnsi" w:hAnsiTheme="minorHAnsi"/>
                    <w:b/>
                    <w:bCs/>
                    <w:sz w:val="22"/>
                    <w:szCs w:val="22"/>
                  </w:rPr>
                  <w:fldChar w:fldCharType="separate"/>
                </w:r>
                <w:r w:rsidR="00BF626C">
                  <w:rPr>
                    <w:rFonts w:asciiTheme="minorHAnsi" w:hAnsiTheme="minorHAnsi"/>
                    <w:b/>
                    <w:bCs/>
                    <w:noProof/>
                    <w:sz w:val="22"/>
                    <w:szCs w:val="22"/>
                  </w:rPr>
                  <w:t>12</w:t>
                </w:r>
                <w:r w:rsidR="004D69D4">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D002A" w14:textId="77777777" w:rsidR="00E352AB" w:rsidRDefault="00E352AB">
      <w:r>
        <w:separator/>
      </w:r>
    </w:p>
  </w:footnote>
  <w:footnote w:type="continuationSeparator" w:id="0">
    <w:p w14:paraId="08F25292" w14:textId="77777777" w:rsidR="00E352AB" w:rsidRDefault="00E352AB">
      <w:r>
        <w:continuationSeparator/>
      </w:r>
    </w:p>
  </w:footnote>
  <w:footnote w:id="1">
    <w:p w14:paraId="047663AC" w14:textId="7BDA2A25" w:rsidR="004D69D4" w:rsidRPr="0006068D" w:rsidRDefault="004D69D4">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430D" w14:textId="77777777" w:rsidR="00BF626C" w:rsidRDefault="00BF626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4D69D4" w:rsidRDefault="004D69D4" w:rsidP="00FB089A">
    <w:pPr>
      <w:pStyle w:val="En-tte"/>
      <w:tabs>
        <w:tab w:val="clear" w:pos="9072"/>
        <w:tab w:val="right" w:pos="9339"/>
      </w:tabs>
      <w:rPr>
        <w:rFonts w:ascii="Calibri" w:hAnsi="Calibri"/>
        <w:bCs/>
        <w:sz w:val="22"/>
        <w:szCs w:val="28"/>
        <w:u w:val="single"/>
        <w:lang w:val="en-US"/>
      </w:rPr>
    </w:pPr>
  </w:p>
  <w:p w14:paraId="20B764FC" w14:textId="77777777" w:rsidR="004D69D4" w:rsidRPr="00A61456" w:rsidRDefault="004D69D4"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4D69D4" w:rsidRDefault="004D69D4"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4D69D4" w:rsidRDefault="004D69D4"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4D69D4" w:rsidRDefault="004D69D4" w:rsidP="004537EA">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4D69D4" w:rsidRDefault="004D69D4" w:rsidP="00C92420">
    <w:pPr>
      <w:pStyle w:val="En-tte"/>
      <w:tabs>
        <w:tab w:val="right" w:pos="9214"/>
      </w:tabs>
      <w:rPr>
        <w:rFonts w:ascii="Calibri" w:hAnsi="Calibri"/>
        <w:bCs/>
        <w:sz w:val="22"/>
        <w:szCs w:val="28"/>
        <w:u w:val="single"/>
        <w:lang w:val="en-US"/>
      </w:rPr>
    </w:pPr>
  </w:p>
  <w:p w14:paraId="427C6303" w14:textId="77777777" w:rsidR="004D69D4" w:rsidRDefault="004D69D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4D69D4" w:rsidRDefault="004D69D4"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4D69D4" w:rsidRDefault="004D69D4"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4D69D4" w:rsidRDefault="004D69D4"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4D69D4" w:rsidRDefault="004D69D4"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0F70CD"/>
    <w:multiLevelType w:val="hybridMultilevel"/>
    <w:tmpl w:val="D7B6E1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A81D19"/>
    <w:multiLevelType w:val="multilevel"/>
    <w:tmpl w:val="DF60EC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645305A"/>
    <w:multiLevelType w:val="multilevel"/>
    <w:tmpl w:val="3C5883C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6"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3"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6DC20923"/>
    <w:multiLevelType w:val="multilevel"/>
    <w:tmpl w:val="78829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ED77056"/>
    <w:multiLevelType w:val="multilevel"/>
    <w:tmpl w:val="C30E657A"/>
    <w:lvl w:ilvl="0">
      <w:start w:val="1"/>
      <w:numFmt w:val="bullet"/>
      <w:lvlText w:val="•"/>
      <w:lvlJc w:val="left"/>
      <w:pPr>
        <w:tabs>
          <w:tab w:val="num" w:pos="360"/>
        </w:tabs>
        <w:ind w:left="0" w:firstLine="0"/>
      </w:pPr>
      <w:rPr>
        <w:rFonts w:ascii="Arial" w:hAnsi="Arial" w:cs="Arial" w:hint="default"/>
        <w:b w:val="0"/>
        <w:i w:val="0"/>
        <w:caps w:val="0"/>
        <w:small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0" w15:restartNumberingAfterBreak="0">
    <w:nsid w:val="704E2A8D"/>
    <w:multiLevelType w:val="hybridMultilevel"/>
    <w:tmpl w:val="81D0A788"/>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326C1"/>
    <w:multiLevelType w:val="multilevel"/>
    <w:tmpl w:val="4E4077BE"/>
    <w:lvl w:ilvl="0">
      <w:start w:val="1"/>
      <w:numFmt w:val="decimal"/>
      <w:lvlText w:val="ARTICLE %1 :"/>
      <w:lvlJc w:val="left"/>
      <w:pPr>
        <w:tabs>
          <w:tab w:val="num" w:pos="0"/>
        </w:tabs>
        <w:ind w:left="360" w:hanging="360"/>
      </w:pPr>
      <w:rPr>
        <w:b/>
        <w:bCs/>
      </w:rPr>
    </w:lvl>
    <w:lvl w:ilvl="1">
      <w:start w:val="1"/>
      <w:numFmt w:val="decimal"/>
      <w:lvlText w:val="%2"/>
      <w:lvlJc w:val="left"/>
      <w:pPr>
        <w:tabs>
          <w:tab w:val="num" w:pos="0"/>
        </w:tabs>
        <w:ind w:left="720" w:hanging="360"/>
      </w:pPr>
    </w:lvl>
    <w:lvl w:ilvl="2">
      <w:start w:val="1"/>
      <w:numFmt w:val="decimal"/>
      <w:lvlText w:val="%2.%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none"/>
      <w:suff w:val="nothing"/>
      <w:lvlText w:val=""/>
      <w:lvlJc w:val="left"/>
      <w:pPr>
        <w:tabs>
          <w:tab w:val="num" w:pos="0"/>
        </w:tabs>
        <w:ind w:left="2160" w:hanging="360"/>
      </w:pPr>
    </w:lvl>
    <w:lvl w:ilvl="6">
      <w:start w:val="1"/>
      <w:numFmt w:val="none"/>
      <w:suff w:val="nothing"/>
      <w:lvlText w:val=""/>
      <w:lvlJc w:val="left"/>
      <w:pPr>
        <w:tabs>
          <w:tab w:val="num" w:pos="0"/>
        </w:tabs>
        <w:ind w:left="2520" w:hanging="360"/>
      </w:pPr>
    </w:lvl>
    <w:lvl w:ilvl="7">
      <w:start w:val="1"/>
      <w:numFmt w:val="none"/>
      <w:suff w:val="nothing"/>
      <w:lvlText w:val=""/>
      <w:lvlJc w:val="left"/>
      <w:pPr>
        <w:tabs>
          <w:tab w:val="num" w:pos="0"/>
        </w:tabs>
        <w:ind w:left="2880" w:hanging="360"/>
      </w:pPr>
    </w:lvl>
    <w:lvl w:ilvl="8">
      <w:start w:val="1"/>
      <w:numFmt w:val="none"/>
      <w:suff w:val="nothing"/>
      <w:lvlText w:val=""/>
      <w:lvlJc w:val="left"/>
      <w:pPr>
        <w:tabs>
          <w:tab w:val="num" w:pos="0"/>
        </w:tabs>
        <w:ind w:left="3240" w:hanging="360"/>
      </w:pPr>
    </w:lvl>
  </w:abstractNum>
  <w:abstractNum w:abstractNumId="47"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0"/>
  </w:num>
  <w:num w:numId="4">
    <w:abstractNumId w:val="6"/>
  </w:num>
  <w:num w:numId="5">
    <w:abstractNumId w:val="24"/>
  </w:num>
  <w:num w:numId="6">
    <w:abstractNumId w:val="11"/>
  </w:num>
  <w:num w:numId="7">
    <w:abstractNumId w:val="20"/>
  </w:num>
  <w:num w:numId="8">
    <w:abstractNumId w:val="31"/>
  </w:num>
  <w:num w:numId="9">
    <w:abstractNumId w:val="14"/>
  </w:num>
  <w:num w:numId="10">
    <w:abstractNumId w:val="33"/>
  </w:num>
  <w:num w:numId="11">
    <w:abstractNumId w:val="3"/>
  </w:num>
  <w:num w:numId="12">
    <w:abstractNumId w:val="13"/>
  </w:num>
  <w:num w:numId="13">
    <w:abstractNumId w:val="32"/>
  </w:num>
  <w:num w:numId="14">
    <w:abstractNumId w:val="26"/>
  </w:num>
  <w:num w:numId="15">
    <w:abstractNumId w:val="36"/>
  </w:num>
  <w:num w:numId="16">
    <w:abstractNumId w:val="5"/>
  </w:num>
  <w:num w:numId="17">
    <w:abstractNumId w:val="25"/>
  </w:num>
  <w:num w:numId="18">
    <w:abstractNumId w:val="23"/>
  </w:num>
  <w:num w:numId="19">
    <w:abstractNumId w:val="16"/>
  </w:num>
  <w:num w:numId="20">
    <w:abstractNumId w:val="8"/>
  </w:num>
  <w:num w:numId="21">
    <w:abstractNumId w:val="7"/>
  </w:num>
  <w:num w:numId="22">
    <w:abstractNumId w:val="44"/>
  </w:num>
  <w:num w:numId="23">
    <w:abstractNumId w:val="1"/>
  </w:num>
  <w:num w:numId="24">
    <w:abstractNumId w:val="17"/>
  </w:num>
  <w:num w:numId="25">
    <w:abstractNumId w:val="39"/>
  </w:num>
  <w:num w:numId="26">
    <w:abstractNumId w:val="18"/>
  </w:num>
  <w:num w:numId="27">
    <w:abstractNumId w:val="45"/>
  </w:num>
  <w:num w:numId="28">
    <w:abstractNumId w:val="34"/>
  </w:num>
  <w:num w:numId="29">
    <w:abstractNumId w:val="41"/>
  </w:num>
  <w:num w:numId="30">
    <w:abstractNumId w:val="29"/>
  </w:num>
  <w:num w:numId="31">
    <w:abstractNumId w:val="35"/>
  </w:num>
  <w:num w:numId="32">
    <w:abstractNumId w:val="42"/>
  </w:num>
  <w:num w:numId="33">
    <w:abstractNumId w:val="12"/>
  </w:num>
  <w:num w:numId="34">
    <w:abstractNumId w:val="19"/>
  </w:num>
  <w:num w:numId="35">
    <w:abstractNumId w:val="10"/>
  </w:num>
  <w:num w:numId="36">
    <w:abstractNumId w:val="28"/>
  </w:num>
  <w:num w:numId="37">
    <w:abstractNumId w:val="27"/>
  </w:num>
  <w:num w:numId="38">
    <w:abstractNumId w:val="43"/>
  </w:num>
  <w:num w:numId="39">
    <w:abstractNumId w:val="47"/>
  </w:num>
  <w:num w:numId="40">
    <w:abstractNumId w:val="4"/>
  </w:num>
  <w:num w:numId="41">
    <w:abstractNumId w:val="22"/>
  </w:num>
  <w:num w:numId="42">
    <w:abstractNumId w:val="21"/>
  </w:num>
  <w:num w:numId="43">
    <w:abstractNumId w:val="40"/>
  </w:num>
  <w:num w:numId="44">
    <w:abstractNumId w:val="37"/>
  </w:num>
  <w:num w:numId="45">
    <w:abstractNumId w:val="46"/>
  </w:num>
  <w:num w:numId="46">
    <w:abstractNumId w:val="38"/>
  </w:num>
  <w:num w:numId="4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79F"/>
    <w:rsid w:val="00027BDB"/>
    <w:rsid w:val="00032A5D"/>
    <w:rsid w:val="00033B0F"/>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4D4D"/>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29C"/>
    <w:rsid w:val="000E6358"/>
    <w:rsid w:val="000F1A17"/>
    <w:rsid w:val="000F1B36"/>
    <w:rsid w:val="000F2C32"/>
    <w:rsid w:val="000F3643"/>
    <w:rsid w:val="000F3902"/>
    <w:rsid w:val="000F3D1E"/>
    <w:rsid w:val="000F414B"/>
    <w:rsid w:val="000F5830"/>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4CCB"/>
    <w:rsid w:val="0012502C"/>
    <w:rsid w:val="00126664"/>
    <w:rsid w:val="00126BA5"/>
    <w:rsid w:val="00126F28"/>
    <w:rsid w:val="00126FA0"/>
    <w:rsid w:val="00127407"/>
    <w:rsid w:val="00127938"/>
    <w:rsid w:val="00127A5B"/>
    <w:rsid w:val="00130103"/>
    <w:rsid w:val="001302BD"/>
    <w:rsid w:val="00131B3C"/>
    <w:rsid w:val="00132867"/>
    <w:rsid w:val="00134851"/>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167E"/>
    <w:rsid w:val="001A2878"/>
    <w:rsid w:val="001A5577"/>
    <w:rsid w:val="001A6683"/>
    <w:rsid w:val="001A6976"/>
    <w:rsid w:val="001B42D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1E50"/>
    <w:rsid w:val="002251EE"/>
    <w:rsid w:val="002264BA"/>
    <w:rsid w:val="00227DB1"/>
    <w:rsid w:val="0023132A"/>
    <w:rsid w:val="002316F3"/>
    <w:rsid w:val="00232068"/>
    <w:rsid w:val="00233709"/>
    <w:rsid w:val="0023418E"/>
    <w:rsid w:val="00234430"/>
    <w:rsid w:val="002347D8"/>
    <w:rsid w:val="0023633C"/>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023"/>
    <w:rsid w:val="0026161D"/>
    <w:rsid w:val="00270261"/>
    <w:rsid w:val="0027067D"/>
    <w:rsid w:val="002712EA"/>
    <w:rsid w:val="00271582"/>
    <w:rsid w:val="00271AA0"/>
    <w:rsid w:val="002721FC"/>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534F"/>
    <w:rsid w:val="002B6B02"/>
    <w:rsid w:val="002C040C"/>
    <w:rsid w:val="002C048E"/>
    <w:rsid w:val="002C2006"/>
    <w:rsid w:val="002C2FEB"/>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2447"/>
    <w:rsid w:val="002F387A"/>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3C1"/>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2FEF"/>
    <w:rsid w:val="0036356C"/>
    <w:rsid w:val="00366937"/>
    <w:rsid w:val="00366F74"/>
    <w:rsid w:val="00370EDB"/>
    <w:rsid w:val="00370FB0"/>
    <w:rsid w:val="003735D4"/>
    <w:rsid w:val="003740C8"/>
    <w:rsid w:val="003779B9"/>
    <w:rsid w:val="00377F4E"/>
    <w:rsid w:val="00380B9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A6FAD"/>
    <w:rsid w:val="003B085F"/>
    <w:rsid w:val="003B09B7"/>
    <w:rsid w:val="003B31AA"/>
    <w:rsid w:val="003B3CF2"/>
    <w:rsid w:val="003B5A58"/>
    <w:rsid w:val="003C03AC"/>
    <w:rsid w:val="003C23D3"/>
    <w:rsid w:val="003C34B1"/>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04E"/>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434F"/>
    <w:rsid w:val="0041530F"/>
    <w:rsid w:val="0041564D"/>
    <w:rsid w:val="00420927"/>
    <w:rsid w:val="00422943"/>
    <w:rsid w:val="00422F59"/>
    <w:rsid w:val="00424335"/>
    <w:rsid w:val="00425091"/>
    <w:rsid w:val="00425606"/>
    <w:rsid w:val="004257E1"/>
    <w:rsid w:val="004259B8"/>
    <w:rsid w:val="004304BC"/>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237"/>
    <w:rsid w:val="00471385"/>
    <w:rsid w:val="004732B0"/>
    <w:rsid w:val="00474075"/>
    <w:rsid w:val="004766B3"/>
    <w:rsid w:val="0047686E"/>
    <w:rsid w:val="00477604"/>
    <w:rsid w:val="004821E5"/>
    <w:rsid w:val="00482B36"/>
    <w:rsid w:val="00484142"/>
    <w:rsid w:val="0048479B"/>
    <w:rsid w:val="00484840"/>
    <w:rsid w:val="0048531F"/>
    <w:rsid w:val="00485B05"/>
    <w:rsid w:val="00486BB5"/>
    <w:rsid w:val="004902FE"/>
    <w:rsid w:val="0049285C"/>
    <w:rsid w:val="00492E4C"/>
    <w:rsid w:val="00493385"/>
    <w:rsid w:val="00495841"/>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D69D4"/>
    <w:rsid w:val="004E501A"/>
    <w:rsid w:val="004E56FD"/>
    <w:rsid w:val="004E76DD"/>
    <w:rsid w:val="004E7A61"/>
    <w:rsid w:val="004F0DF6"/>
    <w:rsid w:val="004F2F10"/>
    <w:rsid w:val="004F344F"/>
    <w:rsid w:val="004F36DD"/>
    <w:rsid w:val="004F5254"/>
    <w:rsid w:val="004F60F1"/>
    <w:rsid w:val="004F75F1"/>
    <w:rsid w:val="004F7BB6"/>
    <w:rsid w:val="004F7D53"/>
    <w:rsid w:val="00501005"/>
    <w:rsid w:val="0050210D"/>
    <w:rsid w:val="00502325"/>
    <w:rsid w:val="00503646"/>
    <w:rsid w:val="00503C26"/>
    <w:rsid w:val="0050508F"/>
    <w:rsid w:val="00510257"/>
    <w:rsid w:val="00513F30"/>
    <w:rsid w:val="00517CCF"/>
    <w:rsid w:val="005204FC"/>
    <w:rsid w:val="00524075"/>
    <w:rsid w:val="005253D0"/>
    <w:rsid w:val="0052697A"/>
    <w:rsid w:val="00526D81"/>
    <w:rsid w:val="00532631"/>
    <w:rsid w:val="00533387"/>
    <w:rsid w:val="00535791"/>
    <w:rsid w:val="00540DA7"/>
    <w:rsid w:val="005436FE"/>
    <w:rsid w:val="00543D2E"/>
    <w:rsid w:val="00545E06"/>
    <w:rsid w:val="00550264"/>
    <w:rsid w:val="0055266F"/>
    <w:rsid w:val="00554D33"/>
    <w:rsid w:val="005554F6"/>
    <w:rsid w:val="005563C9"/>
    <w:rsid w:val="00557987"/>
    <w:rsid w:val="0056032E"/>
    <w:rsid w:val="00562652"/>
    <w:rsid w:val="005649E2"/>
    <w:rsid w:val="0057211A"/>
    <w:rsid w:val="00572CA8"/>
    <w:rsid w:val="00572FF5"/>
    <w:rsid w:val="0057309E"/>
    <w:rsid w:val="00576588"/>
    <w:rsid w:val="00577671"/>
    <w:rsid w:val="00577E61"/>
    <w:rsid w:val="005823A4"/>
    <w:rsid w:val="005825F5"/>
    <w:rsid w:val="00582FDB"/>
    <w:rsid w:val="00584F07"/>
    <w:rsid w:val="00585BBA"/>
    <w:rsid w:val="00592313"/>
    <w:rsid w:val="00593476"/>
    <w:rsid w:val="005A0F44"/>
    <w:rsid w:val="005A1196"/>
    <w:rsid w:val="005A11E0"/>
    <w:rsid w:val="005A1233"/>
    <w:rsid w:val="005A19DE"/>
    <w:rsid w:val="005A1F6B"/>
    <w:rsid w:val="005A228C"/>
    <w:rsid w:val="005A4EB8"/>
    <w:rsid w:val="005A5925"/>
    <w:rsid w:val="005A5CB4"/>
    <w:rsid w:val="005A6F56"/>
    <w:rsid w:val="005B1764"/>
    <w:rsid w:val="005B1AFE"/>
    <w:rsid w:val="005B215B"/>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438D"/>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14EE"/>
    <w:rsid w:val="00652D64"/>
    <w:rsid w:val="00653D62"/>
    <w:rsid w:val="00653E49"/>
    <w:rsid w:val="00656639"/>
    <w:rsid w:val="00657A9B"/>
    <w:rsid w:val="006601D8"/>
    <w:rsid w:val="006619E6"/>
    <w:rsid w:val="00661EDF"/>
    <w:rsid w:val="00665A55"/>
    <w:rsid w:val="00674899"/>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5A50"/>
    <w:rsid w:val="006B620A"/>
    <w:rsid w:val="006B6D0A"/>
    <w:rsid w:val="006B78E5"/>
    <w:rsid w:val="006C0A6C"/>
    <w:rsid w:val="006C55B4"/>
    <w:rsid w:val="006D0E15"/>
    <w:rsid w:val="006D34E0"/>
    <w:rsid w:val="006D3BE8"/>
    <w:rsid w:val="006D4139"/>
    <w:rsid w:val="006D6A03"/>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722"/>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298B"/>
    <w:rsid w:val="00766370"/>
    <w:rsid w:val="00766CF6"/>
    <w:rsid w:val="007674BA"/>
    <w:rsid w:val="0077035E"/>
    <w:rsid w:val="007711E7"/>
    <w:rsid w:val="007715C9"/>
    <w:rsid w:val="007716CB"/>
    <w:rsid w:val="0077203A"/>
    <w:rsid w:val="007722A7"/>
    <w:rsid w:val="00775508"/>
    <w:rsid w:val="00782122"/>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4FB"/>
    <w:rsid w:val="007C26EE"/>
    <w:rsid w:val="007C2B15"/>
    <w:rsid w:val="007C76DE"/>
    <w:rsid w:val="007D170A"/>
    <w:rsid w:val="007D176B"/>
    <w:rsid w:val="007D3FA2"/>
    <w:rsid w:val="007D6D60"/>
    <w:rsid w:val="007D74CD"/>
    <w:rsid w:val="007D7CC8"/>
    <w:rsid w:val="007E0F10"/>
    <w:rsid w:val="007E2198"/>
    <w:rsid w:val="007E4780"/>
    <w:rsid w:val="007E4C81"/>
    <w:rsid w:val="007E6476"/>
    <w:rsid w:val="007E680C"/>
    <w:rsid w:val="007E6AD7"/>
    <w:rsid w:val="007F38EB"/>
    <w:rsid w:val="007F3AD1"/>
    <w:rsid w:val="007F3B89"/>
    <w:rsid w:val="007F48DE"/>
    <w:rsid w:val="007F622D"/>
    <w:rsid w:val="007F6A4D"/>
    <w:rsid w:val="007F70DF"/>
    <w:rsid w:val="00800C6C"/>
    <w:rsid w:val="00801D0A"/>
    <w:rsid w:val="008039C6"/>
    <w:rsid w:val="008053E8"/>
    <w:rsid w:val="00805C9C"/>
    <w:rsid w:val="00806153"/>
    <w:rsid w:val="00806AB1"/>
    <w:rsid w:val="00807664"/>
    <w:rsid w:val="00810FD6"/>
    <w:rsid w:val="0081137A"/>
    <w:rsid w:val="008125D3"/>
    <w:rsid w:val="008139A8"/>
    <w:rsid w:val="00814AB2"/>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058A"/>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3E60"/>
    <w:rsid w:val="00895F87"/>
    <w:rsid w:val="00897D5C"/>
    <w:rsid w:val="008A0A6C"/>
    <w:rsid w:val="008A1CD7"/>
    <w:rsid w:val="008A1F59"/>
    <w:rsid w:val="008A28D5"/>
    <w:rsid w:val="008A32BB"/>
    <w:rsid w:val="008A3385"/>
    <w:rsid w:val="008A3E57"/>
    <w:rsid w:val="008B00F3"/>
    <w:rsid w:val="008B0455"/>
    <w:rsid w:val="008B097A"/>
    <w:rsid w:val="008B35A1"/>
    <w:rsid w:val="008B41BC"/>
    <w:rsid w:val="008B41D0"/>
    <w:rsid w:val="008B43FE"/>
    <w:rsid w:val="008B46C8"/>
    <w:rsid w:val="008B5B51"/>
    <w:rsid w:val="008B6161"/>
    <w:rsid w:val="008B6F06"/>
    <w:rsid w:val="008B6FAD"/>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382F"/>
    <w:rsid w:val="008F45C5"/>
    <w:rsid w:val="008F4A7D"/>
    <w:rsid w:val="008F6F72"/>
    <w:rsid w:val="008F71A1"/>
    <w:rsid w:val="009009F8"/>
    <w:rsid w:val="0090101E"/>
    <w:rsid w:val="0090164C"/>
    <w:rsid w:val="00904F97"/>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C63A9"/>
    <w:rsid w:val="009C73E7"/>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297A"/>
    <w:rsid w:val="00A2392F"/>
    <w:rsid w:val="00A23C2D"/>
    <w:rsid w:val="00A24521"/>
    <w:rsid w:val="00A26034"/>
    <w:rsid w:val="00A27E45"/>
    <w:rsid w:val="00A30EAD"/>
    <w:rsid w:val="00A31244"/>
    <w:rsid w:val="00A34452"/>
    <w:rsid w:val="00A3468C"/>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62E1"/>
    <w:rsid w:val="00A973A8"/>
    <w:rsid w:val="00AA0A41"/>
    <w:rsid w:val="00AA2EF3"/>
    <w:rsid w:val="00AA3227"/>
    <w:rsid w:val="00AA4C7C"/>
    <w:rsid w:val="00AA590D"/>
    <w:rsid w:val="00AA6F93"/>
    <w:rsid w:val="00AB0039"/>
    <w:rsid w:val="00AB16DA"/>
    <w:rsid w:val="00AB2D86"/>
    <w:rsid w:val="00AB47E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44"/>
    <w:rsid w:val="00B37F93"/>
    <w:rsid w:val="00B40CC1"/>
    <w:rsid w:val="00B42CE3"/>
    <w:rsid w:val="00B46395"/>
    <w:rsid w:val="00B46467"/>
    <w:rsid w:val="00B46970"/>
    <w:rsid w:val="00B4713B"/>
    <w:rsid w:val="00B47209"/>
    <w:rsid w:val="00B511B4"/>
    <w:rsid w:val="00B529EE"/>
    <w:rsid w:val="00B55E76"/>
    <w:rsid w:val="00B561F2"/>
    <w:rsid w:val="00B56357"/>
    <w:rsid w:val="00B579C9"/>
    <w:rsid w:val="00B60905"/>
    <w:rsid w:val="00B60C77"/>
    <w:rsid w:val="00B62E9D"/>
    <w:rsid w:val="00B64350"/>
    <w:rsid w:val="00B65E46"/>
    <w:rsid w:val="00B66769"/>
    <w:rsid w:val="00B66CCF"/>
    <w:rsid w:val="00B6735F"/>
    <w:rsid w:val="00B70A33"/>
    <w:rsid w:val="00B71839"/>
    <w:rsid w:val="00B71AB0"/>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5244"/>
    <w:rsid w:val="00BE6091"/>
    <w:rsid w:val="00BE7DBF"/>
    <w:rsid w:val="00BF05D6"/>
    <w:rsid w:val="00BF3B89"/>
    <w:rsid w:val="00BF4780"/>
    <w:rsid w:val="00BF57AC"/>
    <w:rsid w:val="00BF60CE"/>
    <w:rsid w:val="00BF626C"/>
    <w:rsid w:val="00C04017"/>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29A6"/>
    <w:rsid w:val="00C35C92"/>
    <w:rsid w:val="00C3644B"/>
    <w:rsid w:val="00C4243E"/>
    <w:rsid w:val="00C4298D"/>
    <w:rsid w:val="00C43724"/>
    <w:rsid w:val="00C439BD"/>
    <w:rsid w:val="00C456CA"/>
    <w:rsid w:val="00C4598C"/>
    <w:rsid w:val="00C4716B"/>
    <w:rsid w:val="00C5036C"/>
    <w:rsid w:val="00C52A0B"/>
    <w:rsid w:val="00C53B96"/>
    <w:rsid w:val="00C54328"/>
    <w:rsid w:val="00C570E4"/>
    <w:rsid w:val="00C63F9A"/>
    <w:rsid w:val="00C6419F"/>
    <w:rsid w:val="00C650D5"/>
    <w:rsid w:val="00C67E06"/>
    <w:rsid w:val="00C71F4D"/>
    <w:rsid w:val="00C72690"/>
    <w:rsid w:val="00C728CF"/>
    <w:rsid w:val="00C73257"/>
    <w:rsid w:val="00C73337"/>
    <w:rsid w:val="00C73875"/>
    <w:rsid w:val="00C75165"/>
    <w:rsid w:val="00C75196"/>
    <w:rsid w:val="00C76248"/>
    <w:rsid w:val="00C764C1"/>
    <w:rsid w:val="00C773A0"/>
    <w:rsid w:val="00C80A4E"/>
    <w:rsid w:val="00C810F9"/>
    <w:rsid w:val="00C81DC6"/>
    <w:rsid w:val="00C84056"/>
    <w:rsid w:val="00C92420"/>
    <w:rsid w:val="00C92F9E"/>
    <w:rsid w:val="00C935EA"/>
    <w:rsid w:val="00C9690C"/>
    <w:rsid w:val="00C975C7"/>
    <w:rsid w:val="00C97AE5"/>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3EB6"/>
    <w:rsid w:val="00CE445E"/>
    <w:rsid w:val="00CE4511"/>
    <w:rsid w:val="00CE6493"/>
    <w:rsid w:val="00CE6DEB"/>
    <w:rsid w:val="00CF080A"/>
    <w:rsid w:val="00CF1228"/>
    <w:rsid w:val="00CF286F"/>
    <w:rsid w:val="00CF4588"/>
    <w:rsid w:val="00CF49F5"/>
    <w:rsid w:val="00CF5A8C"/>
    <w:rsid w:val="00CF5C72"/>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5904"/>
    <w:rsid w:val="00D15E41"/>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582E"/>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02AA"/>
    <w:rsid w:val="00D72491"/>
    <w:rsid w:val="00D72F5E"/>
    <w:rsid w:val="00D739E0"/>
    <w:rsid w:val="00D7410D"/>
    <w:rsid w:val="00D80144"/>
    <w:rsid w:val="00D80E4A"/>
    <w:rsid w:val="00D81FDF"/>
    <w:rsid w:val="00D82F0A"/>
    <w:rsid w:val="00D87E5F"/>
    <w:rsid w:val="00D901F5"/>
    <w:rsid w:val="00D93097"/>
    <w:rsid w:val="00D93D99"/>
    <w:rsid w:val="00D951D0"/>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32E"/>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46FB"/>
    <w:rsid w:val="00E352AB"/>
    <w:rsid w:val="00E3617A"/>
    <w:rsid w:val="00E36296"/>
    <w:rsid w:val="00E378E5"/>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63F"/>
    <w:rsid w:val="00ED0F81"/>
    <w:rsid w:val="00ED1945"/>
    <w:rsid w:val="00ED20D4"/>
    <w:rsid w:val="00ED220F"/>
    <w:rsid w:val="00ED26DA"/>
    <w:rsid w:val="00ED35B7"/>
    <w:rsid w:val="00ED6301"/>
    <w:rsid w:val="00ED67AA"/>
    <w:rsid w:val="00ED7C02"/>
    <w:rsid w:val="00EE2E78"/>
    <w:rsid w:val="00EE421C"/>
    <w:rsid w:val="00EE4657"/>
    <w:rsid w:val="00EF0955"/>
    <w:rsid w:val="00EF395A"/>
    <w:rsid w:val="00EF3D0C"/>
    <w:rsid w:val="00EF3E2E"/>
    <w:rsid w:val="00EF4A88"/>
    <w:rsid w:val="00EF653D"/>
    <w:rsid w:val="00EF7D5C"/>
    <w:rsid w:val="00F0238F"/>
    <w:rsid w:val="00F02D09"/>
    <w:rsid w:val="00F02F62"/>
    <w:rsid w:val="00F02FBC"/>
    <w:rsid w:val="00F04069"/>
    <w:rsid w:val="00F07EDC"/>
    <w:rsid w:val="00F07EEF"/>
    <w:rsid w:val="00F10696"/>
    <w:rsid w:val="00F10B36"/>
    <w:rsid w:val="00F10F3E"/>
    <w:rsid w:val="00F11102"/>
    <w:rsid w:val="00F11719"/>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2C1E"/>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361"/>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qFormat/>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Liste numérotée-RC,MCHIP_list paragraph,List Paragraph1,Recommendation,Bioforce zListePuce,リスト段落1,Dot pt,F5 List Paragraph,No Spacing1,List Paragraph Char Char Char,Indicator Text,Numbered Para 1,Bullet 1,Bullet Points,References"/>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02779F"/>
    <w:pPr>
      <w:widowControl w:val="0"/>
      <w:suppressAutoHyphens/>
      <w:autoSpaceDN w:val="0"/>
      <w:spacing w:before="57"/>
      <w:ind w:left="360"/>
      <w:jc w:val="both"/>
      <w:textAlignment w:val="center"/>
    </w:pPr>
    <w:rPr>
      <w:rFonts w:ascii="Calibri" w:eastAsia="MS Mincho" w:hAnsi="Calibri" w:cs="Calibri"/>
      <w:kern w:val="3"/>
      <w:sz w:val="22"/>
      <w:szCs w:val="22"/>
      <w:lang w:eastAsia="ja-JP" w:bidi="fa-IR"/>
    </w:rPr>
  </w:style>
  <w:style w:type="character" w:customStyle="1" w:styleId="ParagraphedelisteCar">
    <w:name w:val="Paragraphe de liste Car"/>
    <w:aliases w:val="Liste numérotée-RC Car,MCHIP_list paragraph Car,List Paragraph1 Car,Recommendation Car,Bioforce zListePuce Car,リスト段落1 Car,Dot pt Car,F5 List Paragraph Car,No Spacing1 Car,List Paragraph Char Char Char Car,Indicator Text Car"/>
    <w:basedOn w:val="Policepardfaut"/>
    <w:link w:val="Paragraphedeliste"/>
    <w:uiPriority w:val="34"/>
    <w:qFormat/>
    <w:rsid w:val="00CF5C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480D-F456-441B-8163-6AFC35B4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526</TotalTime>
  <Pages>12</Pages>
  <Words>4525</Words>
  <Characters>24890</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29357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g.nda-koussan</cp:lastModifiedBy>
  <cp:revision>68</cp:revision>
  <cp:lastPrinted>2024-10-21T14:36:00Z</cp:lastPrinted>
  <dcterms:created xsi:type="dcterms:W3CDTF">2023-12-19T11:33:00Z</dcterms:created>
  <dcterms:modified xsi:type="dcterms:W3CDTF">2024-10-21T15:12:00Z</dcterms:modified>
</cp:coreProperties>
</file>