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3777DA2F" w:rsidR="009D60D5" w:rsidRPr="001B5605" w:rsidRDefault="00115E96"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EndPr/>
              <w:sdtContent>
                <w:r w:rsidR="00D54415">
                  <w:rPr>
                    <w:rFonts w:ascii="MS Gothic" w:eastAsia="MS Gothic" w:hAnsi="MS Gothic" w:hint="eastAsia"/>
                    <w:b/>
                    <w:smallCaps/>
                    <w:sz w:val="24"/>
                  </w:rPr>
                  <w:t>☐</w:t>
                </w:r>
              </w:sdtContent>
            </w:sdt>
            <w:r w:rsidR="00D54415">
              <w:rPr>
                <w:rFonts w:asciiTheme="minorHAnsi" w:hAnsiTheme="minorHAnsi"/>
                <w:b/>
                <w:smallCaps/>
                <w:sz w:val="24"/>
              </w:rPr>
              <w:t>Travaux</w:t>
            </w:r>
            <w:r w:rsidR="009D60D5" w:rsidRPr="001B5605">
              <w:rPr>
                <w:rFonts w:asciiTheme="minorHAnsi" w:hAnsiTheme="minorHAnsi"/>
                <w:b/>
                <w:smallCaps/>
                <w:sz w:val="24"/>
              </w:rPr>
              <w:t xml:space="preserve"> –</w:t>
            </w:r>
            <w:r w:rsidR="00D54415">
              <w:rPr>
                <w:rFonts w:asciiTheme="minorHAnsi" w:hAnsiTheme="minorHAnsi"/>
                <w:b/>
                <w:smallCaps/>
                <w:sz w:val="24"/>
              </w:rPr>
              <w:t xml:space="preserve"> </w:t>
            </w:r>
            <w:sdt>
              <w:sdtPr>
                <w:rPr>
                  <w:rFonts w:asciiTheme="minorHAnsi" w:hAnsiTheme="minorHAnsi"/>
                  <w:b/>
                  <w:smallCaps/>
                  <w:sz w:val="24"/>
                </w:rPr>
                <w:id w:val="-1453791614"/>
                <w14:checkbox>
                  <w14:checked w14:val="0"/>
                  <w14:checkedState w14:val="2612" w14:font="MS Gothic"/>
                  <w14:uncheckedState w14:val="2610" w14:font="MS Gothic"/>
                </w14:checkbox>
              </w:sdtPr>
              <w:sdtEndPr/>
              <w:sdtContent>
                <w:r w:rsidR="00D54415" w:rsidRPr="001B5605">
                  <w:rPr>
                    <w:rFonts w:ascii="Segoe UI Symbol" w:eastAsia="MS Gothic" w:hAnsi="Segoe UI Symbol" w:cs="Segoe UI Symbol"/>
                    <w:b/>
                    <w:smallCaps/>
                    <w:sz w:val="24"/>
                  </w:rPr>
                  <w:t>☐</w:t>
                </w:r>
              </w:sdtContent>
            </w:sdt>
            <w:r w:rsidR="00D54415" w:rsidRPr="001B5605">
              <w:rPr>
                <w:rFonts w:asciiTheme="minorHAnsi" w:hAnsiTheme="minorHAnsi"/>
                <w:b/>
                <w:smallCaps/>
                <w:sz w:val="24"/>
              </w:rPr>
              <w:t>Service</w:t>
            </w:r>
            <w:r w:rsidR="00D54415">
              <w:rPr>
                <w:rFonts w:asciiTheme="minorHAnsi" w:hAnsiTheme="minorHAnsi"/>
                <w:b/>
                <w:smallCaps/>
                <w:sz w:val="24"/>
              </w:rPr>
              <w:t>-</w:t>
            </w:r>
            <w:r w:rsidR="009D60D5" w:rsidRPr="001B5605">
              <w:rPr>
                <w:rFonts w:asciiTheme="minorHAnsi" w:hAnsiTheme="minorHAnsi"/>
                <w:b/>
                <w:smallCaps/>
                <w:sz w:val="24"/>
              </w:rPr>
              <w:t xml:space="preserve"> </w:t>
            </w:r>
            <w:sdt>
              <w:sdtPr>
                <w:rPr>
                  <w:rFonts w:asciiTheme="minorHAnsi" w:hAnsiTheme="minorHAnsi"/>
                  <w:b/>
                  <w:smallCaps/>
                  <w:sz w:val="24"/>
                </w:rPr>
                <w:id w:val="519277967"/>
                <w14:checkbox>
                  <w14:checked w14:val="1"/>
                  <w14:checkedState w14:val="2612" w14:font="MS Gothic"/>
                  <w14:uncheckedState w14:val="2610" w14:font="MS Gothic"/>
                </w14:checkbox>
              </w:sdtPr>
              <w:sdtEndPr/>
              <w:sdtContent>
                <w:r w:rsidR="000B4EAA">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0B4EAA"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062757AC" w:rsidR="00C2145A" w:rsidRPr="000B4EAA" w:rsidRDefault="00C2145A" w:rsidP="00C0652F">
            <w:pPr>
              <w:rPr>
                <w:rFonts w:asciiTheme="minorHAnsi" w:hAnsiTheme="minorHAnsi"/>
                <w:b/>
                <w:sz w:val="24"/>
              </w:rPr>
            </w:pPr>
            <w:r w:rsidRPr="009D73DD">
              <w:rPr>
                <w:rFonts w:asciiTheme="minorHAnsi" w:hAnsiTheme="minorHAnsi"/>
                <w:b/>
                <w:smallCaps/>
                <w:sz w:val="24"/>
              </w:rPr>
              <w:t>Numéro</w:t>
            </w:r>
            <w:r w:rsidR="009433E7" w:rsidRPr="000B4EAA">
              <w:rPr>
                <w:rFonts w:asciiTheme="minorHAnsi" w:hAnsiTheme="minorHAnsi"/>
                <w:b/>
                <w:smallCaps/>
                <w:sz w:val="24"/>
              </w:rPr>
              <w:t xml:space="preserve"> </w:t>
            </w:r>
            <w:r w:rsidRPr="000B4EAA">
              <w:rPr>
                <w:rFonts w:asciiTheme="minorHAnsi" w:hAnsiTheme="minorHAnsi"/>
                <w:b/>
                <w:smallCaps/>
                <w:sz w:val="24"/>
              </w:rPr>
              <w:t xml:space="preserve">: </w:t>
            </w:r>
            <w:r w:rsidR="0028721D">
              <w:rPr>
                <w:rFonts w:asciiTheme="minorHAnsi" w:hAnsiTheme="minorHAnsi"/>
                <w:b/>
                <w:smallCaps/>
                <w:sz w:val="24"/>
              </w:rPr>
              <w:t>24-MR</w:t>
            </w:r>
            <w:r w:rsidR="00C0652F">
              <w:rPr>
                <w:rFonts w:asciiTheme="minorHAnsi" w:hAnsiTheme="minorHAnsi"/>
                <w:b/>
                <w:smallCaps/>
                <w:sz w:val="24"/>
              </w:rPr>
              <w:t>8099</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3F97278F" w:rsidR="00741D2D" w:rsidRPr="00BA4081" w:rsidRDefault="00BA4081" w:rsidP="00BA4081">
            <w:pPr>
              <w:jc w:val="both"/>
              <w:rPr>
                <w:rFonts w:asciiTheme="minorHAnsi" w:hAnsiTheme="minorHAnsi" w:cs="Arial"/>
                <w:sz w:val="22"/>
                <w:szCs w:val="22"/>
              </w:rPr>
            </w:pPr>
            <w:r w:rsidRPr="00BA4081">
              <w:rPr>
                <w:rFonts w:asciiTheme="minorHAnsi" w:hAnsiTheme="minorHAnsi" w:cstheme="minorHAnsi"/>
                <w:i/>
                <w:sz w:val="22"/>
                <w:szCs w:val="22"/>
              </w:rPr>
              <w:t>MARCHE DE FOURNITURES RELATIF A LA LIVRAISON DE MATERIEL, CONSOMMABLES INFORMATIQUES ET DE VIDEO-PROJECTEURS AU PROFIT D’EXPERTISE FRANCE EN REPUBLIQUE DEMOCRATIQUE DU CONGO </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3CBAAEB4" w:rsidR="00741D2D" w:rsidRPr="001B5605" w:rsidRDefault="00540DA7" w:rsidP="00540DA7">
            <w:pPr>
              <w:rPr>
                <w:rFonts w:asciiTheme="minorHAnsi" w:hAnsiTheme="minorHAnsi"/>
                <w:b/>
                <w:caps/>
                <w:smallCaps/>
                <w:sz w:val="24"/>
              </w:rPr>
            </w:pPr>
            <w:bookmarkStart w:id="2" w:name="_Toc392669628"/>
            <w:r w:rsidRPr="0081721F">
              <w:rPr>
                <w:rFonts w:asciiTheme="minorHAnsi" w:hAnsiTheme="minorHAnsi"/>
                <w:b/>
                <w:smallCaps/>
                <w:sz w:val="24"/>
                <w:highlight w:val="yellow"/>
              </w:rPr>
              <w:t>MONTANT MAXIMAL DU CONTRAT :</w:t>
            </w:r>
            <w:bookmarkEnd w:id="2"/>
            <w:r w:rsidR="000B4EAA">
              <w:rPr>
                <w:rFonts w:asciiTheme="minorHAnsi" w:hAnsiTheme="minorHAnsi"/>
                <w:b/>
                <w:smallCaps/>
                <w:sz w:val="24"/>
              </w:rPr>
              <w:t xml:space="preserve"> </w:t>
            </w:r>
          </w:p>
          <w:p w14:paraId="7E809CC5" w14:textId="1329D674" w:rsidR="00741D2D" w:rsidRPr="001B5605" w:rsidRDefault="00741D2D" w:rsidP="00E953FE">
            <w:pPr>
              <w:rPr>
                <w:rFonts w:asciiTheme="minorHAnsi" w:hAnsiTheme="minorHAnsi" w:cs="Arial"/>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8301DA">
            <w:pPr>
              <w:pBdr>
                <w:top w:val="single" w:sz="4" w:space="1" w:color="auto"/>
              </w:pBdr>
              <w:tabs>
                <w:tab w:val="right" w:pos="9356"/>
              </w:tabs>
              <w:jc w:val="both"/>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4C273DBD" w:rsidR="00707B69" w:rsidRPr="00090C57" w:rsidRDefault="000B4EAA" w:rsidP="008301DA">
            <w:pPr>
              <w:tabs>
                <w:tab w:val="left" w:pos="510"/>
                <w:tab w:val="left" w:pos="10977"/>
              </w:tabs>
              <w:spacing w:before="120"/>
              <w:ind w:right="83"/>
              <w:jc w:val="both"/>
              <w:rPr>
                <w:rFonts w:asciiTheme="minorHAnsi" w:hAnsiTheme="minorHAnsi" w:cstheme="minorHAnsi"/>
                <w:sz w:val="22"/>
                <w:szCs w:val="22"/>
              </w:rPr>
            </w:pPr>
            <w:r>
              <w:rPr>
                <w:rFonts w:asciiTheme="minorHAnsi" w:hAnsiTheme="minorHAnsi" w:cstheme="minorHAnsi"/>
                <w:sz w:val="22"/>
                <w:szCs w:val="22"/>
              </w:rPr>
              <w:t xml:space="preserve">Il est passé par </w:t>
            </w:r>
            <w:r w:rsidRPr="000B4EAA">
              <w:rPr>
                <w:rFonts w:asciiTheme="minorHAnsi" w:hAnsiTheme="minorHAnsi" w:cstheme="minorHAnsi"/>
                <w:sz w:val="22"/>
                <w:szCs w:val="22"/>
              </w:rPr>
              <w:t xml:space="preserve">une </w:t>
            </w:r>
            <w:r w:rsidR="00801ECC" w:rsidRPr="000B4EAA">
              <w:rPr>
                <w:rFonts w:asciiTheme="minorHAnsi" w:hAnsiTheme="minorHAnsi" w:cstheme="minorHAnsi"/>
                <w:sz w:val="22"/>
                <w:szCs w:val="22"/>
              </w:rPr>
              <w:t xml:space="preserve">procédure adaptée en application </w:t>
            </w:r>
            <w:r w:rsidR="00554974" w:rsidRPr="000B4EAA">
              <w:rPr>
                <w:rFonts w:asciiTheme="minorHAnsi" w:hAnsiTheme="minorHAnsi" w:cstheme="minorHAnsi"/>
                <w:sz w:val="22"/>
                <w:szCs w:val="22"/>
              </w:rPr>
              <w:t>des articles L. 2123-1 et R. 2123-1 au R. 2123-7 du CCP</w:t>
            </w:r>
            <w:r>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115E96">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115E96">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115E96">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115E96">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115E96">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115E96">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115E96">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115E96">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115E96">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115E96">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115E96">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115E96">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115E96">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115E96">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115E96">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115E96">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115E96">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115E96">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115E96">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115E96">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115E96">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115E96">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115E96">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115E96">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115E96">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115E96">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115E96">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115E96">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115E96">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115E96">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115E96">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115E96">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115E96">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115E96">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115E96">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115E96">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115E96">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115E96">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115E96">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115E96">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115E96">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115E96">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704574">
              <w:rPr>
                <w:rFonts w:ascii="Calibri" w:hAnsi="Calibri"/>
                <w:b/>
                <w:highlight w:val="yellow"/>
              </w:rPr>
              <w:t xml:space="preserve">NOM DU </w:t>
            </w:r>
            <w:r w:rsidR="003A0706" w:rsidRPr="00704574">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3B0ED578" w14:textId="77777777" w:rsidR="0037644A" w:rsidRDefault="0037644A" w:rsidP="0037644A">
      <w:pPr>
        <w:spacing w:before="240"/>
        <w:jc w:val="both"/>
        <w:rPr>
          <w:rFonts w:asciiTheme="minorHAnsi" w:hAnsiTheme="minorHAnsi" w:cstheme="minorHAnsi"/>
          <w:b/>
          <w:sz w:val="22"/>
          <w:szCs w:val="22"/>
        </w:rPr>
      </w:pPr>
      <w:r w:rsidRPr="00F170AF">
        <w:rPr>
          <w:rFonts w:asciiTheme="minorHAnsi" w:hAnsiTheme="minorHAnsi" w:cstheme="minorHAnsi"/>
          <w:sz w:val="22"/>
          <w:szCs w:val="22"/>
        </w:rPr>
        <w:t xml:space="preserve">Le présent Contrat de </w:t>
      </w:r>
      <w:r>
        <w:rPr>
          <w:rFonts w:asciiTheme="minorHAnsi" w:hAnsiTheme="minorHAnsi" w:cstheme="minorHAnsi"/>
          <w:sz w:val="22"/>
          <w:szCs w:val="22"/>
        </w:rPr>
        <w:t>fournitures</w:t>
      </w:r>
      <w:r w:rsidRPr="00F170AF">
        <w:rPr>
          <w:rFonts w:asciiTheme="minorHAnsi" w:hAnsiTheme="minorHAnsi" w:cstheme="minorHAnsi"/>
          <w:sz w:val="22"/>
          <w:szCs w:val="22"/>
        </w:rPr>
        <w:t xml:space="preserve"> s’inscrit dans le cadre du projet </w:t>
      </w:r>
      <w:r>
        <w:rPr>
          <w:rFonts w:asciiTheme="minorHAnsi" w:hAnsiTheme="minorHAnsi" w:cstheme="minorHAnsi"/>
          <w:sz w:val="22"/>
          <w:szCs w:val="22"/>
        </w:rPr>
        <w:t>de coopération CCD1175 01 C, ci-</w:t>
      </w:r>
      <w:r w:rsidRPr="00F170AF">
        <w:rPr>
          <w:rFonts w:asciiTheme="minorHAnsi" w:hAnsiTheme="minorHAnsi" w:cstheme="minorHAnsi"/>
          <w:sz w:val="22"/>
          <w:szCs w:val="22"/>
        </w:rPr>
        <w:t>après dénommé le « contrat principal », dont le code projet est 22SAN0C233 et le nom est LABOH-KIN, signé en février 2023 entre Expertise France et l’Agence Française de Développement (AFD), portant sur « le renforcement de l’accès à des services de laboratoires de santé de qualité dans six (6) zones de santé péri urbaines de Kinshasa et l’appui à leur intégration dans un dispositif provincial de surveillance épidémiologique renforcé» au profit du « Ministère de la santé », mis en œuvre par Expertise France.</w:t>
      </w:r>
      <w:r w:rsidRPr="00F170AF">
        <w:rPr>
          <w:rFonts w:asciiTheme="minorHAnsi" w:hAnsiTheme="minorHAnsi" w:cstheme="minorHAnsi"/>
          <w:b/>
          <w:sz w:val="22"/>
          <w:szCs w:val="22"/>
        </w:rPr>
        <w:t xml:space="preserve">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6D87B6F2" w14:textId="77777777" w:rsidR="00704574"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704574">
        <w:rPr>
          <w:rFonts w:asciiTheme="minorHAnsi" w:hAnsiTheme="minorHAnsi" w:cs="Arial"/>
        </w:rPr>
        <w:t> :</w:t>
      </w:r>
    </w:p>
    <w:p w14:paraId="34E60E59" w14:textId="7FDDB0BD" w:rsidR="000A6E96" w:rsidRPr="0037644A" w:rsidRDefault="0037644A" w:rsidP="0037644A">
      <w:pPr>
        <w:pStyle w:val="u"/>
        <w:widowControl w:val="0"/>
        <w:spacing w:before="240"/>
        <w:ind w:left="708"/>
        <w:rPr>
          <w:rFonts w:asciiTheme="minorHAnsi" w:hAnsiTheme="minorHAnsi" w:cs="Arial"/>
          <w:szCs w:val="22"/>
        </w:rPr>
      </w:pPr>
      <w:r w:rsidRPr="0037644A">
        <w:rPr>
          <w:rFonts w:asciiTheme="minorHAnsi" w:hAnsiTheme="minorHAnsi" w:cstheme="minorHAnsi"/>
          <w:b/>
          <w:caps/>
          <w:szCs w:val="22"/>
        </w:rPr>
        <w:t>« </w:t>
      </w:r>
      <w:r w:rsidRPr="0037644A">
        <w:rPr>
          <w:rFonts w:asciiTheme="minorHAnsi" w:hAnsiTheme="minorHAnsi" w:cstheme="minorHAnsi"/>
          <w:i/>
          <w:szCs w:val="22"/>
        </w:rPr>
        <w:t>MARCHE DE FOURNITURES RELATIF A LA LIVRAISON DE MATERIEL, CONSOMMABLES INFORMATIQUES ET DE VIDEO-PROJECTEURS AU PROFIT D’EXPERTISE FRANCE EN REPUBLIQUE DEMOCRATIQUE DU CONGO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110630">
      <w:pPr>
        <w:pStyle w:val="w"/>
        <w:widowControl w:val="0"/>
        <w:numPr>
          <w:ilvl w:val="0"/>
          <w:numId w:val="47"/>
        </w:numPr>
        <w:spacing w:before="120"/>
        <w:rPr>
          <w:rFonts w:asciiTheme="minorHAnsi" w:hAnsiTheme="minorHAnsi" w:cstheme="minorHAnsi"/>
          <w:szCs w:val="22"/>
        </w:rPr>
      </w:pPr>
      <w:proofErr w:type="gramStart"/>
      <w:r w:rsidRPr="00A86E43">
        <w:rPr>
          <w:rFonts w:asciiTheme="minorHAnsi" w:hAnsiTheme="minorHAnsi" w:cstheme="minorHAnsi"/>
          <w:szCs w:val="22"/>
        </w:rPr>
        <w:t>le</w:t>
      </w:r>
      <w:proofErr w:type="gramEnd"/>
      <w:r w:rsidRPr="00A86E43">
        <w:rPr>
          <w:rFonts w:asciiTheme="minorHAnsi" w:hAnsiTheme="minorHAnsi" w:cstheme="minorHAnsi"/>
          <w:szCs w:val="22"/>
        </w:rPr>
        <w:t xml:space="preserve"> présent document</w:t>
      </w:r>
      <w:r w:rsidR="00E33FDA" w:rsidRPr="00A86E43">
        <w:rPr>
          <w:rFonts w:asciiTheme="minorHAnsi" w:hAnsiTheme="minorHAnsi" w:cstheme="minorHAnsi"/>
          <w:szCs w:val="22"/>
        </w:rPr>
        <w:t>, et ses annexes :</w:t>
      </w:r>
    </w:p>
    <w:p w14:paraId="2AD3DBAD" w14:textId="32ED4DFA" w:rsidR="00656639" w:rsidRDefault="00B35C7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651308BA" w14:textId="1B5BB2AC" w:rsidR="00F604E3" w:rsidRPr="00F604E3" w:rsidRDefault="00F604E3" w:rsidP="00F604E3">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L’annexe 2 bordereau des prix</w:t>
      </w:r>
      <w:r w:rsidR="0037644A">
        <w:rPr>
          <w:rFonts w:asciiTheme="minorHAnsi" w:hAnsiTheme="minorHAnsi" w:cstheme="minorHAnsi"/>
          <w:szCs w:val="22"/>
        </w:rPr>
        <w:t xml:space="preserve"> </w:t>
      </w:r>
      <w:r>
        <w:rPr>
          <w:rFonts w:asciiTheme="minorHAnsi" w:hAnsiTheme="minorHAnsi" w:cstheme="minorHAnsi"/>
          <w:szCs w:val="22"/>
        </w:rPr>
        <w:t xml:space="preserve">;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2148CE10"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w:t>
      </w:r>
      <w:r w:rsidR="00CA7073" w:rsidRPr="00A86E43">
        <w:rPr>
          <w:rFonts w:asciiTheme="minorHAnsi" w:hAnsiTheme="minorHAnsi" w:cstheme="minorHAnsi"/>
          <w:szCs w:val="22"/>
        </w:rPr>
        <w:t>de techniques de l’information et de la communication</w:t>
      </w:r>
      <w:r w:rsidR="00CA7073">
        <w:rPr>
          <w:rFonts w:asciiTheme="minorHAnsi" w:hAnsiTheme="minorHAnsi" w:cstheme="minorHAnsi"/>
          <w:szCs w:val="22"/>
        </w:rPr>
        <w:t xml:space="preserve"> (TIC)</w:t>
      </w:r>
      <w:r w:rsidR="00CA7073" w:rsidRPr="00A86E43">
        <w:rPr>
          <w:rFonts w:asciiTheme="minorHAnsi" w:hAnsiTheme="minorHAnsi" w:cstheme="minorHAnsi"/>
          <w:szCs w:val="22"/>
        </w:rPr>
        <w:t xml:space="preserve"> approuvé par l’arrêté du 30 mars </w:t>
      </w:r>
      <w:r w:rsidR="002E7338" w:rsidRPr="00A86E43">
        <w:rPr>
          <w:rFonts w:asciiTheme="minorHAnsi" w:hAnsiTheme="minorHAnsi" w:cstheme="minorHAnsi"/>
          <w:szCs w:val="22"/>
        </w:rPr>
        <w:t>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2E328304" w14:textId="07747A7A" w:rsidR="00113F82" w:rsidRPr="004C4D2C" w:rsidRDefault="00996FEA" w:rsidP="005F00C9">
      <w:pPr>
        <w:pStyle w:val="w"/>
        <w:widowControl w:val="0"/>
        <w:numPr>
          <w:ilvl w:val="0"/>
          <w:numId w:val="47"/>
        </w:numPr>
        <w:spacing w:before="120"/>
        <w:rPr>
          <w:rFonts w:asciiTheme="minorHAnsi" w:hAnsiTheme="minorHAnsi" w:cstheme="minorHAnsi"/>
          <w:szCs w:val="22"/>
        </w:rPr>
      </w:pPr>
      <w:r w:rsidRPr="004C4D2C">
        <w:rPr>
          <w:rFonts w:asciiTheme="minorHAnsi" w:hAnsiTheme="minorHAnsi" w:cstheme="minorHAnsi"/>
          <w:szCs w:val="22"/>
        </w:rPr>
        <w:t xml:space="preserve">L’offre du </w:t>
      </w:r>
      <w:r w:rsidR="00AA21AB" w:rsidRPr="004C4D2C">
        <w:rPr>
          <w:rFonts w:asciiTheme="minorHAnsi" w:hAnsiTheme="minorHAnsi" w:cstheme="minorHAnsi"/>
          <w:smallCaps/>
          <w:szCs w:val="22"/>
        </w:rPr>
        <w:t>Contractant</w:t>
      </w:r>
      <w:r w:rsidR="004C4D2C" w:rsidRPr="004C4D2C">
        <w:rPr>
          <w:rFonts w:asciiTheme="minorHAnsi" w:hAnsiTheme="minorHAnsi" w:cstheme="minorHAnsi"/>
          <w:szCs w:val="22"/>
        </w:rPr>
        <w:t xml:space="preserve"> </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34034FCC" w:rsidR="00A246CE" w:rsidRPr="00A86E43" w:rsidRDefault="00804BED" w:rsidP="00A86E43">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704574">
        <w:rPr>
          <w:rFonts w:asciiTheme="minorHAnsi" w:hAnsiTheme="minorHAnsi" w:cstheme="minorHAnsi"/>
          <w:szCs w:val="22"/>
        </w:rPr>
        <w:t xml:space="preserve">un </w:t>
      </w:r>
      <w:r w:rsidR="005F0451" w:rsidRPr="00A86E43">
        <w:rPr>
          <w:rFonts w:asciiTheme="minorHAnsi" w:hAnsiTheme="minorHAnsi" w:cstheme="minorHAnsi"/>
          <w:szCs w:val="22"/>
        </w:rPr>
        <w:t xml:space="preserve">marché public de fournitures </w:t>
      </w:r>
      <w:r w:rsidR="004C4D2C">
        <w:rPr>
          <w:rFonts w:asciiTheme="minorHAnsi" w:hAnsiTheme="minorHAnsi" w:cstheme="minorHAnsi"/>
          <w:szCs w:val="22"/>
        </w:rPr>
        <w:t xml:space="preserve">conclu à prix </w:t>
      </w:r>
      <w:r w:rsidR="00341850" w:rsidRPr="00A86E43">
        <w:rPr>
          <w:rFonts w:asciiTheme="minorHAnsi" w:hAnsiTheme="minorHAnsi" w:cstheme="minorHAnsi"/>
          <w:szCs w:val="22"/>
        </w:rPr>
        <w:t>unitaires</w:t>
      </w:r>
      <w:r w:rsidR="004C4D2C">
        <w:rPr>
          <w:rFonts w:asciiTheme="minorHAnsi" w:hAnsiTheme="minorHAnsi" w:cstheme="minorHAnsi"/>
          <w:szCs w:val="22"/>
        </w:rPr>
        <w:t>.</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79BE339F" w:rsidR="00413542" w:rsidRPr="0037644A" w:rsidRDefault="0037644A" w:rsidP="00413542">
      <w:pPr>
        <w:pStyle w:val="v"/>
        <w:widowControl w:val="0"/>
        <w:spacing w:before="120"/>
        <w:ind w:left="556" w:firstLine="0"/>
        <w:rPr>
          <w:rFonts w:asciiTheme="minorHAnsi" w:hAnsiTheme="minorHAnsi" w:cstheme="minorHAnsi"/>
        </w:rPr>
      </w:pPr>
      <w:r w:rsidRPr="0037644A">
        <w:rPr>
          <w:rFonts w:asciiTheme="minorHAnsi" w:hAnsiTheme="minorHAnsi" w:cstheme="minorHAnsi"/>
        </w:rPr>
        <w:t xml:space="preserve">Le </w:t>
      </w:r>
      <w:r>
        <w:rPr>
          <w:rFonts w:asciiTheme="minorHAnsi" w:hAnsiTheme="minorHAnsi" w:cstheme="minorHAnsi"/>
        </w:rPr>
        <w:t>contrat</w:t>
      </w:r>
      <w:r w:rsidRPr="0037644A">
        <w:rPr>
          <w:rFonts w:asciiTheme="minorHAnsi" w:hAnsiTheme="minorHAnsi" w:cstheme="minorHAnsi"/>
        </w:rPr>
        <w:t xml:space="preserve"> débute à</w:t>
      </w:r>
      <w:r>
        <w:rPr>
          <w:rFonts w:asciiTheme="minorHAnsi" w:hAnsiTheme="minorHAnsi" w:cstheme="minorHAnsi"/>
        </w:rPr>
        <w:t xml:space="preserve"> compter de s</w:t>
      </w:r>
      <w:r w:rsidRPr="0037644A">
        <w:rPr>
          <w:rFonts w:asciiTheme="minorHAnsi" w:hAnsiTheme="minorHAnsi" w:cstheme="minorHAnsi"/>
        </w:rPr>
        <w:t xml:space="preserve">a notification </w:t>
      </w:r>
      <w:r>
        <w:rPr>
          <w:rFonts w:asciiTheme="minorHAnsi" w:hAnsiTheme="minorHAnsi" w:cstheme="minorHAnsi"/>
        </w:rPr>
        <w:t>au contractant</w:t>
      </w:r>
      <w:r w:rsidRPr="0037644A">
        <w:rPr>
          <w:rFonts w:asciiTheme="minorHAnsi" w:hAnsiTheme="minorHAnsi" w:cstheme="minorHAnsi"/>
        </w:rPr>
        <w:t xml:space="preserve"> et prend fin à la réception définitive. Il n’est pas prévu une reconduction.</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38A06979" w:rsidR="001E12A9" w:rsidRPr="00A86E43" w:rsidRDefault="001E12A9" w:rsidP="001E12A9">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w:t>
      </w:r>
      <w:r w:rsidR="00B723D5">
        <w:rPr>
          <w:rFonts w:asciiTheme="minorHAnsi" w:hAnsiTheme="minorHAnsi"/>
          <w:sz w:val="22"/>
        </w:rPr>
        <w:t xml:space="preserve">ai </w:t>
      </w:r>
      <w:r w:rsidR="004A099E" w:rsidRPr="00A86E43">
        <w:rPr>
          <w:rFonts w:asciiTheme="minorHAnsi" w:hAnsiTheme="minorHAnsi"/>
          <w:sz w:val="22"/>
        </w:rPr>
        <w:t>de livraison des fournitures</w:t>
      </w:r>
      <w:bookmarkEnd w:id="13"/>
    </w:p>
    <w:p w14:paraId="48DFE8F3" w14:textId="6FE7038B"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B723D5">
        <w:rPr>
          <w:rFonts w:asciiTheme="minorHAnsi" w:hAnsiTheme="minorHAnsi" w:cs="Arial"/>
          <w:smallCaps/>
        </w:rPr>
        <w:t xml:space="preserve"> </w:t>
      </w:r>
      <w:r w:rsidR="00B30BC2" w:rsidRPr="00A86E43">
        <w:rPr>
          <w:rFonts w:asciiTheme="minorHAnsi" w:hAnsiTheme="minorHAnsi" w:cs="Arial"/>
        </w:rPr>
        <w:t xml:space="preserve">est fixé </w:t>
      </w:r>
      <w:r w:rsidR="00B723D5">
        <w:rPr>
          <w:rFonts w:asciiTheme="minorHAnsi" w:hAnsiTheme="minorHAnsi" w:cs="Arial"/>
        </w:rPr>
        <w:t xml:space="preserve">à compter </w:t>
      </w:r>
      <w:r w:rsidR="00B30BC2" w:rsidRPr="00A86E43">
        <w:rPr>
          <w:rFonts w:asciiTheme="minorHAnsi" w:hAnsiTheme="minorHAnsi" w:cs="Arial"/>
        </w:rPr>
        <w:t xml:space="preserve">de la date de notification du présent </w:t>
      </w:r>
      <w:r w:rsidR="00B30BC2" w:rsidRPr="00A86E43">
        <w:rPr>
          <w:rFonts w:asciiTheme="minorHAnsi" w:hAnsiTheme="minorHAnsi" w:cs="Arial"/>
          <w:smallCaps/>
        </w:rPr>
        <w:t>contrat</w:t>
      </w:r>
      <w:r w:rsidR="00B723D5">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3623994A" w14:textId="26BF0A9E" w:rsidR="00A17DB1" w:rsidRPr="00A86E43" w:rsidRDefault="00A17DB1" w:rsidP="00E15AB6">
      <w:pPr>
        <w:pStyle w:val="u"/>
        <w:widowControl w:val="0"/>
        <w:numPr>
          <w:ilvl w:val="12"/>
          <w:numId w:val="0"/>
        </w:numPr>
        <w:spacing w:before="240" w:after="120"/>
        <w:ind w:left="561"/>
        <w:rPr>
          <w:rFonts w:asciiTheme="minorHAnsi" w:hAnsiTheme="minorHAnsi" w:cstheme="minorHAnsi"/>
          <w:szCs w:val="22"/>
        </w:rPr>
      </w:pPr>
      <w:r w:rsidRPr="00A86E43">
        <w:rPr>
          <w:rFonts w:asciiTheme="minorHAnsi" w:hAnsiTheme="minorHAnsi" w:cstheme="minorHAnsi"/>
          <w:szCs w:val="22"/>
        </w:rPr>
        <w:t xml:space="preserve">Le montant du contrat s’élève à : </w:t>
      </w:r>
      <w:r w:rsidR="0081721F" w:rsidRPr="0081721F">
        <w:rPr>
          <w:rFonts w:asciiTheme="minorHAnsi" w:hAnsiTheme="minorHAnsi" w:cstheme="minorHAnsi"/>
          <w:szCs w:val="22"/>
          <w:highlight w:val="yellow"/>
        </w:rPr>
        <w:t>XXXXX</w:t>
      </w:r>
      <w:r w:rsidRPr="0081721F">
        <w:rPr>
          <w:rFonts w:asciiTheme="minorHAnsi" w:hAnsiTheme="minorHAnsi" w:cstheme="minorHAnsi"/>
          <w:szCs w:val="22"/>
          <w:highlight w:val="yellow"/>
        </w:rPr>
        <w:t xml:space="preserve"> € HT (hors taxe)</w:t>
      </w:r>
      <w:r w:rsidR="0081721F">
        <w:rPr>
          <w:rStyle w:val="Appelnotedebasdep"/>
          <w:szCs w:val="22"/>
          <w:highlight w:val="yellow"/>
        </w:rPr>
        <w:footnoteReference w:id="2"/>
      </w:r>
      <w:r w:rsidRPr="0081721F">
        <w:rPr>
          <w:rFonts w:asciiTheme="minorHAnsi" w:hAnsiTheme="minorHAnsi" w:cstheme="minorHAnsi"/>
          <w:szCs w:val="22"/>
          <w:highlight w:val="yellow"/>
        </w:rPr>
        <w:t>.</w:t>
      </w:r>
    </w:p>
    <w:p w14:paraId="0EBC6B47" w14:textId="224E309B" w:rsidR="00D23E07" w:rsidRPr="00A86E43" w:rsidRDefault="00D23E07" w:rsidP="00E15AB6">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 montant du contrat correspond aux prix figurant au bordereau des prix </w:t>
      </w:r>
      <w:r w:rsidR="00223C0A">
        <w:rPr>
          <w:rFonts w:asciiTheme="minorHAnsi" w:hAnsiTheme="minorHAnsi" w:cstheme="minorHAnsi"/>
          <w:szCs w:val="22"/>
        </w:rPr>
        <w:t xml:space="preserve">((Annexe 2) </w:t>
      </w:r>
      <w:r w:rsidRPr="00A86E43">
        <w:rPr>
          <w:rFonts w:asciiTheme="minorHAnsi" w:hAnsiTheme="minorHAnsi" w:cstheme="minorHAnsi"/>
          <w:szCs w:val="22"/>
        </w:rPr>
        <w:t>rapportés aux quantités réellement exécutées</w:t>
      </w:r>
      <w:r w:rsidR="00B723D5">
        <w:rPr>
          <w:rFonts w:asciiTheme="minorHAnsi" w:hAnsiTheme="minorHAnsi" w:cstheme="minorHAnsi"/>
          <w:szCs w:val="22"/>
        </w:rPr>
        <w:t xml:space="preserve"> </w:t>
      </w:r>
    </w:p>
    <w:p w14:paraId="0398DEE5" w14:textId="1FD6A35C" w:rsidR="00123D1A" w:rsidRPr="00A86E43" w:rsidRDefault="00D23E07" w:rsidP="00B723D5">
      <w:pPr>
        <w:pStyle w:val="u"/>
        <w:widowControl w:val="0"/>
        <w:numPr>
          <w:ilvl w:val="12"/>
          <w:numId w:val="0"/>
        </w:numPr>
        <w:spacing w:before="120" w:after="240"/>
        <w:ind w:left="561"/>
        <w:rPr>
          <w:rFonts w:asciiTheme="minorHAnsi" w:hAnsiTheme="minorHAnsi" w:cstheme="minorHAnsi"/>
          <w:szCs w:val="22"/>
        </w:rPr>
      </w:pPr>
      <w:r w:rsidRPr="00A86E43">
        <w:rPr>
          <w:rFonts w:asciiTheme="minorHAnsi" w:hAnsiTheme="minorHAnsi" w:cstheme="minorHAnsi"/>
          <w:szCs w:val="22"/>
        </w:rPr>
        <w:t xml:space="preserve">Les prix unitaires incluent l’ensemble des frais et charges (y compris les éventuelles taxes de toute nature) auquel est soumis le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au titre du présent contrat.</w:t>
      </w:r>
      <w:r w:rsidR="00B723D5"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223C0A">
        <w:rPr>
          <w:rFonts w:asciiTheme="minorHAnsi" w:hAnsiTheme="minorHAnsi" w:cstheme="minorHAnsi"/>
          <w:szCs w:val="22"/>
        </w:rPr>
        <w:t>Les prix sont</w:t>
      </w:r>
      <w:r w:rsidR="00064FD8" w:rsidRPr="00223C0A">
        <w:rPr>
          <w:rFonts w:asciiTheme="minorHAnsi" w:hAnsiTheme="minorHAnsi" w:cstheme="minorHAnsi"/>
          <w:szCs w:val="22"/>
        </w:rPr>
        <w:t xml:space="preserve"> réputés</w:t>
      </w:r>
      <w:r w:rsidRPr="00223C0A">
        <w:rPr>
          <w:rFonts w:asciiTheme="minorHAnsi" w:hAnsiTheme="minorHAnsi" w:cstheme="minorHAnsi"/>
          <w:szCs w:val="22"/>
        </w:rPr>
        <w:t xml:space="preserve"> fermes</w:t>
      </w:r>
      <w:r w:rsidR="00064FD8" w:rsidRPr="00223C0A">
        <w:rPr>
          <w:rFonts w:asciiTheme="minorHAnsi" w:hAnsiTheme="minorHAnsi" w:cstheme="minorHAnsi"/>
          <w:szCs w:val="22"/>
        </w:rPr>
        <w:t xml:space="preserve"> et</w:t>
      </w:r>
      <w:r w:rsidR="00853098" w:rsidRPr="00223C0A">
        <w:rPr>
          <w:rFonts w:asciiTheme="minorHAnsi" w:hAnsiTheme="minorHAnsi" w:cstheme="minorHAnsi"/>
          <w:szCs w:val="22"/>
        </w:rPr>
        <w:t xml:space="preserve"> </w:t>
      </w:r>
      <w:r w:rsidRPr="00223C0A">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634AE348" w14:textId="039AE270" w:rsidR="00EF3C34" w:rsidRPr="00A86E43" w:rsidRDefault="009D73DD" w:rsidP="00D830F2">
      <w:pPr>
        <w:pStyle w:val="u"/>
        <w:widowControl w:val="0"/>
        <w:numPr>
          <w:ilvl w:val="12"/>
          <w:numId w:val="0"/>
        </w:numPr>
        <w:spacing w:after="120"/>
        <w:ind w:left="561"/>
        <w:jc w:val="left"/>
        <w:rPr>
          <w:rFonts w:asciiTheme="minorHAnsi" w:hAnsiTheme="minorHAnsi" w:cstheme="minorHAnsi"/>
          <w:szCs w:val="22"/>
        </w:rPr>
      </w:pPr>
      <w:r w:rsidRPr="004D3EC6">
        <w:rPr>
          <w:rFonts w:asciiTheme="minorHAnsi" w:hAnsiTheme="minorHAnsi" w:cstheme="minorHAnsi"/>
          <w:szCs w:val="22"/>
        </w:rPr>
        <w:t>Sans objet</w:t>
      </w:r>
      <w:r>
        <w:rPr>
          <w:rFonts w:asciiTheme="minorHAnsi" w:hAnsiTheme="minorHAnsi" w:cstheme="minorHAnsi"/>
          <w:szCs w:val="22"/>
        </w:rPr>
        <w:t xml:space="preserve"> </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1"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1"/>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Le paiement est toujours fait au nom de l’émetteur de la facture ou de la demande de remboursement </w:t>
      </w:r>
      <w:r w:rsidRPr="00A86E43">
        <w:rPr>
          <w:rFonts w:asciiTheme="minorHAnsi" w:hAnsiTheme="minorHAnsi" w:cs="Arial"/>
        </w:rPr>
        <w:lastRenderedPageBreak/>
        <w:t>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2" w:name="_Toc126921984"/>
      <w:bookmarkStart w:id="23" w:name="_Toc344300189"/>
      <w:bookmarkEnd w:id="19"/>
      <w:r w:rsidRPr="00A86E43">
        <w:rPr>
          <w:rFonts w:asciiTheme="minorHAnsi" w:hAnsiTheme="minorHAnsi"/>
          <w:sz w:val="22"/>
        </w:rPr>
        <w:t>Virement bancaire</w:t>
      </w:r>
      <w:bookmarkEnd w:id="22"/>
    </w:p>
    <w:p w14:paraId="44B6372F" w14:textId="13F5C49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w:t>
      </w:r>
      <w:r w:rsidR="005F00C9">
        <w:rPr>
          <w:rFonts w:asciiTheme="minorHAnsi" w:hAnsiTheme="minorHAnsi" w:cs="Arial"/>
          <w:szCs w:val="22"/>
        </w:rPr>
        <w:t xml:space="preserve">la fiche </w:t>
      </w:r>
      <w:r w:rsidR="00543332">
        <w:rPr>
          <w:rFonts w:asciiTheme="minorHAnsi" w:hAnsiTheme="minorHAnsi" w:cs="Arial"/>
          <w:szCs w:val="22"/>
        </w:rPr>
        <w:t xml:space="preserve">d’identité </w:t>
      </w:r>
      <w:r w:rsidR="005F00C9">
        <w:rPr>
          <w:rFonts w:asciiTheme="minorHAnsi" w:hAnsiTheme="minorHAnsi" w:cs="Arial"/>
          <w:szCs w:val="22"/>
        </w:rPr>
        <w:t>tiers</w:t>
      </w:r>
      <w:r w:rsidR="00752055" w:rsidRPr="00A86E43">
        <w:rPr>
          <w:rFonts w:asciiTheme="minorHAnsi" w:hAnsiTheme="minorHAnsi" w:cs="Arial"/>
          <w:szCs w:val="22"/>
        </w:rPr>
        <w:t>.</w:t>
      </w:r>
    </w:p>
    <w:p w14:paraId="35CE810D" w14:textId="7CCFE9DD" w:rsidR="0089576F" w:rsidRPr="00A86E43" w:rsidRDefault="00EF653D" w:rsidP="005F00C9">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bookmarkEnd w:id="23"/>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4" w:name="_Toc392669638"/>
      <w:bookmarkStart w:id="25" w:name="_Toc126921986"/>
      <w:r w:rsidRPr="00A86E43">
        <w:rPr>
          <w:rFonts w:asciiTheme="minorHAnsi" w:hAnsiTheme="minorHAnsi"/>
          <w:sz w:val="22"/>
          <w:szCs w:val="22"/>
        </w:rPr>
        <w:t>Impôts et taxes</w:t>
      </w:r>
      <w:bookmarkEnd w:id="24"/>
      <w:bookmarkEnd w:id="25"/>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6"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6"/>
    </w:p>
    <w:p w14:paraId="47340EBA" w14:textId="77777777" w:rsidR="00F72033" w:rsidRPr="00A86E43" w:rsidRDefault="000243D6" w:rsidP="00A1761D">
      <w:pPr>
        <w:pStyle w:val="Titre2"/>
        <w:jc w:val="both"/>
        <w:rPr>
          <w:rFonts w:asciiTheme="minorHAnsi" w:hAnsiTheme="minorHAnsi" w:cstheme="minorHAnsi"/>
          <w:sz w:val="22"/>
          <w:szCs w:val="22"/>
        </w:rPr>
      </w:pPr>
      <w:bookmarkStart w:id="27" w:name="_Toc390691469"/>
      <w:bookmarkStart w:id="28" w:name="_Toc392669640"/>
      <w:bookmarkStart w:id="29"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7"/>
      <w:bookmarkEnd w:id="28"/>
      <w:bookmarkEnd w:id="29"/>
    </w:p>
    <w:p w14:paraId="3325C3B9" w14:textId="7F79D949"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3E3210">
        <w:rPr>
          <w:rFonts w:asciiTheme="minorHAnsi" w:hAnsiTheme="minorHAnsi" w:cstheme="minorHAnsi"/>
          <w:szCs w:val="22"/>
        </w:rPr>
        <w:t xml:space="preserve">au chapitre 5 du </w:t>
      </w:r>
      <w:r w:rsidR="003E3210" w:rsidRPr="00F82278">
        <w:rPr>
          <w:rFonts w:asciiTheme="minorHAnsi" w:hAnsiTheme="minorHAnsi" w:cstheme="minorHAnsi"/>
          <w:szCs w:val="22"/>
        </w:rPr>
        <w:t>CCAG-</w:t>
      </w:r>
      <w:r w:rsidR="00AE4194">
        <w:rPr>
          <w:rFonts w:asciiTheme="minorHAnsi" w:hAnsiTheme="minorHAnsi" w:cstheme="minorHAnsi"/>
          <w:szCs w:val="22"/>
        </w:rPr>
        <w:t>TIC</w:t>
      </w:r>
      <w:r w:rsidR="003A4792" w:rsidRPr="00A86E43">
        <w:rPr>
          <w:rFonts w:asciiTheme="minorHAnsi" w:hAnsiTheme="minorHAnsi" w:cstheme="minorHAnsi"/>
          <w:szCs w:val="22"/>
        </w:rPr>
        <w:t xml:space="preserve">. </w:t>
      </w:r>
      <w:r w:rsidRPr="00A86E43">
        <w:rPr>
          <w:rFonts w:asciiTheme="minorHAnsi" w:hAnsiTheme="minorHAnsi" w:cstheme="minorHAnsi"/>
          <w:szCs w:val="22"/>
        </w:rPr>
        <w:t xml:space="preserve">Par dérogation à l’article </w:t>
      </w:r>
      <w:r w:rsidR="008C641A">
        <w:rPr>
          <w:rFonts w:asciiTheme="minorHAnsi" w:hAnsiTheme="minorHAnsi" w:cstheme="minorHAnsi"/>
          <w:szCs w:val="22"/>
        </w:rPr>
        <w:t>28</w:t>
      </w:r>
      <w:r w:rsidRPr="00A86E43">
        <w:rPr>
          <w:rFonts w:asciiTheme="minorHAnsi" w:hAnsiTheme="minorHAnsi" w:cstheme="minorHAnsi"/>
          <w:szCs w:val="22"/>
        </w:rPr>
        <w:t xml:space="preserve"> du </w:t>
      </w:r>
      <w:r w:rsidRPr="00F82278">
        <w:rPr>
          <w:rFonts w:asciiTheme="minorHAnsi" w:hAnsiTheme="minorHAnsi" w:cstheme="minorHAnsi"/>
          <w:szCs w:val="22"/>
        </w:rPr>
        <w:t>CCAG-</w:t>
      </w:r>
      <w:r w:rsidR="00AE4194">
        <w:rPr>
          <w:rFonts w:asciiTheme="minorHAnsi" w:hAnsiTheme="minorHAnsi" w:cstheme="minorHAnsi"/>
          <w:szCs w:val="22"/>
        </w:rPr>
        <w:t>TIC</w:t>
      </w:r>
      <w:r w:rsidRPr="00A86E43">
        <w:rPr>
          <w:rFonts w:asciiTheme="minorHAnsi" w:hAnsiTheme="minorHAnsi" w:cstheme="minorHAnsi"/>
          <w:szCs w:val="22"/>
        </w:rPr>
        <w:t>, les opérations de vérification seront effectuées par :</w:t>
      </w:r>
    </w:p>
    <w:p w14:paraId="4AD254FE" w14:textId="0DE528D3" w:rsidR="00D00B3A" w:rsidRPr="0037644A" w:rsidRDefault="0037644A" w:rsidP="0037644A">
      <w:pPr>
        <w:widowControl w:val="0"/>
        <w:numPr>
          <w:ilvl w:val="12"/>
          <w:numId w:val="0"/>
        </w:numPr>
        <w:spacing w:line="240" w:lineRule="auto"/>
        <w:ind w:firstLine="561"/>
        <w:jc w:val="both"/>
        <w:rPr>
          <w:rFonts w:asciiTheme="minorHAnsi" w:hAnsiTheme="minorHAnsi" w:cstheme="minorHAnsi"/>
          <w:sz w:val="22"/>
          <w:szCs w:val="22"/>
        </w:rPr>
      </w:pPr>
      <w:r w:rsidRPr="0037644A">
        <w:rPr>
          <w:rFonts w:asciiTheme="minorHAnsi" w:hAnsiTheme="minorHAnsi" w:cstheme="minorHAnsi"/>
          <w:sz w:val="22"/>
          <w:szCs w:val="22"/>
        </w:rPr>
        <w:t>Le Chef</w:t>
      </w:r>
      <w:r w:rsidR="008C641A" w:rsidRPr="0037644A">
        <w:rPr>
          <w:rFonts w:asciiTheme="minorHAnsi" w:hAnsiTheme="minorHAnsi" w:cstheme="minorHAnsi"/>
          <w:sz w:val="22"/>
          <w:szCs w:val="22"/>
        </w:rPr>
        <w:t xml:space="preserve"> de projet : </w:t>
      </w:r>
      <w:proofErr w:type="spellStart"/>
      <w:r w:rsidRPr="00573B5B">
        <w:rPr>
          <w:rFonts w:asciiTheme="minorHAnsi" w:hAnsiTheme="minorHAnsi" w:cstheme="minorHAnsi"/>
          <w:sz w:val="22"/>
          <w:szCs w:val="22"/>
        </w:rPr>
        <w:t>Arouna</w:t>
      </w:r>
      <w:proofErr w:type="spellEnd"/>
      <w:r w:rsidRPr="00573B5B">
        <w:rPr>
          <w:rFonts w:asciiTheme="minorHAnsi" w:hAnsiTheme="minorHAnsi" w:cstheme="minorHAnsi"/>
          <w:sz w:val="22"/>
          <w:szCs w:val="22"/>
        </w:rPr>
        <w:t xml:space="preserve"> TRAORE</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0" w:name="_Toc390691470"/>
      <w:bookmarkStart w:id="31" w:name="_Toc392669641"/>
      <w:bookmarkStart w:id="32" w:name="_Toc126921989"/>
      <w:r w:rsidRPr="00A86E43">
        <w:rPr>
          <w:rFonts w:asciiTheme="minorHAnsi" w:hAnsiTheme="minorHAnsi" w:cstheme="minorHAnsi"/>
          <w:sz w:val="22"/>
          <w:szCs w:val="22"/>
        </w:rPr>
        <w:t>Admission</w:t>
      </w:r>
      <w:bookmarkEnd w:id="30"/>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1"/>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2"/>
    </w:p>
    <w:p w14:paraId="0842A4DD" w14:textId="3FD6F633"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AE4194">
        <w:rPr>
          <w:rFonts w:asciiTheme="minorHAnsi" w:hAnsiTheme="minorHAnsi" w:cstheme="minorHAnsi"/>
          <w:szCs w:val="22"/>
        </w:rPr>
        <w:t>TIC</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FE07BC4" w14:textId="77777777" w:rsidR="0037644A" w:rsidRPr="0037644A" w:rsidRDefault="0037644A" w:rsidP="0037644A">
      <w:pPr>
        <w:widowControl w:val="0"/>
        <w:numPr>
          <w:ilvl w:val="12"/>
          <w:numId w:val="0"/>
        </w:numPr>
        <w:spacing w:line="240" w:lineRule="auto"/>
        <w:ind w:firstLine="561"/>
        <w:jc w:val="both"/>
        <w:rPr>
          <w:rFonts w:asciiTheme="minorHAnsi" w:hAnsiTheme="minorHAnsi" w:cstheme="minorHAnsi"/>
          <w:sz w:val="22"/>
          <w:szCs w:val="22"/>
        </w:rPr>
      </w:pPr>
      <w:r w:rsidRPr="0037644A">
        <w:rPr>
          <w:rFonts w:asciiTheme="minorHAnsi" w:hAnsiTheme="minorHAnsi" w:cstheme="minorHAnsi"/>
          <w:sz w:val="22"/>
          <w:szCs w:val="22"/>
        </w:rPr>
        <w:t xml:space="preserve">Le Chef de projet : </w:t>
      </w:r>
      <w:proofErr w:type="spellStart"/>
      <w:r w:rsidRPr="00573B5B">
        <w:rPr>
          <w:rFonts w:asciiTheme="minorHAnsi" w:hAnsiTheme="minorHAnsi" w:cstheme="minorHAnsi"/>
          <w:sz w:val="22"/>
          <w:szCs w:val="22"/>
        </w:rPr>
        <w:t>Arouna</w:t>
      </w:r>
      <w:proofErr w:type="spellEnd"/>
      <w:r w:rsidRPr="00573B5B">
        <w:rPr>
          <w:rFonts w:asciiTheme="minorHAnsi" w:hAnsiTheme="minorHAnsi" w:cstheme="minorHAnsi"/>
          <w:sz w:val="22"/>
          <w:szCs w:val="22"/>
        </w:rPr>
        <w:t xml:space="preserve"> TRAORE</w:t>
      </w:r>
    </w:p>
    <w:p w14:paraId="3D6F3473" w14:textId="61EDC8BB"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7A3A85AC" w14:textId="06BCC2BD" w:rsidR="00FB0726" w:rsidRDefault="00FB0726" w:rsidP="00A1761D">
      <w:pPr>
        <w:pStyle w:val="u"/>
        <w:widowControl w:val="0"/>
        <w:numPr>
          <w:ilvl w:val="12"/>
          <w:numId w:val="0"/>
        </w:numPr>
        <w:spacing w:before="120"/>
        <w:ind w:left="561"/>
        <w:rPr>
          <w:rFonts w:asciiTheme="minorHAnsi" w:hAnsiTheme="minorHAnsi" w:cstheme="minorHAnsi"/>
          <w:szCs w:val="22"/>
        </w:rPr>
      </w:pPr>
    </w:p>
    <w:p w14:paraId="12876E02" w14:textId="0E611886" w:rsidR="00FB0726" w:rsidRDefault="00FB0726" w:rsidP="00A1761D">
      <w:pPr>
        <w:pStyle w:val="u"/>
        <w:widowControl w:val="0"/>
        <w:numPr>
          <w:ilvl w:val="12"/>
          <w:numId w:val="0"/>
        </w:numPr>
        <w:spacing w:before="120"/>
        <w:ind w:left="561"/>
        <w:rPr>
          <w:rFonts w:asciiTheme="minorHAnsi" w:hAnsiTheme="minorHAnsi" w:cstheme="minorHAnsi"/>
          <w:szCs w:val="22"/>
        </w:rPr>
      </w:pPr>
    </w:p>
    <w:p w14:paraId="3DF673B8" w14:textId="77777777" w:rsidR="00FB0726" w:rsidRDefault="00FB0726" w:rsidP="00A1761D">
      <w:pPr>
        <w:pStyle w:val="u"/>
        <w:widowControl w:val="0"/>
        <w:numPr>
          <w:ilvl w:val="12"/>
          <w:numId w:val="0"/>
        </w:numPr>
        <w:spacing w:before="120"/>
        <w:ind w:left="561"/>
        <w:rPr>
          <w:rFonts w:asciiTheme="minorHAnsi" w:hAnsiTheme="minorHAnsi" w:cstheme="minorHAnsi"/>
          <w:szCs w:val="22"/>
        </w:rPr>
      </w:pPr>
    </w:p>
    <w:p w14:paraId="6E3BF33F" w14:textId="77777777"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3" w:name="_Toc126921990"/>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3"/>
    </w:p>
    <w:p w14:paraId="0CEF9F11" w14:textId="249D3619" w:rsidR="000A6914" w:rsidRDefault="000A6914" w:rsidP="000A6914">
      <w:pPr>
        <w:pStyle w:val="Titre2"/>
        <w:spacing w:before="120" w:after="60"/>
        <w:rPr>
          <w:rFonts w:asciiTheme="minorHAnsi" w:hAnsiTheme="minorHAnsi" w:cstheme="minorHAnsi"/>
          <w:sz w:val="22"/>
          <w:szCs w:val="22"/>
        </w:rPr>
      </w:pPr>
      <w:bookmarkStart w:id="34" w:name="_Toc126921991"/>
      <w:bookmarkStart w:id="35" w:name="_Toc392669643"/>
      <w:r w:rsidRPr="00A86E43">
        <w:rPr>
          <w:rFonts w:asciiTheme="minorHAnsi" w:hAnsiTheme="minorHAnsi" w:cstheme="minorHAnsi"/>
          <w:sz w:val="22"/>
          <w:szCs w:val="22"/>
        </w:rPr>
        <w:t>Tableau des livrables</w:t>
      </w:r>
      <w:bookmarkEnd w:id="34"/>
    </w:p>
    <w:tbl>
      <w:tblPr>
        <w:tblStyle w:val="Grilledutableau"/>
        <w:tblW w:w="0" w:type="auto"/>
        <w:tblInd w:w="360" w:type="dxa"/>
        <w:tblLook w:val="04A0" w:firstRow="1" w:lastRow="0" w:firstColumn="1" w:lastColumn="0" w:noHBand="0" w:noVBand="1"/>
      </w:tblPr>
      <w:tblGrid>
        <w:gridCol w:w="5872"/>
        <w:gridCol w:w="2830"/>
      </w:tblGrid>
      <w:tr w:rsidR="008C641A" w14:paraId="1E0E9F56" w14:textId="77777777" w:rsidTr="005F00C9">
        <w:tc>
          <w:tcPr>
            <w:tcW w:w="5872" w:type="dxa"/>
          </w:tcPr>
          <w:p w14:paraId="5C02C959" w14:textId="77777777" w:rsidR="008C641A" w:rsidRPr="008164D0" w:rsidRDefault="008C641A" w:rsidP="008C641A">
            <w:pPr>
              <w:widowControl w:val="0"/>
              <w:tabs>
                <w:tab w:val="left" w:pos="1276"/>
                <w:tab w:val="left" w:pos="1277"/>
              </w:tabs>
              <w:autoSpaceDE w:val="0"/>
              <w:autoSpaceDN w:val="0"/>
              <w:spacing w:before="21"/>
              <w:rPr>
                <w:rFonts w:asciiTheme="minorHAnsi" w:eastAsia="Arial Unicode MS" w:hAnsiTheme="minorHAnsi" w:cstheme="minorHAnsi"/>
                <w:sz w:val="22"/>
                <w:szCs w:val="22"/>
                <w:lang w:eastAsia="en-US"/>
              </w:rPr>
            </w:pPr>
            <w:r w:rsidRPr="008164D0">
              <w:rPr>
                <w:rFonts w:asciiTheme="minorHAnsi" w:eastAsia="Arial Unicode MS" w:hAnsiTheme="minorHAnsi" w:cstheme="minorHAnsi"/>
                <w:sz w:val="22"/>
                <w:szCs w:val="22"/>
                <w:lang w:eastAsia="en-US"/>
              </w:rPr>
              <w:t>Livrables</w:t>
            </w:r>
          </w:p>
        </w:tc>
        <w:tc>
          <w:tcPr>
            <w:tcW w:w="2830" w:type="dxa"/>
          </w:tcPr>
          <w:p w14:paraId="71F34E45" w14:textId="77777777" w:rsidR="008C641A" w:rsidRPr="008164D0" w:rsidRDefault="008C641A" w:rsidP="008C641A">
            <w:pPr>
              <w:widowControl w:val="0"/>
              <w:tabs>
                <w:tab w:val="left" w:pos="1276"/>
                <w:tab w:val="left" w:pos="1277"/>
              </w:tabs>
              <w:autoSpaceDE w:val="0"/>
              <w:autoSpaceDN w:val="0"/>
              <w:spacing w:before="21"/>
              <w:rPr>
                <w:rFonts w:asciiTheme="minorHAnsi" w:eastAsia="Arial Unicode MS" w:hAnsiTheme="minorHAnsi" w:cstheme="minorHAnsi"/>
                <w:sz w:val="22"/>
                <w:szCs w:val="22"/>
                <w:lang w:eastAsia="en-US"/>
              </w:rPr>
            </w:pPr>
            <w:r w:rsidRPr="008164D0">
              <w:rPr>
                <w:rFonts w:asciiTheme="minorHAnsi" w:eastAsia="Arial Unicode MS" w:hAnsiTheme="minorHAnsi" w:cstheme="minorHAnsi"/>
                <w:sz w:val="22"/>
                <w:szCs w:val="22"/>
                <w:lang w:eastAsia="en-US"/>
              </w:rPr>
              <w:t>Date de livraison</w:t>
            </w:r>
          </w:p>
        </w:tc>
      </w:tr>
      <w:tr w:rsidR="008C641A" w14:paraId="2E6B44CE" w14:textId="77777777" w:rsidTr="00223C0A">
        <w:trPr>
          <w:trHeight w:val="70"/>
        </w:trPr>
        <w:tc>
          <w:tcPr>
            <w:tcW w:w="5872" w:type="dxa"/>
          </w:tcPr>
          <w:p w14:paraId="7887AA1F" w14:textId="3533EB8A" w:rsidR="008C641A" w:rsidRPr="008C641A" w:rsidRDefault="008C641A" w:rsidP="0037644A">
            <w:pPr>
              <w:widowControl w:val="0"/>
              <w:tabs>
                <w:tab w:val="left" w:pos="1276"/>
                <w:tab w:val="left" w:pos="1277"/>
              </w:tabs>
              <w:autoSpaceDE w:val="0"/>
              <w:autoSpaceDN w:val="0"/>
              <w:spacing w:before="21"/>
              <w:rPr>
                <w:rFonts w:asciiTheme="minorHAnsi" w:eastAsia="Arial Unicode MS" w:hAnsiTheme="minorHAnsi" w:cstheme="minorHAnsi"/>
                <w:sz w:val="22"/>
                <w:szCs w:val="22"/>
                <w:lang w:eastAsia="en-US"/>
              </w:rPr>
            </w:pPr>
            <w:r w:rsidRPr="008C641A">
              <w:rPr>
                <w:rFonts w:asciiTheme="minorHAnsi" w:eastAsia="Arial Unicode MS" w:hAnsiTheme="minorHAnsi" w:cstheme="minorHAnsi"/>
                <w:sz w:val="22"/>
                <w:szCs w:val="22"/>
                <w:lang w:eastAsia="en-US"/>
              </w:rPr>
              <w:t xml:space="preserve">Livraison </w:t>
            </w:r>
            <w:r w:rsidR="0037644A">
              <w:rPr>
                <w:rFonts w:asciiTheme="minorHAnsi" w:eastAsia="Arial Unicode MS" w:hAnsiTheme="minorHAnsi" w:cstheme="minorHAnsi"/>
                <w:sz w:val="22"/>
                <w:szCs w:val="22"/>
                <w:lang w:eastAsia="en-US"/>
              </w:rPr>
              <w:t>des fournitures</w:t>
            </w:r>
            <w:r w:rsidR="004A04DC">
              <w:rPr>
                <w:rFonts w:asciiTheme="minorHAnsi" w:eastAsia="Arial Unicode MS" w:hAnsiTheme="minorHAnsi" w:cstheme="minorHAnsi"/>
                <w:sz w:val="22"/>
                <w:szCs w:val="22"/>
                <w:lang w:eastAsia="en-US"/>
              </w:rPr>
              <w:t xml:space="preserve"> contenu</w:t>
            </w:r>
            <w:r w:rsidR="0037644A">
              <w:rPr>
                <w:rFonts w:asciiTheme="minorHAnsi" w:eastAsia="Arial Unicode MS" w:hAnsiTheme="minorHAnsi" w:cstheme="minorHAnsi"/>
                <w:sz w:val="22"/>
                <w:szCs w:val="22"/>
                <w:lang w:eastAsia="en-US"/>
              </w:rPr>
              <w:t>e</w:t>
            </w:r>
            <w:r>
              <w:rPr>
                <w:rFonts w:asciiTheme="minorHAnsi" w:eastAsia="Arial Unicode MS" w:hAnsiTheme="minorHAnsi" w:cstheme="minorHAnsi"/>
                <w:sz w:val="22"/>
                <w:szCs w:val="22"/>
                <w:lang w:eastAsia="en-US"/>
              </w:rPr>
              <w:t xml:space="preserve">s dans </w:t>
            </w:r>
            <w:r w:rsidR="0037644A">
              <w:rPr>
                <w:rFonts w:asciiTheme="minorHAnsi" w:eastAsia="Arial Unicode MS" w:hAnsiTheme="minorHAnsi" w:cstheme="minorHAnsi"/>
                <w:sz w:val="22"/>
                <w:szCs w:val="22"/>
                <w:lang w:eastAsia="en-US"/>
              </w:rPr>
              <w:t xml:space="preserve">le Bordereau des Prix </w:t>
            </w:r>
            <w:r w:rsidR="004A04DC">
              <w:rPr>
                <w:rFonts w:asciiTheme="minorHAnsi" w:eastAsia="Arial Unicode MS" w:hAnsiTheme="minorHAnsi" w:cstheme="minorHAnsi"/>
                <w:sz w:val="22"/>
                <w:szCs w:val="22"/>
                <w:lang w:eastAsia="en-US"/>
              </w:rPr>
              <w:t>(Annexe</w:t>
            </w:r>
            <w:r>
              <w:rPr>
                <w:rFonts w:asciiTheme="minorHAnsi" w:eastAsia="Arial Unicode MS" w:hAnsiTheme="minorHAnsi" w:cstheme="minorHAnsi"/>
                <w:sz w:val="22"/>
                <w:szCs w:val="22"/>
                <w:lang w:eastAsia="en-US"/>
              </w:rPr>
              <w:t xml:space="preserve"> 2)</w:t>
            </w:r>
            <w:r w:rsidRPr="008C641A">
              <w:rPr>
                <w:rFonts w:asciiTheme="minorHAnsi" w:eastAsia="Arial Unicode MS" w:hAnsiTheme="minorHAnsi" w:cstheme="minorHAnsi"/>
                <w:sz w:val="22"/>
                <w:szCs w:val="22"/>
                <w:lang w:eastAsia="en-US"/>
              </w:rPr>
              <w:t xml:space="preserve"> </w:t>
            </w:r>
          </w:p>
        </w:tc>
        <w:tc>
          <w:tcPr>
            <w:tcW w:w="2830" w:type="dxa"/>
          </w:tcPr>
          <w:p w14:paraId="07965C9A" w14:textId="11B45A7B" w:rsidR="008C641A" w:rsidRPr="008164D0" w:rsidRDefault="0037644A" w:rsidP="0037644A">
            <w:pPr>
              <w:jc w:val="both"/>
              <w:rPr>
                <w:rFonts w:asciiTheme="minorHAnsi" w:eastAsia="Arial Unicode MS" w:hAnsiTheme="minorHAnsi" w:cstheme="minorHAnsi"/>
                <w:sz w:val="22"/>
                <w:szCs w:val="22"/>
                <w:lang w:eastAsia="en-US"/>
              </w:rPr>
            </w:pPr>
            <w:r w:rsidRPr="00573B5B">
              <w:rPr>
                <w:rFonts w:asciiTheme="minorHAnsi" w:eastAsia="Arial Unicode MS" w:hAnsiTheme="minorHAnsi" w:cstheme="minorHAnsi"/>
                <w:sz w:val="22"/>
                <w:szCs w:val="22"/>
                <w:lang w:eastAsia="en-US"/>
              </w:rPr>
              <w:t>Au plus tard le 09/12/2024</w:t>
            </w:r>
            <w:r>
              <w:rPr>
                <w:rFonts w:asciiTheme="minorHAnsi" w:eastAsia="Arial Unicode MS" w:hAnsiTheme="minorHAnsi" w:cstheme="minorHAnsi"/>
                <w:sz w:val="22"/>
                <w:szCs w:val="22"/>
                <w:lang w:eastAsia="en-US"/>
              </w:rPr>
              <w:t xml:space="preserve"> </w:t>
            </w:r>
          </w:p>
        </w:tc>
      </w:tr>
    </w:tbl>
    <w:p w14:paraId="3E311FFE" w14:textId="7836FBF9" w:rsidR="008C641A" w:rsidRDefault="008C641A" w:rsidP="008C641A"/>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6" w:name="_Toc126921994"/>
      <w:bookmarkEnd w:id="35"/>
      <w:r w:rsidRPr="00A86E43">
        <w:rPr>
          <w:rFonts w:asciiTheme="minorHAnsi" w:hAnsiTheme="minorHAnsi" w:cstheme="minorHAnsi"/>
          <w:sz w:val="22"/>
          <w:szCs w:val="22"/>
        </w:rPr>
        <w:t>Livraison</w:t>
      </w:r>
      <w:bookmarkEnd w:id="36"/>
    </w:p>
    <w:p w14:paraId="3A851328" w14:textId="1251E72F" w:rsidR="009E6DB6" w:rsidRDefault="00E4145C" w:rsidP="009E6DB6">
      <w:pPr>
        <w:ind w:left="556"/>
        <w:jc w:val="both"/>
      </w:pPr>
      <w:r w:rsidRPr="00573B5B">
        <w:rPr>
          <w:rFonts w:asciiTheme="minorHAnsi" w:eastAsia="Times New Roman" w:hAnsiTheme="minorHAnsi" w:cstheme="minorHAnsi"/>
          <w:sz w:val="22"/>
          <w:szCs w:val="22"/>
        </w:rPr>
        <w:t xml:space="preserve">Les fournitures sont livrées </w:t>
      </w:r>
      <w:r w:rsidR="005F00C9" w:rsidRPr="00573B5B">
        <w:rPr>
          <w:rFonts w:asciiTheme="minorHAnsi" w:eastAsia="Times New Roman" w:hAnsiTheme="minorHAnsi" w:cstheme="minorHAnsi"/>
          <w:sz w:val="22"/>
          <w:szCs w:val="22"/>
        </w:rPr>
        <w:t>au bureau d’Expertise France</w:t>
      </w:r>
      <w:r w:rsidR="00036781" w:rsidRPr="00573B5B">
        <w:rPr>
          <w:rFonts w:asciiTheme="minorHAnsi" w:eastAsia="Times New Roman" w:hAnsiTheme="minorHAnsi" w:cstheme="minorHAnsi"/>
          <w:sz w:val="22"/>
          <w:szCs w:val="22"/>
        </w:rPr>
        <w:t xml:space="preserve">, sis sur </w:t>
      </w:r>
      <w:r w:rsidR="005F00C9" w:rsidRPr="00573B5B">
        <w:rPr>
          <w:rFonts w:asciiTheme="minorHAnsi" w:eastAsia="Times New Roman" w:hAnsiTheme="minorHAnsi" w:cstheme="minorHAnsi"/>
          <w:sz w:val="22"/>
          <w:szCs w:val="22"/>
        </w:rPr>
        <w:t xml:space="preserve">croisement des avenues </w:t>
      </w:r>
      <w:proofErr w:type="spellStart"/>
      <w:r w:rsidR="005F00C9" w:rsidRPr="00573B5B">
        <w:rPr>
          <w:rFonts w:asciiTheme="minorHAnsi" w:eastAsia="Times New Roman" w:hAnsiTheme="minorHAnsi" w:cstheme="minorHAnsi"/>
          <w:sz w:val="22"/>
          <w:szCs w:val="22"/>
        </w:rPr>
        <w:t>Batetela</w:t>
      </w:r>
      <w:proofErr w:type="spellEnd"/>
      <w:r w:rsidR="005F00C9" w:rsidRPr="00573B5B">
        <w:rPr>
          <w:rFonts w:asciiTheme="minorHAnsi" w:eastAsia="Times New Roman" w:hAnsiTheme="minorHAnsi" w:cstheme="minorHAnsi"/>
          <w:sz w:val="22"/>
          <w:szCs w:val="22"/>
        </w:rPr>
        <w:t xml:space="preserve"> et cliniques (des ambassades)</w:t>
      </w:r>
      <w:r w:rsidR="00036781" w:rsidRPr="00573B5B">
        <w:rPr>
          <w:rFonts w:asciiTheme="minorHAnsi" w:eastAsia="Times New Roman" w:hAnsiTheme="minorHAnsi" w:cstheme="minorHAnsi"/>
          <w:sz w:val="22"/>
          <w:szCs w:val="22"/>
        </w:rPr>
        <w:t xml:space="preserve"> Immeuble Park Tower</w:t>
      </w:r>
      <w:r w:rsidR="00A63940" w:rsidRPr="00573B5B">
        <w:rPr>
          <w:rFonts w:asciiTheme="minorHAnsi" w:eastAsia="Times New Roman" w:hAnsiTheme="minorHAnsi" w:cstheme="minorHAnsi"/>
          <w:sz w:val="22"/>
          <w:szCs w:val="22"/>
        </w:rPr>
        <w:t>- Kinshasa, République Démocratique du Congo</w:t>
      </w:r>
      <w:r w:rsidR="009E6DB6" w:rsidRPr="00573B5B">
        <w:rPr>
          <w:rFonts w:asciiTheme="minorHAnsi" w:eastAsia="Times New Roman" w:hAnsiTheme="minorHAnsi" w:cstheme="minorHAnsi"/>
          <w:sz w:val="22"/>
          <w:szCs w:val="22"/>
        </w:rPr>
        <w:t>, sous l’Incoterm CIP</w:t>
      </w:r>
      <w:r w:rsidRPr="00573B5B">
        <w:rPr>
          <w:rFonts w:asciiTheme="minorHAnsi" w:hAnsiTheme="minorHAnsi" w:cstheme="minorHAnsi"/>
          <w:sz w:val="22"/>
          <w:szCs w:val="22"/>
        </w:rPr>
        <w:t>.</w:t>
      </w:r>
      <w:bookmarkStart w:id="37" w:name="_GoBack"/>
      <w:bookmarkEnd w:id="37"/>
      <w:r w:rsidR="00B327E1" w:rsidRPr="00B327E1">
        <w:t xml:space="preserve"> </w:t>
      </w:r>
    </w:p>
    <w:p w14:paraId="2CA4505C" w14:textId="4DAE1DDD"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livraison au moins </w:t>
      </w:r>
      <w:r w:rsidR="00036781">
        <w:rPr>
          <w:rFonts w:asciiTheme="minorHAnsi" w:hAnsiTheme="minorHAnsi" w:cstheme="minorHAnsi"/>
          <w:szCs w:val="22"/>
        </w:rPr>
        <w:t>7</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 xml:space="preserve">à l'avance. Toutes les livraisons ont lieu entre </w:t>
      </w:r>
      <w:r w:rsidR="004A04DC">
        <w:rPr>
          <w:rFonts w:asciiTheme="minorHAnsi" w:hAnsiTheme="minorHAnsi" w:cstheme="minorHAnsi"/>
          <w:szCs w:val="22"/>
        </w:rPr>
        <w:t>09</w:t>
      </w:r>
      <w:r w:rsidRPr="00A86E43">
        <w:rPr>
          <w:rFonts w:asciiTheme="minorHAnsi" w:hAnsiTheme="minorHAnsi" w:cstheme="minorHAnsi"/>
          <w:szCs w:val="22"/>
        </w:rPr>
        <w:t xml:space="preserve"> heures et </w:t>
      </w:r>
      <w:r w:rsidR="004A04DC">
        <w:rPr>
          <w:rFonts w:asciiTheme="minorHAnsi" w:hAnsiTheme="minorHAnsi" w:cstheme="minorHAnsi"/>
          <w:szCs w:val="22"/>
        </w:rPr>
        <w:t>16</w:t>
      </w:r>
      <w:r w:rsidRPr="00A86E43">
        <w:rPr>
          <w:rFonts w:asciiTheme="minorHAnsi" w:hAnsiTheme="minorHAnsi" w:cstheme="minorHAnsi"/>
          <w:szCs w:val="22"/>
        </w:rPr>
        <w:t xml:space="preserve"> heures au lieu convenu à cet effet</w:t>
      </w:r>
      <w:r w:rsidR="004A04DC">
        <w:rPr>
          <w:rFonts w:asciiTheme="minorHAnsi" w:hAnsiTheme="minorHAnsi" w:cstheme="minorHAnsi"/>
          <w:szCs w:val="22"/>
        </w:rPr>
        <w:t>.</w:t>
      </w:r>
      <w:r w:rsidRPr="00A86E43">
        <w:rPr>
          <w:rFonts w:asciiTheme="minorHAnsi" w:hAnsiTheme="minorHAnsi" w:cstheme="minorHAnsi"/>
          <w:szCs w:val="22"/>
        </w:rPr>
        <w:t xml:space="preserve"> </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ont été respectées et si les fournitures sont conformes au cahier des charges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77777777"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et dans le bon de commande concerné.</w:t>
      </w:r>
    </w:p>
    <w:p w14:paraId="15CA157B" w14:textId="18D1D626"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223C0A">
        <w:rPr>
          <w:rFonts w:asciiTheme="minorHAnsi" w:hAnsiTheme="minorHAnsi" w:cstheme="minorHAnsi"/>
          <w:szCs w:val="22"/>
        </w:rPr>
        <w:t xml:space="preserve"> </w:t>
      </w:r>
      <w:r w:rsidRPr="00A86E43">
        <w:rPr>
          <w:rFonts w:asciiTheme="minorHAnsi" w:hAnsiTheme="minorHAnsi" w:cstheme="minorHAnsi"/>
          <w:szCs w:val="22"/>
        </w:rPr>
        <w:t>:</w:t>
      </w:r>
    </w:p>
    <w:p w14:paraId="04A6BC6B" w14:textId="231F225A"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223C0A">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C42126D"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w:t>
      </w:r>
      <w:r w:rsidR="000A4C31" w:rsidRPr="00A86E43">
        <w:rPr>
          <w:rFonts w:asciiTheme="minorHAnsi" w:hAnsiTheme="minorHAnsi" w:cstheme="minorHAnsi"/>
          <w:szCs w:val="22"/>
        </w:rPr>
        <w:lastRenderedPageBreak/>
        <w:t xml:space="preserve">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DD0248">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8" w:name="_Toc126921995"/>
      <w:r>
        <w:rPr>
          <w:rFonts w:asciiTheme="minorHAnsi" w:hAnsiTheme="minorHAnsi" w:cstheme="minorHAnsi"/>
          <w:sz w:val="22"/>
          <w:szCs w:val="22"/>
        </w:rPr>
        <w:t>Contrôle des exports</w:t>
      </w:r>
      <w:bookmarkEnd w:id="38"/>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w:t>
      </w:r>
      <w:proofErr w:type="spellStart"/>
      <w:r w:rsidRPr="00254863">
        <w:rPr>
          <w:rFonts w:asciiTheme="minorHAnsi" w:eastAsia="Times New Roman" w:hAnsiTheme="minorHAnsi" w:cstheme="minorHAnsi"/>
          <w:sz w:val="22"/>
          <w:szCs w:val="22"/>
        </w:rPr>
        <w:t>Form</w:t>
      </w:r>
      <w:proofErr w:type="spellEnd"/>
      <w:r w:rsidRPr="00254863">
        <w:rPr>
          <w:rFonts w:asciiTheme="minorHAnsi" w:eastAsia="Times New Roman" w:hAnsiTheme="minorHAnsi" w:cstheme="minorHAnsi"/>
          <w:sz w:val="22"/>
          <w:szCs w:val="22"/>
        </w:rPr>
        <w:t xml:space="preserve">-ECCF) dûment complété et signé pour chaque fourniture. Il s’engagera à informer l’Acheteur de tout changement réglementaire (classement/embargo) impactant les biens vendus. </w:t>
      </w:r>
    </w:p>
    <w:p w14:paraId="0D76231D" w14:textId="56E8D46A" w:rsidR="00254863" w:rsidRDefault="00254863">
      <w:pPr>
        <w:ind w:left="567"/>
        <w:jc w:val="both"/>
        <w:rPr>
          <w:rFonts w:asciiTheme="minorHAnsi" w:eastAsia="Times New Roman" w:hAnsiTheme="minorHAnsi" w:cstheme="minorHAnsi"/>
          <w:sz w:val="22"/>
          <w:szCs w:val="22"/>
        </w:rPr>
      </w:pPr>
      <w:r w:rsidRPr="0003242F">
        <w:rPr>
          <w:rFonts w:asciiTheme="minorHAnsi" w:eastAsia="Times New Roman" w:hAnsiTheme="minorHAnsi" w:cstheme="minorHAnsi"/>
          <w:sz w:val="22"/>
          <w:szCs w:val="22"/>
        </w:rPr>
        <w:t xml:space="preserve">Si </w:t>
      </w:r>
      <w:r w:rsidR="0003242F" w:rsidRPr="0003242F">
        <w:rPr>
          <w:rFonts w:asciiTheme="minorHAnsi" w:eastAsia="Times New Roman" w:hAnsiTheme="minorHAnsi" w:cstheme="minorHAnsi"/>
          <w:sz w:val="22"/>
          <w:szCs w:val="22"/>
        </w:rPr>
        <w:t xml:space="preserve">le fournisseur est de nationalité française et que </w:t>
      </w:r>
      <w:r w:rsidRPr="0003242F">
        <w:rPr>
          <w:rFonts w:asciiTheme="minorHAnsi" w:eastAsia="Times New Roman" w:hAnsiTheme="minorHAnsi" w:cstheme="minorHAnsi"/>
          <w:sz w:val="22"/>
          <w:szCs w:val="22"/>
        </w:rPr>
        <w:t xml:space="preserve">les biens entrent dans les catégories de biens définis à l’article R311-2 du code de la sécurité </w:t>
      </w:r>
      <w:r w:rsidR="0003242F" w:rsidRPr="0003242F">
        <w:rPr>
          <w:rFonts w:asciiTheme="minorHAnsi" w:eastAsia="Times New Roman" w:hAnsiTheme="minorHAnsi" w:cstheme="minorHAnsi"/>
          <w:sz w:val="22"/>
          <w:szCs w:val="22"/>
        </w:rPr>
        <w:t>intérieure, le</w:t>
      </w:r>
      <w:r w:rsidRPr="0003242F">
        <w:rPr>
          <w:rFonts w:asciiTheme="minorHAnsi" w:eastAsia="Times New Roman" w:hAnsiTheme="minorHAnsi" w:cstheme="minorHAnsi"/>
          <w:sz w:val="22"/>
          <w:szCs w:val="22"/>
        </w:rPr>
        <w:t xml:space="preserve"> fournisseur s’engagera à nous transmettre dans les plus brefs délais sa copie d’autorisation de fabrication, de commercialisation et d’intermédiation de matériels de guerre (AFCI).</w:t>
      </w:r>
      <w:r w:rsidRPr="00254863">
        <w:rPr>
          <w:rFonts w:asciiTheme="minorHAnsi" w:eastAsia="Times New Roman" w:hAnsiTheme="minorHAnsi" w:cstheme="minorHAnsi"/>
          <w:sz w:val="22"/>
          <w:szCs w:val="22"/>
        </w:rPr>
        <w:t xml:space="preserve"> </w:t>
      </w:r>
    </w:p>
    <w:p w14:paraId="082DBB86" w14:textId="77777777" w:rsidR="00254863" w:rsidRDefault="00254863">
      <w:pPr>
        <w:ind w:left="567"/>
        <w:jc w:val="both"/>
      </w:pP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9" w:name="_Toc126921996"/>
      <w:bookmarkStart w:id="40" w:name="_Toc392669645"/>
      <w:r>
        <w:rPr>
          <w:rFonts w:asciiTheme="minorHAnsi" w:hAnsiTheme="minorHAnsi" w:cstheme="minorHAnsi"/>
          <w:sz w:val="22"/>
          <w:szCs w:val="22"/>
        </w:rPr>
        <w:t>Langue du contrat</w:t>
      </w:r>
      <w:bookmarkEnd w:id="39"/>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1" w:name="_Toc126921997"/>
      <w:r w:rsidRPr="00A86E43">
        <w:rPr>
          <w:rFonts w:asciiTheme="minorHAnsi" w:hAnsiTheme="minorHAnsi" w:cstheme="minorHAnsi"/>
          <w:sz w:val="22"/>
          <w:szCs w:val="22"/>
        </w:rPr>
        <w:t xml:space="preserve">Engagement du </w:t>
      </w:r>
      <w:bookmarkEnd w:id="40"/>
      <w:r w:rsidR="00825236" w:rsidRPr="003A0706">
        <w:rPr>
          <w:rFonts w:asciiTheme="minorHAnsi" w:hAnsiTheme="minorHAnsi" w:cstheme="minorHAnsi"/>
          <w:smallCaps/>
          <w:sz w:val="22"/>
          <w:szCs w:val="22"/>
        </w:rPr>
        <w:t>Contractant</w:t>
      </w:r>
      <w:bookmarkEnd w:id="41"/>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lastRenderedPageBreak/>
        <w:t>appliquer</w:t>
      </w:r>
      <w:proofErr w:type="gramEnd"/>
      <w:r w:rsidRPr="00A86E43">
        <w:rPr>
          <w:rFonts w:asciiTheme="minorHAnsi" w:hAnsiTheme="minorHAnsi" w:cstheme="minorHAnsi"/>
          <w:szCs w:val="22"/>
        </w:rPr>
        <w:t xml:space="preserve">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utilise</w:t>
      </w:r>
      <w:r w:rsidR="00B04123" w:rsidRPr="00A86E43">
        <w:rPr>
          <w:rFonts w:asciiTheme="minorHAnsi" w:hAnsiTheme="minorHAnsi" w:cstheme="minorHAnsi"/>
          <w:szCs w:val="22"/>
        </w:rPr>
        <w:t>r</w:t>
      </w:r>
      <w:proofErr w:type="gramEnd"/>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2" w:name="_Toc392669646"/>
      <w:bookmarkStart w:id="43" w:name="_Toc126921998"/>
      <w:r w:rsidRPr="00A86E43">
        <w:rPr>
          <w:rFonts w:asciiTheme="minorHAnsi" w:hAnsiTheme="minorHAnsi" w:cstheme="minorHAnsi"/>
          <w:sz w:val="22"/>
          <w:szCs w:val="22"/>
        </w:rPr>
        <w:t>Confidentialité</w:t>
      </w:r>
      <w:bookmarkEnd w:id="42"/>
      <w:bookmarkEnd w:id="43"/>
    </w:p>
    <w:p w14:paraId="02834DA2" w14:textId="10C766F3"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24C366E6" w:rsidR="00122959" w:rsidRPr="00A86E43" w:rsidRDefault="00122959" w:rsidP="00A1761D">
      <w:pPr>
        <w:pStyle w:val="Titre2"/>
        <w:spacing w:before="120" w:after="60"/>
        <w:jc w:val="both"/>
        <w:rPr>
          <w:rFonts w:asciiTheme="minorHAnsi" w:hAnsiTheme="minorHAnsi" w:cstheme="minorHAnsi"/>
          <w:sz w:val="22"/>
          <w:szCs w:val="22"/>
        </w:rPr>
      </w:pPr>
      <w:bookmarkStart w:id="44" w:name="_Toc392669649"/>
      <w:bookmarkStart w:id="45" w:name="_Toc126922000"/>
      <w:r w:rsidRPr="00A86E43">
        <w:rPr>
          <w:rFonts w:asciiTheme="minorHAnsi" w:hAnsiTheme="minorHAnsi" w:cstheme="minorHAnsi"/>
          <w:sz w:val="22"/>
          <w:szCs w:val="22"/>
        </w:rPr>
        <w:t>Assurance</w:t>
      </w:r>
      <w:bookmarkEnd w:id="44"/>
      <w:bookmarkEnd w:id="45"/>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6" w:name="_Ref464060009"/>
      <w:bookmarkStart w:id="47" w:name="_Toc525912441"/>
      <w:bookmarkStart w:id="48" w:name="_Toc126922001"/>
      <w:r w:rsidRPr="00A86E43">
        <w:rPr>
          <w:rFonts w:asciiTheme="minorHAnsi" w:hAnsiTheme="minorHAnsi" w:cstheme="minorHAnsi"/>
          <w:sz w:val="22"/>
          <w:szCs w:val="22"/>
        </w:rPr>
        <w:lastRenderedPageBreak/>
        <w:t>Point de contact et communication</w:t>
      </w:r>
      <w:bookmarkEnd w:id="46"/>
      <w:bookmarkEnd w:id="47"/>
      <w:bookmarkEnd w:id="48"/>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3B7532AD" w14:textId="277DC7F3" w:rsidR="00036781" w:rsidRDefault="00D51AB4" w:rsidP="00B2733D">
            <w:pPr>
              <w:widowControl w:val="0"/>
              <w:numPr>
                <w:ilvl w:val="12"/>
                <w:numId w:val="0"/>
              </w:numPr>
              <w:spacing w:line="240" w:lineRule="auto"/>
              <w:jc w:val="both"/>
              <w:rPr>
                <w:rFonts w:asciiTheme="minorHAnsi" w:hAnsiTheme="minorHAnsi" w:cstheme="minorHAnsi"/>
                <w:sz w:val="22"/>
                <w:szCs w:val="22"/>
              </w:rPr>
            </w:pPr>
            <w:proofErr w:type="spellStart"/>
            <w:r>
              <w:rPr>
                <w:rFonts w:asciiTheme="minorHAnsi" w:hAnsiTheme="minorHAnsi" w:cstheme="minorHAnsi"/>
                <w:sz w:val="22"/>
                <w:szCs w:val="22"/>
              </w:rPr>
              <w:t>Arouna</w:t>
            </w:r>
            <w:proofErr w:type="spellEnd"/>
            <w:r>
              <w:rPr>
                <w:rFonts w:asciiTheme="minorHAnsi" w:hAnsiTheme="minorHAnsi" w:cstheme="minorHAnsi"/>
                <w:sz w:val="22"/>
                <w:szCs w:val="22"/>
              </w:rPr>
              <w:t xml:space="preserve"> TRAORE</w:t>
            </w:r>
          </w:p>
          <w:p w14:paraId="38DD0932" w14:textId="23D98D72" w:rsidR="00D07897" w:rsidRPr="0054446C" w:rsidRDefault="00D51AB4"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Chef</w:t>
            </w:r>
            <w:r w:rsidR="00036781">
              <w:rPr>
                <w:rFonts w:asciiTheme="minorHAnsi" w:hAnsiTheme="minorHAnsi" w:cstheme="minorHAnsi"/>
                <w:sz w:val="22"/>
                <w:szCs w:val="22"/>
              </w:rPr>
              <w:t xml:space="preserve"> de</w:t>
            </w:r>
            <w:r w:rsidR="0054446C" w:rsidRPr="0054446C">
              <w:rPr>
                <w:rFonts w:asciiTheme="minorHAnsi" w:hAnsiTheme="minorHAnsi" w:cstheme="minorHAnsi"/>
                <w:sz w:val="22"/>
                <w:szCs w:val="22"/>
              </w:rPr>
              <w:t xml:space="preserve"> Projet</w:t>
            </w:r>
          </w:p>
          <w:p w14:paraId="31CA3DD3" w14:textId="13C1C379" w:rsidR="00036781" w:rsidRPr="00A86E43" w:rsidRDefault="00036781" w:rsidP="00036781">
            <w:pPr>
              <w:jc w:val="both"/>
              <w:rPr>
                <w:rFonts w:asciiTheme="minorHAnsi" w:hAnsiTheme="minorHAnsi" w:cstheme="minorHAnsi"/>
                <w:sz w:val="22"/>
                <w:szCs w:val="22"/>
              </w:rPr>
            </w:pPr>
            <w:r>
              <w:rPr>
                <w:rFonts w:asciiTheme="minorHAnsi" w:eastAsia="Times New Roman" w:hAnsiTheme="minorHAnsi" w:cstheme="minorHAnsi"/>
                <w:sz w:val="22"/>
                <w:szCs w:val="22"/>
              </w:rPr>
              <w:t xml:space="preserve">Croisement des avenues </w:t>
            </w:r>
            <w:proofErr w:type="spellStart"/>
            <w:r>
              <w:rPr>
                <w:rFonts w:asciiTheme="minorHAnsi" w:eastAsia="Times New Roman" w:hAnsiTheme="minorHAnsi" w:cstheme="minorHAnsi"/>
                <w:sz w:val="22"/>
                <w:szCs w:val="22"/>
              </w:rPr>
              <w:t>Batetela</w:t>
            </w:r>
            <w:proofErr w:type="spellEnd"/>
            <w:r>
              <w:rPr>
                <w:rFonts w:asciiTheme="minorHAnsi" w:eastAsia="Times New Roman" w:hAnsiTheme="minorHAnsi" w:cstheme="minorHAnsi"/>
                <w:sz w:val="22"/>
                <w:szCs w:val="22"/>
              </w:rPr>
              <w:t xml:space="preserve"> et cliniques (des ambassades) Immeuble Park Tower</w:t>
            </w:r>
            <w:r w:rsidRPr="00A86E43">
              <w:rPr>
                <w:rFonts w:asciiTheme="minorHAnsi" w:hAnsiTheme="minorHAnsi" w:cstheme="minorHAnsi"/>
                <w:sz w:val="22"/>
                <w:szCs w:val="22"/>
              </w:rPr>
              <w:t>.</w:t>
            </w:r>
          </w:p>
          <w:p w14:paraId="011F9325" w14:textId="0016CC3F" w:rsidR="00D07897" w:rsidRPr="00A86E43" w:rsidRDefault="00D07897" w:rsidP="00B2733D">
            <w:pPr>
              <w:widowControl w:val="0"/>
              <w:numPr>
                <w:ilvl w:val="12"/>
                <w:numId w:val="0"/>
              </w:numPr>
              <w:spacing w:line="240" w:lineRule="auto"/>
              <w:jc w:val="both"/>
              <w:rPr>
                <w:rFonts w:asciiTheme="minorHAnsi" w:hAnsiTheme="minorHAnsi" w:cstheme="minorHAnsi"/>
                <w:sz w:val="22"/>
                <w:szCs w:val="22"/>
                <w:highlight w:val="yellow"/>
              </w:rPr>
            </w:pP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3C51A818" w14:textId="77777777" w:rsidR="0054446C" w:rsidRDefault="0054446C" w:rsidP="00B2733D">
            <w:pPr>
              <w:pStyle w:val="w"/>
              <w:spacing w:before="100" w:beforeAutospacing="1" w:after="100" w:afterAutospacing="1"/>
              <w:rPr>
                <w:rFonts w:asciiTheme="minorHAnsi" w:eastAsia="Calibri" w:hAnsiTheme="minorHAnsi" w:cstheme="minorHAnsi"/>
                <w:szCs w:val="22"/>
                <w:highlight w:val="lightGray"/>
              </w:rPr>
            </w:pPr>
          </w:p>
          <w:p w14:paraId="69ADFAA3" w14:textId="77777777" w:rsidR="00D07897" w:rsidRDefault="00D07897" w:rsidP="00B2733D">
            <w:pPr>
              <w:pStyle w:val="w"/>
              <w:spacing w:before="100" w:beforeAutospacing="1" w:after="100" w:afterAutospacing="1"/>
              <w:rPr>
                <w:rFonts w:asciiTheme="minorHAnsi" w:eastAsia="Calibri" w:hAnsiTheme="minorHAnsi" w:cstheme="minorHAnsi"/>
                <w:smallCaps/>
                <w:szCs w:val="22"/>
              </w:rPr>
            </w:pPr>
            <w:r w:rsidRPr="009E6DB6">
              <w:rPr>
                <w:rFonts w:asciiTheme="minorHAnsi" w:eastAsia="Calibri" w:hAnsiTheme="minorHAnsi" w:cstheme="minorHAnsi"/>
                <w:szCs w:val="22"/>
                <w:highlight w:val="yellow"/>
              </w:rPr>
              <w:t xml:space="preserve">A renseigner par le </w:t>
            </w:r>
            <w:r w:rsidR="00100109" w:rsidRPr="009E6DB6">
              <w:rPr>
                <w:rFonts w:asciiTheme="minorHAnsi" w:eastAsia="Calibri" w:hAnsiTheme="minorHAnsi" w:cstheme="minorHAnsi"/>
                <w:smallCaps/>
                <w:szCs w:val="22"/>
                <w:highlight w:val="yellow"/>
              </w:rPr>
              <w:t>Contractant</w:t>
            </w:r>
          </w:p>
          <w:p w14:paraId="7940275A" w14:textId="43B3F43F" w:rsidR="0054446C" w:rsidRPr="00A86E43" w:rsidRDefault="0054446C" w:rsidP="00B2733D">
            <w:pPr>
              <w:pStyle w:val="w"/>
              <w:spacing w:before="100" w:beforeAutospacing="1" w:after="100" w:afterAutospacing="1"/>
              <w:rPr>
                <w:rFonts w:asciiTheme="minorHAnsi" w:hAnsiTheme="minorHAnsi" w:cstheme="minorHAnsi"/>
                <w:szCs w:val="22"/>
              </w:rPr>
            </w:pP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9" w:name="_Toc126922003"/>
      <w:r w:rsidRPr="00A86E43">
        <w:rPr>
          <w:rFonts w:asciiTheme="minorHAnsi" w:hAnsiTheme="minorHAnsi"/>
          <w:b/>
          <w:caps/>
          <w:sz w:val="24"/>
          <w:u w:val="single"/>
        </w:rPr>
        <w:t>Clause de réexamen</w:t>
      </w:r>
      <w:bookmarkEnd w:id="49"/>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41FF94FA" w:rsidR="009766DB" w:rsidRPr="00090C57" w:rsidRDefault="009766DB" w:rsidP="00345AEE">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090C57">
        <w:rPr>
          <w:rFonts w:asciiTheme="minorHAnsi" w:hAnsiTheme="minorHAnsi" w:cs="Arial"/>
          <w:smallCaps/>
          <w:szCs w:val="22"/>
        </w:rPr>
        <w:t xml:space="preserve">Expertise </w:t>
      </w:r>
      <w:proofErr w:type="gramStart"/>
      <w:r w:rsidR="000F3797" w:rsidRPr="00090C57">
        <w:rPr>
          <w:rFonts w:asciiTheme="minorHAnsi" w:hAnsiTheme="minorHAnsi" w:cs="Arial"/>
          <w:smallCaps/>
          <w:szCs w:val="22"/>
        </w:rPr>
        <w:t>France</w:t>
      </w:r>
      <w:r w:rsidRPr="00090C57">
        <w:rPr>
          <w:rFonts w:asciiTheme="minorHAnsi" w:hAnsiTheme="minorHAnsi" w:cs="Arial"/>
          <w:szCs w:val="22"/>
        </w:rPr>
        <w:t>;</w:t>
      </w:r>
      <w:proofErr w:type="gramEnd"/>
    </w:p>
    <w:p w14:paraId="14FF8CBF" w14:textId="2460109E" w:rsidR="009766DB" w:rsidRPr="00090C57" w:rsidRDefault="009766DB" w:rsidP="0089576F">
      <w:pPr>
        <w:pStyle w:val="u"/>
        <w:widowControl w:val="0"/>
        <w:numPr>
          <w:ilvl w:val="0"/>
          <w:numId w:val="51"/>
        </w:numPr>
        <w:spacing w:before="120"/>
        <w:rPr>
          <w:rFonts w:asciiTheme="minorHAnsi" w:hAnsiTheme="minorHAnsi" w:cs="Arial"/>
          <w:szCs w:val="22"/>
        </w:rPr>
      </w:pPr>
      <w:r w:rsidRPr="00090C57">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CE0E179"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163B15">
        <w:rPr>
          <w:rFonts w:asciiTheme="minorHAnsi" w:hAnsiTheme="minorHAnsi" w:cs="Arial"/>
          <w:szCs w:val="22"/>
        </w:rPr>
        <w:t xml:space="preserve"> </w:t>
      </w:r>
      <w:r w:rsidRPr="00A86E43">
        <w:rPr>
          <w:rFonts w:asciiTheme="minorHAnsi" w:hAnsiTheme="minorHAnsi" w:cs="Arial"/>
          <w:szCs w:val="22"/>
        </w:rPr>
        <w:t xml:space="preserve">par simple échange de courrier </w:t>
      </w:r>
      <w:r w:rsidRPr="00A86E43">
        <w:rPr>
          <w:rFonts w:asciiTheme="minorHAnsi" w:hAnsiTheme="minorHAnsi" w:cs="Arial"/>
          <w:i/>
          <w:szCs w:val="22"/>
        </w:rPr>
        <w:t>via</w:t>
      </w:r>
      <w:r w:rsidRPr="00A86E43">
        <w:rPr>
          <w:rFonts w:asciiTheme="minorHAnsi" w:hAnsiTheme="minorHAnsi" w:cs="Arial"/>
          <w:szCs w:val="22"/>
        </w:rPr>
        <w:t xml:space="preserve"> la plateforme sécurisée PLACE, où par t</w:t>
      </w:r>
      <w:r w:rsidR="00100109">
        <w:rPr>
          <w:rFonts w:asciiTheme="minorHAnsi" w:hAnsiTheme="minorHAnsi" w:cs="Arial"/>
          <w:szCs w:val="22"/>
        </w:rPr>
        <w:t xml:space="preserve">out moyen défini par </w:t>
      </w:r>
      <w:r w:rsidR="000F3797" w:rsidRPr="00CE73DB">
        <w:rPr>
          <w:rFonts w:asciiTheme="minorHAnsi" w:hAnsiTheme="minorHAnsi" w:cs="Arial"/>
          <w:smallCaps/>
          <w:szCs w:val="22"/>
        </w:rPr>
        <w:t>Expertise France</w:t>
      </w:r>
      <w:r w:rsidRPr="00A86E43">
        <w:rPr>
          <w:rFonts w:asciiTheme="minorHAnsi" w:hAnsiTheme="minorHAnsi" w:cs="Arial"/>
          <w:szCs w:val="22"/>
        </w:rPr>
        <w:t xml:space="preserve"> et permettant de garantir la traçabilité des échanges.</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70411395"/>
      <w:bookmarkStart w:id="51"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0"/>
      <w:bookmarkEnd w:id="51"/>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2" w:name="_Toc126922005"/>
      <w:r w:rsidRPr="00A86E43">
        <w:rPr>
          <w:rFonts w:asciiTheme="minorHAnsi" w:hAnsiTheme="minorHAnsi"/>
          <w:b/>
          <w:caps/>
          <w:sz w:val="24"/>
          <w:u w:val="single"/>
        </w:rPr>
        <w:lastRenderedPageBreak/>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2"/>
    </w:p>
    <w:p w14:paraId="5339B3E3" w14:textId="77777777" w:rsidR="001805A6" w:rsidRDefault="005C1231" w:rsidP="001805A6">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77773A09" w14:textId="77777777" w:rsidR="001805A6" w:rsidRDefault="001805A6" w:rsidP="001805A6">
      <w:pPr>
        <w:pStyle w:val="u"/>
        <w:widowControl w:val="0"/>
        <w:rPr>
          <w:rFonts w:asciiTheme="minorHAnsi" w:hAnsiTheme="minorHAnsi" w:cs="Arial"/>
          <w:szCs w:val="22"/>
        </w:rPr>
      </w:pPr>
      <w:r w:rsidRPr="001805A6">
        <w:rPr>
          <w:rFonts w:asciiTheme="minorHAnsi" w:hAnsiTheme="minorHAnsi" w:cstheme="minorHAnsi"/>
          <w:szCs w:val="22"/>
        </w:rPr>
        <w:t>Le montant des pénalités sera appliqué dans le calcul du solde des versements dus au titre du bon de commande concerné.</w:t>
      </w:r>
      <w:bookmarkStart w:id="53" w:name="_Toc97647484"/>
      <w:bookmarkEnd w:id="53"/>
    </w:p>
    <w:p w14:paraId="7D9A44D3" w14:textId="77777777" w:rsidR="001805A6" w:rsidRDefault="001805A6" w:rsidP="001805A6">
      <w:pPr>
        <w:pStyle w:val="u"/>
        <w:widowControl w:val="0"/>
        <w:rPr>
          <w:rFonts w:asciiTheme="minorHAnsi" w:hAnsiTheme="minorHAnsi" w:cs="Arial"/>
          <w:szCs w:val="22"/>
        </w:rPr>
      </w:pPr>
    </w:p>
    <w:p w14:paraId="1A155D44" w14:textId="77777777" w:rsidR="001805A6" w:rsidRDefault="001805A6" w:rsidP="001805A6">
      <w:pPr>
        <w:pStyle w:val="u"/>
        <w:widowControl w:val="0"/>
        <w:rPr>
          <w:rFonts w:asciiTheme="minorHAnsi" w:hAnsiTheme="minorHAnsi" w:cstheme="minorHAnsi"/>
          <w:szCs w:val="22"/>
        </w:rPr>
      </w:pPr>
      <w:r w:rsidRPr="001805A6">
        <w:rPr>
          <w:rFonts w:asciiTheme="minorHAnsi" w:hAnsiTheme="minorHAnsi" w:cstheme="minorHAnsi"/>
          <w:szCs w:val="22"/>
        </w:rPr>
        <w:t>Par dérogation au CCAG, lorsque le délai contractuel d'exécution ou de livraison est dépassé, par le fait du titulaire, celui-ci encourt, par jour de retard et sans mise en demeure préalable, une pénalité fixée à 100 € net.</w:t>
      </w:r>
    </w:p>
    <w:p w14:paraId="3A3EE471" w14:textId="77777777" w:rsidR="001805A6" w:rsidRDefault="001805A6" w:rsidP="001805A6">
      <w:pPr>
        <w:pStyle w:val="u"/>
        <w:widowControl w:val="0"/>
        <w:rPr>
          <w:rFonts w:asciiTheme="minorHAnsi" w:hAnsiTheme="minorHAnsi" w:cstheme="minorHAnsi"/>
          <w:szCs w:val="22"/>
        </w:rPr>
      </w:pPr>
    </w:p>
    <w:p w14:paraId="1664DC9B" w14:textId="2ED831FB" w:rsidR="00163B15" w:rsidRDefault="001805A6" w:rsidP="00F46B86">
      <w:pPr>
        <w:pStyle w:val="u"/>
        <w:widowControl w:val="0"/>
        <w:rPr>
          <w:rFonts w:asciiTheme="minorHAnsi" w:hAnsiTheme="minorHAnsi" w:cs="Arial"/>
          <w:szCs w:val="22"/>
        </w:rPr>
      </w:pPr>
      <w:r w:rsidRPr="001805A6">
        <w:rPr>
          <w:rFonts w:asciiTheme="minorHAnsi" w:hAnsiTheme="minorHAnsi" w:cstheme="minorHAnsi"/>
          <w:szCs w:val="22"/>
        </w:rPr>
        <w:t>Le montant des pénalités sera appliqué dans le calcul du solde des versements dus au titre d</w:t>
      </w:r>
      <w:r w:rsidR="00F46B86">
        <w:rPr>
          <w:rFonts w:asciiTheme="minorHAnsi" w:hAnsiTheme="minorHAnsi" w:cstheme="minorHAnsi"/>
          <w:szCs w:val="22"/>
        </w:rPr>
        <w:t>u</w:t>
      </w:r>
      <w:r w:rsidRPr="001805A6">
        <w:rPr>
          <w:rFonts w:asciiTheme="minorHAnsi" w:hAnsiTheme="minorHAnsi" w:cstheme="minorHAnsi"/>
          <w:szCs w:val="22"/>
        </w:rPr>
        <w:t xml:space="preserve"> </w:t>
      </w:r>
      <w:r w:rsidR="00F46B86">
        <w:rPr>
          <w:rFonts w:asciiTheme="minorHAnsi" w:hAnsiTheme="minorHAnsi" w:cstheme="minorHAnsi"/>
          <w:szCs w:val="22"/>
        </w:rPr>
        <w:t>contrat</w:t>
      </w:r>
      <w:r w:rsidRPr="001805A6">
        <w:rPr>
          <w:rFonts w:asciiTheme="minorHAnsi" w:hAnsiTheme="minorHAnsi" w:cstheme="minorHAnsi"/>
          <w:szCs w:val="22"/>
        </w:rPr>
        <w:t>.</w:t>
      </w:r>
      <w:bookmarkStart w:id="54" w:name="_Toc392669651"/>
    </w:p>
    <w:p w14:paraId="3C01C780" w14:textId="46DC70AF"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5" w:name="_Toc126922015"/>
      <w:bookmarkEnd w:id="54"/>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55"/>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56" w:name="_Toc126922016"/>
      <w:r w:rsidRPr="00A86E43">
        <w:rPr>
          <w:rFonts w:asciiTheme="minorHAnsi" w:hAnsiTheme="minorHAnsi" w:cstheme="minorHAnsi"/>
          <w:sz w:val="22"/>
          <w:szCs w:val="22"/>
        </w:rPr>
        <w:t>Modalités générales de résiliation</w:t>
      </w:r>
      <w:bookmarkEnd w:id="56"/>
    </w:p>
    <w:p w14:paraId="638C3F6B" w14:textId="68D443AA" w:rsidR="00F46B86" w:rsidRDefault="00F46B86" w:rsidP="00F46B86">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 xml:space="preserve">Le présent </w:t>
      </w:r>
      <w:r w:rsidRPr="00F46B86">
        <w:rPr>
          <w:rFonts w:asciiTheme="minorHAnsi" w:hAnsiTheme="minorHAnsi" w:cstheme="minorHAnsi"/>
          <w:smallCaps/>
          <w:sz w:val="22"/>
          <w:szCs w:val="22"/>
        </w:rPr>
        <w:t>contrat</w:t>
      </w:r>
      <w:r w:rsidRPr="00F46B86">
        <w:rPr>
          <w:rFonts w:asciiTheme="minorHAnsi" w:hAnsiTheme="minorHAnsi" w:cstheme="minorHAnsi"/>
          <w:sz w:val="22"/>
          <w:szCs w:val="22"/>
        </w:rPr>
        <w:t xml:space="preserve"> est soumis aux clauses de résiliation telle que définies aux articles 29 à 36 du </w:t>
      </w:r>
      <w:r w:rsidR="00AE4194" w:rsidRPr="00A86E43">
        <w:rPr>
          <w:rFonts w:asciiTheme="minorHAnsi" w:hAnsiTheme="minorHAnsi" w:cstheme="minorHAnsi"/>
          <w:szCs w:val="22"/>
        </w:rPr>
        <w:t>CCAG-</w:t>
      </w:r>
      <w:r w:rsidR="00AE4194">
        <w:rPr>
          <w:rFonts w:asciiTheme="minorHAnsi" w:hAnsiTheme="minorHAnsi" w:cstheme="minorHAnsi"/>
          <w:szCs w:val="22"/>
        </w:rPr>
        <w:t>TIC</w:t>
      </w:r>
      <w:r w:rsidRPr="00F46B86">
        <w:rPr>
          <w:rFonts w:asciiTheme="minorHAnsi" w:hAnsiTheme="minorHAnsi" w:cstheme="minorHAnsi"/>
          <w:sz w:val="22"/>
          <w:szCs w:val="22"/>
        </w:rPr>
        <w:t>.</w:t>
      </w:r>
    </w:p>
    <w:p w14:paraId="44BF1E26" w14:textId="77777777" w:rsidR="00F46B86" w:rsidRDefault="00F46B86" w:rsidP="00F46B86">
      <w:pPr>
        <w:spacing w:line="240" w:lineRule="auto"/>
        <w:ind w:left="709"/>
        <w:jc w:val="both"/>
        <w:rPr>
          <w:rFonts w:asciiTheme="minorHAnsi" w:hAnsiTheme="minorHAnsi" w:cstheme="minorHAnsi"/>
          <w:sz w:val="22"/>
          <w:szCs w:val="22"/>
        </w:rPr>
      </w:pPr>
    </w:p>
    <w:p w14:paraId="000C7432" w14:textId="5EF128E0" w:rsidR="00F46B86" w:rsidRPr="00F46B86" w:rsidRDefault="00F46B86" w:rsidP="00F82278">
      <w:pPr>
        <w:spacing w:line="240" w:lineRule="auto"/>
        <w:ind w:left="709"/>
        <w:jc w:val="both"/>
        <w:rPr>
          <w:rFonts w:asciiTheme="minorHAnsi" w:hAnsiTheme="minorHAnsi" w:cstheme="minorHAnsi"/>
          <w:sz w:val="22"/>
          <w:szCs w:val="22"/>
        </w:rPr>
      </w:pPr>
      <w:r w:rsidRPr="00F46B86">
        <w:rPr>
          <w:rFonts w:asciiTheme="minorHAnsi" w:hAnsiTheme="minorHAnsi" w:cstheme="minorHAnsi"/>
          <w:sz w:val="22"/>
          <w:szCs w:val="22"/>
        </w:rPr>
        <w:t>En cas de résiliation de l'accord-cadre pour motif d'intérêt général par le pouvoir adjudicateur, le titulaire ne percevra aucune indemnisation.</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57" w:name="_Toc126922018"/>
      <w:r w:rsidRPr="00A86E43">
        <w:rPr>
          <w:rFonts w:asciiTheme="minorHAnsi" w:hAnsiTheme="minorHAnsi" w:cstheme="minorHAnsi"/>
          <w:sz w:val="22"/>
          <w:szCs w:val="22"/>
        </w:rPr>
        <w:t>Procédure</w:t>
      </w:r>
      <w:bookmarkEnd w:id="57"/>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58" w:name="_Toc126922019"/>
      <w:r w:rsidR="00386EE8" w:rsidRPr="00E41C9A">
        <w:rPr>
          <w:rFonts w:asciiTheme="minorHAnsi" w:hAnsiTheme="minorHAnsi"/>
          <w:b/>
          <w:caps/>
          <w:sz w:val="24"/>
          <w:u w:val="single"/>
        </w:rPr>
        <w:t>Mesures et responsabilités en matière de sûreté et de sécurité</w:t>
      </w:r>
      <w:bookmarkEnd w:id="58"/>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59"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59"/>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0" w:name="_Toc126922020"/>
      <w:r w:rsidRPr="00A86E43">
        <w:rPr>
          <w:rFonts w:asciiTheme="minorHAnsi" w:hAnsiTheme="minorHAnsi"/>
          <w:b/>
          <w:caps/>
          <w:sz w:val="24"/>
          <w:u w:val="single"/>
        </w:rPr>
        <w:t>Éthique</w:t>
      </w:r>
      <w:bookmarkEnd w:id="60"/>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5">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6"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2104DD27"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1" w:name="_Toc5365317352"/>
      <w:r w:rsidRPr="00E41C9A">
        <w:rPr>
          <w:rFonts w:ascii="Calibri" w:eastAsia="Times New Roman" w:hAnsi="Calibri" w:cs="Calibri"/>
          <w:sz w:val="22"/>
        </w:rPr>
        <w:lastRenderedPageBreak/>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1"/>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70410857"/>
      <w:bookmarkStart w:id="63" w:name="_Toc70410991"/>
      <w:bookmarkStart w:id="64" w:name="_Toc70411545"/>
      <w:bookmarkStart w:id="65" w:name="_Toc70410858"/>
      <w:bookmarkStart w:id="66" w:name="_Toc70410992"/>
      <w:bookmarkStart w:id="67" w:name="_Toc70411546"/>
      <w:bookmarkStart w:id="68" w:name="_Toc70410859"/>
      <w:bookmarkStart w:id="69" w:name="_Toc70410993"/>
      <w:bookmarkStart w:id="70" w:name="_Toc70411547"/>
      <w:bookmarkStart w:id="71" w:name="_Toc70410860"/>
      <w:bookmarkStart w:id="72" w:name="_Toc70410994"/>
      <w:bookmarkStart w:id="73" w:name="_Toc70411548"/>
      <w:bookmarkStart w:id="74" w:name="_Toc70410861"/>
      <w:bookmarkStart w:id="75" w:name="_Toc70410995"/>
      <w:bookmarkStart w:id="76" w:name="_Toc70411549"/>
      <w:bookmarkStart w:id="77" w:name="_Toc70410862"/>
      <w:bookmarkStart w:id="78" w:name="_Toc70410996"/>
      <w:bookmarkStart w:id="79" w:name="_Toc70411550"/>
      <w:bookmarkStart w:id="80" w:name="_Toc70410863"/>
      <w:bookmarkStart w:id="81" w:name="_Toc70410997"/>
      <w:bookmarkStart w:id="82" w:name="_Toc70411551"/>
      <w:bookmarkStart w:id="83" w:name="_Toc70410866"/>
      <w:bookmarkStart w:id="84" w:name="_Toc70411000"/>
      <w:bookmarkStart w:id="85" w:name="_Toc70411554"/>
      <w:bookmarkStart w:id="86" w:name="_Toc70410867"/>
      <w:bookmarkStart w:id="87" w:name="_Toc70411001"/>
      <w:bookmarkStart w:id="88" w:name="_Toc70411555"/>
      <w:bookmarkStart w:id="89" w:name="_Toc70410868"/>
      <w:bookmarkStart w:id="90" w:name="_Toc70411002"/>
      <w:bookmarkStart w:id="91" w:name="_Toc70411556"/>
      <w:bookmarkStart w:id="92" w:name="_Toc70410871"/>
      <w:bookmarkStart w:id="93" w:name="_Toc70411005"/>
      <w:bookmarkStart w:id="94" w:name="_Toc70411559"/>
      <w:bookmarkStart w:id="95" w:name="_Toc70410872"/>
      <w:bookmarkStart w:id="96" w:name="_Toc70411006"/>
      <w:bookmarkStart w:id="97" w:name="_Toc70411560"/>
      <w:bookmarkStart w:id="98" w:name="_Toc70410876"/>
      <w:bookmarkStart w:id="99" w:name="_Toc70411010"/>
      <w:bookmarkStart w:id="100" w:name="_Toc70411564"/>
      <w:bookmarkStart w:id="101" w:name="_Toc70410877"/>
      <w:bookmarkStart w:id="102" w:name="_Toc70411011"/>
      <w:bookmarkStart w:id="103" w:name="_Toc70411565"/>
      <w:bookmarkStart w:id="104" w:name="_Toc70410878"/>
      <w:bookmarkStart w:id="105" w:name="_Toc70411012"/>
      <w:bookmarkStart w:id="106" w:name="_Toc70411566"/>
      <w:bookmarkStart w:id="107" w:name="_Toc12692202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07"/>
    </w:p>
    <w:p w14:paraId="64DCE497" w14:textId="5CC8F3CD"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7"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453B8C9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08" w:name="_Toc69226591"/>
      <w:r w:rsidR="00090C57">
        <w:rPr>
          <w:rFonts w:asciiTheme="minorHAnsi" w:eastAsia="Times New Roman" w:hAnsiTheme="minorHAnsi" w:cstheme="minorHAnsi"/>
          <w:sz w:val="22"/>
        </w:rPr>
        <w:t>a CNIL.).</w:t>
      </w:r>
    </w:p>
    <w:p w14:paraId="7091ADDB" w14:textId="422131A3" w:rsidR="002A19B9" w:rsidRPr="00A86E43" w:rsidRDefault="002C04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9" w:name="_Toc126922022"/>
      <w:bookmarkEnd w:id="108"/>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09"/>
    </w:p>
    <w:p w14:paraId="1FC79C3A" w14:textId="07D2AB5B"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w:t>
      </w:r>
      <w:r w:rsidR="00F82278">
        <w:rPr>
          <w:rFonts w:asciiTheme="minorHAnsi" w:hAnsiTheme="minorHAnsi" w:cs="Arial"/>
        </w:rPr>
        <w:t>Judiciaire</w:t>
      </w:r>
      <w:r w:rsidRPr="00A86E43">
        <w:rPr>
          <w:rFonts w:asciiTheme="minorHAnsi" w:hAnsiTheme="minorHAnsi" w:cs="Arial"/>
        </w:rPr>
        <w:t xml:space="preserve"> de Paris.</w:t>
      </w:r>
    </w:p>
    <w:p w14:paraId="47C125AD" w14:textId="4ADDD0C2" w:rsidR="002A19B9"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lastRenderedPageBreak/>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3A9E774C" w14:textId="77777777" w:rsidR="00F82278" w:rsidRPr="00A86E43" w:rsidRDefault="00F82278" w:rsidP="00A1761D">
      <w:pPr>
        <w:pStyle w:val="u"/>
        <w:widowControl w:val="0"/>
        <w:numPr>
          <w:ilvl w:val="12"/>
          <w:numId w:val="0"/>
        </w:numPr>
        <w:spacing w:before="120"/>
        <w:ind w:left="561"/>
        <w:rPr>
          <w:rFonts w:asciiTheme="minorHAnsi" w:hAnsiTheme="minorHAnsi" w:cs="Arial"/>
        </w:rPr>
      </w:pPr>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0"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0"/>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proofErr w:type="gramStart"/>
      <w:r w:rsidRPr="00822D98">
        <w:rPr>
          <w:rFonts w:asciiTheme="minorHAnsi" w:eastAsia="Times New Roman" w:hAnsiTheme="minorHAnsi" w:cstheme="minorHAnsi"/>
          <w:sz w:val="22"/>
          <w:szCs w:val="22"/>
        </w:rPr>
        <w:t>article</w:t>
      </w:r>
      <w:proofErr w:type="gramEnd"/>
      <w:r w:rsidRPr="00822D98">
        <w:rPr>
          <w:rFonts w:asciiTheme="minorHAnsi" w:eastAsia="Times New Roman" w:hAnsiTheme="minorHAnsi" w:cstheme="minorHAnsi"/>
          <w:sz w:val="22"/>
          <w:szCs w:val="22"/>
        </w:rPr>
        <w:t xml:space="preserv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2EC930A1" w14:textId="502B496B" w:rsidR="00343978" w:rsidRDefault="00343978" w:rsidP="00D51AB4">
      <w:pPr>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w:t>
      </w:r>
      <w:r w:rsidR="00090C57" w:rsidRPr="00343978">
        <w:rPr>
          <w:rFonts w:asciiTheme="minorHAnsi" w:hAnsiTheme="minorHAnsi" w:cstheme="minorHAnsi"/>
          <w:sz w:val="22"/>
          <w:szCs w:val="22"/>
        </w:rPr>
        <w:t>cas, le</w:t>
      </w:r>
      <w:r w:rsidRPr="00343978">
        <w:rPr>
          <w:rFonts w:asciiTheme="minorHAnsi" w:hAnsiTheme="minorHAnsi" w:cstheme="minorHAnsi"/>
          <w:sz w:val="22"/>
          <w:szCs w:val="22"/>
        </w:rPr>
        <w:t xml:space="preserve"> contractant sera informé par </w:t>
      </w:r>
      <w:r w:rsidR="00090C57" w:rsidRPr="00343978">
        <w:rPr>
          <w:rFonts w:asciiTheme="minorHAnsi" w:hAnsiTheme="minorHAnsi" w:cstheme="minorHAnsi"/>
          <w:sz w:val="22"/>
          <w:szCs w:val="22"/>
        </w:rPr>
        <w:t>un préavis</w:t>
      </w:r>
      <w:r w:rsidRPr="00343978">
        <w:rPr>
          <w:rFonts w:asciiTheme="minorHAnsi" w:hAnsiTheme="minorHAnsi" w:cstheme="minorHAnsi"/>
          <w:sz w:val="22"/>
          <w:szCs w:val="22"/>
        </w:rPr>
        <w:t xml:space="preserve"> </w:t>
      </w:r>
      <w:r w:rsidR="00D51AB4">
        <w:rPr>
          <w:rFonts w:asciiTheme="minorHAnsi" w:hAnsiTheme="minorHAnsi" w:cstheme="minorHAnsi"/>
          <w:sz w:val="22"/>
          <w:szCs w:val="22"/>
        </w:rPr>
        <w:t>d’au minimum de 5 jours ouvrés.</w:t>
      </w:r>
    </w:p>
    <w:p w14:paraId="27AC6C0F" w14:textId="77777777" w:rsidR="00D51AB4" w:rsidRPr="00343978" w:rsidRDefault="00D51AB4" w:rsidP="00D51AB4">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permettre</w:t>
      </w:r>
      <w:proofErr w:type="gramEnd"/>
      <w:r w:rsidRPr="00343978">
        <w:rPr>
          <w:rFonts w:asciiTheme="minorHAnsi" w:hAnsiTheme="minorHAnsi" w:cstheme="minorHAnsi"/>
          <w:sz w:val="22"/>
          <w:szCs w:val="22"/>
        </w:rPr>
        <w:t xml:space="preserve"> et faciliter à Expertise France ou aux personnes mandatées par Expertise France, l’accès aux informations nécessaires à l’exécution des audits,</w:t>
      </w:r>
    </w:p>
    <w:p w14:paraId="510063A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présenter</w:t>
      </w:r>
      <w:proofErr w:type="gramEnd"/>
      <w:r w:rsidRPr="00343978">
        <w:rPr>
          <w:rFonts w:asciiTheme="minorHAnsi" w:hAnsiTheme="minorHAnsi" w:cstheme="minorHAnsi"/>
          <w:sz w:val="22"/>
          <w:szCs w:val="22"/>
        </w:rPr>
        <w:t xml:space="preserve"> les documents relatifs à l’exécution du présent contrat ainsi que tous documents dont la communication est exigée par les auditeurs, </w:t>
      </w:r>
    </w:p>
    <w:p w14:paraId="16FBF9FA"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faire</w:t>
      </w:r>
      <w:proofErr w:type="gramEnd"/>
      <w:r w:rsidRPr="00343978">
        <w:rPr>
          <w:rFonts w:asciiTheme="minorHAnsi" w:hAnsiTheme="minorHAnsi" w:cstheme="minorHAnsi"/>
          <w:sz w:val="22"/>
          <w:szCs w:val="22"/>
        </w:rPr>
        <w:t xml:space="preserve"> preuve de transparence et à répondre aux sollicitations des auditeurs, </w:t>
      </w:r>
    </w:p>
    <w:p w14:paraId="5BB1AC68" w14:textId="77777777" w:rsidR="00343978" w:rsidRPr="00343978" w:rsidRDefault="00343978" w:rsidP="00343978">
      <w:pPr>
        <w:numPr>
          <w:ilvl w:val="0"/>
          <w:numId w:val="65"/>
        </w:numPr>
        <w:spacing w:line="240" w:lineRule="auto"/>
        <w:jc w:val="both"/>
        <w:rPr>
          <w:rFonts w:asciiTheme="minorHAnsi" w:hAnsiTheme="minorHAnsi" w:cstheme="minorHAnsi"/>
          <w:sz w:val="22"/>
          <w:szCs w:val="22"/>
        </w:rPr>
      </w:pPr>
      <w:proofErr w:type="gramStart"/>
      <w:r w:rsidRPr="00343978">
        <w:rPr>
          <w:rFonts w:asciiTheme="minorHAnsi" w:hAnsiTheme="minorHAnsi" w:cstheme="minorHAnsi"/>
          <w:sz w:val="22"/>
          <w:szCs w:val="22"/>
        </w:rPr>
        <w:t>mettre</w:t>
      </w:r>
      <w:proofErr w:type="gramEnd"/>
      <w:r w:rsidRPr="00343978">
        <w:rPr>
          <w:rFonts w:asciiTheme="minorHAnsi" w:hAnsiTheme="minorHAnsi" w:cstheme="minorHAnsi"/>
          <w:sz w:val="22"/>
          <w:szCs w:val="22"/>
        </w:rPr>
        <w:t xml:space="preserv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22A4372D" w:rsidR="00343978" w:rsidRPr="00343978" w:rsidRDefault="00090C57" w:rsidP="00343978">
      <w:pPr>
        <w:tabs>
          <w:tab w:val="left" w:pos="1134"/>
        </w:tabs>
        <w:ind w:left="567"/>
        <w:jc w:val="both"/>
        <w:rPr>
          <w:rFonts w:asciiTheme="minorHAnsi" w:hAnsiTheme="minorHAnsi" w:cstheme="minorHAnsi"/>
          <w:sz w:val="22"/>
          <w:szCs w:val="22"/>
        </w:rPr>
      </w:pPr>
      <w:r>
        <w:rPr>
          <w:rFonts w:asciiTheme="minorHAnsi" w:hAnsiTheme="minorHAnsi" w:cstheme="minorHAnsi"/>
          <w:sz w:val="22"/>
          <w:szCs w:val="22"/>
        </w:rPr>
        <w:t xml:space="preserve">Les conclusions du </w:t>
      </w:r>
      <w:r w:rsidR="00343978" w:rsidRPr="00343978">
        <w:rPr>
          <w:rFonts w:asciiTheme="minorHAnsi" w:hAnsiTheme="minorHAnsi" w:cstheme="minorHAnsi"/>
          <w:sz w:val="22"/>
          <w:szCs w:val="22"/>
        </w:rPr>
        <w:t>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7E766CA7" w:rsidR="002E47F9"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p>
    <w:p w14:paraId="203334F0" w14:textId="627CCF29" w:rsidR="00D51AB4" w:rsidRDefault="00D51AB4" w:rsidP="00343978">
      <w:pPr>
        <w:pStyle w:val="u"/>
        <w:tabs>
          <w:tab w:val="left" w:pos="0"/>
        </w:tabs>
        <w:ind w:firstLine="5"/>
        <w:rPr>
          <w:rFonts w:asciiTheme="minorHAnsi" w:hAnsiTheme="minorHAnsi" w:cstheme="minorHAnsi"/>
          <w:szCs w:val="22"/>
        </w:rPr>
      </w:pPr>
    </w:p>
    <w:p w14:paraId="69243853" w14:textId="77777777" w:rsidR="00D51AB4" w:rsidRPr="00343978" w:rsidRDefault="00D51AB4" w:rsidP="00343978">
      <w:pPr>
        <w:pStyle w:val="u"/>
        <w:tabs>
          <w:tab w:val="left" w:pos="0"/>
        </w:tabs>
        <w:ind w:firstLine="5"/>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1" w:name="_Toc126922024"/>
      <w:r w:rsidRPr="00A86E43">
        <w:rPr>
          <w:rFonts w:asciiTheme="minorHAnsi" w:hAnsiTheme="minorHAnsi"/>
          <w:b/>
          <w:caps/>
          <w:sz w:val="24"/>
          <w:u w:val="single"/>
        </w:rPr>
        <w:lastRenderedPageBreak/>
        <w:t>Dispositions finales</w:t>
      </w:r>
      <w:bookmarkEnd w:id="111"/>
    </w:p>
    <w:p w14:paraId="48B71179" w14:textId="77777777" w:rsidR="00800C6C" w:rsidRDefault="00800C6C" w:rsidP="00A1761D">
      <w:pPr>
        <w:pStyle w:val="Titre2"/>
        <w:spacing w:before="120" w:after="60"/>
        <w:jc w:val="both"/>
        <w:rPr>
          <w:rFonts w:asciiTheme="minorHAnsi" w:hAnsiTheme="minorHAnsi"/>
          <w:sz w:val="22"/>
          <w:szCs w:val="22"/>
        </w:rPr>
      </w:pPr>
      <w:bookmarkStart w:id="112" w:name="_Toc392669654"/>
      <w:bookmarkStart w:id="113" w:name="_Toc126922025"/>
      <w:r w:rsidRPr="00A86E43">
        <w:rPr>
          <w:rFonts w:asciiTheme="minorHAnsi" w:hAnsiTheme="minorHAnsi"/>
          <w:sz w:val="22"/>
          <w:szCs w:val="22"/>
        </w:rPr>
        <w:t>Déclaration</w:t>
      </w:r>
      <w:bookmarkEnd w:id="112"/>
      <w:bookmarkEnd w:id="113"/>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sidR="00AC2DCA">
        <w:rPr>
          <w:rFonts w:asciiTheme="minorHAnsi" w:hAnsiTheme="minorHAnsi" w:cs="Arial"/>
          <w:sz w:val="22"/>
          <w:szCs w:val="22"/>
        </w:rPr>
        <w:t>r</w:t>
      </w:r>
      <w:proofErr w:type="gramEnd"/>
      <w:r w:rsidR="00AC2DCA">
        <w:rPr>
          <w:rFonts w:asciiTheme="minorHAnsi" w:hAnsiTheme="minorHAnsi" w:cs="Arial"/>
          <w:sz w:val="22"/>
          <w:szCs w:val="22"/>
        </w:rPr>
        <w:t>,</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8"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w:t>
      </w:r>
      <w:proofErr w:type="gramStart"/>
      <w:r w:rsidR="00226D8C">
        <w:rPr>
          <w:rFonts w:asciiTheme="minorHAnsi" w:hAnsiTheme="minorHAnsi" w:cstheme="minorHAnsi"/>
          <w:sz w:val="22"/>
          <w:szCs w:val="22"/>
        </w:rPr>
        <w:t>dessous:</w:t>
      </w:r>
      <w:proofErr w:type="gramEnd"/>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19"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0"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1"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2"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3"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3"/>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4"/>
          <w:pgSz w:w="11906" w:h="16838" w:code="9"/>
          <w:pgMar w:top="902" w:right="1009" w:bottom="720" w:left="1151" w:header="397" w:footer="907" w:gutter="0"/>
          <w:cols w:space="708"/>
          <w:docGrid w:linePitch="360"/>
        </w:sectPr>
      </w:pPr>
    </w:p>
    <w:p w14:paraId="69EAC968" w14:textId="430D2AF0" w:rsidR="00656639" w:rsidRDefault="00E551F2" w:rsidP="00436E95">
      <w:pPr>
        <w:pStyle w:val="v"/>
        <w:widowControl w:val="0"/>
        <w:spacing w:before="600" w:after="240"/>
        <w:ind w:left="357" w:firstLine="0"/>
        <w:jc w:val="left"/>
        <w:outlineLvl w:val="0"/>
        <w:rPr>
          <w:rFonts w:asciiTheme="minorHAnsi" w:hAnsiTheme="minorHAnsi"/>
          <w:b/>
          <w:caps/>
          <w:sz w:val="24"/>
        </w:rPr>
      </w:pPr>
      <w:bookmarkStart w:id="114"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14"/>
    </w:p>
    <w:p w14:paraId="372CA737" w14:textId="6F9F7339" w:rsidR="00EA2136" w:rsidRDefault="00EA2136" w:rsidP="00EA2136">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BORDEREAU DES PRIX</w:t>
      </w:r>
    </w:p>
    <w:p w14:paraId="6B350DB4" w14:textId="77777777" w:rsidR="00EA2136" w:rsidRDefault="00EA2136" w:rsidP="00436E95">
      <w:pPr>
        <w:pStyle w:val="v"/>
        <w:widowControl w:val="0"/>
        <w:spacing w:before="600" w:after="240"/>
        <w:ind w:left="357" w:firstLine="0"/>
        <w:jc w:val="left"/>
        <w:outlineLvl w:val="0"/>
        <w:rPr>
          <w:rFonts w:asciiTheme="minorHAnsi" w:hAnsiTheme="minorHAnsi"/>
          <w:b/>
          <w:caps/>
          <w:sz w:val="24"/>
        </w:rPr>
      </w:pPr>
    </w:p>
    <w:p w14:paraId="2087315D" w14:textId="77777777" w:rsidR="00EA2136" w:rsidRPr="00436E95" w:rsidRDefault="00EA2136"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5"/>
      <w:footerReference w:type="even" r:id="rId26"/>
      <w:footerReference w:type="default"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E5C225" w14:textId="77777777" w:rsidR="00115E96" w:rsidRDefault="00115E96">
      <w:r>
        <w:separator/>
      </w:r>
    </w:p>
  </w:endnote>
  <w:endnote w:type="continuationSeparator" w:id="0">
    <w:p w14:paraId="68FBF7F9" w14:textId="77777777" w:rsidR="00115E96" w:rsidRDefault="00115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37644A" w:rsidRDefault="0037644A"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0AB53D0" w:rsidR="0037644A" w:rsidRDefault="0037644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73B5B">
              <w:rPr>
                <w:rFonts w:asciiTheme="minorHAnsi" w:hAnsiTheme="minorHAnsi"/>
                <w:b/>
                <w:bCs/>
                <w:noProof/>
                <w:sz w:val="22"/>
                <w:szCs w:val="22"/>
              </w:rPr>
              <w:t>17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73B5B">
              <w:rPr>
                <w:rFonts w:asciiTheme="minorHAnsi" w:hAnsiTheme="minorHAnsi"/>
                <w:b/>
                <w:bCs/>
                <w:noProof/>
                <w:sz w:val="22"/>
                <w:szCs w:val="22"/>
              </w:rPr>
              <w:t>18</w:t>
            </w:r>
            <w:r>
              <w:rPr>
                <w:rFonts w:asciiTheme="minorHAnsi" w:hAnsiTheme="minorHAnsi"/>
                <w:sz w:val="22"/>
                <w:szCs w:val="22"/>
              </w:rPr>
              <w:fldChar w:fldCharType="end"/>
            </w:r>
          </w:p>
        </w:sdtContent>
      </w:sdt>
      <w:p w14:paraId="0482806B" w14:textId="77777777" w:rsidR="0037644A" w:rsidRDefault="00115E96"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37644A" w:rsidRDefault="0037644A"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1C0AB50D" w:rsidR="0037644A" w:rsidRDefault="0037644A" w:rsidP="00065565">
            <w:pPr>
              <w:pStyle w:val="Pieddepage"/>
              <w:tabs>
                <w:tab w:val="clear" w:pos="4536"/>
                <w:tab w:val="clear" w:pos="9072"/>
                <w:tab w:val="right" w:pos="9468"/>
              </w:tabs>
              <w:rPr>
                <w:rFonts w:asciiTheme="minorHAnsi" w:hAnsiTheme="minorHAnsi"/>
                <w:b/>
                <w:bCs/>
                <w:sz w:val="22"/>
                <w:szCs w:val="22"/>
              </w:rPr>
            </w:pPr>
            <w:r w:rsidRPr="00C0652F">
              <w:rPr>
                <w:rFonts w:asciiTheme="minorHAnsi" w:hAnsiTheme="minorHAnsi"/>
                <w:smallCaps/>
                <w:sz w:val="22"/>
                <w:szCs w:val="22"/>
              </w:rPr>
              <w:t>24-MR</w:t>
            </w:r>
            <w:r w:rsidR="00C0652F" w:rsidRPr="00C0652F">
              <w:rPr>
                <w:rFonts w:asciiTheme="minorHAnsi" w:hAnsiTheme="minorHAnsi"/>
                <w:smallCaps/>
                <w:sz w:val="22"/>
                <w:szCs w:val="22"/>
              </w:rPr>
              <w:t>24-MR8099</w:t>
            </w:r>
            <w:r w:rsidR="00C0652F" w:rsidRPr="00C0652F">
              <w:rPr>
                <w:rFonts w:asciiTheme="minorHAnsi" w:hAnsiTheme="minorHAnsi"/>
                <w:sz w:val="22"/>
                <w:szCs w:val="22"/>
              </w:rPr>
              <w:t>_M</w:t>
            </w:r>
            <w:r w:rsidRPr="00C0652F">
              <w:rPr>
                <w:rFonts w:asciiTheme="minorHAnsi" w:hAnsiTheme="minorHAnsi"/>
                <w:sz w:val="22"/>
                <w:szCs w:val="22"/>
              </w:rPr>
              <w:t>atériel</w:t>
            </w:r>
            <w:r w:rsidR="00C0652F" w:rsidRPr="00C0652F">
              <w:rPr>
                <w:rFonts w:asciiTheme="minorHAnsi" w:hAnsiTheme="minorHAnsi"/>
                <w:sz w:val="22"/>
                <w:szCs w:val="22"/>
              </w:rPr>
              <w:t>, consommables informatiques</w:t>
            </w:r>
            <w:r w:rsidR="00C0652F">
              <w:rPr>
                <w:rFonts w:asciiTheme="minorHAnsi" w:hAnsiTheme="minorHAnsi"/>
                <w:sz w:val="22"/>
                <w:szCs w:val="22"/>
              </w:rPr>
              <w:t>_Laboh-Kin</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573B5B">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573B5B">
              <w:rPr>
                <w:rFonts w:asciiTheme="minorHAnsi" w:hAnsiTheme="minorHAnsi"/>
                <w:b/>
                <w:bCs/>
                <w:noProof/>
                <w:sz w:val="22"/>
                <w:szCs w:val="22"/>
              </w:rPr>
              <w:t>18</w:t>
            </w:r>
            <w:r>
              <w:rPr>
                <w:rFonts w:asciiTheme="minorHAnsi" w:hAnsiTheme="minorHAnsi"/>
                <w:b/>
                <w:bCs/>
                <w:sz w:val="22"/>
                <w:szCs w:val="22"/>
              </w:rPr>
              <w:fldChar w:fldCharType="end"/>
            </w:r>
          </w:p>
          <w:p w14:paraId="464BBB64" w14:textId="7997A3A6" w:rsidR="0037644A" w:rsidRDefault="0037644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Octobre 2024</w:t>
            </w:r>
          </w:p>
          <w:p w14:paraId="6260D679" w14:textId="77777777" w:rsidR="0037644A" w:rsidRDefault="0037644A"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37644A" w:rsidRPr="00065565" w:rsidRDefault="0037644A"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37644A" w:rsidRDefault="0037644A">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37644A" w:rsidRPr="00EE0FDD" w:rsidRDefault="0037644A"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591F9542" w:rsidR="0037644A" w:rsidRPr="00FF1F8E" w:rsidRDefault="0037644A"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573B5B">
          <w:rPr>
            <w:rFonts w:asciiTheme="minorHAnsi" w:hAnsiTheme="minorHAnsi"/>
            <w:b/>
            <w:bCs/>
            <w:noProof/>
            <w:sz w:val="22"/>
            <w:szCs w:val="22"/>
          </w:rPr>
          <w:t>18</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573B5B">
          <w:rPr>
            <w:rFonts w:asciiTheme="minorHAnsi" w:hAnsiTheme="minorHAnsi"/>
            <w:b/>
            <w:bCs/>
            <w:noProof/>
            <w:sz w:val="22"/>
            <w:szCs w:val="22"/>
          </w:rPr>
          <w:t>18</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3E94AD" w14:textId="77777777" w:rsidR="00115E96" w:rsidRDefault="00115E96">
      <w:r>
        <w:separator/>
      </w:r>
    </w:p>
  </w:footnote>
  <w:footnote w:type="continuationSeparator" w:id="0">
    <w:p w14:paraId="7BF8C8BE" w14:textId="77777777" w:rsidR="00115E96" w:rsidRDefault="00115E96">
      <w:r>
        <w:continuationSeparator/>
      </w:r>
    </w:p>
  </w:footnote>
  <w:footnote w:id="1">
    <w:p w14:paraId="3C25A372" w14:textId="77777777" w:rsidR="0037644A" w:rsidRPr="005E2563" w:rsidRDefault="0037644A"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37644A" w:rsidRPr="00A86E43" w:rsidRDefault="00115E96" w:rsidP="00996FEA">
      <w:pPr>
        <w:pStyle w:val="Notedebasdepage"/>
        <w:spacing w:before="0"/>
        <w:rPr>
          <w:rFonts w:ascii="Calibri" w:hAnsi="Calibri"/>
          <w:sz w:val="16"/>
          <w:szCs w:val="16"/>
        </w:rPr>
      </w:pPr>
      <w:hyperlink r:id="rId1" w:history="1">
        <w:r w:rsidR="0037644A" w:rsidRPr="00A86E43">
          <w:rPr>
            <w:rStyle w:val="Lienhypertexte"/>
            <w:rFonts w:ascii="Calibri" w:hAnsi="Calibri"/>
            <w:sz w:val="16"/>
            <w:szCs w:val="16"/>
          </w:rPr>
          <w:t>https://www.economie.gouv.fr/daj/cahiers-clauses-administratives-generales-et-techniques</w:t>
        </w:r>
      </w:hyperlink>
      <w:r w:rsidR="0037644A" w:rsidRPr="00A86E43">
        <w:rPr>
          <w:rFonts w:ascii="Calibri" w:hAnsi="Calibri"/>
          <w:sz w:val="16"/>
          <w:szCs w:val="16"/>
        </w:rPr>
        <w:t xml:space="preserve"> </w:t>
      </w:r>
    </w:p>
  </w:footnote>
  <w:footnote w:id="2">
    <w:p w14:paraId="573E9E69" w14:textId="7795573E" w:rsidR="0037644A" w:rsidRDefault="0037644A">
      <w:pPr>
        <w:pStyle w:val="Notedebasdepage"/>
      </w:pPr>
      <w:r>
        <w:rPr>
          <w:rStyle w:val="Appelnotedebasdep"/>
        </w:rPr>
        <w:footnoteRef/>
      </w:r>
      <w:r>
        <w:t xml:space="preserve"> A renseigner par le Contractant</w:t>
      </w:r>
    </w:p>
  </w:footnote>
  <w:footnote w:id="3">
    <w:p w14:paraId="63ABC744" w14:textId="77777777" w:rsidR="0037644A" w:rsidRPr="00A86E43" w:rsidRDefault="0037644A"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4">
    <w:p w14:paraId="500875E9" w14:textId="77777777" w:rsidR="0037644A" w:rsidRDefault="0037644A"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37644A" w:rsidRPr="00707B69" w:rsidRDefault="0037644A"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37644A" w:rsidRPr="00AC48DD" w:rsidRDefault="0037644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37644A" w:rsidRDefault="0037644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37644A" w:rsidRPr="00AC48DD" w:rsidRDefault="0037644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37644A" w:rsidRDefault="0037644A">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37644A" w:rsidRDefault="0037644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37644A" w:rsidRPr="00707B69" w:rsidRDefault="0037644A"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37644A" w:rsidRPr="00AC48DD" w:rsidRDefault="0037644A"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37644A" w:rsidRDefault="0037644A"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37644A" w:rsidRPr="00AC48DD" w:rsidRDefault="0037644A"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37644A" w:rsidRPr="00707B69" w:rsidRDefault="0037644A"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37644A" w:rsidRPr="00AC48DD" w:rsidRDefault="0037644A"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37644A" w:rsidRDefault="0037644A"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37644A" w:rsidRPr="00996FEA" w:rsidRDefault="0037644A"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242F"/>
    <w:rsid w:val="0003445A"/>
    <w:rsid w:val="00036781"/>
    <w:rsid w:val="00037915"/>
    <w:rsid w:val="00043222"/>
    <w:rsid w:val="000455A6"/>
    <w:rsid w:val="000461BD"/>
    <w:rsid w:val="00051787"/>
    <w:rsid w:val="00053E76"/>
    <w:rsid w:val="0005444D"/>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0C57"/>
    <w:rsid w:val="000916BC"/>
    <w:rsid w:val="00092030"/>
    <w:rsid w:val="000964DE"/>
    <w:rsid w:val="000A4C31"/>
    <w:rsid w:val="000A6914"/>
    <w:rsid w:val="000A6D39"/>
    <w:rsid w:val="000A6E96"/>
    <w:rsid w:val="000A764F"/>
    <w:rsid w:val="000B4CA7"/>
    <w:rsid w:val="000B4EAA"/>
    <w:rsid w:val="000B5260"/>
    <w:rsid w:val="000C096F"/>
    <w:rsid w:val="000C0B75"/>
    <w:rsid w:val="000C3A2A"/>
    <w:rsid w:val="000C4A41"/>
    <w:rsid w:val="000C5E22"/>
    <w:rsid w:val="000C7D83"/>
    <w:rsid w:val="000D04F1"/>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3A39"/>
    <w:rsid w:val="00104E87"/>
    <w:rsid w:val="00110630"/>
    <w:rsid w:val="00113F82"/>
    <w:rsid w:val="00115428"/>
    <w:rsid w:val="00115E96"/>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B15"/>
    <w:rsid w:val="00163E21"/>
    <w:rsid w:val="0016504D"/>
    <w:rsid w:val="00170656"/>
    <w:rsid w:val="001708DC"/>
    <w:rsid w:val="0017191E"/>
    <w:rsid w:val="00171A81"/>
    <w:rsid w:val="00171C9E"/>
    <w:rsid w:val="00172117"/>
    <w:rsid w:val="001721BB"/>
    <w:rsid w:val="001726C5"/>
    <w:rsid w:val="00173E83"/>
    <w:rsid w:val="00174613"/>
    <w:rsid w:val="001805A6"/>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667A"/>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3C0A"/>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21D"/>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757B6"/>
    <w:rsid w:val="0037644A"/>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210"/>
    <w:rsid w:val="003E5AA6"/>
    <w:rsid w:val="003E7602"/>
    <w:rsid w:val="003F06DE"/>
    <w:rsid w:val="003F36C1"/>
    <w:rsid w:val="004073C5"/>
    <w:rsid w:val="0040763A"/>
    <w:rsid w:val="00410ACD"/>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4DC"/>
    <w:rsid w:val="004A099E"/>
    <w:rsid w:val="004A7A7D"/>
    <w:rsid w:val="004B2F76"/>
    <w:rsid w:val="004B47E5"/>
    <w:rsid w:val="004B5B87"/>
    <w:rsid w:val="004B5E2B"/>
    <w:rsid w:val="004C0388"/>
    <w:rsid w:val="004C05F2"/>
    <w:rsid w:val="004C13B1"/>
    <w:rsid w:val="004C177B"/>
    <w:rsid w:val="004C4D2C"/>
    <w:rsid w:val="004C749B"/>
    <w:rsid w:val="004C7D41"/>
    <w:rsid w:val="004D023F"/>
    <w:rsid w:val="004D31ED"/>
    <w:rsid w:val="004D3EC6"/>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041E"/>
    <w:rsid w:val="00511F40"/>
    <w:rsid w:val="005131DE"/>
    <w:rsid w:val="00516373"/>
    <w:rsid w:val="005176BC"/>
    <w:rsid w:val="005204FC"/>
    <w:rsid w:val="00521CF4"/>
    <w:rsid w:val="0052206A"/>
    <w:rsid w:val="0052225C"/>
    <w:rsid w:val="00522645"/>
    <w:rsid w:val="0052404A"/>
    <w:rsid w:val="00524053"/>
    <w:rsid w:val="00524491"/>
    <w:rsid w:val="00540DA7"/>
    <w:rsid w:val="00543332"/>
    <w:rsid w:val="005436FE"/>
    <w:rsid w:val="0054446C"/>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B5B"/>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0C9"/>
    <w:rsid w:val="005F0451"/>
    <w:rsid w:val="005F639C"/>
    <w:rsid w:val="00602D42"/>
    <w:rsid w:val="00603A99"/>
    <w:rsid w:val="00606779"/>
    <w:rsid w:val="00611A5E"/>
    <w:rsid w:val="006126F6"/>
    <w:rsid w:val="00613784"/>
    <w:rsid w:val="00613BD8"/>
    <w:rsid w:val="00615984"/>
    <w:rsid w:val="00615D07"/>
    <w:rsid w:val="00617F0E"/>
    <w:rsid w:val="00623B63"/>
    <w:rsid w:val="00624291"/>
    <w:rsid w:val="00625902"/>
    <w:rsid w:val="00630B0F"/>
    <w:rsid w:val="006402AE"/>
    <w:rsid w:val="00641B9F"/>
    <w:rsid w:val="006424A1"/>
    <w:rsid w:val="00642909"/>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85107"/>
    <w:rsid w:val="006860C4"/>
    <w:rsid w:val="00691170"/>
    <w:rsid w:val="00694851"/>
    <w:rsid w:val="00694A01"/>
    <w:rsid w:val="00694D61"/>
    <w:rsid w:val="00695CFD"/>
    <w:rsid w:val="00697C08"/>
    <w:rsid w:val="006A21B3"/>
    <w:rsid w:val="006A6224"/>
    <w:rsid w:val="006B60B4"/>
    <w:rsid w:val="006B620A"/>
    <w:rsid w:val="006C52FD"/>
    <w:rsid w:val="006C5B6D"/>
    <w:rsid w:val="006D0BFE"/>
    <w:rsid w:val="006D3BE8"/>
    <w:rsid w:val="006D6D32"/>
    <w:rsid w:val="006E0586"/>
    <w:rsid w:val="006E2006"/>
    <w:rsid w:val="006E2037"/>
    <w:rsid w:val="006E2A49"/>
    <w:rsid w:val="006E576B"/>
    <w:rsid w:val="006E57FD"/>
    <w:rsid w:val="006F295F"/>
    <w:rsid w:val="006F6849"/>
    <w:rsid w:val="006F6F4E"/>
    <w:rsid w:val="006F74B7"/>
    <w:rsid w:val="00701BF6"/>
    <w:rsid w:val="00704574"/>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48B"/>
    <w:rsid w:val="00775808"/>
    <w:rsid w:val="00781982"/>
    <w:rsid w:val="00782242"/>
    <w:rsid w:val="00783DE8"/>
    <w:rsid w:val="007925B5"/>
    <w:rsid w:val="00794721"/>
    <w:rsid w:val="00796292"/>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1721F"/>
    <w:rsid w:val="00820C40"/>
    <w:rsid w:val="00821D49"/>
    <w:rsid w:val="00822D98"/>
    <w:rsid w:val="008234E7"/>
    <w:rsid w:val="00825236"/>
    <w:rsid w:val="0082684B"/>
    <w:rsid w:val="008269E1"/>
    <w:rsid w:val="008278A1"/>
    <w:rsid w:val="00827C44"/>
    <w:rsid w:val="00827E92"/>
    <w:rsid w:val="008301DA"/>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531B"/>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41A"/>
    <w:rsid w:val="008C6F83"/>
    <w:rsid w:val="008C7451"/>
    <w:rsid w:val="008D0EE4"/>
    <w:rsid w:val="008D1257"/>
    <w:rsid w:val="008D127E"/>
    <w:rsid w:val="008D2C3F"/>
    <w:rsid w:val="008E6CCE"/>
    <w:rsid w:val="008E7987"/>
    <w:rsid w:val="008F1BF6"/>
    <w:rsid w:val="00900B6E"/>
    <w:rsid w:val="009011FA"/>
    <w:rsid w:val="00902863"/>
    <w:rsid w:val="009033BD"/>
    <w:rsid w:val="009048EE"/>
    <w:rsid w:val="00905A23"/>
    <w:rsid w:val="009069EF"/>
    <w:rsid w:val="00907A3F"/>
    <w:rsid w:val="0091078F"/>
    <w:rsid w:val="0091111F"/>
    <w:rsid w:val="00912390"/>
    <w:rsid w:val="009125F0"/>
    <w:rsid w:val="00917A47"/>
    <w:rsid w:val="00920016"/>
    <w:rsid w:val="00920546"/>
    <w:rsid w:val="009243C9"/>
    <w:rsid w:val="009256FF"/>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3DB0"/>
    <w:rsid w:val="009B5103"/>
    <w:rsid w:val="009B584E"/>
    <w:rsid w:val="009B5F91"/>
    <w:rsid w:val="009C0B55"/>
    <w:rsid w:val="009C3F63"/>
    <w:rsid w:val="009C621B"/>
    <w:rsid w:val="009D0971"/>
    <w:rsid w:val="009D1611"/>
    <w:rsid w:val="009D33D1"/>
    <w:rsid w:val="009D6049"/>
    <w:rsid w:val="009D60D5"/>
    <w:rsid w:val="009D73DD"/>
    <w:rsid w:val="009E4891"/>
    <w:rsid w:val="009E6DB6"/>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217"/>
    <w:rsid w:val="00A41F8A"/>
    <w:rsid w:val="00A50B8E"/>
    <w:rsid w:val="00A53B86"/>
    <w:rsid w:val="00A544EF"/>
    <w:rsid w:val="00A57D85"/>
    <w:rsid w:val="00A630E1"/>
    <w:rsid w:val="00A63940"/>
    <w:rsid w:val="00A65758"/>
    <w:rsid w:val="00A67C9E"/>
    <w:rsid w:val="00A70C1C"/>
    <w:rsid w:val="00A763B4"/>
    <w:rsid w:val="00A83401"/>
    <w:rsid w:val="00A8549B"/>
    <w:rsid w:val="00A8561A"/>
    <w:rsid w:val="00A86E43"/>
    <w:rsid w:val="00A878C1"/>
    <w:rsid w:val="00A9191F"/>
    <w:rsid w:val="00A92253"/>
    <w:rsid w:val="00A963B0"/>
    <w:rsid w:val="00A96A97"/>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1B45"/>
    <w:rsid w:val="00AD2AA5"/>
    <w:rsid w:val="00AD70DD"/>
    <w:rsid w:val="00AD779A"/>
    <w:rsid w:val="00AE0B49"/>
    <w:rsid w:val="00AE0BFD"/>
    <w:rsid w:val="00AE0CBF"/>
    <w:rsid w:val="00AE2FA1"/>
    <w:rsid w:val="00AE3811"/>
    <w:rsid w:val="00AE3EA9"/>
    <w:rsid w:val="00AE4194"/>
    <w:rsid w:val="00AF0502"/>
    <w:rsid w:val="00AF228F"/>
    <w:rsid w:val="00AF33C4"/>
    <w:rsid w:val="00B04123"/>
    <w:rsid w:val="00B0514B"/>
    <w:rsid w:val="00B0601E"/>
    <w:rsid w:val="00B07BCD"/>
    <w:rsid w:val="00B15A37"/>
    <w:rsid w:val="00B266B0"/>
    <w:rsid w:val="00B2699E"/>
    <w:rsid w:val="00B2733D"/>
    <w:rsid w:val="00B30BC2"/>
    <w:rsid w:val="00B327E1"/>
    <w:rsid w:val="00B33DB8"/>
    <w:rsid w:val="00B340A9"/>
    <w:rsid w:val="00B35BCC"/>
    <w:rsid w:val="00B35C7D"/>
    <w:rsid w:val="00B35D41"/>
    <w:rsid w:val="00B36810"/>
    <w:rsid w:val="00B36ADB"/>
    <w:rsid w:val="00B374AA"/>
    <w:rsid w:val="00B37A44"/>
    <w:rsid w:val="00B37CBB"/>
    <w:rsid w:val="00B42FD0"/>
    <w:rsid w:val="00B5329C"/>
    <w:rsid w:val="00B554D7"/>
    <w:rsid w:val="00B55D7E"/>
    <w:rsid w:val="00B56D55"/>
    <w:rsid w:val="00B6610B"/>
    <w:rsid w:val="00B703D2"/>
    <w:rsid w:val="00B71839"/>
    <w:rsid w:val="00B723A0"/>
    <w:rsid w:val="00B723D5"/>
    <w:rsid w:val="00B73974"/>
    <w:rsid w:val="00B747C5"/>
    <w:rsid w:val="00B75D63"/>
    <w:rsid w:val="00B813FE"/>
    <w:rsid w:val="00B83C82"/>
    <w:rsid w:val="00B84B64"/>
    <w:rsid w:val="00B860A9"/>
    <w:rsid w:val="00B9134E"/>
    <w:rsid w:val="00B91D12"/>
    <w:rsid w:val="00B92C04"/>
    <w:rsid w:val="00B94A6D"/>
    <w:rsid w:val="00B95BD7"/>
    <w:rsid w:val="00BA2323"/>
    <w:rsid w:val="00BA4081"/>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0652F"/>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5111"/>
    <w:rsid w:val="00C8611D"/>
    <w:rsid w:val="00C919B4"/>
    <w:rsid w:val="00C919E3"/>
    <w:rsid w:val="00C92428"/>
    <w:rsid w:val="00C94B45"/>
    <w:rsid w:val="00C9526B"/>
    <w:rsid w:val="00C9690C"/>
    <w:rsid w:val="00C973C2"/>
    <w:rsid w:val="00CA11A4"/>
    <w:rsid w:val="00CA1669"/>
    <w:rsid w:val="00CA225A"/>
    <w:rsid w:val="00CA4550"/>
    <w:rsid w:val="00CA568F"/>
    <w:rsid w:val="00CA7073"/>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078AC"/>
    <w:rsid w:val="00D10387"/>
    <w:rsid w:val="00D11F49"/>
    <w:rsid w:val="00D127A4"/>
    <w:rsid w:val="00D143FE"/>
    <w:rsid w:val="00D23E07"/>
    <w:rsid w:val="00D25794"/>
    <w:rsid w:val="00D26361"/>
    <w:rsid w:val="00D307D0"/>
    <w:rsid w:val="00D3292F"/>
    <w:rsid w:val="00D4510B"/>
    <w:rsid w:val="00D51AB4"/>
    <w:rsid w:val="00D51BB9"/>
    <w:rsid w:val="00D52392"/>
    <w:rsid w:val="00D54415"/>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0248"/>
    <w:rsid w:val="00DD169A"/>
    <w:rsid w:val="00DD54AC"/>
    <w:rsid w:val="00DD6625"/>
    <w:rsid w:val="00DE0E61"/>
    <w:rsid w:val="00DE1070"/>
    <w:rsid w:val="00DE12CE"/>
    <w:rsid w:val="00DE2129"/>
    <w:rsid w:val="00DE304A"/>
    <w:rsid w:val="00DE3D67"/>
    <w:rsid w:val="00DE492A"/>
    <w:rsid w:val="00DE51E0"/>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9DB"/>
    <w:rsid w:val="00E33FDA"/>
    <w:rsid w:val="00E34F93"/>
    <w:rsid w:val="00E36430"/>
    <w:rsid w:val="00E4145C"/>
    <w:rsid w:val="00E41C9A"/>
    <w:rsid w:val="00E43C69"/>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2136"/>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3C34"/>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46B86"/>
    <w:rsid w:val="00F51120"/>
    <w:rsid w:val="00F53E95"/>
    <w:rsid w:val="00F54BCF"/>
    <w:rsid w:val="00F555D8"/>
    <w:rsid w:val="00F5717F"/>
    <w:rsid w:val="00F604E3"/>
    <w:rsid w:val="00F62F27"/>
    <w:rsid w:val="00F62F6C"/>
    <w:rsid w:val="00F63346"/>
    <w:rsid w:val="00F7095D"/>
    <w:rsid w:val="00F70BD0"/>
    <w:rsid w:val="00F71519"/>
    <w:rsid w:val="00F72033"/>
    <w:rsid w:val="00F766D6"/>
    <w:rsid w:val="00F812F5"/>
    <w:rsid w:val="00F82278"/>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0726"/>
    <w:rsid w:val="00FB4BDD"/>
    <w:rsid w:val="00FC102B"/>
    <w:rsid w:val="00FC23CC"/>
    <w:rsid w:val="00FC3A2A"/>
    <w:rsid w:val="00FC72D9"/>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qFormat/>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Numbered Paragraph,List Paragraph (numbered (a)),Use Case List Paragraph,Bullets,Main numbered paragraph,References,Bullet spaced,NUMBERED PARAGRAPH,List Paragraph 1,List_Paragraph,Ha"/>
    <w:basedOn w:val="Normal"/>
    <w:link w:val="ParagraphedelisteCar"/>
    <w:uiPriority w:val="1"/>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Numbered Paragraph Car,List Paragraph (numbered (a)) Car,Use Case List Paragraph Car,Bullets Car,Main numbered paragraph Car,References Car,Bullet spaced Car,Ha Car"/>
    <w:link w:val="Paragraphedeliste"/>
    <w:uiPriority w:val="34"/>
    <w:qFormat/>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character" w:styleId="lev">
    <w:name w:val="Strong"/>
    <w:basedOn w:val="Policepardfaut"/>
    <w:uiPriority w:val="22"/>
    <w:qFormat/>
    <w:rsid w:val="00B327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sanctionsmap.e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gels-avoirs.dgtresor.gouv.fr/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informatique.libertes@expertisefrance.fr"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expertisefrance.fr" TargetMode="External"/><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expertisefrance.fr/documents/20182/426622/Expertise+France+&#8211;+Code+de+conduite/2408659b-a84e-45ac-a142-47d5dc21faff" TargetMode="External"/><Relationship Id="rId23" Type="http://schemas.openxmlformats.org/officeDocument/2006/relationships/hyperlink" Target="https://www.worldbank.org/en/projects-operations/procurement/debarred-firms" TargetMode="External"/><Relationship Id="rId28"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s://www.un.org/securitycouncil/content/un-sc-consolidated-list"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home.treasury.gov/policy-issues/financial-sanctions/sanctions-programs-and-country-information"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www.economie.gouv.fr/daj/cahiers-clauses-administratives-generales-et-techniqu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18269-F103-4122-85B7-3B1929D13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48</TotalTime>
  <Pages>18</Pages>
  <Words>5511</Words>
  <Characters>30313</Characters>
  <Application>Microsoft Office Word</Application>
  <DocSecurity>0</DocSecurity>
  <Lines>252</Lines>
  <Paragraphs>71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35753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g.nda-koussan</cp:lastModifiedBy>
  <cp:revision>17</cp:revision>
  <cp:lastPrinted>2014-11-19T14:39:00Z</cp:lastPrinted>
  <dcterms:created xsi:type="dcterms:W3CDTF">2024-09-25T16:35:00Z</dcterms:created>
  <dcterms:modified xsi:type="dcterms:W3CDTF">2024-10-21T13:53:00Z</dcterms:modified>
</cp:coreProperties>
</file>