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jc w:val="center"/>
        <w:rPr>
          <w:rFonts w:ascii="Arial" w:hAnsi="Arial"/>
          <w:sz w:val="20"/>
          <w:szCs w:val="20"/>
        </w:rPr>
      </w:pPr>
      <w:r>
        <w:rPr>
          <w:rFonts w:cs="Arial" w:ascii="Arial" w:hAnsi="Arial"/>
          <w:b/>
          <w:bCs/>
          <w:sz w:val="20"/>
          <w:szCs w:val="20"/>
        </w:rPr>
        <w:t xml:space="preserve">MARCHE PUBLIC </w:t>
      </w:r>
    </w:p>
    <w:p>
      <w:pPr>
        <w:pStyle w:val="Normal"/>
        <w:widowControl w:val="false"/>
        <w:jc w:val="center"/>
        <w:rPr>
          <w:rFonts w:ascii="Arial" w:hAnsi="Arial"/>
          <w:sz w:val="20"/>
          <w:szCs w:val="20"/>
        </w:rPr>
      </w:pPr>
      <w:r>
        <w:rPr>
          <w:rFonts w:cs="Arial" w:ascii="Arial" w:hAnsi="Arial"/>
          <w:b/>
          <w:bCs/>
          <w:sz w:val="20"/>
          <w:szCs w:val="20"/>
        </w:rPr>
        <w:t>Marché à procédure adaptée</w:t>
      </w:r>
    </w:p>
    <w:p>
      <w:pPr>
        <w:pStyle w:val="Normal"/>
        <w:widowControl w:val="false"/>
        <w:jc w:val="center"/>
        <w:rPr>
          <w:rFonts w:ascii="Arial" w:hAnsi="Arial" w:cs="Arial"/>
          <w:b/>
          <w:bCs/>
          <w:sz w:val="20"/>
          <w:szCs w:val="20"/>
        </w:rPr>
      </w:pPr>
      <w:r>
        <w:rPr>
          <w:rFonts w:cs="Arial" w:ascii="Arial" w:hAnsi="Arial"/>
          <w:b/>
          <w:bCs/>
          <w:sz w:val="20"/>
          <w:szCs w:val="20"/>
        </w:rPr>
      </w:r>
    </w:p>
    <w:p>
      <w:pPr>
        <w:pStyle w:val="Normal"/>
        <w:widowControl w:val="false"/>
        <w:jc w:val="center"/>
        <w:rPr>
          <w:rFonts w:ascii="Arial" w:hAnsi="Arial"/>
          <w:sz w:val="20"/>
          <w:szCs w:val="20"/>
        </w:rPr>
      </w:pPr>
      <w:r>
        <w:rPr>
          <w:rFonts w:cs="Arial" w:ascii="Arial" w:hAnsi="Arial"/>
          <w:b/>
          <w:bCs/>
          <w:sz w:val="20"/>
          <w:szCs w:val="20"/>
        </w:rPr>
        <w:t xml:space="preserve">RÈGLEMENT DE LA CONSULTATION </w:t>
      </w:r>
    </w:p>
    <w:p>
      <w:pPr>
        <w:pStyle w:val="Normal"/>
        <w:widowControl w:val="false"/>
        <w:jc w:val="center"/>
        <w:rPr>
          <w:rFonts w:ascii="Arial" w:hAnsi="Arial"/>
          <w:sz w:val="20"/>
          <w:szCs w:val="20"/>
        </w:rPr>
      </w:pPr>
      <w:r>
        <w:rPr>
          <w:rFonts w:cs="Arial" w:ascii="Arial" w:hAnsi="Arial"/>
          <w:b/>
          <w:bCs/>
          <w:sz w:val="20"/>
          <w:szCs w:val="20"/>
        </w:rPr>
        <w:t>(R.C)</w:t>
      </w:r>
    </w:p>
    <w:p>
      <w:pPr>
        <w:pStyle w:val="Normal"/>
        <w:widowControl w:val="false"/>
        <w:jc w:val="center"/>
        <w:rPr>
          <w:rFonts w:ascii="Arial" w:hAnsi="Arial" w:cs="Arial"/>
          <w:b/>
          <w:bCs/>
          <w:sz w:val="20"/>
          <w:szCs w:val="20"/>
        </w:rPr>
      </w:pPr>
      <w:r>
        <w:rPr>
          <w:rFonts w:cs="Arial" w:ascii="Arial" w:hAnsi="Arial"/>
          <w:b/>
          <w:bCs/>
          <w:sz w:val="20"/>
          <w:szCs w:val="20"/>
        </w:rPr>
      </w:r>
    </w:p>
    <w:p>
      <w:pPr>
        <w:pStyle w:val="Normal"/>
        <w:widowControl w:val="false"/>
        <w:jc w:val="center"/>
        <w:rPr>
          <w:rFonts w:ascii="Arial" w:hAnsi="Arial" w:cs="Arial"/>
          <w:b/>
          <w:bCs/>
          <w:sz w:val="20"/>
          <w:szCs w:val="20"/>
        </w:rPr>
      </w:pPr>
      <w:r>
        <w:rPr>
          <w:rFonts w:cs="Arial" w:ascii="Arial" w:hAnsi="Arial"/>
          <w:b/>
          <w:bCs/>
          <w:sz w:val="20"/>
          <w:szCs w:val="20"/>
        </w:rPr>
      </w:r>
    </w:p>
    <w:tbl>
      <w:tblPr>
        <w:tblStyle w:val="Grilledutableau"/>
        <w:tblW w:w="907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0"/>
        <w:gridCol w:w="4541"/>
      </w:tblGrid>
      <w:tr>
        <w:trPr>
          <w:trHeight w:val="454" w:hRule="atLeast"/>
        </w:trPr>
        <w:tc>
          <w:tcPr>
            <w:tcW w:w="9071" w:type="dxa"/>
            <w:gridSpan w:val="2"/>
            <w:tcBorders>
              <w:top w:val="nil"/>
              <w:left w:val="nil"/>
              <w:bottom w:val="nil"/>
              <w:right w:val="nil"/>
            </w:tcBorders>
            <w:shd w:color="auto" w:fill="F2F2F2" w:themeFill="background1" w:themeFillShade="f2" w:val="clear"/>
            <w:vAlign w:val="center"/>
          </w:tcPr>
          <w:p>
            <w:pPr>
              <w:pStyle w:val="Normal"/>
              <w:keepNext w:val="true"/>
              <w:widowControl w:val="false"/>
              <w:shd w:val="clear" w:color="auto" w:fill="F2F2F2" w:themeFill="background1" w:themeFillShade="f2"/>
              <w:suppressAutoHyphens w:val="true"/>
              <w:spacing w:before="0" w:after="0"/>
              <w:jc w:val="center"/>
              <w:rPr>
                <w:rFonts w:ascii="Arial" w:hAnsi="Arial"/>
                <w:sz w:val="20"/>
                <w:szCs w:val="20"/>
              </w:rPr>
            </w:pPr>
            <w:r>
              <w:rPr>
                <w:rFonts w:eastAsia="Times New Roman" w:cs="Arial" w:ascii="Arial" w:hAnsi="Arial"/>
                <w:b/>
                <w:bCs/>
                <w:kern w:val="0"/>
                <w:sz w:val="20"/>
                <w:szCs w:val="20"/>
                <w:shd w:fill="auto" w:val="clear"/>
                <w:lang w:val="fr-FR" w:eastAsia="fr-FR" w:bidi="ar-SA"/>
              </w:rPr>
              <w:t xml:space="preserve">Maître d’ouvrage </w:t>
            </w:r>
          </w:p>
        </w:tc>
      </w:tr>
      <w:tr>
        <w:trPr>
          <w:trHeight w:val="1798" w:hRule="atLeast"/>
        </w:trPr>
        <w:tc>
          <w:tcPr>
            <w:tcW w:w="4530" w:type="dxa"/>
            <w:tcBorders>
              <w:top w:val="nil"/>
              <w:left w:val="nil"/>
              <w:bottom w:val="nil"/>
              <w:right w:val="nil"/>
            </w:tcBorders>
            <w:shd w:color="auto" w:fill="F2F2F2" w:themeFill="background1" w:themeFillShade="f2" w:val="clear"/>
            <w:vAlign w:val="center"/>
          </w:tcPr>
          <w:p>
            <w:pPr>
              <w:pStyle w:val="Normal"/>
              <w:widowControl w:val="false"/>
              <w:shd w:val="clear" w:color="auto" w:fill="F2F2F2" w:themeFill="background1" w:themeFillShade="f2"/>
              <w:suppressAutoHyphens w:val="true"/>
              <w:spacing w:before="0" w:after="0"/>
              <w:jc w:val="center"/>
              <w:rPr>
                <w:rFonts w:ascii="Arial" w:hAnsi="Arial"/>
                <w:sz w:val="20"/>
                <w:szCs w:val="20"/>
              </w:rPr>
            </w:pPr>
            <w:r>
              <w:rPr/>
              <w:drawing>
                <wp:inline distT="0" distB="0" distL="0" distR="0">
                  <wp:extent cx="1212850" cy="937260"/>
                  <wp:effectExtent l="0" t="0" r="0" b="0"/>
                  <wp:docPr id="1" name="Image 2" descr="Liste des préfets du Haut-Rhin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Liste des préfets du Haut-Rhin — Wikipédia"/>
                          <pic:cNvPicPr>
                            <a:picLocks noChangeAspect="1" noChangeArrowheads="1"/>
                          </pic:cNvPicPr>
                        </pic:nvPicPr>
                        <pic:blipFill>
                          <a:blip r:embed="rId2"/>
                          <a:stretch>
                            <a:fillRect/>
                          </a:stretch>
                        </pic:blipFill>
                        <pic:spPr bwMode="auto">
                          <a:xfrm>
                            <a:off x="0" y="0"/>
                            <a:ext cx="1212850" cy="937260"/>
                          </a:xfrm>
                          <a:prstGeom prst="rect">
                            <a:avLst/>
                          </a:prstGeom>
                        </pic:spPr>
                      </pic:pic>
                    </a:graphicData>
                  </a:graphic>
                </wp:inline>
              </w:drawing>
            </w:r>
          </w:p>
        </w:tc>
        <w:tc>
          <w:tcPr>
            <w:tcW w:w="4541" w:type="dxa"/>
            <w:tcBorders>
              <w:top w:val="nil"/>
              <w:left w:val="nil"/>
              <w:bottom w:val="nil"/>
              <w:right w:val="nil"/>
            </w:tcBorders>
            <w:shd w:color="auto" w:fill="F2F2F2" w:themeFill="background1" w:themeFillShade="f2" w:val="clear"/>
            <w:vAlign w:val="center"/>
          </w:tcPr>
          <w:p>
            <w:pPr>
              <w:pStyle w:val="Normal"/>
              <w:widowControl w:val="false"/>
              <w:shd w:val="clear" w:color="auto" w:fill="F2F2F2" w:themeFill="background1" w:themeFillShade="f2"/>
              <w:suppressAutoHyphens w:val="true"/>
              <w:spacing w:before="0" w:after="0"/>
              <w:jc w:val="center"/>
              <w:rPr>
                <w:rFonts w:ascii="Arial" w:hAnsi="Arial"/>
                <w:sz w:val="20"/>
                <w:szCs w:val="20"/>
              </w:rPr>
            </w:pPr>
            <w:r>
              <w:rPr>
                <w:rFonts w:eastAsia="Times New Roman" w:cs="Arial" w:ascii="Arial" w:hAnsi="Arial"/>
                <w:b/>
                <w:color w:val="0070C0"/>
                <w:kern w:val="0"/>
                <w:sz w:val="20"/>
                <w:szCs w:val="20"/>
                <w:lang w:val="fr-FR" w:eastAsia="fr-FR" w:bidi="ar-SA"/>
              </w:rPr>
              <w:t>Préfecture du Haut-Rhin</w:t>
            </w:r>
          </w:p>
          <w:p>
            <w:pPr>
              <w:pStyle w:val="Normal"/>
              <w:widowControl w:val="false"/>
              <w:shd w:val="clear" w:color="auto" w:fill="F2F2F2" w:themeFill="background1" w:themeFillShade="f2"/>
              <w:suppressAutoHyphens w:val="true"/>
              <w:spacing w:before="0" w:after="0"/>
              <w:jc w:val="center"/>
              <w:rPr>
                <w:rFonts w:ascii="Arial" w:hAnsi="Arial"/>
                <w:sz w:val="20"/>
                <w:szCs w:val="20"/>
              </w:rPr>
            </w:pPr>
            <w:r>
              <w:rPr>
                <w:rFonts w:eastAsia="Times New Roman" w:cs="Arial" w:ascii="Arial" w:hAnsi="Arial"/>
                <w:b/>
                <w:color w:val="0070C0"/>
                <w:kern w:val="0"/>
                <w:sz w:val="20"/>
                <w:szCs w:val="20"/>
                <w:lang w:val="fr-FR" w:eastAsia="fr-FR" w:bidi="ar-SA"/>
              </w:rPr>
              <w:t>Cité administrative</w:t>
            </w:r>
          </w:p>
          <w:p>
            <w:pPr>
              <w:pStyle w:val="Normal"/>
              <w:widowControl w:val="false"/>
              <w:shd w:val="clear" w:color="auto" w:fill="F2F2F2" w:themeFill="background1" w:themeFillShade="f2"/>
              <w:suppressAutoHyphens w:val="true"/>
              <w:spacing w:before="0" w:after="0"/>
              <w:jc w:val="center"/>
              <w:rPr>
                <w:rFonts w:ascii="Arial" w:hAnsi="Arial"/>
                <w:sz w:val="20"/>
                <w:szCs w:val="20"/>
              </w:rPr>
            </w:pPr>
            <w:r>
              <w:rPr>
                <w:rFonts w:eastAsia="Times New Roman" w:cs="Arial" w:ascii="Arial" w:hAnsi="Arial"/>
                <w:b/>
                <w:color w:val="0070C0"/>
                <w:kern w:val="0"/>
                <w:sz w:val="20"/>
                <w:szCs w:val="20"/>
                <w:lang w:val="fr-FR" w:eastAsia="fr-FR" w:bidi="ar-SA"/>
              </w:rPr>
              <w:t>3 Rue Fleischhauer</w:t>
            </w:r>
          </w:p>
          <w:p>
            <w:pPr>
              <w:pStyle w:val="Normal"/>
              <w:keepNext w:val="true"/>
              <w:widowControl w:val="false"/>
              <w:suppressAutoHyphens w:val="true"/>
              <w:spacing w:before="0" w:after="0"/>
              <w:jc w:val="center"/>
              <w:rPr>
                <w:rFonts w:ascii="Arial" w:hAnsi="Arial"/>
                <w:sz w:val="20"/>
                <w:szCs w:val="20"/>
              </w:rPr>
            </w:pPr>
            <w:bookmarkStart w:id="0" w:name="_Hlk171663171"/>
            <w:r>
              <w:rPr>
                <w:rFonts w:eastAsia="Times New Roman" w:cs="Arial" w:ascii="Arial" w:hAnsi="Arial"/>
                <w:b/>
                <w:color w:val="0070C0"/>
                <w:kern w:val="0"/>
                <w:sz w:val="20"/>
                <w:szCs w:val="20"/>
                <w:lang w:val="fr-FR" w:eastAsia="fr-FR" w:bidi="ar-SA"/>
              </w:rPr>
              <w:t>68 000 COLMAR</w:t>
            </w:r>
            <w:bookmarkEnd w:id="0"/>
          </w:p>
        </w:tc>
      </w:tr>
    </w:tbl>
    <w:p>
      <w:pPr>
        <w:pStyle w:val="Normal"/>
        <w:widowControl w:val="false"/>
        <w:jc w:val="center"/>
        <w:rPr>
          <w:rFonts w:ascii="Arial" w:hAnsi="Arial" w:cs="Arial"/>
          <w:b/>
          <w:bCs/>
          <w:sz w:val="20"/>
          <w:szCs w:val="20"/>
        </w:rPr>
      </w:pPr>
      <w:r>
        <w:rPr>
          <w:rFonts w:cs="Arial" w:ascii="Arial" w:hAnsi="Arial"/>
          <w:b/>
          <w:bCs/>
          <w:sz w:val="20"/>
          <w:szCs w:val="20"/>
        </w:rPr>
      </w:r>
    </w:p>
    <w:p>
      <w:pPr>
        <w:pStyle w:val="Normal"/>
        <w:keepNext w:val="true"/>
        <w:widowControl w:val="false"/>
        <w:shd w:val="clear" w:color="auto" w:fill="F3F3F3"/>
        <w:jc w:val="center"/>
        <w:rPr>
          <w:rFonts w:ascii="Arial" w:hAnsi="Arial" w:cs="Arial"/>
          <w:b/>
          <w:bCs/>
          <w:sz w:val="20"/>
          <w:szCs w:val="20"/>
        </w:rPr>
      </w:pPr>
      <w:r>
        <w:rPr>
          <w:rFonts w:cs="Arial" w:ascii="Arial" w:hAnsi="Arial"/>
          <w:b/>
          <w:bCs/>
          <w:sz w:val="20"/>
          <w:szCs w:val="20"/>
        </w:rPr>
      </w:r>
    </w:p>
    <w:p>
      <w:pPr>
        <w:pStyle w:val="Normal"/>
        <w:keepNext w:val="true"/>
        <w:widowControl w:val="false"/>
        <w:shd w:val="clear" w:color="auto" w:fill="F3F3F3"/>
        <w:jc w:val="center"/>
        <w:rPr>
          <w:rFonts w:ascii="Arial" w:hAnsi="Arial"/>
          <w:sz w:val="20"/>
          <w:szCs w:val="20"/>
        </w:rPr>
      </w:pPr>
      <w:r>
        <w:rPr>
          <w:rFonts w:cs="Arial" w:ascii="Arial" w:hAnsi="Arial"/>
          <w:b/>
          <w:bCs/>
          <w:sz w:val="20"/>
          <w:szCs w:val="20"/>
        </w:rPr>
        <w:t>Objet de la consultation : phase offre</w:t>
      </w:r>
    </w:p>
    <w:p>
      <w:pPr>
        <w:pStyle w:val="Normal"/>
        <w:keepNext w:val="true"/>
        <w:widowControl w:val="false"/>
        <w:shd w:val="clear" w:color="auto" w:fill="F3F3F3"/>
        <w:jc w:val="center"/>
        <w:rPr>
          <w:rFonts w:ascii="Arial" w:hAnsi="Arial"/>
          <w:sz w:val="20"/>
          <w:szCs w:val="20"/>
        </w:rPr>
      </w:pPr>
      <w:r>
        <w:rPr>
          <w:rFonts w:cs="Arial" w:ascii="Arial" w:hAnsi="Arial"/>
          <w:b/>
          <w:bCs/>
          <w:sz w:val="20"/>
          <w:szCs w:val="20"/>
        </w:rPr>
        <w:t>_______________________________________________________________________</w:t>
      </w:r>
    </w:p>
    <w:p>
      <w:pPr>
        <w:pStyle w:val="RedTitre1"/>
        <w:keepNext w:val="true"/>
        <w:widowControl/>
        <w:shd w:val="clear" w:color="auto" w:fill="F3F3F3"/>
        <w:rPr>
          <w:rFonts w:ascii="Arial" w:hAnsi="Arial"/>
          <w:sz w:val="20"/>
          <w:szCs w:val="20"/>
        </w:rPr>
      </w:pPr>
      <w:r>
        <w:rPr>
          <w:sz w:val="20"/>
          <w:szCs w:val="20"/>
        </w:rPr>
      </w:r>
    </w:p>
    <w:p>
      <w:pPr>
        <w:pStyle w:val="RedTitre1"/>
        <w:keepNext w:val="true"/>
        <w:widowControl/>
        <w:shd w:val="clear" w:color="auto" w:fill="F3F3F3"/>
        <w:rPr>
          <w:rFonts w:ascii="Arial" w:hAnsi="Arial"/>
          <w:sz w:val="20"/>
          <w:szCs w:val="20"/>
        </w:rPr>
      </w:pPr>
      <w:r>
        <w:rPr>
          <w:sz w:val="20"/>
          <w:szCs w:val="20"/>
        </w:rPr>
        <w:t xml:space="preserve">Récupération des eaux pluviales des toitures du bâtiment de la préfecture du </w:t>
        <w:br/>
        <w:t>Haut-Rhin situé 7, rue Bruat à COLMAR</w:t>
      </w:r>
    </w:p>
    <w:p>
      <w:pPr>
        <w:pStyle w:val="Normal"/>
        <w:keepNext w:val="true"/>
        <w:widowControl w:val="false"/>
        <w:shd w:val="clear" w:color="auto" w:fill="F3F3F3"/>
        <w:jc w:val="center"/>
        <w:rPr>
          <w:rFonts w:ascii="Arial" w:hAnsi="Arial"/>
          <w:sz w:val="20"/>
          <w:szCs w:val="20"/>
        </w:rPr>
      </w:pPr>
      <w:r>
        <w:rPr>
          <w:rFonts w:cs="Arial" w:ascii="Arial" w:hAnsi="Arial"/>
          <w:b/>
          <w:bCs/>
          <w:sz w:val="20"/>
          <w:szCs w:val="20"/>
        </w:rPr>
        <w:t>_______________________________________________________________________</w:t>
      </w:r>
    </w:p>
    <w:p>
      <w:pPr>
        <w:pStyle w:val="RedTitre1"/>
        <w:keepNext w:val="true"/>
        <w:rPr>
          <w:rFonts w:ascii="Arial" w:hAnsi="Arial"/>
          <w:sz w:val="20"/>
          <w:szCs w:val="20"/>
        </w:rPr>
      </w:pPr>
      <w:r>
        <w:rPr>
          <w:sz w:val="20"/>
          <w:szCs w:val="20"/>
        </w:rPr>
        <mc:AlternateContent>
          <mc:Choice Requires="wps">
            <w:drawing>
              <wp:anchor behindDoc="1" distT="635" distB="635" distL="1270" distR="635" simplePos="0" locked="0" layoutInCell="1" allowOverlap="1" relativeHeight="3" wp14:anchorId="5E1698C1">
                <wp:simplePos x="0" y="0"/>
                <wp:positionH relativeFrom="column">
                  <wp:posOffset>267335</wp:posOffset>
                </wp:positionH>
                <wp:positionV relativeFrom="paragraph">
                  <wp:posOffset>132080</wp:posOffset>
                </wp:positionV>
                <wp:extent cx="5278755" cy="1775460"/>
                <wp:effectExtent l="1270" t="635" r="635" b="635"/>
                <wp:wrapNone/>
                <wp:docPr id="2" name="AutoShape 3"/>
                <a:graphic xmlns:a="http://schemas.openxmlformats.org/drawingml/2006/main">
                  <a:graphicData uri="http://schemas.microsoft.com/office/word/2010/wordprocessingShape">
                    <wps:wsp>
                      <wps:cNvSpPr/>
                      <wps:spPr>
                        <a:xfrm>
                          <a:off x="0" y="0"/>
                          <a:ext cx="5278680" cy="1775520"/>
                        </a:xfrm>
                        <a:prstGeom prst="roundRect">
                          <a:avLst>
                            <a:gd name="adj" fmla="val 16667"/>
                          </a:avLst>
                        </a:prstGeom>
                        <a:solidFill>
                          <a:srgbClr val="f2f2f2"/>
                        </a:solidFill>
                        <a:ln w="0">
                          <a:noFill/>
                        </a:ln>
                      </wps:spPr>
                      <wps:style>
                        <a:lnRef idx="0"/>
                        <a:fillRef idx="0"/>
                        <a:effectRef idx="0"/>
                        <a:fontRef idx="minor"/>
                      </wps:style>
                      <wps:bodyPr/>
                    </wps:wsp>
                  </a:graphicData>
                </a:graphic>
              </wp:anchor>
            </w:drawing>
          </mc:Choice>
          <mc:Fallback>
            <w:pict/>
          </mc:Fallback>
        </mc:AlternateContent>
      </w:r>
    </w:p>
    <w:p>
      <w:pPr>
        <w:pStyle w:val="RedTitre1"/>
        <w:keepNext w:val="true"/>
        <w:rPr>
          <w:rFonts w:ascii="Arial" w:hAnsi="Arial"/>
          <w:sz w:val="20"/>
          <w:szCs w:val="20"/>
        </w:rPr>
      </w:pPr>
      <w:r>
        <w:rPr>
          <w:sz w:val="20"/>
          <w:szCs w:val="20"/>
        </w:rPr>
        <w:t xml:space="preserve"> </w:t>
      </w:r>
      <w:r>
        <w:rPr>
          <w:sz w:val="20"/>
          <w:szCs w:val="20"/>
        </w:rPr>
        <w:t>En application du Code de la Commande Publique</w:t>
      </w:r>
    </w:p>
    <w:p>
      <w:pPr>
        <w:pStyle w:val="RedTitre1"/>
        <w:keepNext w:val="true"/>
        <w:rPr>
          <w:rFonts w:ascii="Arial" w:hAnsi="Arial"/>
          <w:sz w:val="20"/>
          <w:szCs w:val="20"/>
        </w:rPr>
      </w:pPr>
      <w:r>
        <w:rPr>
          <w:sz w:val="20"/>
          <w:szCs w:val="20"/>
        </w:rPr>
      </w:r>
    </w:p>
    <w:p>
      <w:pPr>
        <w:pStyle w:val="RedTitre1"/>
        <w:keepNext w:val="true"/>
        <w:rPr>
          <w:rFonts w:ascii="Arial" w:hAnsi="Arial"/>
          <w:sz w:val="20"/>
          <w:szCs w:val="20"/>
        </w:rPr>
      </w:pPr>
      <w:r>
        <w:rPr>
          <w:sz w:val="20"/>
          <w:szCs w:val="20"/>
        </w:rPr>
        <w:t>La procédure de consultation utilisée est la suivante :</w:t>
      </w:r>
    </w:p>
    <w:p>
      <w:pPr>
        <w:pStyle w:val="RedTitre1"/>
        <w:keepNext w:val="true"/>
        <w:rPr>
          <w:rFonts w:ascii="Arial" w:hAnsi="Arial"/>
          <w:sz w:val="20"/>
          <w:szCs w:val="20"/>
        </w:rPr>
      </w:pPr>
      <w:r>
        <w:rPr>
          <w:sz w:val="20"/>
          <w:szCs w:val="20"/>
        </w:rPr>
        <w:t xml:space="preserve">Procédure adaptée en application des articles </w:t>
      </w:r>
    </w:p>
    <w:tbl>
      <w:tblPr>
        <w:tblpPr w:vertAnchor="text" w:horzAnchor="page" w:leftFromText="141" w:rightFromText="141" w:tblpX="2932" w:tblpY="178"/>
        <w:tblW w:w="6804"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368"/>
        <w:gridCol w:w="3435"/>
      </w:tblGrid>
      <w:tr>
        <w:trPr/>
        <w:tc>
          <w:tcPr>
            <w:tcW w:w="3368" w:type="dxa"/>
            <w:tcBorders>
              <w:top w:val="single" w:sz="4" w:space="0" w:color="000000"/>
              <w:left w:val="single" w:sz="4" w:space="0" w:color="000000"/>
              <w:bottom w:val="single" w:sz="4" w:space="0" w:color="000000"/>
              <w:right w:val="single" w:sz="4" w:space="0" w:color="000000"/>
            </w:tcBorders>
            <w:shd w:color="auto" w:fill="auto" w:val="clear"/>
          </w:tcPr>
          <w:p>
            <w:pPr>
              <w:pStyle w:val="RedTitre1"/>
              <w:keepNext w:val="true"/>
              <w:widowControl w:val="false"/>
              <w:rPr>
                <w:rFonts w:eastAsia="Calibri"/>
              </w:rPr>
            </w:pPr>
            <w:r>
              <w:rPr>
                <w:rFonts w:eastAsia="Calibri"/>
              </w:rPr>
              <w:t>Modalités de procédure</w:t>
            </w:r>
          </w:p>
        </w:tc>
        <w:tc>
          <w:tcPr>
            <w:tcW w:w="3435" w:type="dxa"/>
            <w:tcBorders>
              <w:top w:val="single" w:sz="4" w:space="0" w:color="000000"/>
              <w:left w:val="single" w:sz="4" w:space="0" w:color="000000"/>
              <w:bottom w:val="single" w:sz="4" w:space="0" w:color="000000"/>
              <w:right w:val="single" w:sz="4" w:space="0" w:color="000000"/>
            </w:tcBorders>
            <w:shd w:color="auto" w:fill="auto" w:val="clear"/>
          </w:tcPr>
          <w:p>
            <w:pPr>
              <w:pStyle w:val="RedTitre1"/>
              <w:keepNext w:val="true"/>
              <w:widowControl w:val="false"/>
              <w:rPr>
                <w:rFonts w:eastAsia="Calibri"/>
              </w:rPr>
            </w:pPr>
            <w:r>
              <w:rPr>
                <w:rFonts w:eastAsia="Calibri"/>
              </w:rPr>
              <w:t>Articles</w:t>
            </w:r>
          </w:p>
        </w:tc>
      </w:tr>
      <w:tr>
        <w:trPr/>
        <w:tc>
          <w:tcPr>
            <w:tcW w:w="3368" w:type="dxa"/>
            <w:tcBorders>
              <w:top w:val="single" w:sz="4" w:space="0" w:color="000000"/>
              <w:left w:val="single" w:sz="4" w:space="0" w:color="000000"/>
              <w:bottom w:val="single" w:sz="4" w:space="0" w:color="000000"/>
              <w:right w:val="single" w:sz="4" w:space="0" w:color="000000"/>
            </w:tcBorders>
            <w:shd w:color="auto" w:fill="auto" w:val="clear"/>
          </w:tcPr>
          <w:p>
            <w:pPr>
              <w:pStyle w:val="RedTitre1"/>
              <w:keepNext w:val="true"/>
              <w:widowControl w:val="false"/>
              <w:rPr>
                <w:rFonts w:eastAsia="Calibri"/>
              </w:rPr>
            </w:pPr>
            <w:r>
              <w:rPr>
                <w:rFonts w:eastAsia="Calibri"/>
              </w:rPr>
              <w:t>Marché de travaux</w:t>
            </w:r>
          </w:p>
        </w:tc>
        <w:tc>
          <w:tcPr>
            <w:tcW w:w="3435" w:type="dxa"/>
            <w:tcBorders>
              <w:top w:val="single" w:sz="4" w:space="0" w:color="000000"/>
              <w:left w:val="single" w:sz="4" w:space="0" w:color="000000"/>
              <w:bottom w:val="single" w:sz="4" w:space="0" w:color="000000"/>
              <w:right w:val="single" w:sz="4" w:space="0" w:color="000000"/>
            </w:tcBorders>
            <w:shd w:color="auto" w:fill="auto" w:val="clear"/>
          </w:tcPr>
          <w:p>
            <w:pPr>
              <w:pStyle w:val="RedTitre1"/>
              <w:keepNext w:val="true"/>
              <w:widowControl w:val="false"/>
              <w:rPr>
                <w:rFonts w:eastAsia="Calibri"/>
              </w:rPr>
            </w:pPr>
            <w:r>
              <w:rPr>
                <w:rFonts w:eastAsia="Calibri"/>
              </w:rPr>
              <w:t>L1111-2</w:t>
            </w:r>
          </w:p>
        </w:tc>
      </w:tr>
      <w:tr>
        <w:trPr/>
        <w:tc>
          <w:tcPr>
            <w:tcW w:w="3368" w:type="dxa"/>
            <w:tcBorders>
              <w:top w:val="single" w:sz="4" w:space="0" w:color="000000"/>
              <w:left w:val="single" w:sz="4" w:space="0" w:color="000000"/>
              <w:bottom w:val="single" w:sz="4" w:space="0" w:color="000000"/>
              <w:right w:val="single" w:sz="4" w:space="0" w:color="000000"/>
            </w:tcBorders>
            <w:shd w:color="auto" w:fill="auto" w:val="clear"/>
          </w:tcPr>
          <w:p>
            <w:pPr>
              <w:pStyle w:val="RedTitre1"/>
              <w:keepNext w:val="true"/>
              <w:widowControl w:val="false"/>
              <w:rPr>
                <w:rFonts w:eastAsia="Calibri"/>
              </w:rPr>
            </w:pPr>
            <w:r>
              <w:rPr>
                <w:rFonts w:eastAsia="Calibri"/>
              </w:rPr>
              <w:t>Procédure adaptée</w:t>
            </w:r>
          </w:p>
        </w:tc>
        <w:tc>
          <w:tcPr>
            <w:tcW w:w="3435" w:type="dxa"/>
            <w:tcBorders>
              <w:top w:val="single" w:sz="4" w:space="0" w:color="000000"/>
              <w:left w:val="single" w:sz="4" w:space="0" w:color="000000"/>
              <w:bottom w:val="single" w:sz="4" w:space="0" w:color="000000"/>
              <w:right w:val="single" w:sz="4" w:space="0" w:color="000000"/>
            </w:tcBorders>
            <w:shd w:color="auto" w:fill="auto" w:val="clear"/>
          </w:tcPr>
          <w:p>
            <w:pPr>
              <w:pStyle w:val="RedTitre1"/>
              <w:keepNext w:val="true"/>
              <w:widowControl w:val="false"/>
              <w:rPr>
                <w:rFonts w:eastAsia="Calibri"/>
              </w:rPr>
            </w:pPr>
            <w:r>
              <w:rPr>
                <w:rFonts w:eastAsia="Calibri"/>
              </w:rPr>
              <w:t>L2123-1</w:t>
            </w:r>
          </w:p>
        </w:tc>
      </w:tr>
    </w:tbl>
    <w:p>
      <w:pPr>
        <w:pStyle w:val="RedTitre1"/>
        <w:keepNext w:val="true"/>
        <w:rPr>
          <w:rFonts w:ascii="Arial" w:hAnsi="Arial"/>
          <w:sz w:val="20"/>
          <w:szCs w:val="20"/>
        </w:rPr>
      </w:pPr>
      <w:r>
        <w:rPr>
          <w:sz w:val="20"/>
          <w:szCs w:val="20"/>
        </w:rPr>
      </w:r>
    </w:p>
    <w:p>
      <w:pPr>
        <w:pStyle w:val="RedTitre1"/>
        <w:keepNext w:val="true"/>
        <w:jc w:val="left"/>
        <w:rPr>
          <w:rFonts w:ascii="Arial" w:hAnsi="Arial"/>
          <w:color w:val="0070C0"/>
          <w:sz w:val="20"/>
          <w:szCs w:val="20"/>
        </w:rPr>
      </w:pPr>
      <w:r>
        <w:rPr>
          <w:color w:val="0070C0"/>
          <w:sz w:val="20"/>
          <w:szCs w:val="20"/>
        </w:rPr>
      </w:r>
    </w:p>
    <w:p>
      <w:pPr>
        <w:pStyle w:val="RedTitre1"/>
        <w:keepNext w:val="true"/>
        <w:jc w:val="left"/>
        <w:rPr>
          <w:rFonts w:ascii="Arial" w:hAnsi="Arial"/>
          <w:color w:val="0070C0"/>
          <w:sz w:val="20"/>
          <w:szCs w:val="20"/>
        </w:rPr>
      </w:pPr>
      <w:r>
        <w:rPr>
          <w:color w:val="0070C0"/>
          <w:sz w:val="20"/>
          <w:szCs w:val="20"/>
        </w:rPr>
      </w:r>
    </w:p>
    <w:p>
      <w:pPr>
        <w:pStyle w:val="RedTitre1"/>
        <w:keepNext w:val="true"/>
        <w:jc w:val="left"/>
        <w:rPr>
          <w:rFonts w:ascii="Arial" w:hAnsi="Arial"/>
          <w:color w:val="0070C0"/>
          <w:sz w:val="20"/>
          <w:szCs w:val="20"/>
        </w:rPr>
      </w:pPr>
      <w:r>
        <w:rPr>
          <w:color w:val="0070C0"/>
          <w:sz w:val="20"/>
          <w:szCs w:val="20"/>
        </w:rPr>
      </w:r>
    </w:p>
    <w:p>
      <w:pPr>
        <w:pStyle w:val="RedTitre1"/>
        <w:keepNext w:val="true"/>
        <w:widowControl/>
        <w:rPr>
          <w:rFonts w:ascii="Arial" w:hAnsi="Arial"/>
          <w:sz w:val="20"/>
          <w:szCs w:val="20"/>
        </w:rPr>
      </w:pPr>
      <w:r>
        <w:rPr>
          <w:sz w:val="20"/>
          <w:szCs w:val="20"/>
        </w:rPr>
      </w:r>
    </w:p>
    <w:p>
      <w:pPr>
        <w:pStyle w:val="RedTitre1"/>
        <w:keepNext w:val="true"/>
        <w:widowControl/>
        <w:rPr>
          <w:rFonts w:ascii="Arial" w:hAnsi="Arial"/>
          <w:color w:val="0070C0"/>
          <w:sz w:val="20"/>
          <w:szCs w:val="20"/>
        </w:rPr>
      </w:pPr>
      <w:r>
        <w:rPr>
          <w:color w:val="0070C0"/>
          <w:sz w:val="20"/>
          <w:szCs w:val="20"/>
        </w:rPr>
      </w:r>
    </w:p>
    <w:p>
      <w:pPr>
        <w:pStyle w:val="RedTitre1"/>
        <w:keepNext w:val="true"/>
        <w:widowControl/>
        <w:shd w:val="clear" w:color="auto" w:fill="F3F3F3"/>
        <w:rPr>
          <w:rFonts w:ascii="Arial" w:hAnsi="Arial"/>
          <w:sz w:val="20"/>
          <w:szCs w:val="20"/>
        </w:rPr>
      </w:pPr>
      <w:r>
        <w:rPr>
          <w:sz w:val="20"/>
          <w:szCs w:val="20"/>
        </w:rPr>
        <w:t>Date et heure limites de remise des plis :</w:t>
      </w:r>
    </w:p>
    <w:p>
      <w:pPr>
        <w:pStyle w:val="Normal"/>
        <w:shd w:val="clear" w:color="auto" w:fill="F2F2F2"/>
        <w:jc w:val="center"/>
        <w:rPr>
          <w:rFonts w:ascii="Arial" w:hAnsi="Arial"/>
          <w:sz w:val="20"/>
          <w:szCs w:val="20"/>
        </w:rPr>
      </w:pPr>
      <w:r>
        <w:rPr>
          <w:rFonts w:cs="Arial" w:ascii="Arial" w:hAnsi="Arial"/>
          <w:b/>
          <w:color w:val="0070C0"/>
          <w:sz w:val="20"/>
          <w:szCs w:val="20"/>
        </w:rPr>
        <w:t>18/11/2024 à 23h00</w:t>
      </w:r>
    </w:p>
    <w:p>
      <w:pPr>
        <w:pStyle w:val="Normal"/>
        <w:shd w:val="clear" w:color="auto" w:fill="F2F2F2"/>
        <w:jc w:val="center"/>
        <w:rPr>
          <w:rFonts w:ascii="Arial" w:hAnsi="Arial" w:cs="Arial"/>
          <w:b/>
          <w:color w:val="0070C0"/>
          <w:sz w:val="20"/>
          <w:szCs w:val="20"/>
        </w:rPr>
      </w:pPr>
      <w:r>
        <w:rPr>
          <w:rFonts w:cs="Arial" w:ascii="Arial" w:hAnsi="Arial"/>
          <w:b/>
          <w:color w:val="0070C0"/>
          <w:sz w:val="20"/>
          <w:szCs w:val="20"/>
        </w:rPr>
      </w:r>
    </w:p>
    <w:tbl>
      <w:tblPr>
        <w:tblpPr w:bottomFromText="0" w:horzAnchor="margin" w:leftFromText="141" w:rightFromText="141" w:tblpX="0" w:tblpXSpec="center" w:tblpY="296" w:topFromText="0" w:vertAnchor="text"/>
        <w:tblW w:w="883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836"/>
      </w:tblGrid>
      <w:tr>
        <w:trPr>
          <w:trHeight w:val="698" w:hRule="atLeast"/>
        </w:trPr>
        <w:tc>
          <w:tcPr>
            <w:tcW w:w="8836"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shd w:val="pct5" w:color="auto" w:fill="auto"/>
              <w:jc w:val="center"/>
              <w:rPr>
                <w:rFonts w:ascii="Arial" w:hAnsi="Arial" w:cs="Arial"/>
                <w:b/>
                <w:bCs/>
                <w:sz w:val="20"/>
                <w:szCs w:val="20"/>
              </w:rPr>
            </w:pPr>
            <w:r>
              <w:rPr>
                <w:rFonts w:cs="Arial" w:ascii="Arial" w:hAnsi="Arial"/>
                <w:b/>
                <w:bCs/>
                <w:sz w:val="20"/>
                <w:szCs w:val="20"/>
              </w:rPr>
            </w:r>
          </w:p>
          <w:p>
            <w:pPr>
              <w:pStyle w:val="Normal"/>
              <w:keepNext w:val="true"/>
              <w:widowControl w:val="false"/>
              <w:shd w:val="pct5" w:color="auto" w:fill="auto"/>
              <w:jc w:val="center"/>
              <w:rPr>
                <w:rFonts w:ascii="Arial" w:hAnsi="Arial"/>
                <w:sz w:val="20"/>
                <w:szCs w:val="20"/>
              </w:rPr>
            </w:pPr>
            <w:r>
              <w:rPr>
                <w:rFonts w:cs="Arial" w:ascii="Arial" w:hAnsi="Arial"/>
                <w:b/>
                <w:bCs/>
                <w:sz w:val="20"/>
                <w:szCs w:val="20"/>
              </w:rPr>
              <w:t xml:space="preserve">IMPORTANT </w:t>
            </w:r>
          </w:p>
        </w:tc>
      </w:tr>
      <w:tr>
        <w:trPr>
          <w:trHeight w:val="2836" w:hRule="atLeast"/>
        </w:trPr>
        <w:tc>
          <w:tcPr>
            <w:tcW w:w="8836"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widowControl w:val="false"/>
              <w:shd w:val="pct5" w:color="auto" w:fill="auto"/>
              <w:jc w:val="center"/>
              <w:rPr>
                <w:rFonts w:ascii="Arial" w:hAnsi="Arial" w:cs="Arial"/>
                <w:b/>
                <w:bCs/>
                <w:sz w:val="20"/>
                <w:szCs w:val="20"/>
              </w:rPr>
            </w:pPr>
            <w:r>
              <w:rPr>
                <w:rFonts w:cs="Arial" w:ascii="Arial" w:hAnsi="Arial"/>
                <w:b/>
                <w:bCs/>
                <w:sz w:val="20"/>
                <w:szCs w:val="20"/>
              </w:rPr>
            </w:r>
          </w:p>
          <w:p>
            <w:pPr>
              <w:pStyle w:val="Normal"/>
              <w:keepNext w:val="true"/>
              <w:widowControl w:val="false"/>
              <w:shd w:val="pct5" w:color="auto" w:fill="auto"/>
              <w:jc w:val="both"/>
              <w:rPr>
                <w:rFonts w:ascii="Arial" w:hAnsi="Arial"/>
                <w:sz w:val="20"/>
                <w:szCs w:val="20"/>
              </w:rPr>
            </w:pPr>
            <w:r>
              <w:rPr>
                <w:rFonts w:cs="Arial" w:ascii="Arial" w:hAnsi="Arial"/>
                <w:b/>
                <w:bCs/>
                <w:sz w:val="20"/>
                <w:szCs w:val="20"/>
              </w:rPr>
              <w:t>En application des dispositions prévues à l’article R2132-7 du Code de la Commande Publique, la remise des plis se fera OBLIGATOIREMENT par voie électronique via la plateforme https://www.marches-publics.gouv.fr/.</w:t>
            </w:r>
            <w:r>
              <w:rPr>
                <w:rFonts w:cs="Arial" w:ascii="Arial" w:hAnsi="Arial"/>
                <w:b/>
                <w:bCs/>
                <w:color w:val="FF0000"/>
                <w:sz w:val="20"/>
                <w:szCs w:val="20"/>
              </w:rPr>
              <w:t xml:space="preserve"> </w:t>
            </w:r>
          </w:p>
          <w:p>
            <w:pPr>
              <w:pStyle w:val="Normal"/>
              <w:keepNext w:val="true"/>
              <w:widowControl w:val="false"/>
              <w:shd w:val="pct5" w:color="auto" w:fill="auto"/>
              <w:jc w:val="both"/>
              <w:rPr>
                <w:rFonts w:ascii="Arial" w:hAnsi="Arial"/>
                <w:sz w:val="20"/>
                <w:szCs w:val="20"/>
              </w:rPr>
            </w:pPr>
            <w:r>
              <w:rPr>
                <w:rFonts w:cs="Arial" w:ascii="Arial" w:hAnsi="Arial"/>
                <w:b/>
                <w:bCs/>
                <w:sz w:val="20"/>
                <w:szCs w:val="20"/>
              </w:rPr>
              <w:t>Les plis remis sous une autre forme seront irrecevables et rejetés.</w:t>
            </w:r>
          </w:p>
          <w:p>
            <w:pPr>
              <w:pStyle w:val="Normal"/>
              <w:keepNext w:val="true"/>
              <w:widowControl w:val="false"/>
              <w:shd w:val="pct5" w:color="auto" w:fill="auto"/>
              <w:jc w:val="both"/>
              <w:rPr>
                <w:rFonts w:ascii="Arial" w:hAnsi="Arial"/>
                <w:sz w:val="20"/>
                <w:szCs w:val="20"/>
              </w:rPr>
            </w:pPr>
            <w:r>
              <w:rPr>
                <w:rFonts w:cs="Arial" w:ascii="Arial" w:hAnsi="Arial"/>
                <w:b/>
                <w:bCs/>
                <w:sz w:val="20"/>
                <w:szCs w:val="20"/>
              </w:rPr>
              <w:t>Les communications de documents et d’information entre le maître d’ouvrage et les candidats (demandes de compléments, information aux candidats non retenus, lettre d’attribution, etc.) s’effectueront par voie dématérialisée sous la forme d’échanges de courriers ou de dossiers via la plateforme PLACE : https://www.marches-publics.gouv.fr/.</w:t>
            </w:r>
          </w:p>
          <w:p>
            <w:pPr>
              <w:pStyle w:val="Normal"/>
              <w:keepNext w:val="true"/>
              <w:widowControl w:val="false"/>
              <w:shd w:val="pct5" w:color="auto" w:fill="auto"/>
              <w:jc w:val="both"/>
              <w:rPr>
                <w:rFonts w:ascii="Arial" w:hAnsi="Arial" w:cs="Arial"/>
                <w:b/>
                <w:bCs/>
                <w:sz w:val="20"/>
                <w:szCs w:val="20"/>
              </w:rPr>
            </w:pPr>
            <w:r>
              <w:rPr>
                <w:rFonts w:cs="Arial" w:ascii="Arial" w:hAnsi="Arial"/>
                <w:b/>
                <w:bCs/>
                <w:sz w:val="20"/>
                <w:szCs w:val="20"/>
              </w:rPr>
            </w:r>
          </w:p>
        </w:tc>
      </w:tr>
    </w:tbl>
    <w:p>
      <w:pPr>
        <w:pStyle w:val="Normal"/>
        <w:keepNext w:val="true"/>
        <w:widowControl w:val="false"/>
        <w:jc w:val="center"/>
        <w:rPr>
          <w:rFonts w:ascii="Arial" w:hAnsi="Arial" w:cs="Arial"/>
          <w:sz w:val="20"/>
          <w:szCs w:val="20"/>
        </w:rPr>
      </w:pPr>
      <w:r>
        <w:rPr>
          <w:rFonts w:cs="Arial" w:ascii="Arial" w:hAnsi="Arial"/>
          <w:sz w:val="20"/>
          <w:szCs w:val="20"/>
        </w:rPr>
      </w:r>
    </w:p>
    <w:p>
      <w:pPr>
        <w:pStyle w:val="Normal"/>
        <w:keepNext w:val="true"/>
        <w:widowControl w:val="false"/>
        <w:jc w:val="center"/>
        <w:rPr>
          <w:rFonts w:ascii="Arial" w:hAnsi="Arial" w:cs="Arial"/>
          <w:sz w:val="20"/>
          <w:szCs w:val="20"/>
        </w:rPr>
      </w:pPr>
      <w:r>
        <w:rPr>
          <w:rFonts w:cs="Arial" w:ascii="Arial" w:hAnsi="Arial"/>
          <w:sz w:val="20"/>
          <w:szCs w:val="20"/>
        </w:rPr>
      </w:r>
    </w:p>
    <w:p>
      <w:pPr>
        <w:pStyle w:val="Normal"/>
        <w:keepNext w:val="true"/>
        <w:widowControl w:val="false"/>
        <w:jc w:val="center"/>
        <w:rPr>
          <w:rFonts w:cs="Arial"/>
          <w:b/>
          <w:bCs/>
        </w:rPr>
      </w:pPr>
      <w:r>
        <w:rPr>
          <w:rFonts w:cs="Arial"/>
          <w:b/>
          <w:bCs/>
        </w:rPr>
      </w:r>
    </w:p>
    <w:p>
      <w:pPr>
        <w:pStyle w:val="Normal"/>
        <w:widowControl w:val="false"/>
        <w:jc w:val="center"/>
        <w:rPr>
          <w:rFonts w:cs="Arial"/>
          <w:b/>
          <w:bCs/>
        </w:rPr>
      </w:pPr>
      <w:r>
        <w:rPr>
          <w:rFonts w:cs="Arial"/>
          <w:b/>
          <w:bCs/>
        </w:rPr>
      </w:r>
    </w:p>
    <w:p>
      <w:pPr>
        <w:pStyle w:val="Normal"/>
        <w:widowControl w:val="false"/>
        <w:jc w:val="center"/>
        <w:rPr>
          <w:rFonts w:cs="Arial"/>
          <w:b/>
          <w:bCs/>
        </w:rPr>
      </w:pPr>
      <w:r>
        <w:rPr>
          <w:rFonts w:cs="Arial"/>
          <w:b/>
          <w:bCs/>
        </w:rPr>
      </w:r>
    </w:p>
    <w:p>
      <w:pPr>
        <w:pStyle w:val="Normal"/>
        <w:widowControl w:val="false"/>
        <w:jc w:val="center"/>
        <w:rPr>
          <w:rFonts w:cs="Arial"/>
          <w:b/>
          <w:bCs/>
        </w:rPr>
      </w:pPr>
      <w:r>
        <w:rPr>
          <w:rFonts w:cs="Arial"/>
          <w:b/>
          <w:bCs/>
        </w:rPr>
      </w:r>
    </w:p>
    <w:p>
      <w:pPr>
        <w:pStyle w:val="Normal"/>
        <w:widowControl w:val="false"/>
        <w:jc w:val="center"/>
        <w:rPr>
          <w:rFonts w:ascii="Arial" w:hAnsi="Arial"/>
          <w:sz w:val="20"/>
          <w:szCs w:val="20"/>
        </w:rPr>
      </w:pPr>
      <w:r>
        <w:rPr>
          <w:rFonts w:cs="Arial" w:ascii="Arial" w:hAnsi="Arial"/>
          <w:b/>
          <w:bCs/>
          <w:sz w:val="20"/>
          <w:szCs w:val="20"/>
        </w:rPr>
        <w:t>SOMMAIRE</w:t>
      </w:r>
    </w:p>
    <w:p>
      <w:pPr>
        <w:pStyle w:val="Normal"/>
        <w:keepNext w:val="true"/>
        <w:widowControl w:val="false"/>
        <w:jc w:val="center"/>
        <w:rPr>
          <w:rFonts w:ascii="Arial" w:hAnsi="Arial" w:cs="Arial"/>
          <w:b/>
          <w:bCs/>
          <w:sz w:val="20"/>
          <w:szCs w:val="20"/>
        </w:rPr>
      </w:pPr>
      <w:r>
        <w:rPr>
          <w:rFonts w:cs="Arial" w:ascii="Arial" w:hAnsi="Arial"/>
          <w:b/>
          <w:bCs/>
          <w:sz w:val="20"/>
          <w:szCs w:val="20"/>
        </w:rPr>
      </w:r>
    </w:p>
    <w:sdt>
      <w:sdtPr>
        <w:docPartObj>
          <w:docPartGallery w:val="Table of Contents"/>
          <w:docPartUnique w:val="true"/>
        </w:docPartObj>
      </w:sdtPr>
      <w:sdtContent>
        <w:p>
          <w:pPr>
            <w:pStyle w:val="Tabledesmatiresniveau1"/>
            <w:tabs>
              <w:tab w:val="clear" w:pos="709"/>
              <w:tab w:val="right" w:pos="9062" w:leader="dot"/>
            </w:tabs>
            <w:rPr>
              <w:rFonts w:ascii="Arial" w:hAnsi="Arial"/>
              <w:sz w:val="20"/>
              <w:szCs w:val="20"/>
            </w:rPr>
          </w:pPr>
          <w:r>
            <w:fldChar w:fldCharType="begin"/>
          </w:r>
          <w:r>
            <w:rPr>
              <w:sz w:val="20"/>
              <w:szCs w:val="20"/>
            </w:rPr>
            <w:instrText xml:space="preserve"> TOC \t "RedTitre2,1,RedPara,2" \h</w:instrText>
          </w:r>
          <w:r>
            <w:rPr>
              <w:sz w:val="20"/>
              <w:szCs w:val="20"/>
            </w:rPr>
            <w:fldChar w:fldCharType="separate"/>
          </w:r>
          <w:r>
            <w:rPr>
              <w:sz w:val="20"/>
              <w:szCs w:val="20"/>
            </w:rPr>
            <w:t>Article  1 - Acheteur</w:t>
            <w:tab/>
            <w:t>3</w:t>
          </w:r>
        </w:p>
        <w:p>
          <w:pPr>
            <w:pStyle w:val="Tabledesmatiresniveau1"/>
            <w:tabs>
              <w:tab w:val="clear" w:pos="709"/>
              <w:tab w:val="right" w:pos="9062" w:leader="dot"/>
            </w:tabs>
            <w:rPr>
              <w:rFonts w:ascii="Arial" w:hAnsi="Arial"/>
              <w:sz w:val="20"/>
              <w:szCs w:val="20"/>
            </w:rPr>
          </w:pPr>
          <w:r>
            <w:rPr>
              <w:sz w:val="20"/>
              <w:szCs w:val="20"/>
            </w:rPr>
            <w:t>Article  2 - Objet de la consultation</w:t>
            <w:tab/>
            <w:t>3</w:t>
          </w:r>
        </w:p>
        <w:p>
          <w:pPr>
            <w:pStyle w:val="Tabledesmatiresniveau2"/>
            <w:tabs>
              <w:tab w:val="clear" w:pos="709"/>
              <w:tab w:val="right" w:pos="9062" w:leader="dot"/>
            </w:tabs>
            <w:rPr>
              <w:rFonts w:ascii="Arial" w:hAnsi="Arial"/>
              <w:sz w:val="20"/>
              <w:szCs w:val="20"/>
            </w:rPr>
          </w:pPr>
          <w:r>
            <w:rPr>
              <w:sz w:val="20"/>
              <w:szCs w:val="20"/>
            </w:rPr>
            <w:t>2-1-Objet du marché</w:t>
            <w:tab/>
            <w:t>3</w:t>
          </w:r>
        </w:p>
        <w:p>
          <w:pPr>
            <w:pStyle w:val="Tabledesmatiresniveau2"/>
            <w:tabs>
              <w:tab w:val="clear" w:pos="709"/>
              <w:tab w:val="right" w:pos="9062" w:leader="dot"/>
            </w:tabs>
            <w:rPr>
              <w:rFonts w:ascii="Arial" w:hAnsi="Arial"/>
              <w:sz w:val="20"/>
              <w:szCs w:val="20"/>
            </w:rPr>
          </w:pPr>
          <w:r>
            <w:rPr>
              <w:sz w:val="20"/>
              <w:szCs w:val="20"/>
            </w:rPr>
            <w:t>2-2-Missions du titulaire</w:t>
            <w:tab/>
            <w:t>3</w:t>
          </w:r>
        </w:p>
        <w:p>
          <w:pPr>
            <w:pStyle w:val="Tabledesmatiresniveau2"/>
            <w:tabs>
              <w:tab w:val="clear" w:pos="709"/>
              <w:tab w:val="right" w:pos="9062" w:leader="dot"/>
            </w:tabs>
            <w:rPr>
              <w:rFonts w:ascii="Arial" w:hAnsi="Arial"/>
              <w:sz w:val="20"/>
              <w:szCs w:val="20"/>
            </w:rPr>
          </w:pPr>
          <w:r>
            <w:rPr>
              <w:sz w:val="20"/>
              <w:szCs w:val="20"/>
            </w:rPr>
            <w:t>2-3-Budget de l’opération</w:t>
            <w:tab/>
            <w:t>3</w:t>
          </w:r>
        </w:p>
        <w:p>
          <w:pPr>
            <w:pStyle w:val="Tabledesmatiresniveau2"/>
            <w:tabs>
              <w:tab w:val="clear" w:pos="709"/>
              <w:tab w:val="right" w:pos="9062" w:leader="dot"/>
            </w:tabs>
            <w:rPr>
              <w:rFonts w:ascii="Arial" w:hAnsi="Arial"/>
              <w:sz w:val="20"/>
              <w:szCs w:val="20"/>
            </w:rPr>
          </w:pPr>
          <w:r>
            <w:rPr>
              <w:sz w:val="20"/>
              <w:szCs w:val="20"/>
            </w:rPr>
            <w:t>2-4-Procédure de passation</w:t>
            <w:tab/>
            <w:t>3</w:t>
          </w:r>
        </w:p>
        <w:p>
          <w:pPr>
            <w:pStyle w:val="Tabledesmatiresniveau2"/>
            <w:tabs>
              <w:tab w:val="clear" w:pos="709"/>
              <w:tab w:val="right" w:pos="9062" w:leader="dot"/>
            </w:tabs>
            <w:rPr>
              <w:rFonts w:ascii="Arial" w:hAnsi="Arial"/>
              <w:sz w:val="20"/>
              <w:szCs w:val="20"/>
            </w:rPr>
          </w:pPr>
          <w:r>
            <w:rPr>
              <w:sz w:val="20"/>
              <w:szCs w:val="20"/>
            </w:rPr>
            <w:t>2-5- Indemnisation des candidats</w:t>
            <w:tab/>
            <w:t>4</w:t>
          </w:r>
        </w:p>
        <w:p>
          <w:pPr>
            <w:pStyle w:val="Tabledesmatiresniveau2"/>
            <w:tabs>
              <w:tab w:val="clear" w:pos="709"/>
              <w:tab w:val="right" w:pos="9062" w:leader="dot"/>
            </w:tabs>
            <w:rPr>
              <w:rFonts w:ascii="Arial" w:hAnsi="Arial"/>
              <w:sz w:val="20"/>
              <w:szCs w:val="20"/>
            </w:rPr>
          </w:pPr>
          <w:r>
            <w:rPr>
              <w:sz w:val="20"/>
              <w:szCs w:val="20"/>
            </w:rPr>
            <w:t>2-6-Forme du marché</w:t>
            <w:tab/>
            <w:t>4</w:t>
          </w:r>
        </w:p>
        <w:p>
          <w:pPr>
            <w:pStyle w:val="Tabledesmatiresniveau1"/>
            <w:tabs>
              <w:tab w:val="clear" w:pos="709"/>
              <w:tab w:val="right" w:pos="9062" w:leader="dot"/>
            </w:tabs>
            <w:rPr>
              <w:rFonts w:ascii="Arial" w:hAnsi="Arial"/>
              <w:sz w:val="20"/>
              <w:szCs w:val="20"/>
            </w:rPr>
          </w:pPr>
          <w:r>
            <w:rPr>
              <w:sz w:val="20"/>
              <w:szCs w:val="20"/>
            </w:rPr>
            <w:t>Article  3 - Dispositions générales</w:t>
            <w:tab/>
            <w:t>4</w:t>
          </w:r>
        </w:p>
        <w:p>
          <w:pPr>
            <w:pStyle w:val="Tabledesmatiresniveau2"/>
            <w:tabs>
              <w:tab w:val="clear" w:pos="709"/>
              <w:tab w:val="right" w:pos="9062" w:leader="dot"/>
            </w:tabs>
            <w:rPr>
              <w:rFonts w:ascii="Arial" w:hAnsi="Arial"/>
              <w:sz w:val="20"/>
              <w:szCs w:val="20"/>
            </w:rPr>
          </w:pPr>
          <w:r>
            <w:rPr>
              <w:sz w:val="20"/>
              <w:szCs w:val="20"/>
            </w:rPr>
            <w:t>3-1-Décomposition du marché</w:t>
            <w:tab/>
            <w:t>4</w:t>
          </w:r>
        </w:p>
        <w:p>
          <w:pPr>
            <w:pStyle w:val="Tabledesmatiresniveau2"/>
            <w:tabs>
              <w:tab w:val="clear" w:pos="709"/>
              <w:tab w:val="right" w:pos="9062" w:leader="dot"/>
            </w:tabs>
            <w:rPr>
              <w:rFonts w:ascii="Arial" w:hAnsi="Arial"/>
              <w:sz w:val="20"/>
              <w:szCs w:val="20"/>
            </w:rPr>
          </w:pPr>
          <w:r>
            <w:rPr>
              <w:sz w:val="20"/>
              <w:szCs w:val="20"/>
            </w:rPr>
            <w:t>3-2-Durée prévisionnelle du marché</w:t>
            <w:tab/>
            <w:t>5</w:t>
          </w:r>
        </w:p>
        <w:p>
          <w:pPr>
            <w:pStyle w:val="Tabledesmatiresniveau2"/>
            <w:tabs>
              <w:tab w:val="clear" w:pos="709"/>
              <w:tab w:val="right" w:pos="9062" w:leader="dot"/>
            </w:tabs>
            <w:rPr>
              <w:rFonts w:ascii="Arial" w:hAnsi="Arial"/>
              <w:sz w:val="20"/>
              <w:szCs w:val="20"/>
            </w:rPr>
          </w:pPr>
          <w:r>
            <w:rPr>
              <w:sz w:val="20"/>
              <w:szCs w:val="20"/>
            </w:rPr>
            <w:t>3-3-Modalités de financement et de paiement</w:t>
            <w:tab/>
            <w:t>5</w:t>
          </w:r>
        </w:p>
        <w:p>
          <w:pPr>
            <w:pStyle w:val="Tabledesmatiresniveau2"/>
            <w:tabs>
              <w:tab w:val="clear" w:pos="709"/>
              <w:tab w:val="right" w:pos="9062" w:leader="dot"/>
            </w:tabs>
            <w:rPr>
              <w:rFonts w:ascii="Arial" w:hAnsi="Arial"/>
              <w:sz w:val="20"/>
              <w:szCs w:val="20"/>
            </w:rPr>
          </w:pPr>
          <w:r>
            <w:rPr>
              <w:sz w:val="20"/>
              <w:szCs w:val="20"/>
            </w:rPr>
            <w:t>3-4-Forme juridique de l’attributaire</w:t>
            <w:tab/>
            <w:t>5</w:t>
          </w:r>
        </w:p>
        <w:p>
          <w:pPr>
            <w:pStyle w:val="Tabledesmatiresniveau1"/>
            <w:tabs>
              <w:tab w:val="clear" w:pos="709"/>
              <w:tab w:val="right" w:pos="9062" w:leader="dot"/>
            </w:tabs>
            <w:rPr>
              <w:rFonts w:ascii="Arial" w:hAnsi="Arial"/>
              <w:sz w:val="20"/>
              <w:szCs w:val="20"/>
            </w:rPr>
          </w:pPr>
          <w:r>
            <w:rPr>
              <w:sz w:val="20"/>
              <w:szCs w:val="20"/>
            </w:rPr>
            <w:t>Article  4 - Dossier de consultation</w:t>
            <w:tab/>
            <w:t>6</w:t>
          </w:r>
        </w:p>
        <w:p>
          <w:pPr>
            <w:pStyle w:val="Tabledesmatiresniveau2"/>
            <w:tabs>
              <w:tab w:val="clear" w:pos="709"/>
              <w:tab w:val="right" w:pos="9062" w:leader="dot"/>
            </w:tabs>
            <w:rPr>
              <w:rFonts w:ascii="Arial" w:hAnsi="Arial"/>
              <w:sz w:val="20"/>
              <w:szCs w:val="20"/>
            </w:rPr>
          </w:pPr>
          <w:r>
            <w:rPr>
              <w:sz w:val="20"/>
              <w:szCs w:val="20"/>
            </w:rPr>
            <w:t>4-1-Contenu du dossier de consultation</w:t>
            <w:tab/>
            <w:t>6</w:t>
          </w:r>
        </w:p>
        <w:p>
          <w:pPr>
            <w:pStyle w:val="Tabledesmatiresniveau2"/>
            <w:tabs>
              <w:tab w:val="clear" w:pos="709"/>
              <w:tab w:val="right" w:pos="9062" w:leader="dot"/>
            </w:tabs>
            <w:rPr>
              <w:rFonts w:ascii="Arial" w:hAnsi="Arial"/>
              <w:sz w:val="20"/>
              <w:szCs w:val="20"/>
            </w:rPr>
          </w:pPr>
          <w:r>
            <w:rPr>
              <w:sz w:val="20"/>
              <w:szCs w:val="20"/>
            </w:rPr>
            <w:t>4-2-Mise à disposition du DCC par voie électronique</w:t>
            <w:tab/>
            <w:t>6</w:t>
          </w:r>
        </w:p>
        <w:p>
          <w:pPr>
            <w:pStyle w:val="Tabledesmatiresniveau2"/>
            <w:tabs>
              <w:tab w:val="clear" w:pos="709"/>
              <w:tab w:val="right" w:pos="9062" w:leader="dot"/>
            </w:tabs>
            <w:rPr>
              <w:rFonts w:ascii="Arial" w:hAnsi="Arial"/>
              <w:sz w:val="20"/>
              <w:szCs w:val="20"/>
            </w:rPr>
          </w:pPr>
          <w:r>
            <w:rPr>
              <w:sz w:val="20"/>
              <w:szCs w:val="20"/>
            </w:rPr>
            <w:t>4-3-Modification de détail au dossier de consultation</w:t>
            <w:tab/>
            <w:t>6</w:t>
          </w:r>
        </w:p>
        <w:p>
          <w:pPr>
            <w:pStyle w:val="Tabledesmatiresniveau2"/>
            <w:tabs>
              <w:tab w:val="clear" w:pos="709"/>
              <w:tab w:val="right" w:pos="9062" w:leader="dot"/>
            </w:tabs>
            <w:rPr>
              <w:rFonts w:ascii="Arial" w:hAnsi="Arial"/>
              <w:sz w:val="20"/>
              <w:szCs w:val="20"/>
            </w:rPr>
          </w:pPr>
          <w:r>
            <w:rPr>
              <w:sz w:val="20"/>
              <w:szCs w:val="20"/>
            </w:rPr>
            <w:t>4-4-Visite des lieux et consultation de document sur site</w:t>
            <w:tab/>
            <w:t>6</w:t>
          </w:r>
        </w:p>
        <w:p>
          <w:pPr>
            <w:pStyle w:val="Tabledesmatiresniveau2"/>
            <w:tabs>
              <w:tab w:val="clear" w:pos="709"/>
              <w:tab w:val="right" w:pos="9062" w:leader="dot"/>
            </w:tabs>
            <w:rPr>
              <w:rFonts w:ascii="Arial" w:hAnsi="Arial"/>
              <w:sz w:val="20"/>
              <w:szCs w:val="20"/>
            </w:rPr>
          </w:pPr>
          <w:r>
            <w:rPr>
              <w:sz w:val="20"/>
              <w:szCs w:val="20"/>
            </w:rPr>
            <w:t>4-5-Interruption de la procédure</w:t>
            <w:tab/>
            <w:t>6</w:t>
          </w:r>
        </w:p>
        <w:p>
          <w:pPr>
            <w:pStyle w:val="Tabledesmatiresniveau1"/>
            <w:tabs>
              <w:tab w:val="clear" w:pos="709"/>
              <w:tab w:val="right" w:pos="9062" w:leader="dot"/>
            </w:tabs>
            <w:rPr>
              <w:rFonts w:ascii="Arial" w:hAnsi="Arial"/>
              <w:sz w:val="20"/>
              <w:szCs w:val="20"/>
            </w:rPr>
          </w:pPr>
          <w:r>
            <w:rPr>
              <w:sz w:val="20"/>
              <w:szCs w:val="20"/>
            </w:rPr>
            <w:t>Article  5 - Présentation des candidatures et des offres</w:t>
            <w:tab/>
            <w:t>7</w:t>
          </w:r>
        </w:p>
        <w:p>
          <w:pPr>
            <w:pStyle w:val="Tabledesmatiresniveau2"/>
            <w:tabs>
              <w:tab w:val="clear" w:pos="709"/>
              <w:tab w:val="right" w:pos="9062" w:leader="dot"/>
            </w:tabs>
            <w:rPr>
              <w:rFonts w:ascii="Arial" w:hAnsi="Arial"/>
              <w:sz w:val="20"/>
              <w:szCs w:val="20"/>
            </w:rPr>
          </w:pPr>
          <w:r>
            <w:rPr>
              <w:sz w:val="20"/>
              <w:szCs w:val="20"/>
            </w:rPr>
            <w:t>5-1-Documents à produire</w:t>
            <w:tab/>
            <w:t>7</w:t>
          </w:r>
        </w:p>
        <w:p>
          <w:pPr>
            <w:pStyle w:val="Tabledesmatiresniveau2"/>
            <w:tabs>
              <w:tab w:val="clear" w:pos="709"/>
              <w:tab w:val="right" w:pos="9062" w:leader="dot"/>
            </w:tabs>
            <w:rPr>
              <w:rFonts w:ascii="Arial" w:hAnsi="Arial"/>
              <w:sz w:val="20"/>
              <w:szCs w:val="20"/>
            </w:rPr>
          </w:pPr>
          <w:r>
            <w:rPr>
              <w:sz w:val="20"/>
              <w:szCs w:val="20"/>
            </w:rPr>
            <w:t>5-2- Complément à apporter au programme</w:t>
            <w:tab/>
            <w:t>10</w:t>
          </w:r>
        </w:p>
        <w:p>
          <w:pPr>
            <w:pStyle w:val="Tabledesmatiresniveau2"/>
            <w:tabs>
              <w:tab w:val="clear" w:pos="709"/>
              <w:tab w:val="right" w:pos="9062" w:leader="dot"/>
            </w:tabs>
            <w:rPr>
              <w:rFonts w:ascii="Arial" w:hAnsi="Arial"/>
              <w:sz w:val="20"/>
              <w:szCs w:val="20"/>
            </w:rPr>
          </w:pPr>
          <w:r>
            <w:rPr>
              <w:sz w:val="20"/>
              <w:szCs w:val="20"/>
            </w:rPr>
            <w:t>5-3- Langue de rédaction des propositions</w:t>
            <w:tab/>
            <w:t>10</w:t>
          </w:r>
        </w:p>
        <w:p>
          <w:pPr>
            <w:pStyle w:val="Tabledesmatiresniveau2"/>
            <w:tabs>
              <w:tab w:val="clear" w:pos="709"/>
              <w:tab w:val="right" w:pos="9062" w:leader="dot"/>
            </w:tabs>
            <w:rPr>
              <w:rFonts w:ascii="Arial" w:hAnsi="Arial"/>
              <w:sz w:val="20"/>
              <w:szCs w:val="20"/>
            </w:rPr>
          </w:pPr>
          <w:r>
            <w:rPr>
              <w:sz w:val="20"/>
              <w:szCs w:val="20"/>
            </w:rPr>
            <w:t>5-4- Unité monétaire</w:t>
            <w:tab/>
            <w:t>10</w:t>
          </w:r>
        </w:p>
        <w:p>
          <w:pPr>
            <w:pStyle w:val="Tabledesmatiresniveau2"/>
            <w:tabs>
              <w:tab w:val="clear" w:pos="709"/>
              <w:tab w:val="right" w:pos="9062" w:leader="dot"/>
            </w:tabs>
            <w:rPr>
              <w:rFonts w:ascii="Arial" w:hAnsi="Arial"/>
              <w:sz w:val="20"/>
              <w:szCs w:val="20"/>
            </w:rPr>
          </w:pPr>
          <w:r>
            <w:rPr>
              <w:sz w:val="20"/>
              <w:szCs w:val="20"/>
            </w:rPr>
            <w:t>5-5- Délai de validité des propositions</w:t>
            <w:tab/>
            <w:t>10</w:t>
          </w:r>
        </w:p>
        <w:p>
          <w:pPr>
            <w:pStyle w:val="Tabledesmatiresniveau2"/>
            <w:tabs>
              <w:tab w:val="clear" w:pos="709"/>
              <w:tab w:val="right" w:pos="9062" w:leader="dot"/>
            </w:tabs>
            <w:rPr>
              <w:rFonts w:ascii="Arial" w:hAnsi="Arial"/>
              <w:sz w:val="20"/>
              <w:szCs w:val="20"/>
            </w:rPr>
          </w:pPr>
          <w:r>
            <w:rPr>
              <w:sz w:val="20"/>
              <w:szCs w:val="20"/>
            </w:rPr>
            <w:t>5-6- Modalités de remise des plis</w:t>
            <w:tab/>
            <w:t>10</w:t>
          </w:r>
        </w:p>
        <w:p>
          <w:pPr>
            <w:pStyle w:val="Tabledesmatiresniveau1"/>
            <w:tabs>
              <w:tab w:val="clear" w:pos="709"/>
              <w:tab w:val="right" w:pos="9062" w:leader="dot"/>
            </w:tabs>
            <w:rPr>
              <w:rFonts w:ascii="Arial" w:hAnsi="Arial"/>
              <w:sz w:val="20"/>
              <w:szCs w:val="20"/>
            </w:rPr>
          </w:pPr>
          <w:r>
            <w:rPr>
              <w:sz w:val="20"/>
              <w:szCs w:val="20"/>
            </w:rPr>
            <w:t>Article  6 - Jugement des propositions</w:t>
          </w:r>
        </w:p>
        <w:p>
          <w:pPr>
            <w:pStyle w:val="Tabledesmatiresniveau1"/>
            <w:tabs>
              <w:tab w:val="clear" w:pos="709"/>
              <w:tab w:val="right" w:pos="9062" w:leader="dot"/>
            </w:tabs>
            <w:rPr>
              <w:rFonts w:ascii="Arial" w:hAnsi="Arial"/>
              <w:sz w:val="20"/>
              <w:szCs w:val="20"/>
            </w:rPr>
          </w:pPr>
          <w:r>
            <w:rPr>
              <w:sz w:val="20"/>
              <w:szCs w:val="20"/>
            </w:rPr>
            <w:t>Article  7 - Négociation</w:t>
            <w:tab/>
            <w:t>11</w:t>
          </w:r>
        </w:p>
        <w:p>
          <w:pPr>
            <w:pStyle w:val="Tabledesmatiresniveau1"/>
            <w:tabs>
              <w:tab w:val="clear" w:pos="709"/>
              <w:tab w:val="right" w:pos="9062" w:leader="dot"/>
            </w:tabs>
            <w:rPr>
              <w:rFonts w:ascii="Arial" w:hAnsi="Arial"/>
              <w:sz w:val="20"/>
              <w:szCs w:val="20"/>
            </w:rPr>
          </w:pPr>
          <w:r>
            <w:rPr>
              <w:sz w:val="20"/>
              <w:szCs w:val="20"/>
            </w:rPr>
            <w:t>Article  8 – Renseignements complémentaires</w:t>
            <w:tab/>
            <w:t>12</w:t>
          </w:r>
          <w:r>
            <w:rPr>
              <w:sz w:val="20"/>
              <w:szCs w:val="20"/>
            </w:rPr>
            <w:fldChar w:fldCharType="end"/>
          </w:r>
        </w:p>
      </w:sdtContent>
    </w:sdt>
    <w:p>
      <w:pPr>
        <w:pStyle w:val="Normal"/>
        <w:keepNext w:val="true"/>
        <w:widowControl w:val="false"/>
        <w:spacing w:before="0" w:after="120"/>
        <w:jc w:val="both"/>
        <w:rPr>
          <w:rFonts w:ascii="Arial" w:hAnsi="Arial" w:cs="Arial"/>
          <w:b/>
          <w:sz w:val="20"/>
          <w:szCs w:val="20"/>
        </w:rPr>
      </w:pPr>
      <w:r>
        <w:rPr>
          <w:rFonts w:cs="Arial" w:ascii="Arial" w:hAnsi="Arial"/>
          <w:b/>
          <w:sz w:val="20"/>
          <w:szCs w:val="20"/>
        </w:rPr>
      </w:r>
    </w:p>
    <w:p>
      <w:pPr>
        <w:pStyle w:val="Normal"/>
        <w:keepNext w:val="true"/>
        <w:widowControl w:val="false"/>
        <w:spacing w:before="0" w:after="120"/>
        <w:jc w:val="both"/>
        <w:rPr>
          <w:rFonts w:ascii="Arial" w:hAnsi="Arial"/>
          <w:sz w:val="20"/>
          <w:szCs w:val="20"/>
        </w:rPr>
      </w:pPr>
      <w:r>
        <w:rPr>
          <w:rFonts w:cs="Arial" w:ascii="Arial" w:hAnsi="Arial"/>
          <w:b/>
          <w:color w:val="00B050"/>
          <w:sz w:val="20"/>
          <w:szCs w:val="20"/>
          <w:highlight w:val="cyan"/>
        </w:rPr>
        <w:t xml:space="preserve"> </w:t>
      </w:r>
      <w:r>
        <w:br w:type="page"/>
      </w:r>
    </w:p>
    <w:p>
      <w:pPr>
        <w:pStyle w:val="RedTitre2"/>
        <w:pBdr>
          <w:top w:val="single" w:sz="6" w:space="1" w:color="000000"/>
          <w:left w:val="single" w:sz="6" w:space="0" w:color="000000"/>
          <w:bottom w:val="single" w:sz="6" w:space="1" w:color="000000"/>
          <w:right w:val="single" w:sz="6" w:space="1" w:color="000000"/>
        </w:pBdr>
        <w:shd w:val="clear" w:color="auto" w:fill="D9D9D9"/>
        <w:jc w:val="both"/>
        <w:rPr>
          <w:rFonts w:ascii="Arial" w:hAnsi="Arial"/>
          <w:sz w:val="20"/>
          <w:szCs w:val="20"/>
        </w:rPr>
      </w:pPr>
      <w:bookmarkStart w:id="1" w:name="_Toc171945444"/>
      <w:r>
        <w:rPr>
          <w:b w:val="false"/>
          <w:sz w:val="20"/>
          <w:szCs w:val="20"/>
        </w:rPr>
        <w:t>Article</w:t>
      </w:r>
      <w:r>
        <w:rPr>
          <w:sz w:val="20"/>
          <w:szCs w:val="20"/>
        </w:rPr>
        <w:t xml:space="preserve"> 1 - Acheteur</w:t>
      </w:r>
      <w:bookmarkEnd w:id="1"/>
    </w:p>
    <w:p>
      <w:pPr>
        <w:pStyle w:val="RedTxt"/>
        <w:jc w:val="both"/>
        <w:rPr>
          <w:rFonts w:ascii="Arial" w:hAnsi="Arial"/>
          <w:sz w:val="20"/>
          <w:szCs w:val="20"/>
        </w:rPr>
      </w:pPr>
      <w:r>
        <w:rPr>
          <w:b/>
          <w:bCs/>
          <w:sz w:val="20"/>
          <w:szCs w:val="20"/>
          <w:u w:val="single"/>
        </w:rPr>
        <w:t>Le Maître d’ouvrage :</w:t>
      </w:r>
      <w:r>
        <w:rPr>
          <w:sz w:val="20"/>
          <w:szCs w:val="20"/>
        </w:rPr>
        <w:t xml:space="preserve"> </w:t>
      </w:r>
    </w:p>
    <w:p>
      <w:pPr>
        <w:pStyle w:val="RedTxt"/>
        <w:jc w:val="both"/>
        <w:rPr>
          <w:rFonts w:ascii="Arial" w:hAnsi="Arial"/>
          <w:sz w:val="20"/>
          <w:szCs w:val="20"/>
        </w:rPr>
      </w:pPr>
      <w:r>
        <w:rPr>
          <w:sz w:val="20"/>
          <w:szCs w:val="20"/>
        </w:rPr>
      </w:r>
    </w:p>
    <w:p>
      <w:pPr>
        <w:pStyle w:val="RedTxt"/>
        <w:rPr>
          <w:rFonts w:ascii="Arial" w:hAnsi="Arial"/>
          <w:sz w:val="20"/>
          <w:szCs w:val="20"/>
        </w:rPr>
      </w:pPr>
      <w:r>
        <w:rPr>
          <w:b/>
          <w:color w:val="0070C0"/>
          <w:sz w:val="20"/>
          <w:szCs w:val="20"/>
          <w:shd w:fill="auto" w:val="clear"/>
        </w:rPr>
        <w:t>Préfecture du Haut-Rhin</w:t>
      </w:r>
    </w:p>
    <w:p>
      <w:pPr>
        <w:pStyle w:val="RedTxt"/>
        <w:rPr>
          <w:rFonts w:ascii="Arial" w:hAnsi="Arial"/>
          <w:sz w:val="20"/>
          <w:szCs w:val="20"/>
        </w:rPr>
      </w:pPr>
      <w:r>
        <w:rPr>
          <w:b/>
          <w:color w:val="0070C0"/>
          <w:sz w:val="20"/>
          <w:szCs w:val="20"/>
          <w:shd w:fill="auto" w:val="clear"/>
        </w:rPr>
        <w:t>Représentée par le Secrétariat Général Commun Départemental</w:t>
      </w:r>
    </w:p>
    <w:p>
      <w:pPr>
        <w:pStyle w:val="RedTxt"/>
        <w:rPr>
          <w:rFonts w:ascii="Arial" w:hAnsi="Arial"/>
          <w:sz w:val="20"/>
          <w:szCs w:val="20"/>
        </w:rPr>
      </w:pPr>
      <w:r>
        <w:rPr>
          <w:b/>
          <w:color w:val="0070C0"/>
          <w:sz w:val="20"/>
          <w:szCs w:val="20"/>
          <w:shd w:fill="auto" w:val="clear"/>
        </w:rPr>
        <w:t>Cité administrative</w:t>
        <w:br/>
        <w:t>3 Rue Fleischhauer</w:t>
      </w:r>
    </w:p>
    <w:p>
      <w:pPr>
        <w:pStyle w:val="RedTxt"/>
        <w:rPr>
          <w:rFonts w:ascii="Arial" w:hAnsi="Arial"/>
          <w:sz w:val="20"/>
          <w:szCs w:val="20"/>
        </w:rPr>
      </w:pPr>
      <w:r>
        <w:rPr>
          <w:b/>
          <w:color w:val="0070C0"/>
          <w:sz w:val="20"/>
          <w:szCs w:val="20"/>
          <w:shd w:fill="auto" w:val="clear"/>
        </w:rPr>
        <w:t>68 000 COLMAR</w:t>
      </w:r>
    </w:p>
    <w:p>
      <w:pPr>
        <w:pStyle w:val="RedTxt"/>
        <w:rPr>
          <w:rFonts w:ascii="Arial" w:hAnsi="Arial"/>
          <w:sz w:val="20"/>
          <w:szCs w:val="20"/>
        </w:rPr>
      </w:pPr>
      <w:r>
        <w:rPr>
          <w:sz w:val="20"/>
          <w:szCs w:val="20"/>
        </w:rPr>
      </w:r>
    </w:p>
    <w:p>
      <w:pPr>
        <w:pStyle w:val="RedTitre2"/>
        <w:shd w:val="clear" w:color="auto" w:fill="D9D9D9"/>
        <w:jc w:val="both"/>
        <w:rPr>
          <w:rFonts w:ascii="Arial" w:hAnsi="Arial"/>
          <w:sz w:val="20"/>
          <w:szCs w:val="20"/>
        </w:rPr>
      </w:pPr>
      <w:bookmarkStart w:id="2" w:name="_Toc171945445"/>
      <w:r>
        <w:rPr>
          <w:b w:val="false"/>
          <w:sz w:val="20"/>
          <w:szCs w:val="20"/>
        </w:rPr>
        <w:t>Article</w:t>
      </w:r>
      <w:r>
        <w:rPr>
          <w:sz w:val="20"/>
          <w:szCs w:val="20"/>
        </w:rPr>
        <w:t xml:space="preserve"> 2 - Objet de la consultation</w:t>
      </w:r>
      <w:bookmarkEnd w:id="2"/>
    </w:p>
    <w:p>
      <w:pPr>
        <w:pStyle w:val="Normal"/>
        <w:jc w:val="both"/>
        <w:rPr>
          <w:rFonts w:ascii="Arial" w:hAnsi="Arial" w:cs="Arial"/>
          <w:b/>
          <w:sz w:val="20"/>
          <w:szCs w:val="20"/>
          <w:u w:val="single"/>
        </w:rPr>
      </w:pPr>
      <w:r>
        <w:rPr>
          <w:rFonts w:cs="Arial" w:ascii="Arial" w:hAnsi="Arial"/>
          <w:b/>
          <w:sz w:val="20"/>
          <w:szCs w:val="20"/>
          <w:u w:val="single"/>
        </w:rPr>
      </w:r>
    </w:p>
    <w:p>
      <w:pPr>
        <w:pStyle w:val="RedPara"/>
        <w:spacing w:before="120" w:after="120"/>
        <w:ind w:firstLine="709"/>
        <w:jc w:val="both"/>
        <w:rPr>
          <w:rFonts w:ascii="Arial" w:hAnsi="Arial"/>
          <w:sz w:val="20"/>
          <w:szCs w:val="20"/>
        </w:rPr>
      </w:pPr>
      <w:bookmarkStart w:id="3" w:name="_Toc171945446"/>
      <w:r>
        <w:rPr>
          <w:sz w:val="20"/>
          <w:szCs w:val="20"/>
        </w:rPr>
        <w:t>2-1-Objet du marché</w:t>
      </w:r>
      <w:bookmarkEnd w:id="3"/>
    </w:p>
    <w:p>
      <w:pPr>
        <w:pStyle w:val="Normal"/>
        <w:keepLines/>
        <w:widowControl w:val="false"/>
        <w:jc w:val="both"/>
        <w:rPr>
          <w:rFonts w:ascii="Arial" w:hAnsi="Arial"/>
          <w:sz w:val="20"/>
          <w:szCs w:val="20"/>
        </w:rPr>
      </w:pPr>
      <w:r>
        <w:rPr>
          <w:rFonts w:cs="Arial" w:ascii="Arial" w:hAnsi="Arial"/>
          <w:sz w:val="20"/>
          <w:szCs w:val="20"/>
        </w:rPr>
        <w:t xml:space="preserve">La présente consultation concerne la prestation suivante : </w:t>
      </w:r>
    </w:p>
    <w:p>
      <w:pPr>
        <w:pStyle w:val="Normal"/>
        <w:keepLines/>
        <w:widowControl w:val="false"/>
        <w:jc w:val="both"/>
        <w:rPr>
          <w:rFonts w:ascii="Arial" w:hAnsi="Arial" w:cs="Arial"/>
          <w:sz w:val="20"/>
          <w:szCs w:val="20"/>
        </w:rPr>
      </w:pPr>
      <w:r>
        <w:rPr>
          <w:rFonts w:cs="Arial" w:ascii="Arial" w:hAnsi="Arial"/>
          <w:sz w:val="20"/>
          <w:szCs w:val="20"/>
        </w:rPr>
      </w:r>
    </w:p>
    <w:p>
      <w:pPr>
        <w:pStyle w:val="Normal"/>
        <w:numPr>
          <w:ilvl w:val="0"/>
          <w:numId w:val="8"/>
        </w:numPr>
        <w:tabs>
          <w:tab w:val="clear" w:pos="709"/>
          <w:tab w:val="right" w:pos="8364" w:leader="dot"/>
        </w:tabs>
        <w:jc w:val="both"/>
        <w:rPr>
          <w:rFonts w:ascii="Arial" w:hAnsi="Arial"/>
          <w:sz w:val="20"/>
          <w:szCs w:val="20"/>
        </w:rPr>
      </w:pPr>
      <w:r>
        <w:rPr>
          <w:rFonts w:cs="Arial" w:ascii="Arial" w:hAnsi="Arial"/>
          <w:b/>
          <w:sz w:val="20"/>
          <w:szCs w:val="20"/>
        </w:rPr>
        <w:t xml:space="preserve">Récupération des eaux pluviales des toitures du bâtiment de la préfecture du </w:t>
        <w:br/>
        <w:t>Haut-Rhin situé 7, rue Bruat  à COLMAR</w:t>
      </w:r>
    </w:p>
    <w:p>
      <w:pPr>
        <w:pStyle w:val="Normal"/>
        <w:tabs>
          <w:tab w:val="clear" w:pos="709"/>
          <w:tab w:val="right" w:pos="8364" w:leader="dot"/>
        </w:tabs>
        <w:jc w:val="both"/>
        <w:rPr>
          <w:rFonts w:ascii="Arial" w:hAnsi="Arial" w:cs="Arial"/>
          <w:b/>
          <w:color w:val="FF0000"/>
          <w:sz w:val="20"/>
          <w:szCs w:val="20"/>
        </w:rPr>
      </w:pPr>
      <w:r>
        <w:rPr>
          <w:rFonts w:cs="Arial" w:ascii="Arial" w:hAnsi="Arial"/>
          <w:b/>
          <w:color w:val="FF0000"/>
          <w:sz w:val="20"/>
          <w:szCs w:val="20"/>
        </w:rPr>
      </w:r>
    </w:p>
    <w:p>
      <w:pPr>
        <w:pStyle w:val="Normal"/>
        <w:jc w:val="both"/>
        <w:rPr>
          <w:rFonts w:ascii="Arial" w:hAnsi="Arial"/>
          <w:sz w:val="20"/>
          <w:szCs w:val="20"/>
        </w:rPr>
      </w:pPr>
      <w:r>
        <w:rPr>
          <w:rFonts w:eastAsia="Times New Roman" w:cs="Arial" w:ascii="Arial" w:hAnsi="Arial"/>
          <w:color w:val="auto"/>
          <w:kern w:val="0"/>
          <w:sz w:val="20"/>
          <w:szCs w:val="20"/>
          <w:lang w:val="fr-FR" w:eastAsia="fr-FR" w:bidi="ar-SA"/>
        </w:rPr>
        <w:t>L’opération consiste en la conception et la réalisation suivante :</w:t>
      </w:r>
    </w:p>
    <w:p>
      <w:pPr>
        <w:pStyle w:val="Normal"/>
        <w:numPr>
          <w:ilvl w:val="0"/>
          <w:numId w:val="7"/>
        </w:numPr>
        <w:tabs>
          <w:tab w:val="clear" w:pos="709"/>
          <w:tab w:val="left" w:pos="731" w:leader="none"/>
        </w:tabs>
        <w:jc w:val="both"/>
        <w:rPr>
          <w:rFonts w:ascii="Arial" w:hAnsi="Arial"/>
          <w:b/>
          <w:bCs/>
          <w:sz w:val="20"/>
          <w:szCs w:val="20"/>
        </w:rPr>
      </w:pPr>
      <w:r>
        <w:rPr>
          <w:rFonts w:eastAsia="Times New Roman" w:cs="Arial" w:ascii="Arial" w:hAnsi="Arial"/>
          <w:b/>
          <w:bCs/>
          <w:color w:val="auto"/>
          <w:kern w:val="0"/>
          <w:sz w:val="20"/>
          <w:szCs w:val="20"/>
          <w:lang w:val="fr-FR" w:eastAsia="fr-FR" w:bidi="ar-SA"/>
        </w:rPr>
        <w:t xml:space="preserve">Fourniture et pose de deux cuves enterrées de récupération des eaux pluviales en déconnectant les gouttières Est, Ouest et Sud du bâtiment + toiture du garage . </w:t>
      </w:r>
    </w:p>
    <w:p>
      <w:pPr>
        <w:pStyle w:val="Normal"/>
        <w:numPr>
          <w:ilvl w:val="0"/>
          <w:numId w:val="0"/>
        </w:numPr>
        <w:tabs>
          <w:tab w:val="clear" w:pos="709"/>
          <w:tab w:val="left" w:pos="731" w:leader="none"/>
        </w:tabs>
        <w:ind w:left="720" w:hanging="0"/>
        <w:jc w:val="both"/>
        <w:rPr>
          <w:rFonts w:ascii="Arial" w:hAnsi="Arial"/>
          <w:b/>
          <w:bCs/>
          <w:sz w:val="20"/>
          <w:szCs w:val="20"/>
        </w:rPr>
      </w:pPr>
      <w:r>
        <w:rPr>
          <w:rFonts w:eastAsia="Times New Roman" w:cs="Arial" w:ascii="Arial" w:hAnsi="Arial"/>
          <w:b/>
          <w:bCs/>
          <w:color w:val="auto"/>
          <w:kern w:val="0"/>
          <w:sz w:val="20"/>
          <w:szCs w:val="20"/>
          <w:lang w:val="fr-FR" w:eastAsia="fr-FR" w:bidi="ar-SA"/>
        </w:rPr>
        <w:t>- Côté Sud, le système doit être raccordé au système d’arrosage existant ( cf. CCTP)</w:t>
      </w:r>
    </w:p>
    <w:p>
      <w:pPr>
        <w:pStyle w:val="Normal"/>
        <w:numPr>
          <w:ilvl w:val="0"/>
          <w:numId w:val="0"/>
        </w:numPr>
        <w:tabs>
          <w:tab w:val="clear" w:pos="709"/>
          <w:tab w:val="left" w:pos="731" w:leader="none"/>
        </w:tabs>
        <w:ind w:left="720" w:hanging="0"/>
        <w:jc w:val="both"/>
        <w:rPr>
          <w:rFonts w:ascii="Arial" w:hAnsi="Arial"/>
          <w:b/>
          <w:bCs/>
          <w:sz w:val="20"/>
          <w:szCs w:val="20"/>
        </w:rPr>
      </w:pPr>
      <w:r>
        <w:rPr>
          <w:rFonts w:eastAsia="Times New Roman" w:cs="Arial" w:ascii="Arial" w:hAnsi="Arial"/>
          <w:b/>
          <w:bCs/>
          <w:color w:val="auto"/>
          <w:kern w:val="0"/>
          <w:sz w:val="20"/>
          <w:szCs w:val="20"/>
          <w:lang w:val="fr-FR" w:eastAsia="fr-FR" w:bidi="ar-SA"/>
        </w:rPr>
        <w:t>- Côté Est, la cuve de récupération des eaux pluviales doit permettre l’arrosage du secteur potager et le nettoyage de véhicules à l’aide d’un karcher</w:t>
      </w:r>
    </w:p>
    <w:p>
      <w:pPr>
        <w:pStyle w:val="Normal"/>
        <w:tabs>
          <w:tab w:val="clear" w:pos="709"/>
          <w:tab w:val="left" w:pos="731" w:leader="none"/>
        </w:tabs>
        <w:jc w:val="both"/>
        <w:rPr>
          <w:rFonts w:eastAsia="Times New Roman" w:cs="Arial"/>
          <w:color w:val="auto"/>
          <w:kern w:val="0"/>
          <w:lang w:val="fr-FR" w:eastAsia="fr-FR" w:bidi="ar-SA"/>
        </w:rPr>
      </w:pPr>
      <w:r>
        <w:rPr>
          <w:rFonts w:eastAsia="Times New Roman" w:cs="Arial"/>
          <w:color w:val="auto"/>
          <w:kern w:val="0"/>
          <w:lang w:val="fr-FR" w:eastAsia="fr-FR" w:bidi="ar-SA"/>
        </w:rPr>
      </w:r>
    </w:p>
    <w:p>
      <w:pPr>
        <w:pStyle w:val="Normal"/>
        <w:tabs>
          <w:tab w:val="clear" w:pos="709"/>
          <w:tab w:val="left" w:pos="731" w:leader="none"/>
        </w:tabs>
        <w:jc w:val="both"/>
        <w:rPr>
          <w:rFonts w:ascii="Arial" w:hAnsi="Arial"/>
          <w:b w:val="false"/>
          <w:bCs w:val="false"/>
          <w:sz w:val="20"/>
          <w:szCs w:val="20"/>
        </w:rPr>
      </w:pPr>
      <w:r>
        <w:rPr>
          <w:rFonts w:eastAsia="Times New Roman" w:cs="Arial" w:ascii="Arial" w:hAnsi="Arial"/>
          <w:b w:val="false"/>
          <w:bCs w:val="false"/>
          <w:color w:val="auto"/>
          <w:kern w:val="0"/>
          <w:sz w:val="20"/>
          <w:szCs w:val="20"/>
          <w:lang w:val="fr-FR" w:eastAsia="fr-FR" w:bidi="ar-SA"/>
        </w:rPr>
        <w:t>Le projet initial a été recentré sur le périmètre Sud et Est qui sont prioritaires.</w:t>
      </w:r>
    </w:p>
    <w:p>
      <w:pPr>
        <w:pStyle w:val="Normal"/>
        <w:tabs>
          <w:tab w:val="clear" w:pos="709"/>
          <w:tab w:val="right" w:pos="9072" w:leader="dot"/>
        </w:tabs>
        <w:jc w:val="both"/>
        <w:rPr>
          <w:rFonts w:ascii="Arial" w:hAnsi="Arial"/>
          <w:sz w:val="20"/>
          <w:szCs w:val="20"/>
        </w:rPr>
      </w:pPr>
      <w:r>
        <w:rPr>
          <w:rFonts w:ascii="Arial" w:hAnsi="Arial"/>
          <w:sz w:val="20"/>
          <w:szCs w:val="20"/>
        </w:rPr>
      </w:r>
    </w:p>
    <w:p>
      <w:pPr>
        <w:pStyle w:val="Normal"/>
        <w:tabs>
          <w:tab w:val="clear" w:pos="709"/>
          <w:tab w:val="right" w:pos="9072" w:leader="dot"/>
        </w:tabs>
        <w:jc w:val="both"/>
        <w:rPr>
          <w:rFonts w:ascii="Arial" w:hAnsi="Arial"/>
          <w:sz w:val="20"/>
          <w:szCs w:val="20"/>
        </w:rPr>
      </w:pPr>
      <w:r>
        <w:rPr>
          <w:rFonts w:eastAsia="Times New Roman" w:cs="Arial" w:ascii="Arial" w:hAnsi="Arial"/>
          <w:color w:val="auto"/>
          <w:kern w:val="0"/>
          <w:sz w:val="20"/>
          <w:szCs w:val="20"/>
          <w:lang w:val="fr-FR" w:eastAsia="fr-FR" w:bidi="ar-SA"/>
        </w:rPr>
        <w:t xml:space="preserve">Références à la nomenclature européenne CPV : </w:t>
      </w:r>
    </w:p>
    <w:p>
      <w:pPr>
        <w:pStyle w:val="Normal"/>
        <w:jc w:val="both"/>
        <w:rPr>
          <w:rFonts w:ascii="Arial" w:hAnsi="Arial" w:eastAsia="Times New Roman" w:cs="Arial"/>
          <w:color w:val="auto"/>
          <w:kern w:val="0"/>
          <w:sz w:val="20"/>
          <w:szCs w:val="20"/>
          <w:lang w:val="fr-FR" w:eastAsia="fr-FR" w:bidi="ar-SA"/>
        </w:rPr>
      </w:pPr>
      <w:r>
        <w:rPr>
          <w:rFonts w:eastAsia="Times New Roman" w:cs="Arial" w:ascii="Arial" w:hAnsi="Arial"/>
          <w:color w:val="auto"/>
          <w:kern w:val="0"/>
          <w:sz w:val="20"/>
          <w:szCs w:val="20"/>
          <w:lang w:val="fr-FR" w:eastAsia="fr-FR" w:bidi="ar-SA"/>
        </w:rPr>
      </w:r>
    </w:p>
    <w:p>
      <w:pPr>
        <w:pStyle w:val="Normal"/>
        <w:numPr>
          <w:ilvl w:val="0"/>
          <w:numId w:val="3"/>
        </w:numPr>
        <w:jc w:val="both"/>
        <w:rPr>
          <w:rFonts w:ascii="Arial" w:hAnsi="Arial"/>
          <w:sz w:val="20"/>
          <w:szCs w:val="20"/>
        </w:rPr>
      </w:pPr>
      <w:r>
        <w:rPr>
          <w:rFonts w:eastAsia="Times New Roman" w:cs="Arial" w:ascii="Arial" w:hAnsi="Arial"/>
          <w:color w:val="auto"/>
          <w:kern w:val="0"/>
          <w:sz w:val="20"/>
          <w:szCs w:val="20"/>
          <w:lang w:val="fr-FR" w:eastAsia="fr-FR" w:bidi="ar-SA"/>
        </w:rPr>
        <w:t>45112100 - Travaux de creusement de tranchées</w:t>
      </w:r>
    </w:p>
    <w:p>
      <w:pPr>
        <w:pStyle w:val="Normal"/>
        <w:numPr>
          <w:ilvl w:val="0"/>
          <w:numId w:val="3"/>
        </w:numPr>
        <w:jc w:val="both"/>
        <w:rPr>
          <w:rFonts w:ascii="Arial" w:hAnsi="Arial"/>
          <w:sz w:val="20"/>
          <w:szCs w:val="20"/>
        </w:rPr>
      </w:pPr>
      <w:r>
        <w:rPr>
          <w:rFonts w:eastAsia="Times New Roman" w:cs="Arial" w:ascii="Arial" w:hAnsi="Arial"/>
          <w:color w:val="auto"/>
          <w:kern w:val="0"/>
          <w:sz w:val="20"/>
          <w:szCs w:val="20"/>
          <w:lang w:val="fr-FR" w:eastAsia="fr-FR" w:bidi="ar-SA"/>
        </w:rPr>
        <w:t>45261320-3 -Travaux de pose de gouttières</w:t>
      </w:r>
    </w:p>
    <w:p>
      <w:pPr>
        <w:pStyle w:val="Normal"/>
        <w:numPr>
          <w:ilvl w:val="0"/>
          <w:numId w:val="3"/>
        </w:numPr>
        <w:jc w:val="both"/>
        <w:rPr>
          <w:rFonts w:ascii="Arial" w:hAnsi="Arial"/>
          <w:sz w:val="20"/>
          <w:szCs w:val="20"/>
        </w:rPr>
      </w:pPr>
      <w:r>
        <w:rPr>
          <w:rFonts w:eastAsia="Times New Roman" w:cs="Arial" w:ascii="Arial" w:hAnsi="Arial"/>
          <w:color w:val="auto"/>
          <w:kern w:val="0"/>
          <w:sz w:val="20"/>
          <w:szCs w:val="20"/>
          <w:lang w:val="fr-FR" w:eastAsia="fr-FR" w:bidi="ar-SA"/>
        </w:rPr>
        <w:t>45261400-8 - Travaux de revêtement</w:t>
      </w:r>
    </w:p>
    <w:p>
      <w:pPr>
        <w:pStyle w:val="Normal"/>
        <w:numPr>
          <w:ilvl w:val="0"/>
          <w:numId w:val="3"/>
        </w:numPr>
        <w:jc w:val="both"/>
        <w:rPr>
          <w:rFonts w:ascii="Arial" w:hAnsi="Arial"/>
          <w:sz w:val="20"/>
          <w:szCs w:val="20"/>
        </w:rPr>
      </w:pPr>
      <w:r>
        <w:rPr>
          <w:rFonts w:eastAsia="Times New Roman" w:cs="Arial" w:ascii="Arial" w:hAnsi="Arial"/>
          <w:color w:val="auto"/>
          <w:kern w:val="0"/>
          <w:sz w:val="20"/>
          <w:szCs w:val="20"/>
          <w:lang w:val="fr-FR" w:eastAsia="fr-FR" w:bidi="ar-SA"/>
        </w:rPr>
        <w:t>45311000-0 - Travaux de câblage et d’installations électriques</w:t>
      </w:r>
    </w:p>
    <w:p>
      <w:pPr>
        <w:pStyle w:val="Normal"/>
        <w:numPr>
          <w:ilvl w:val="0"/>
          <w:numId w:val="3"/>
        </w:numPr>
        <w:jc w:val="both"/>
        <w:rPr>
          <w:rFonts w:ascii="Arial" w:hAnsi="Arial"/>
          <w:sz w:val="20"/>
          <w:szCs w:val="20"/>
        </w:rPr>
      </w:pPr>
      <w:r>
        <w:rPr>
          <w:rFonts w:eastAsia="Times New Roman" w:cs="Arial" w:ascii="Arial" w:hAnsi="Arial"/>
          <w:color w:val="auto"/>
          <w:kern w:val="0"/>
          <w:sz w:val="20"/>
          <w:szCs w:val="20"/>
          <w:lang w:val="fr-FR" w:eastAsia="fr-FR" w:bidi="ar-SA"/>
        </w:rPr>
        <w:t>45443000-4 - Travaux de façade</w:t>
      </w:r>
    </w:p>
    <w:p>
      <w:pPr>
        <w:pStyle w:val="Normal"/>
        <w:numPr>
          <w:ilvl w:val="0"/>
          <w:numId w:val="3"/>
        </w:numPr>
        <w:jc w:val="both"/>
        <w:rPr>
          <w:rFonts w:ascii="Arial" w:hAnsi="Arial"/>
          <w:sz w:val="20"/>
          <w:szCs w:val="20"/>
        </w:rPr>
      </w:pPr>
      <w:r>
        <w:rPr>
          <w:rFonts w:eastAsia="Times New Roman" w:cs="Arial" w:ascii="Arial" w:hAnsi="Arial"/>
          <w:color w:val="auto"/>
          <w:kern w:val="0"/>
          <w:sz w:val="20"/>
          <w:szCs w:val="20"/>
          <w:lang w:val="fr-FR" w:eastAsia="fr-FR" w:bidi="ar-SA"/>
        </w:rPr>
        <w:t>44618500 - Cuves</w:t>
      </w:r>
    </w:p>
    <w:p>
      <w:pPr>
        <w:pStyle w:val="RedPara"/>
        <w:spacing w:before="120" w:after="120"/>
        <w:ind w:firstLine="709"/>
        <w:jc w:val="both"/>
        <w:rPr>
          <w:rFonts w:ascii="Arial" w:hAnsi="Arial"/>
          <w:sz w:val="20"/>
          <w:szCs w:val="20"/>
        </w:rPr>
      </w:pPr>
      <w:r>
        <w:rPr>
          <w:sz w:val="20"/>
          <w:szCs w:val="20"/>
        </w:rPr>
      </w:r>
    </w:p>
    <w:p>
      <w:pPr>
        <w:pStyle w:val="RedPara"/>
        <w:spacing w:before="120" w:after="120"/>
        <w:ind w:firstLine="709"/>
        <w:jc w:val="both"/>
        <w:rPr>
          <w:rFonts w:ascii="Arial" w:hAnsi="Arial"/>
          <w:sz w:val="20"/>
          <w:szCs w:val="20"/>
        </w:rPr>
      </w:pPr>
      <w:bookmarkStart w:id="4" w:name="_Toc171945447"/>
      <w:r>
        <w:rPr>
          <w:sz w:val="20"/>
          <w:szCs w:val="20"/>
        </w:rPr>
        <w:t>2-2-Missions du titulaire</w:t>
      </w:r>
      <w:bookmarkEnd w:id="4"/>
    </w:p>
    <w:p>
      <w:pPr>
        <w:pStyle w:val="Normal"/>
        <w:jc w:val="both"/>
        <w:rPr>
          <w:rFonts w:ascii="Arial" w:hAnsi="Arial" w:cs="Arial"/>
          <w:sz w:val="20"/>
          <w:szCs w:val="20"/>
        </w:rPr>
      </w:pPr>
      <w:r>
        <w:rPr>
          <w:rFonts w:cs="Arial" w:ascii="Arial" w:hAnsi="Arial"/>
          <w:sz w:val="20"/>
          <w:szCs w:val="20"/>
        </w:rPr>
      </w:r>
    </w:p>
    <w:p>
      <w:pPr>
        <w:pStyle w:val="Normal"/>
        <w:spacing w:before="0" w:after="120"/>
        <w:jc w:val="both"/>
        <w:rPr>
          <w:highlight w:val="none"/>
          <w:shd w:fill="auto" w:val="clear"/>
        </w:rPr>
      </w:pPr>
      <w:r>
        <w:rPr>
          <w:rFonts w:cs="Arial" w:ascii="Arial" w:hAnsi="Arial"/>
          <w:sz w:val="20"/>
          <w:szCs w:val="20"/>
          <w:shd w:fill="auto" w:val="clear"/>
        </w:rPr>
        <w:t xml:space="preserve">Phase 1 : conception et dimensionnement des ouvrages conformément au CCTP. </w:t>
      </w:r>
    </w:p>
    <w:p>
      <w:pPr>
        <w:pStyle w:val="Normal"/>
        <w:spacing w:before="0" w:after="120"/>
        <w:jc w:val="both"/>
        <w:rPr>
          <w:highlight w:val="none"/>
          <w:shd w:fill="auto" w:val="clear"/>
        </w:rPr>
      </w:pPr>
      <w:r>
        <w:rPr>
          <w:rFonts w:cs="Arial" w:ascii="Arial" w:hAnsi="Arial"/>
          <w:sz w:val="20"/>
          <w:szCs w:val="20"/>
          <w:shd w:fill="auto" w:val="clear"/>
        </w:rPr>
        <w:t>Phase 2 : réalisation des ouvrages (2025)</w:t>
      </w:r>
    </w:p>
    <w:p>
      <w:pPr>
        <w:pStyle w:val="RedPara"/>
        <w:spacing w:before="120" w:after="120"/>
        <w:ind w:firstLine="709"/>
        <w:jc w:val="both"/>
        <w:rPr>
          <w:rFonts w:ascii="Arial" w:hAnsi="Arial" w:cs="Arial"/>
          <w:sz w:val="20"/>
          <w:szCs w:val="20"/>
        </w:rPr>
      </w:pPr>
      <w:r>
        <w:rPr>
          <w:rFonts w:cs="Arial"/>
          <w:sz w:val="20"/>
          <w:szCs w:val="20"/>
        </w:rPr>
      </w:r>
    </w:p>
    <w:p>
      <w:pPr>
        <w:pStyle w:val="RedPara"/>
        <w:spacing w:before="120" w:after="120"/>
        <w:ind w:firstLine="709"/>
        <w:jc w:val="both"/>
        <w:rPr>
          <w:rFonts w:ascii="Arial" w:hAnsi="Arial"/>
          <w:sz w:val="20"/>
          <w:szCs w:val="20"/>
        </w:rPr>
      </w:pPr>
      <w:bookmarkStart w:id="5" w:name="_Toc171945448"/>
      <w:r>
        <w:rPr>
          <w:sz w:val="20"/>
          <w:szCs w:val="20"/>
        </w:rPr>
        <w:t>2-3-Budget de l’opération</w:t>
      </w:r>
      <w:bookmarkEnd w:id="5"/>
    </w:p>
    <w:p>
      <w:pPr>
        <w:pStyle w:val="ListParagraph"/>
        <w:spacing w:lineRule="auto" w:line="360" w:before="0" w:after="0"/>
        <w:ind w:left="0" w:hanging="0"/>
        <w:contextualSpacing/>
        <w:jc w:val="both"/>
        <w:rPr>
          <w:rFonts w:ascii="Arial" w:hAnsi="Arial"/>
          <w:sz w:val="20"/>
          <w:szCs w:val="20"/>
        </w:rPr>
      </w:pPr>
      <w:r>
        <w:rPr>
          <w:rFonts w:cs="Arial" w:ascii="Arial" w:hAnsi="Arial"/>
          <w:sz w:val="20"/>
          <w:szCs w:val="20"/>
          <w:shd w:fill="auto" w:val="clear"/>
        </w:rPr>
        <w:t xml:space="preserve">Le budget de l’opération est de </w:t>
      </w:r>
      <w:r>
        <w:rPr>
          <w:rFonts w:cs="Arial" w:ascii="Arial" w:hAnsi="Arial"/>
          <w:b/>
          <w:bCs/>
          <w:sz w:val="20"/>
          <w:szCs w:val="20"/>
          <w:shd w:fill="auto" w:val="clear"/>
        </w:rPr>
        <w:t>200 000</w:t>
      </w:r>
      <w:r>
        <w:rPr>
          <w:rFonts w:cs="Arial" w:ascii="Arial" w:hAnsi="Arial"/>
          <w:b/>
          <w:bCs/>
          <w:color w:val="FF0000"/>
          <w:sz w:val="20"/>
          <w:szCs w:val="20"/>
          <w:shd w:fill="auto" w:val="clear"/>
        </w:rPr>
        <w:t xml:space="preserve"> </w:t>
      </w:r>
      <w:r>
        <w:rPr>
          <w:rFonts w:cs="Arial" w:ascii="Arial" w:hAnsi="Arial"/>
          <w:b/>
          <w:bCs/>
          <w:sz w:val="20"/>
          <w:szCs w:val="20"/>
          <w:shd w:fill="auto" w:val="clear"/>
        </w:rPr>
        <w:t>€ TTC</w:t>
      </w:r>
      <w:r>
        <w:rPr>
          <w:rFonts w:cs="Arial" w:ascii="Arial" w:hAnsi="Arial"/>
          <w:sz w:val="20"/>
          <w:szCs w:val="20"/>
          <w:shd w:fill="auto" w:val="clear"/>
        </w:rPr>
        <w:t xml:space="preserve"> pou</w:t>
      </w:r>
      <w:r>
        <w:rPr>
          <w:rFonts w:cs="Arial" w:ascii="Arial" w:hAnsi="Arial"/>
          <w:sz w:val="20"/>
          <w:szCs w:val="20"/>
          <w:shd w:fill="auto" w:val="clear"/>
        </w:rPr>
        <w:t>r les</w:t>
      </w:r>
      <w:r>
        <w:rPr>
          <w:rFonts w:cs="Arial" w:ascii="Arial" w:hAnsi="Arial"/>
          <w:sz w:val="20"/>
          <w:szCs w:val="20"/>
        </w:rPr>
        <w:t xml:space="preserve"> phases de conception et réalisation de travaux. </w:t>
      </w:r>
    </w:p>
    <w:p>
      <w:pPr>
        <w:pStyle w:val="RedPara"/>
        <w:spacing w:before="120" w:after="120"/>
        <w:ind w:firstLine="709"/>
        <w:jc w:val="both"/>
        <w:rPr>
          <w:rFonts w:ascii="Arial" w:hAnsi="Arial"/>
          <w:sz w:val="20"/>
          <w:szCs w:val="20"/>
        </w:rPr>
      </w:pPr>
      <w:bookmarkStart w:id="6" w:name="_Toc171945449"/>
      <w:r>
        <w:rPr>
          <w:sz w:val="20"/>
          <w:szCs w:val="20"/>
        </w:rPr>
        <w:t>2-4-Procédure de passation</w:t>
      </w:r>
      <w:bookmarkEnd w:id="6"/>
    </w:p>
    <w:p>
      <w:pPr>
        <w:pStyle w:val="Normal"/>
        <w:jc w:val="both"/>
        <w:rPr>
          <w:rFonts w:ascii="Arial" w:hAnsi="Arial"/>
          <w:sz w:val="20"/>
          <w:szCs w:val="20"/>
        </w:rPr>
      </w:pPr>
      <w:r>
        <w:rPr>
          <w:rFonts w:cs="Arial" w:ascii="Arial" w:hAnsi="Arial"/>
          <w:sz w:val="20"/>
          <w:szCs w:val="20"/>
        </w:rPr>
        <w:t>La présente procédure de consultation est organisée sous la forme d’une procédure en dialogue compétitif, conformément aux articles L.2124-4, R.2124-5 et R.2161-24 à R.2161-31 du Code de la commande publique. Ce marché comportant des prestations de conception, il ne peut être attribué sans dialogue préalable.</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cs="Arial"/>
          <w:sz w:val="20"/>
          <w:szCs w:val="20"/>
        </w:rPr>
      </w:pPr>
      <w:r>
        <w:rPr>
          <w:rFonts w:cs="Arial" w:ascii="Arial" w:hAnsi="Arial"/>
          <w:sz w:val="20"/>
          <w:szCs w:val="20"/>
        </w:rPr>
      </w:r>
    </w:p>
    <w:p>
      <w:pPr>
        <w:pStyle w:val="Normal"/>
        <w:jc w:val="both"/>
        <w:rPr>
          <w:highlight w:val="none"/>
          <w:shd w:fill="auto" w:val="clear"/>
        </w:rPr>
      </w:pPr>
      <w:r>
        <w:rPr>
          <w:rFonts w:cs="Arial" w:ascii="Arial" w:hAnsi="Arial"/>
          <w:sz w:val="20"/>
          <w:szCs w:val="20"/>
          <w:u w:val="single"/>
          <w:shd w:fill="auto" w:val="clear"/>
        </w:rPr>
        <w:t>Calendrier prévisionnel</w:t>
      </w:r>
      <w:r>
        <w:rPr>
          <w:rFonts w:cs="Arial" w:ascii="Arial" w:hAnsi="Arial"/>
          <w:sz w:val="20"/>
          <w:szCs w:val="20"/>
          <w:shd w:fill="auto" w:val="clear"/>
        </w:rPr>
        <w:t> :</w:t>
      </w:r>
    </w:p>
    <w:p>
      <w:pPr>
        <w:pStyle w:val="ListParagraph"/>
        <w:numPr>
          <w:ilvl w:val="0"/>
          <w:numId w:val="0"/>
        </w:numPr>
        <w:ind w:left="0" w:hanging="0"/>
        <w:jc w:val="both"/>
        <w:rPr>
          <w:rFonts w:cs="Arial"/>
          <w:highlight w:val="none"/>
          <w:shd w:fill="auto" w:val="clear"/>
        </w:rPr>
      </w:pPr>
      <w:r>
        <w:rPr>
          <w:rFonts w:cs="Arial"/>
          <w:shd w:fill="auto" w:val="clear"/>
        </w:rPr>
      </w:r>
    </w:p>
    <w:p>
      <w:pPr>
        <w:pStyle w:val="ListParagraph"/>
        <w:numPr>
          <w:ilvl w:val="0"/>
          <w:numId w:val="5"/>
        </w:numPr>
        <w:jc w:val="both"/>
        <w:rPr>
          <w:highlight w:val="none"/>
          <w:shd w:fill="auto" w:val="clear"/>
        </w:rPr>
      </w:pPr>
      <w:r>
        <w:rPr>
          <w:rFonts w:cs="Arial" w:ascii="Arial" w:hAnsi="Arial"/>
          <w:sz w:val="20"/>
          <w:szCs w:val="20"/>
          <w:shd w:fill="auto" w:val="clear"/>
        </w:rPr>
        <w:t>Avant projet : 11 novembre 2024</w:t>
      </w:r>
    </w:p>
    <w:p>
      <w:pPr>
        <w:pStyle w:val="ListParagraph"/>
        <w:numPr>
          <w:ilvl w:val="0"/>
          <w:numId w:val="5"/>
        </w:numPr>
        <w:jc w:val="both"/>
        <w:rPr>
          <w:highlight w:val="none"/>
          <w:shd w:fill="auto" w:val="clear"/>
        </w:rPr>
      </w:pPr>
      <w:r>
        <w:rPr>
          <w:rFonts w:cs="Arial" w:ascii="Arial" w:hAnsi="Arial"/>
          <w:sz w:val="20"/>
          <w:szCs w:val="20"/>
          <w:shd w:fill="auto" w:val="clear"/>
        </w:rPr>
        <w:t>Remise des projets définitifs : 18 novembre 2024 date butoir</w:t>
      </w:r>
    </w:p>
    <w:p>
      <w:pPr>
        <w:pStyle w:val="ListParagraph"/>
        <w:numPr>
          <w:ilvl w:val="0"/>
          <w:numId w:val="5"/>
        </w:numPr>
        <w:jc w:val="both"/>
        <w:rPr>
          <w:highlight w:val="none"/>
          <w:shd w:fill="auto" w:val="clear"/>
        </w:rPr>
      </w:pPr>
      <w:r>
        <w:rPr>
          <w:rFonts w:cs="Arial" w:ascii="Arial" w:hAnsi="Arial"/>
          <w:sz w:val="20"/>
          <w:szCs w:val="20"/>
          <w:shd w:fill="auto" w:val="clear"/>
        </w:rPr>
        <w:t>Décision d’attribution : 25 novembre 2024</w:t>
      </w:r>
    </w:p>
    <w:p>
      <w:pPr>
        <w:pStyle w:val="Normal"/>
        <w:jc w:val="both"/>
        <w:rPr>
          <w:rFonts w:ascii="Arial" w:hAnsi="Arial" w:cs="Arial"/>
          <w:sz w:val="20"/>
          <w:szCs w:val="20"/>
        </w:rPr>
      </w:pPr>
      <w:r>
        <w:rPr>
          <w:rFonts w:cs="Arial" w:ascii="Arial" w:hAnsi="Arial"/>
          <w:sz w:val="20"/>
          <w:szCs w:val="20"/>
        </w:rPr>
      </w:r>
    </w:p>
    <w:p>
      <w:pPr>
        <w:pStyle w:val="RedPara"/>
        <w:spacing w:before="120" w:after="120"/>
        <w:ind w:firstLine="709"/>
        <w:jc w:val="both"/>
        <w:rPr>
          <w:rFonts w:ascii="Arial" w:hAnsi="Arial"/>
          <w:sz w:val="20"/>
          <w:szCs w:val="20"/>
        </w:rPr>
      </w:pPr>
      <w:bookmarkStart w:id="7" w:name="_Toc171945450"/>
      <w:r>
        <w:rPr>
          <w:sz w:val="20"/>
          <w:szCs w:val="20"/>
        </w:rPr>
        <w:t>2-5- Indemnisation des candidats</w:t>
      </w:r>
      <w:bookmarkEnd w:id="7"/>
      <w:r>
        <w:rPr>
          <w:sz w:val="20"/>
          <w:szCs w:val="20"/>
        </w:rPr>
        <w:t xml:space="preserve"> </w:t>
      </w:r>
    </w:p>
    <w:p>
      <w:pPr>
        <w:pStyle w:val="Normal1"/>
        <w:ind w:hanging="0"/>
        <w:rPr>
          <w:rFonts w:ascii="Arial" w:hAnsi="Arial"/>
          <w:sz w:val="20"/>
          <w:szCs w:val="20"/>
        </w:rPr>
      </w:pPr>
      <w:r>
        <w:rPr>
          <w:rFonts w:cs="Arial" w:ascii="Arial" w:hAnsi="Arial"/>
          <w:sz w:val="20"/>
          <w:szCs w:val="20"/>
        </w:rPr>
        <w:t xml:space="preserve">La présente consultation prévoit la remise de prestations au sens de l’article R. 2171-19 1° du code de la commande publique. </w:t>
      </w:r>
    </w:p>
    <w:p>
      <w:pPr>
        <w:pStyle w:val="Normal1"/>
        <w:ind w:hanging="0"/>
        <w:rPr>
          <w:rFonts w:ascii="Arial" w:hAnsi="Arial"/>
          <w:sz w:val="20"/>
          <w:szCs w:val="20"/>
        </w:rPr>
      </w:pPr>
      <w:r>
        <w:rPr>
          <w:rFonts w:cs="Arial" w:ascii="Arial" w:hAnsi="Arial"/>
          <w:sz w:val="20"/>
          <w:szCs w:val="20"/>
        </w:rPr>
        <w:t xml:space="preserve"> </w:t>
      </w:r>
    </w:p>
    <w:p>
      <w:pPr>
        <w:pStyle w:val="Normal1"/>
        <w:ind w:hanging="0"/>
        <w:rPr>
          <w:rFonts w:ascii="Arial" w:hAnsi="Arial"/>
          <w:sz w:val="20"/>
          <w:szCs w:val="20"/>
        </w:rPr>
      </w:pPr>
      <w:r>
        <w:rPr>
          <w:rFonts w:cs="Arial" w:ascii="Arial" w:hAnsi="Arial"/>
          <w:b/>
          <w:bCs/>
          <w:sz w:val="20"/>
          <w:szCs w:val="20"/>
        </w:rPr>
        <w:t>Chaque candidat ayant participé à toutes les phases de la présente procédure</w:t>
      </w:r>
      <w:r>
        <w:rPr>
          <w:rFonts w:cs="Arial" w:ascii="Arial" w:hAnsi="Arial"/>
          <w:sz w:val="20"/>
          <w:szCs w:val="20"/>
        </w:rPr>
        <w:t xml:space="preserve"> de dialogue compétitif, à  l’exception  de  l’attributaire  du marché,  et  ayant  remis  une  offre  finale  complète, recevable et répondant aux exigences de l’ensemble du dossier de consultation percevront une prime d’un montant de : </w:t>
      </w:r>
      <w:r>
        <w:rPr>
          <w:rFonts w:cs="Arial" w:ascii="Arial" w:hAnsi="Arial"/>
          <w:b/>
          <w:bCs/>
          <w:sz w:val="20"/>
          <w:szCs w:val="20"/>
          <w:shd w:fill="auto" w:val="clear"/>
        </w:rPr>
        <w:t>1 800 € HT</w:t>
      </w:r>
      <w:r>
        <w:rPr>
          <w:rFonts w:cs="Arial" w:ascii="Arial" w:hAnsi="Arial"/>
          <w:sz w:val="20"/>
          <w:szCs w:val="20"/>
        </w:rPr>
        <w:t xml:space="preserve">. Ce montant est réputé comprendre la cession à l’entité adjudicatrice des droits de propriété  intellectuelle  de toute nature sur les études réalisées  par les  trois candidats retenus et particulièrement le droit d’exploiter, d’utiliser les résultats, de procéder à des modifications et de rétrocéder ces droits dans un but découlant de l’objet du marché et pour une durée de 10 ans, sur tout le territoire français. </w:t>
      </w:r>
    </w:p>
    <w:p>
      <w:pPr>
        <w:pStyle w:val="Normal1"/>
        <w:ind w:hanging="0"/>
        <w:rPr>
          <w:rFonts w:ascii="Arial" w:hAnsi="Arial"/>
          <w:sz w:val="20"/>
          <w:szCs w:val="20"/>
        </w:rPr>
      </w:pPr>
      <w:r>
        <w:rPr>
          <w:rFonts w:cs="Arial" w:ascii="Arial" w:hAnsi="Arial"/>
          <w:sz w:val="20"/>
          <w:szCs w:val="20"/>
        </w:rPr>
        <w:t xml:space="preserve"> </w:t>
      </w:r>
    </w:p>
    <w:p>
      <w:pPr>
        <w:pStyle w:val="Normal1"/>
        <w:ind w:hanging="0"/>
        <w:rPr>
          <w:rFonts w:ascii="Arial" w:hAnsi="Arial"/>
          <w:sz w:val="20"/>
          <w:szCs w:val="20"/>
        </w:rPr>
      </w:pPr>
      <w:r>
        <w:rPr>
          <w:rFonts w:cs="Arial" w:ascii="Arial" w:hAnsi="Arial"/>
          <w:sz w:val="20"/>
          <w:szCs w:val="20"/>
        </w:rPr>
        <w:t xml:space="preserve">Les primes pourraient être réduites ou supprimées pour les participants dont les prestations seraient incomplètes  ou ne répondraient pas aux exigences du dossier de consultation ou présenteraient un niveau d’études insuffisant. </w:t>
      </w:r>
    </w:p>
    <w:p>
      <w:pPr>
        <w:pStyle w:val="Normal1"/>
        <w:ind w:hanging="0"/>
        <w:rPr>
          <w:rFonts w:ascii="Arial" w:hAnsi="Arial"/>
          <w:sz w:val="20"/>
          <w:szCs w:val="20"/>
        </w:rPr>
      </w:pPr>
      <w:r>
        <w:rPr>
          <w:rFonts w:cs="Arial" w:ascii="Arial" w:hAnsi="Arial"/>
          <w:sz w:val="20"/>
          <w:szCs w:val="20"/>
        </w:rPr>
        <w:t xml:space="preserve">Notamment, en cas d’offre inappropriée, inacceptable ou irrégulière,  le montant de la prime pourra être réduit ou son montant supprimé dans les conditions suivantes :  </w:t>
      </w:r>
    </w:p>
    <w:p>
      <w:pPr>
        <w:pStyle w:val="Normal1"/>
        <w:ind w:hanging="0"/>
        <w:rPr>
          <w:rFonts w:ascii="Arial" w:hAnsi="Arial"/>
          <w:sz w:val="20"/>
          <w:szCs w:val="20"/>
        </w:rPr>
      </w:pPr>
      <w:r>
        <w:rPr>
          <w:rFonts w:cs="Arial" w:ascii="Arial" w:hAnsi="Arial"/>
          <w:sz w:val="20"/>
          <w:szCs w:val="20"/>
        </w:rPr>
        <w:t xml:space="preserve">-  Les offres suivantes ne sauraient donner lieu à l’attribution d’une prime : </w:t>
      </w:r>
    </w:p>
    <w:p>
      <w:pPr>
        <w:pStyle w:val="Normal1"/>
        <w:ind w:hanging="0"/>
        <w:rPr>
          <w:rFonts w:ascii="Arial" w:hAnsi="Arial"/>
          <w:sz w:val="20"/>
          <w:szCs w:val="20"/>
        </w:rPr>
      </w:pPr>
      <w:r>
        <w:rPr>
          <w:rFonts w:cs="Arial" w:ascii="Arial" w:hAnsi="Arial"/>
          <w:sz w:val="20"/>
          <w:szCs w:val="20"/>
        </w:rPr>
        <w:tab/>
        <w:t xml:space="preserve">- Les offres réceptionnées par le maître de l’ouvrage après expiration du délai imparti à cet effet  </w:t>
      </w:r>
    </w:p>
    <w:p>
      <w:pPr>
        <w:pStyle w:val="Normal1"/>
        <w:ind w:hanging="0"/>
        <w:rPr>
          <w:rFonts w:ascii="Arial" w:hAnsi="Arial"/>
          <w:sz w:val="20"/>
          <w:szCs w:val="20"/>
        </w:rPr>
      </w:pPr>
      <w:r>
        <w:rPr>
          <w:rFonts w:cs="Arial" w:ascii="Arial" w:hAnsi="Arial"/>
          <w:sz w:val="20"/>
          <w:szCs w:val="20"/>
        </w:rPr>
        <w:tab/>
        <w:t xml:space="preserve">- Les offres inappropriées   </w:t>
      </w:r>
    </w:p>
    <w:p>
      <w:pPr>
        <w:pStyle w:val="Normal1"/>
        <w:ind w:hanging="0"/>
        <w:rPr>
          <w:rFonts w:ascii="Arial" w:hAnsi="Arial"/>
          <w:sz w:val="20"/>
          <w:szCs w:val="20"/>
        </w:rPr>
      </w:pPr>
      <w:r>
        <w:rPr>
          <w:rFonts w:cs="Arial" w:ascii="Arial" w:hAnsi="Arial"/>
          <w:sz w:val="20"/>
          <w:szCs w:val="20"/>
        </w:rPr>
        <w:tab/>
        <w:t xml:space="preserve">- Les offres rejetées comme anormalement basses  </w:t>
      </w:r>
    </w:p>
    <w:p>
      <w:pPr>
        <w:pStyle w:val="Normal1"/>
        <w:ind w:hanging="0"/>
        <w:rPr>
          <w:rFonts w:ascii="Arial" w:hAnsi="Arial"/>
          <w:sz w:val="20"/>
          <w:szCs w:val="20"/>
        </w:rPr>
      </w:pPr>
      <w:r>
        <w:rPr>
          <w:rFonts w:cs="Arial" w:ascii="Arial" w:hAnsi="Arial"/>
          <w:sz w:val="20"/>
          <w:szCs w:val="20"/>
        </w:rPr>
        <w:t xml:space="preserve"> </w:t>
      </w:r>
    </w:p>
    <w:p>
      <w:pPr>
        <w:pStyle w:val="Normal1"/>
        <w:ind w:hanging="0"/>
        <w:rPr>
          <w:rFonts w:ascii="Arial" w:hAnsi="Arial"/>
          <w:sz w:val="20"/>
          <w:szCs w:val="20"/>
        </w:rPr>
      </w:pPr>
      <w:r>
        <w:rPr>
          <w:rFonts w:cs="Arial" w:ascii="Arial" w:hAnsi="Arial"/>
          <w:sz w:val="20"/>
          <w:szCs w:val="20"/>
        </w:rPr>
        <w:t xml:space="preserve">-  Les offres suivantes ne donnent lieu qu’à l’attribution d’une prime d’un montant réduit : </w:t>
      </w:r>
    </w:p>
    <w:p>
      <w:pPr>
        <w:pStyle w:val="Normal1"/>
        <w:ind w:hanging="0"/>
        <w:rPr>
          <w:rFonts w:ascii="Arial" w:hAnsi="Arial"/>
          <w:sz w:val="20"/>
          <w:szCs w:val="20"/>
        </w:rPr>
      </w:pPr>
      <w:r>
        <w:rPr>
          <w:rFonts w:cs="Arial" w:ascii="Arial" w:hAnsi="Arial"/>
          <w:sz w:val="20"/>
          <w:szCs w:val="20"/>
        </w:rPr>
        <w:t xml:space="preserve">Pour les offres irrégulières,  la réduction ne pourra être supérieure  à 75% du montant de la prime.  </w:t>
      </w:r>
    </w:p>
    <w:p>
      <w:pPr>
        <w:pStyle w:val="Normal1"/>
        <w:ind w:hanging="0"/>
        <w:rPr>
          <w:rFonts w:ascii="Arial" w:hAnsi="Arial"/>
          <w:sz w:val="20"/>
          <w:szCs w:val="20"/>
        </w:rPr>
      </w:pPr>
      <w:r>
        <w:rPr>
          <w:rFonts w:cs="Arial" w:ascii="Arial" w:hAnsi="Arial"/>
          <w:sz w:val="20"/>
          <w:szCs w:val="20"/>
        </w:rPr>
        <w:t xml:space="preserve"> </w:t>
      </w:r>
    </w:p>
    <w:p>
      <w:pPr>
        <w:pStyle w:val="Normal1"/>
        <w:ind w:hanging="0"/>
        <w:rPr>
          <w:rFonts w:ascii="Arial" w:hAnsi="Arial"/>
          <w:sz w:val="20"/>
          <w:szCs w:val="20"/>
        </w:rPr>
      </w:pPr>
      <w:r>
        <w:rPr>
          <w:rFonts w:cs="Arial" w:ascii="Arial" w:hAnsi="Arial"/>
          <w:sz w:val="20"/>
          <w:szCs w:val="20"/>
        </w:rPr>
        <w:t xml:space="preserve">-  Les  offres  qui  n’auraient  pas  eu  la  capacité  d’évoluer  et  d’être  complétées  selon  les propositions et études au fil du Dialogue. La réduction ne pourra être supérieure  à 75% du montant de la prime.  </w:t>
      </w:r>
    </w:p>
    <w:p>
      <w:pPr>
        <w:pStyle w:val="Normal1"/>
        <w:ind w:hanging="0"/>
        <w:rPr>
          <w:rFonts w:ascii="Arial" w:hAnsi="Arial"/>
          <w:sz w:val="20"/>
          <w:szCs w:val="20"/>
        </w:rPr>
      </w:pPr>
      <w:r>
        <w:rPr>
          <w:rFonts w:cs="Arial" w:ascii="Arial" w:hAnsi="Arial"/>
          <w:sz w:val="20"/>
          <w:szCs w:val="20"/>
        </w:rPr>
        <w:t xml:space="preserve"> </w:t>
      </w:r>
    </w:p>
    <w:p>
      <w:pPr>
        <w:pStyle w:val="Normal1"/>
        <w:ind w:hanging="0"/>
        <w:rPr>
          <w:rFonts w:ascii="Arial" w:hAnsi="Arial"/>
          <w:sz w:val="20"/>
          <w:szCs w:val="20"/>
        </w:rPr>
      </w:pPr>
      <w:r>
        <w:rPr>
          <w:rFonts w:cs="Arial" w:ascii="Arial" w:hAnsi="Arial"/>
          <w:sz w:val="20"/>
          <w:szCs w:val="20"/>
        </w:rPr>
        <w:t xml:space="preserve">Les groupements évincés feront leur affaire de la répartition de la prime entre leurs membres. </w:t>
      </w:r>
    </w:p>
    <w:p>
      <w:pPr>
        <w:pStyle w:val="Normal1"/>
        <w:ind w:hanging="0"/>
        <w:rPr>
          <w:rFonts w:ascii="Arial" w:hAnsi="Arial"/>
          <w:sz w:val="20"/>
          <w:szCs w:val="20"/>
        </w:rPr>
      </w:pPr>
      <w:r>
        <w:rPr>
          <w:rFonts w:cs="Arial" w:ascii="Arial" w:hAnsi="Arial"/>
          <w:sz w:val="20"/>
          <w:szCs w:val="20"/>
        </w:rPr>
        <w:t xml:space="preserve"> </w:t>
      </w:r>
    </w:p>
    <w:p>
      <w:pPr>
        <w:pStyle w:val="Normal1"/>
        <w:ind w:hanging="0"/>
        <w:rPr>
          <w:rFonts w:ascii="Arial" w:hAnsi="Arial"/>
          <w:sz w:val="20"/>
          <w:szCs w:val="20"/>
        </w:rPr>
      </w:pPr>
      <w:r>
        <w:rPr>
          <w:rFonts w:cs="Arial" w:ascii="Arial" w:hAnsi="Arial"/>
          <w:sz w:val="20"/>
          <w:szCs w:val="20"/>
        </w:rPr>
        <w:t xml:space="preserve">Il est expressément indiqué que l’attributaire du marché ne bénéficiera d’aucune prime spécifique au titre de sa participation aux différentes phases de la présente procédure de dialogue compétitif, le coût des études et prestations réalisées tout au long de la procédure étant intégré dans le prix forfaitaire du marché qu’il aura proposé. </w:t>
      </w:r>
    </w:p>
    <w:p>
      <w:pPr>
        <w:pStyle w:val="Normal1"/>
        <w:ind w:hanging="0"/>
        <w:rPr>
          <w:rFonts w:ascii="Arial" w:hAnsi="Arial"/>
          <w:sz w:val="20"/>
          <w:szCs w:val="20"/>
        </w:rPr>
      </w:pPr>
      <w:r>
        <w:rPr>
          <w:rFonts w:cs="Arial" w:ascii="Arial" w:hAnsi="Arial"/>
          <w:sz w:val="20"/>
          <w:szCs w:val="20"/>
        </w:rPr>
        <w:t xml:space="preserve"> </w:t>
      </w:r>
    </w:p>
    <w:p>
      <w:pPr>
        <w:pStyle w:val="Normal1"/>
        <w:ind w:hanging="0"/>
        <w:rPr>
          <w:rFonts w:ascii="Arial" w:hAnsi="Arial"/>
          <w:sz w:val="20"/>
          <w:szCs w:val="20"/>
        </w:rPr>
      </w:pPr>
      <w:r>
        <w:rPr>
          <w:rFonts w:cs="Arial" w:ascii="Arial" w:hAnsi="Arial"/>
          <w:sz w:val="20"/>
          <w:szCs w:val="20"/>
        </w:rPr>
        <w:t>Ces primes seront payées dans un délai de 30 jours à compter de la date de réception de la facture correspondante, qui ne saurait intervenir avant la réception du courrier de rejet de l’offre du candidat évincé.</w:t>
      </w:r>
    </w:p>
    <w:p>
      <w:pPr>
        <w:pStyle w:val="Normal"/>
        <w:jc w:val="both"/>
        <w:rPr>
          <w:rFonts w:ascii="Arial" w:hAnsi="Arial" w:cs="Arial"/>
          <w:sz w:val="20"/>
          <w:szCs w:val="20"/>
        </w:rPr>
      </w:pPr>
      <w:r>
        <w:rPr>
          <w:rFonts w:cs="Arial" w:ascii="Arial" w:hAnsi="Arial"/>
          <w:sz w:val="20"/>
          <w:szCs w:val="20"/>
        </w:rPr>
      </w:r>
    </w:p>
    <w:p>
      <w:pPr>
        <w:pStyle w:val="RedPara"/>
        <w:spacing w:before="120" w:after="120"/>
        <w:ind w:firstLine="709"/>
        <w:jc w:val="both"/>
        <w:rPr>
          <w:rFonts w:ascii="Arial" w:hAnsi="Arial"/>
          <w:sz w:val="20"/>
          <w:szCs w:val="20"/>
        </w:rPr>
      </w:pPr>
      <w:bookmarkStart w:id="8" w:name="_Toc171945451"/>
      <w:r>
        <w:rPr>
          <w:sz w:val="20"/>
          <w:szCs w:val="20"/>
        </w:rPr>
        <w:t>2-6-Forme du marché</w:t>
      </w:r>
      <w:bookmarkEnd w:id="8"/>
    </w:p>
    <w:p>
      <w:pPr>
        <w:pStyle w:val="Normal"/>
        <w:jc w:val="both"/>
        <w:rPr>
          <w:rFonts w:ascii="Arial" w:hAnsi="Arial"/>
          <w:sz w:val="20"/>
          <w:szCs w:val="20"/>
        </w:rPr>
      </w:pPr>
      <w:r>
        <w:rPr>
          <w:rFonts w:cs="Arial" w:ascii="Arial" w:hAnsi="Arial"/>
          <w:sz w:val="20"/>
          <w:szCs w:val="20"/>
        </w:rPr>
        <w:t>Il s’agit d’un marché à procédure adaptée restreint (3 candidats) .</w:t>
      </w:r>
    </w:p>
    <w:p>
      <w:pPr>
        <w:pStyle w:val="Normal"/>
        <w:jc w:val="both"/>
        <w:rPr>
          <w:rFonts w:ascii="Arial" w:hAnsi="Arial" w:cs="Arial"/>
          <w:sz w:val="20"/>
          <w:szCs w:val="20"/>
        </w:rPr>
      </w:pPr>
      <w:r>
        <w:rPr>
          <w:rFonts w:cs="Arial" w:ascii="Arial" w:hAnsi="Arial"/>
          <w:sz w:val="20"/>
          <w:szCs w:val="20"/>
        </w:rPr>
      </w:r>
    </w:p>
    <w:p>
      <w:pPr>
        <w:pStyle w:val="RedTitre2"/>
        <w:shd w:val="clear" w:color="auto" w:fill="D9D9D9"/>
        <w:jc w:val="both"/>
        <w:rPr>
          <w:rFonts w:ascii="Arial" w:hAnsi="Arial"/>
          <w:sz w:val="20"/>
          <w:szCs w:val="20"/>
        </w:rPr>
      </w:pPr>
      <w:bookmarkStart w:id="9" w:name="_Toc171945452"/>
      <w:r>
        <w:rPr>
          <w:b w:val="false"/>
          <w:sz w:val="20"/>
          <w:szCs w:val="20"/>
        </w:rPr>
        <w:t xml:space="preserve">Article </w:t>
      </w:r>
      <w:r>
        <w:rPr>
          <w:sz w:val="20"/>
          <w:szCs w:val="20"/>
        </w:rPr>
        <w:t>3 - Dispositions générales</w:t>
      </w:r>
      <w:bookmarkEnd w:id="9"/>
    </w:p>
    <w:p>
      <w:pPr>
        <w:pStyle w:val="RedPara"/>
        <w:spacing w:before="120" w:after="120"/>
        <w:ind w:firstLine="709"/>
        <w:jc w:val="both"/>
        <w:rPr>
          <w:rFonts w:ascii="Arial" w:hAnsi="Arial"/>
          <w:sz w:val="20"/>
          <w:szCs w:val="20"/>
        </w:rPr>
      </w:pPr>
      <w:bookmarkStart w:id="10" w:name="_Toc171945453"/>
      <w:r>
        <w:rPr>
          <w:sz w:val="20"/>
          <w:szCs w:val="20"/>
        </w:rPr>
        <w:t>3-1-Décomposition du marché</w:t>
      </w:r>
      <w:bookmarkEnd w:id="10"/>
    </w:p>
    <w:p>
      <w:pPr>
        <w:pStyle w:val="Normal"/>
        <w:widowControl w:val="false"/>
        <w:spacing w:before="60" w:after="120"/>
        <w:jc w:val="both"/>
        <w:rPr>
          <w:rFonts w:ascii="Arial" w:hAnsi="Arial"/>
          <w:sz w:val="20"/>
          <w:szCs w:val="20"/>
        </w:rPr>
      </w:pPr>
      <w:r>
        <w:rPr>
          <w:rFonts w:cs="Arial" w:ascii="Arial" w:hAnsi="Arial"/>
          <w:b/>
          <w:bCs/>
          <w:sz w:val="20"/>
          <w:szCs w:val="20"/>
        </w:rPr>
        <w:tab/>
        <w:tab/>
        <w:t>3-1-1-Lots</w:t>
      </w:r>
    </w:p>
    <w:p>
      <w:pPr>
        <w:pStyle w:val="RedTxt"/>
        <w:jc w:val="both"/>
        <w:rPr>
          <w:rFonts w:ascii="Arial" w:hAnsi="Arial"/>
          <w:sz w:val="20"/>
          <w:szCs w:val="20"/>
        </w:rPr>
      </w:pPr>
      <w:r>
        <w:rPr>
          <w:sz w:val="20"/>
          <w:szCs w:val="20"/>
        </w:rPr>
        <w:t>Conformément à l’article L2113-10 du Code de la Commande Publique, le Maître d’ouvrage décide de ne pas allotir le marché, son objet ne permettant pas l'identification de prestations distinctes.</w:t>
      </w:r>
    </w:p>
    <w:p>
      <w:pPr>
        <w:pStyle w:val="RedTxt"/>
        <w:rPr>
          <w:rFonts w:ascii="Arial" w:hAnsi="Arial"/>
          <w:color w:val="FF0000"/>
          <w:sz w:val="20"/>
          <w:szCs w:val="20"/>
        </w:rPr>
      </w:pPr>
      <w:r>
        <w:rPr>
          <w:color w:val="FF0000"/>
          <w:sz w:val="20"/>
          <w:szCs w:val="20"/>
        </w:rPr>
      </w:r>
    </w:p>
    <w:p>
      <w:pPr>
        <w:pStyle w:val="RedPara"/>
        <w:spacing w:before="120" w:after="120"/>
        <w:ind w:firstLine="709"/>
        <w:jc w:val="both"/>
        <w:rPr>
          <w:rFonts w:ascii="Arial" w:hAnsi="Arial"/>
          <w:sz w:val="20"/>
          <w:szCs w:val="20"/>
        </w:rPr>
      </w:pPr>
      <w:bookmarkStart w:id="11" w:name="_Toc171945454"/>
      <w:r>
        <w:rPr>
          <w:sz w:val="20"/>
          <w:szCs w:val="20"/>
        </w:rPr>
        <w:t>3-2-Durée prévisionnelle du marché</w:t>
      </w:r>
      <w:bookmarkEnd w:id="11"/>
      <w:r>
        <w:rPr>
          <w:sz w:val="20"/>
          <w:szCs w:val="20"/>
        </w:rPr>
        <w:t xml:space="preserve"> </w:t>
      </w:r>
    </w:p>
    <w:p>
      <w:pPr>
        <w:pStyle w:val="RedTxt"/>
        <w:jc w:val="both"/>
        <w:rPr>
          <w:rFonts w:ascii="Arial" w:hAnsi="Arial"/>
          <w:sz w:val="20"/>
          <w:szCs w:val="20"/>
        </w:rPr>
      </w:pPr>
      <w:r>
        <w:rPr>
          <w:sz w:val="20"/>
          <w:szCs w:val="20"/>
        </w:rPr>
        <w:t>La durée du marché démarre à compter de la date indiquée dans l’ordre de service de démarrage du premier élément de mission.</w:t>
      </w:r>
    </w:p>
    <w:p>
      <w:pPr>
        <w:pStyle w:val="RedTxt"/>
        <w:jc w:val="both"/>
        <w:rPr>
          <w:rFonts w:ascii="Arial" w:hAnsi="Arial"/>
          <w:sz w:val="20"/>
          <w:szCs w:val="20"/>
        </w:rPr>
      </w:pPr>
      <w:r>
        <w:rPr>
          <w:sz w:val="20"/>
          <w:szCs w:val="20"/>
        </w:rPr>
        <w:t>La mission du groupement s'achève à la fin du délai de "Garantie de parfait achèvement" (prévue à l'article 44.1 2° alinéa du CCAG-Travaux) ou après prolongation de ce délai si les réserves signalées lors de la réception ne sont pas toutes levées à la fin de cette période. Dans cette hypothèse, l'achèvement de la mission intervient lors de la levée de la dernière réserve.</w:t>
      </w:r>
    </w:p>
    <w:p>
      <w:pPr>
        <w:pStyle w:val="RedTxt"/>
        <w:jc w:val="both"/>
        <w:rPr>
          <w:rFonts w:ascii="Arial" w:hAnsi="Arial"/>
          <w:sz w:val="20"/>
          <w:szCs w:val="20"/>
        </w:rPr>
      </w:pPr>
      <w:r>
        <w:rPr>
          <w:sz w:val="20"/>
          <w:szCs w:val="20"/>
        </w:rPr>
        <w:t>L'achèvement de la mission fera l'objet d'une décision établie par le Maître de l'ouvrage, constatant que le titulaire a rempli toutes ses obligations.</w:t>
      </w:r>
    </w:p>
    <w:p>
      <w:pPr>
        <w:pStyle w:val="RedTxt"/>
        <w:jc w:val="both"/>
        <w:rPr>
          <w:rFonts w:ascii="Arial" w:hAnsi="Arial"/>
          <w:sz w:val="20"/>
          <w:szCs w:val="20"/>
        </w:rPr>
      </w:pPr>
      <w:r>
        <w:rPr>
          <w:sz w:val="20"/>
          <w:szCs w:val="20"/>
        </w:rPr>
      </w:r>
    </w:p>
    <w:p>
      <w:pPr>
        <w:pStyle w:val="RedTxt"/>
        <w:jc w:val="both"/>
        <w:rPr>
          <w:rFonts w:ascii="Arial" w:hAnsi="Arial"/>
          <w:sz w:val="20"/>
          <w:szCs w:val="20"/>
        </w:rPr>
      </w:pPr>
      <w:r>
        <w:rPr>
          <w:sz w:val="20"/>
          <w:szCs w:val="20"/>
        </w:rPr>
        <w:t xml:space="preserve">La durée maximale prévisionnelle du marché est estimée à </w:t>
      </w:r>
      <w:r>
        <w:rPr>
          <w:b/>
          <w:bCs/>
          <w:sz w:val="20"/>
          <w:szCs w:val="20"/>
          <w:shd w:fill="auto" w:val="clear"/>
        </w:rPr>
        <w:t>6 mois (1</w:t>
      </w:r>
      <w:r>
        <w:rPr>
          <w:b/>
          <w:bCs/>
          <w:sz w:val="20"/>
          <w:szCs w:val="20"/>
          <w:shd w:fill="auto" w:val="clear"/>
          <w:vertAlign w:val="superscript"/>
        </w:rPr>
        <w:t>er</w:t>
      </w:r>
      <w:r>
        <w:rPr>
          <w:b/>
          <w:bCs/>
          <w:sz w:val="20"/>
          <w:szCs w:val="20"/>
          <w:shd w:fill="auto" w:val="clear"/>
        </w:rPr>
        <w:t xml:space="preserve"> janvier – </w:t>
      </w:r>
      <w:r>
        <w:rPr>
          <w:b/>
          <w:bCs/>
          <w:sz w:val="20"/>
          <w:szCs w:val="20"/>
          <w:shd w:fill="auto" w:val="clear"/>
        </w:rPr>
        <w:t>28 février</w:t>
      </w:r>
      <w:r>
        <w:rPr>
          <w:b/>
          <w:bCs/>
          <w:sz w:val="20"/>
          <w:szCs w:val="20"/>
          <w:shd w:fill="auto" w:val="clear"/>
        </w:rPr>
        <w:t xml:space="preserve"> 2025)</w:t>
      </w:r>
      <w:r>
        <w:rPr>
          <w:sz w:val="20"/>
          <w:szCs w:val="20"/>
          <w:shd w:fill="auto" w:val="clear"/>
        </w:rPr>
        <w:t>,</w:t>
      </w:r>
      <w:r>
        <w:rPr>
          <w:sz w:val="20"/>
          <w:szCs w:val="20"/>
        </w:rPr>
        <w:t xml:space="preserve"> comprenant la garantie de parfait achèvement. </w:t>
      </w:r>
      <w:r>
        <w:rPr>
          <w:b/>
          <w:bCs/>
          <w:sz w:val="20"/>
          <w:szCs w:val="20"/>
        </w:rPr>
        <w:t>Cette durée est révisable après accord entre les parties pour une durée maximale de deux mois.</w:t>
      </w:r>
    </w:p>
    <w:p>
      <w:pPr>
        <w:pStyle w:val="RedTxt"/>
        <w:jc w:val="both"/>
        <w:rPr>
          <w:rFonts w:ascii="Arial" w:hAnsi="Arial"/>
          <w:b/>
          <w:bCs/>
          <w:sz w:val="20"/>
          <w:szCs w:val="20"/>
        </w:rPr>
      </w:pPr>
      <w:r>
        <w:rPr>
          <w:b/>
          <w:bCs/>
          <w:sz w:val="20"/>
          <w:szCs w:val="20"/>
        </w:rPr>
      </w:r>
    </w:p>
    <w:p>
      <w:pPr>
        <w:pStyle w:val="RedPara"/>
        <w:spacing w:before="120" w:after="120"/>
        <w:ind w:firstLine="709"/>
        <w:jc w:val="both"/>
        <w:rPr>
          <w:rFonts w:ascii="Arial" w:hAnsi="Arial"/>
          <w:sz w:val="20"/>
          <w:szCs w:val="20"/>
        </w:rPr>
      </w:pPr>
      <w:bookmarkStart w:id="12" w:name="_Toc171945455"/>
      <w:r>
        <w:rPr>
          <w:sz w:val="20"/>
          <w:szCs w:val="20"/>
        </w:rPr>
        <w:t>3-3-Modalités de financement et de paiement</w:t>
      </w:r>
      <w:bookmarkEnd w:id="12"/>
    </w:p>
    <w:p>
      <w:pPr>
        <w:pStyle w:val="RedTxt"/>
        <w:jc w:val="both"/>
        <w:rPr>
          <w:highlight w:val="none"/>
          <w:shd w:fill="auto" w:val="clear"/>
        </w:rPr>
      </w:pPr>
      <w:r>
        <w:rPr>
          <w:rFonts w:cs="Arial"/>
          <w:b w:val="false"/>
          <w:bCs w:val="false"/>
          <w:sz w:val="20"/>
          <w:szCs w:val="20"/>
          <w:shd w:fill="auto" w:val="clear"/>
        </w:rPr>
        <w:t>Le maître d’ouvrage a informé les différents candidats retenus lors de la visite de site qu’aucun avenant au devis initial ne sera possible. Les travaux seront exclusivement financés par l’enveloppe déléguée sur le Fonds Vert.</w:t>
      </w:r>
    </w:p>
    <w:p>
      <w:pPr>
        <w:pStyle w:val="RedTxt"/>
        <w:rPr>
          <w:highlight w:val="none"/>
          <w:shd w:fill="auto" w:val="clear"/>
        </w:rPr>
      </w:pPr>
      <w:r>
        <w:rPr>
          <w:b w:val="false"/>
          <w:bCs w:val="false"/>
          <w:sz w:val="20"/>
          <w:szCs w:val="20"/>
          <w:u w:val="none"/>
          <w:shd w:fill="auto" w:val="clear"/>
        </w:rPr>
        <w:t>Un acte d’engagement sera adressé au candidat retenu.</w:t>
      </w:r>
    </w:p>
    <w:p>
      <w:pPr>
        <w:pStyle w:val="Normal"/>
        <w:keepLines/>
        <w:widowControl w:val="false"/>
        <w:jc w:val="both"/>
        <w:rPr>
          <w:highlight w:val="none"/>
          <w:shd w:fill="auto" w:val="clear"/>
        </w:rPr>
      </w:pPr>
      <w:r>
        <w:rPr>
          <w:rFonts w:cs="Arial" w:ascii="Arial" w:hAnsi="Arial"/>
          <w:b w:val="false"/>
          <w:bCs w:val="false"/>
          <w:sz w:val="20"/>
          <w:szCs w:val="20"/>
          <w:shd w:fill="auto" w:val="clear"/>
        </w:rPr>
        <w:t xml:space="preserve">Les modalités seront précisées au candidat retenu. </w:t>
      </w:r>
    </w:p>
    <w:p>
      <w:pPr>
        <w:pStyle w:val="RedPara"/>
        <w:spacing w:before="120" w:after="120"/>
        <w:ind w:firstLine="709"/>
        <w:jc w:val="both"/>
        <w:rPr>
          <w:rFonts w:ascii="Arial" w:hAnsi="Arial"/>
          <w:sz w:val="20"/>
          <w:szCs w:val="20"/>
        </w:rPr>
      </w:pPr>
      <w:bookmarkStart w:id="13" w:name="_Toc171945456"/>
      <w:r>
        <w:rPr>
          <w:sz w:val="20"/>
          <w:szCs w:val="20"/>
        </w:rPr>
        <w:t>3-4-Forme juridique de l’attributaire</w:t>
      </w:r>
      <w:bookmarkEnd w:id="13"/>
    </w:p>
    <w:p>
      <w:pPr>
        <w:pStyle w:val="RedTxt"/>
        <w:keepLines/>
        <w:widowControl/>
        <w:jc w:val="both"/>
        <w:rPr>
          <w:rFonts w:ascii="Arial" w:hAnsi="Arial"/>
          <w:sz w:val="20"/>
          <w:szCs w:val="20"/>
        </w:rPr>
      </w:pPr>
      <w:r>
        <w:rPr>
          <w:sz w:val="20"/>
          <w:szCs w:val="20"/>
        </w:rPr>
        <w:t>En application des articles R2142-19 à R2142-27 du Code de la Commande Publique, les groupements d’opérateurs économiques peuvent participer à cette consultation. La forme juridique du groupement est libre : groupement solidaire ou groupement conjoint avec mandataire solidaire.</w:t>
      </w:r>
    </w:p>
    <w:p>
      <w:pPr>
        <w:pStyle w:val="RedTxt"/>
        <w:keepLines/>
        <w:widowControl/>
        <w:jc w:val="both"/>
        <w:rPr>
          <w:rFonts w:ascii="Arial" w:hAnsi="Arial"/>
          <w:sz w:val="20"/>
          <w:szCs w:val="20"/>
        </w:rPr>
      </w:pPr>
      <w:r>
        <w:rPr>
          <w:sz w:val="20"/>
          <w:szCs w:val="20"/>
        </w:rPr>
      </w:r>
    </w:p>
    <w:p>
      <w:pPr>
        <w:pStyle w:val="RedTxt"/>
        <w:keepLines/>
        <w:widowControl/>
        <w:jc w:val="both"/>
        <w:rPr>
          <w:rFonts w:ascii="Arial" w:hAnsi="Arial"/>
          <w:sz w:val="20"/>
          <w:szCs w:val="20"/>
        </w:rPr>
      </w:pPr>
      <w:r>
        <w:rPr>
          <w:b/>
          <w:sz w:val="20"/>
          <w:szCs w:val="20"/>
        </w:rPr>
        <w:t>Conformément au Code de la Commande Publique, les candidats qui n’ont pas la qualité de mandataire peuvent candidater dans plusieurs groupements, alors que les mandataires ne peuvent pas être candidats de plus d’un groupement.</w:t>
      </w:r>
    </w:p>
    <w:p>
      <w:pPr>
        <w:pStyle w:val="RedTxt"/>
        <w:keepLines/>
        <w:widowControl/>
        <w:jc w:val="both"/>
        <w:rPr>
          <w:rFonts w:ascii="Arial" w:hAnsi="Arial"/>
          <w:b/>
          <w:sz w:val="20"/>
          <w:szCs w:val="20"/>
        </w:rPr>
      </w:pPr>
      <w:r>
        <w:rPr>
          <w:b/>
          <w:sz w:val="20"/>
          <w:szCs w:val="20"/>
        </w:rPr>
      </w:r>
    </w:p>
    <w:p>
      <w:pPr>
        <w:pStyle w:val="RedTitre2"/>
        <w:shd w:val="clear" w:color="auto" w:fill="D9D9D9"/>
        <w:jc w:val="both"/>
        <w:rPr>
          <w:rFonts w:ascii="Arial" w:hAnsi="Arial"/>
          <w:sz w:val="20"/>
          <w:szCs w:val="20"/>
        </w:rPr>
      </w:pPr>
      <w:bookmarkStart w:id="14" w:name="_Toc171945458"/>
      <w:r>
        <w:rPr>
          <w:b w:val="false"/>
          <w:sz w:val="20"/>
          <w:szCs w:val="20"/>
        </w:rPr>
        <w:t>Article</w:t>
      </w:r>
      <w:r>
        <w:rPr>
          <w:sz w:val="20"/>
          <w:szCs w:val="20"/>
        </w:rPr>
        <w:t xml:space="preserve"> 4 - Dossier de consultation</w:t>
      </w:r>
      <w:bookmarkEnd w:id="14"/>
    </w:p>
    <w:p>
      <w:pPr>
        <w:pStyle w:val="Normal"/>
        <w:jc w:val="both"/>
        <w:rPr>
          <w:rFonts w:ascii="Arial" w:hAnsi="Arial" w:cs="Arial"/>
          <w:b/>
          <w:sz w:val="20"/>
          <w:szCs w:val="20"/>
          <w:u w:val="single"/>
        </w:rPr>
      </w:pPr>
      <w:r>
        <w:rPr>
          <w:rFonts w:cs="Arial" w:ascii="Arial" w:hAnsi="Arial"/>
          <w:b/>
          <w:sz w:val="20"/>
          <w:szCs w:val="20"/>
          <w:u w:val="single"/>
        </w:rPr>
      </w:r>
    </w:p>
    <w:p>
      <w:pPr>
        <w:pStyle w:val="RedPara"/>
        <w:spacing w:before="120" w:after="120"/>
        <w:ind w:firstLine="709"/>
        <w:jc w:val="both"/>
        <w:rPr>
          <w:rFonts w:ascii="Arial" w:hAnsi="Arial"/>
          <w:sz w:val="20"/>
          <w:szCs w:val="20"/>
        </w:rPr>
      </w:pPr>
      <w:bookmarkStart w:id="15" w:name="_Toc171945459"/>
      <w:r>
        <w:rPr>
          <w:sz w:val="20"/>
          <w:szCs w:val="20"/>
        </w:rPr>
        <w:t>4-1-Contenu du dossier de consultation</w:t>
      </w:r>
      <w:bookmarkEnd w:id="15"/>
      <w:r>
        <w:rPr>
          <w:sz w:val="20"/>
          <w:szCs w:val="20"/>
        </w:rPr>
        <w:t xml:space="preserve"> </w:t>
      </w:r>
    </w:p>
    <w:p>
      <w:pPr>
        <w:pStyle w:val="Normal"/>
        <w:keepLines/>
        <w:widowControl w:val="false"/>
        <w:jc w:val="both"/>
        <w:rPr>
          <w:highlight w:val="none"/>
          <w:shd w:fill="auto" w:val="clear"/>
        </w:rPr>
      </w:pPr>
      <w:r>
        <w:rPr>
          <w:rFonts w:cs="Arial" w:ascii="Arial" w:hAnsi="Arial"/>
          <w:sz w:val="20"/>
          <w:szCs w:val="20"/>
          <w:shd w:fill="auto" w:val="clear"/>
        </w:rPr>
        <w:t xml:space="preserve">Le dossier de consultation en </w:t>
      </w:r>
      <w:r>
        <w:rPr>
          <w:rFonts w:cs="Arial" w:ascii="Arial" w:hAnsi="Arial"/>
          <w:b/>
          <w:bCs/>
          <w:sz w:val="20"/>
          <w:szCs w:val="20"/>
          <w:shd w:fill="auto" w:val="clear"/>
        </w:rPr>
        <w:t>phase offre</w:t>
      </w:r>
      <w:r>
        <w:rPr>
          <w:rFonts w:cs="Arial" w:ascii="Arial" w:hAnsi="Arial"/>
          <w:sz w:val="20"/>
          <w:szCs w:val="20"/>
          <w:shd w:fill="auto" w:val="clear"/>
        </w:rPr>
        <w:t xml:space="preserve"> comprend les documents suivants :</w:t>
      </w:r>
    </w:p>
    <w:p>
      <w:pPr>
        <w:pStyle w:val="RedTxt"/>
        <w:keepLines/>
        <w:widowControl/>
        <w:jc w:val="both"/>
        <w:rPr>
          <w:highlight w:val="none"/>
          <w:shd w:fill="auto" w:val="clear"/>
        </w:rPr>
      </w:pPr>
      <w:r>
        <w:rPr>
          <w:sz w:val="20"/>
          <w:szCs w:val="20"/>
          <w:shd w:fill="auto" w:val="clear"/>
        </w:rPr>
        <w:t>- Le règlement de la consultation (RC) modifié. Réduction du périmètre des travaux et révision à la baisse du budget des travaux (200 000 euros TTC).</w:t>
      </w:r>
    </w:p>
    <w:p>
      <w:pPr>
        <w:pStyle w:val="Normal"/>
        <w:keepLines/>
        <w:widowControl w:val="false"/>
        <w:jc w:val="both"/>
        <w:rPr>
          <w:highlight w:val="none"/>
          <w:shd w:fill="auto" w:val="clear"/>
        </w:rPr>
      </w:pPr>
      <w:r>
        <w:rPr>
          <w:rFonts w:cs="Arial" w:ascii="Arial" w:hAnsi="Arial"/>
          <w:sz w:val="20"/>
          <w:szCs w:val="20"/>
          <w:shd w:fill="auto" w:val="clear"/>
        </w:rPr>
        <w:t>- Le Cahier des Clauses Techniques Particulières</w:t>
      </w:r>
    </w:p>
    <w:p>
      <w:pPr>
        <w:pStyle w:val="Normal"/>
        <w:keepLines/>
        <w:widowControl w:val="false"/>
        <w:tabs>
          <w:tab w:val="clear" w:pos="709"/>
          <w:tab w:val="center" w:pos="4536" w:leader="none"/>
        </w:tabs>
        <w:jc w:val="both"/>
        <w:rPr>
          <w:rFonts w:ascii="Arial" w:hAnsi="Arial" w:cs="Arial"/>
          <w:sz w:val="20"/>
          <w:szCs w:val="20"/>
        </w:rPr>
      </w:pPr>
      <w:r>
        <w:rPr>
          <w:rFonts w:cs="Arial" w:ascii="Arial" w:hAnsi="Arial"/>
          <w:sz w:val="20"/>
          <w:szCs w:val="20"/>
        </w:rPr>
      </w:r>
    </w:p>
    <w:p>
      <w:pPr>
        <w:pStyle w:val="RedPara"/>
        <w:spacing w:before="120" w:after="120"/>
        <w:ind w:firstLine="709"/>
        <w:jc w:val="both"/>
        <w:rPr>
          <w:rFonts w:ascii="Arial" w:hAnsi="Arial"/>
          <w:sz w:val="20"/>
          <w:szCs w:val="20"/>
        </w:rPr>
      </w:pPr>
      <w:bookmarkStart w:id="16" w:name="_Toc171945460"/>
      <w:r>
        <w:rPr>
          <w:sz w:val="20"/>
          <w:szCs w:val="20"/>
        </w:rPr>
        <w:t>4-2-Mise à disposition du dossier de consultation par voie électronique</w:t>
      </w:r>
      <w:bookmarkEnd w:id="16"/>
      <w:r>
        <w:rPr>
          <w:sz w:val="20"/>
          <w:szCs w:val="20"/>
        </w:rPr>
        <w:t xml:space="preserve"> </w:t>
      </w:r>
    </w:p>
    <w:p>
      <w:pPr>
        <w:pStyle w:val="RedTxt"/>
        <w:jc w:val="both"/>
        <w:rPr>
          <w:rFonts w:ascii="Arial" w:hAnsi="Arial"/>
          <w:sz w:val="20"/>
          <w:szCs w:val="20"/>
        </w:rPr>
      </w:pPr>
      <w:r>
        <w:rPr>
          <w:sz w:val="20"/>
          <w:szCs w:val="20"/>
        </w:rPr>
        <w:t xml:space="preserve">Conformément à l'article R2132-2 du Code de la Commande Publique, le Maître d’ouvrage a permis la mise à disposition gratuitement du dossier de consultation par voie électronique. Celui-ci est disponible sur la plate-forme d'administration électronique PLACE (https://www.marches-publics.gouv.fr/.) </w:t>
      </w:r>
    </w:p>
    <w:p>
      <w:pPr>
        <w:pStyle w:val="RedTxt"/>
        <w:jc w:val="both"/>
        <w:rPr>
          <w:rFonts w:ascii="Arial" w:hAnsi="Arial"/>
          <w:color w:val="FF0000"/>
          <w:sz w:val="20"/>
          <w:szCs w:val="20"/>
        </w:rPr>
      </w:pPr>
      <w:r>
        <w:rPr>
          <w:color w:val="FF0000"/>
          <w:sz w:val="20"/>
          <w:szCs w:val="20"/>
        </w:rPr>
      </w:r>
    </w:p>
    <w:p>
      <w:pPr>
        <w:pStyle w:val="RedPara"/>
        <w:spacing w:before="120" w:after="120"/>
        <w:ind w:firstLine="709"/>
        <w:jc w:val="both"/>
        <w:rPr>
          <w:rFonts w:ascii="Arial" w:hAnsi="Arial"/>
          <w:sz w:val="20"/>
          <w:szCs w:val="20"/>
        </w:rPr>
      </w:pPr>
      <w:bookmarkStart w:id="17" w:name="_Toc171945461"/>
      <w:r>
        <w:rPr>
          <w:sz w:val="20"/>
          <w:szCs w:val="20"/>
        </w:rPr>
        <w:t>4-3-Modification de détail au dossier de consultation</w:t>
      </w:r>
      <w:bookmarkEnd w:id="17"/>
      <w:r>
        <w:rPr>
          <w:sz w:val="20"/>
          <w:szCs w:val="20"/>
        </w:rPr>
        <w:t xml:space="preserve"> </w:t>
      </w:r>
    </w:p>
    <w:p>
      <w:pPr>
        <w:pStyle w:val="RedTxt"/>
        <w:keepLines/>
        <w:widowControl/>
        <w:jc w:val="both"/>
        <w:rPr>
          <w:rFonts w:ascii="Arial" w:hAnsi="Arial"/>
          <w:sz w:val="20"/>
          <w:szCs w:val="20"/>
        </w:rPr>
      </w:pPr>
      <w:r>
        <w:rPr>
          <w:sz w:val="20"/>
          <w:szCs w:val="20"/>
        </w:rPr>
        <w:t xml:space="preserve">Le Maître de l'ouvrage se réserve le droit d'apporter au plus tard </w:t>
      </w:r>
      <w:r>
        <w:rPr>
          <w:b w:val="false"/>
          <w:bCs w:val="false"/>
          <w:sz w:val="20"/>
          <w:szCs w:val="20"/>
        </w:rPr>
        <w:t>6 jours</w:t>
      </w:r>
      <w:r>
        <w:rPr>
          <w:sz w:val="20"/>
          <w:szCs w:val="20"/>
        </w:rPr>
        <w:t xml:space="preserve"> avant la date limite fixée pour la remise des offres, des modifications de détail au dossier de consultation.</w:t>
      </w:r>
    </w:p>
    <w:p>
      <w:pPr>
        <w:pStyle w:val="RedTxt"/>
        <w:keepLines/>
        <w:widowControl/>
        <w:jc w:val="both"/>
        <w:rPr>
          <w:rFonts w:ascii="Arial" w:hAnsi="Arial"/>
          <w:sz w:val="20"/>
          <w:szCs w:val="20"/>
        </w:rPr>
      </w:pPr>
      <w:r>
        <w:rPr>
          <w:sz w:val="20"/>
          <w:szCs w:val="20"/>
        </w:rPr>
        <w:t>Les candidats devront alors répondre sur la base du dossier modifié sans pouvoir n’élever aucune réclamation à ce sujet.</w:t>
      </w:r>
    </w:p>
    <w:p>
      <w:pPr>
        <w:pStyle w:val="RedTxt"/>
        <w:keepLines/>
        <w:widowControl/>
        <w:jc w:val="both"/>
        <w:rPr>
          <w:rFonts w:ascii="Arial" w:hAnsi="Arial"/>
          <w:sz w:val="20"/>
          <w:szCs w:val="20"/>
        </w:rPr>
      </w:pPr>
      <w:r>
        <w:rPr>
          <w:sz w:val="20"/>
          <w:szCs w:val="20"/>
        </w:rPr>
        <w:t>Si, pendant l'étude du dossier par les candidats, la date limite fixée pour la remise des offres est reportée, la disposition précédente est applicable en fonction de cette nouvelle date.</w:t>
      </w:r>
    </w:p>
    <w:p>
      <w:pPr>
        <w:pStyle w:val="RedTxt"/>
        <w:keepLines/>
        <w:widowControl/>
        <w:jc w:val="both"/>
        <w:rPr>
          <w:rFonts w:ascii="Arial" w:hAnsi="Arial"/>
          <w:sz w:val="20"/>
          <w:szCs w:val="20"/>
        </w:rPr>
      </w:pPr>
      <w:r>
        <w:rPr>
          <w:sz w:val="20"/>
          <w:szCs w:val="20"/>
        </w:rPr>
      </w:r>
    </w:p>
    <w:p>
      <w:pPr>
        <w:pStyle w:val="RedTxt"/>
        <w:keepLines/>
        <w:widowControl/>
        <w:jc w:val="both"/>
        <w:rPr>
          <w:rFonts w:ascii="Arial" w:hAnsi="Arial"/>
          <w:sz w:val="20"/>
          <w:szCs w:val="20"/>
        </w:rPr>
      </w:pPr>
      <w:r>
        <w:rPr>
          <w:sz w:val="20"/>
          <w:szCs w:val="20"/>
        </w:rPr>
        <w:t xml:space="preserve">L’attention des candidats est attirée sur le fait que seuls ceux ayant téléchargés le dossier de consultation </w:t>
      </w:r>
      <w:r>
        <w:rPr>
          <w:b/>
          <w:sz w:val="20"/>
          <w:szCs w:val="20"/>
          <w:u w:val="single"/>
        </w:rPr>
        <w:t>en s’identifiant sur le profil d’acheteur</w:t>
      </w:r>
      <w:r>
        <w:rPr>
          <w:b/>
          <w:sz w:val="20"/>
          <w:szCs w:val="20"/>
        </w:rPr>
        <w:t xml:space="preserve"> </w:t>
      </w:r>
      <w:r>
        <w:rPr>
          <w:sz w:val="20"/>
          <w:szCs w:val="20"/>
        </w:rPr>
        <w:t>seront informés des modifications des pièces du dossier ou report de date, le cas échéant.</w:t>
      </w:r>
    </w:p>
    <w:p>
      <w:pPr>
        <w:pStyle w:val="RedTxt"/>
        <w:keepLines/>
        <w:widowControl/>
        <w:jc w:val="both"/>
        <w:rPr>
          <w:rFonts w:ascii="Arial" w:hAnsi="Arial"/>
          <w:sz w:val="20"/>
          <w:szCs w:val="20"/>
        </w:rPr>
      </w:pPr>
      <w:r>
        <w:rPr>
          <w:sz w:val="20"/>
          <w:szCs w:val="20"/>
        </w:rPr>
      </w:r>
    </w:p>
    <w:p>
      <w:pPr>
        <w:pStyle w:val="RedPara"/>
        <w:spacing w:before="120" w:after="120"/>
        <w:ind w:firstLine="709"/>
        <w:jc w:val="both"/>
        <w:rPr>
          <w:rFonts w:ascii="Arial" w:hAnsi="Arial"/>
          <w:sz w:val="20"/>
          <w:szCs w:val="20"/>
        </w:rPr>
      </w:pPr>
      <w:bookmarkStart w:id="18" w:name="_Toc171945463"/>
      <w:r>
        <w:rPr>
          <w:sz w:val="20"/>
          <w:szCs w:val="20"/>
        </w:rPr>
        <w:t>4-4-Interruption de la procédure</w:t>
      </w:r>
      <w:bookmarkEnd w:id="18"/>
      <w:r>
        <w:rPr>
          <w:sz w:val="20"/>
          <w:szCs w:val="20"/>
        </w:rPr>
        <w:t xml:space="preserve"> </w:t>
      </w:r>
    </w:p>
    <w:p>
      <w:pPr>
        <w:pStyle w:val="Normal"/>
        <w:jc w:val="both"/>
        <w:rPr>
          <w:rFonts w:ascii="Arial" w:hAnsi="Arial"/>
          <w:sz w:val="20"/>
          <w:szCs w:val="20"/>
        </w:rPr>
      </w:pPr>
      <w:r>
        <w:rPr>
          <w:rFonts w:cs="Arial" w:ascii="Arial" w:hAnsi="Arial"/>
          <w:sz w:val="20"/>
          <w:szCs w:val="20"/>
        </w:rPr>
        <w:t>A l’issue de la procédure de consultation, le Maître d’ouvrage se réserve le droit de ne pas donner suite à la consultation. Auquel cas, aucune indemnité ne sera due.</w:t>
      </w:r>
    </w:p>
    <w:p>
      <w:pPr>
        <w:pStyle w:val="Normal"/>
        <w:jc w:val="both"/>
        <w:rPr>
          <w:rFonts w:ascii="Arial" w:hAnsi="Arial" w:cs="Arial"/>
          <w:sz w:val="20"/>
          <w:szCs w:val="20"/>
        </w:rPr>
      </w:pPr>
      <w:r>
        <w:rPr>
          <w:rFonts w:cs="Arial" w:ascii="Arial" w:hAnsi="Arial"/>
          <w:sz w:val="20"/>
          <w:szCs w:val="20"/>
        </w:rPr>
      </w:r>
    </w:p>
    <w:p>
      <w:pPr>
        <w:pStyle w:val="RedTitre2"/>
        <w:shd w:val="clear" w:color="auto" w:fill="D9D9D9"/>
        <w:jc w:val="both"/>
        <w:rPr>
          <w:rFonts w:ascii="Arial" w:hAnsi="Arial"/>
          <w:sz w:val="20"/>
          <w:szCs w:val="20"/>
        </w:rPr>
      </w:pPr>
      <w:bookmarkStart w:id="19" w:name="_Toc72657382"/>
      <w:bookmarkStart w:id="20" w:name="_Toc171945464"/>
      <w:r>
        <w:rPr>
          <w:b w:val="false"/>
          <w:sz w:val="20"/>
          <w:szCs w:val="20"/>
        </w:rPr>
        <w:t xml:space="preserve">Article </w:t>
      </w:r>
      <w:r>
        <w:rPr>
          <w:sz w:val="20"/>
          <w:szCs w:val="20"/>
        </w:rPr>
        <w:t xml:space="preserve"> 5 - Présentation des offres</w:t>
      </w:r>
      <w:bookmarkEnd w:id="19"/>
      <w:bookmarkEnd w:id="20"/>
    </w:p>
    <w:p>
      <w:pPr>
        <w:pStyle w:val="Normal"/>
        <w:jc w:val="both"/>
        <w:rPr>
          <w:rFonts w:ascii="Arial" w:hAnsi="Arial" w:cs="Arial"/>
          <w:sz w:val="20"/>
          <w:szCs w:val="20"/>
        </w:rPr>
      </w:pPr>
      <w:r>
        <w:rPr>
          <w:rFonts w:cs="Arial" w:ascii="Arial" w:hAnsi="Arial"/>
          <w:sz w:val="20"/>
          <w:szCs w:val="20"/>
        </w:rPr>
      </w:r>
    </w:p>
    <w:p>
      <w:pPr>
        <w:pStyle w:val="Sous-titre"/>
        <w:rPr>
          <w:highlight w:val="none"/>
          <w:shd w:fill="auto" w:val="clear"/>
        </w:rPr>
      </w:pPr>
      <w:r>
        <w:rPr>
          <w:rFonts w:eastAsia="Times New Roman" w:cs="Arial" w:ascii="Arial" w:hAnsi="Arial"/>
          <w:b/>
          <w:bCs/>
          <w:color w:val="000000"/>
          <w:kern w:val="0"/>
          <w:sz w:val="20"/>
          <w:szCs w:val="20"/>
          <w:u w:val="none"/>
          <w:shd w:fill="auto" w:val="clear"/>
          <w:lang w:val="fr-FR" w:eastAsia="fr-FR" w:bidi="ar-SA"/>
        </w:rPr>
        <w:tab/>
      </w:r>
      <w:r>
        <w:rPr>
          <w:rFonts w:eastAsia="Times New Roman" w:cs="Arial" w:ascii="Arial" w:hAnsi="Arial"/>
          <w:b/>
          <w:bCs/>
          <w:color w:val="000000"/>
          <w:kern w:val="0"/>
          <w:sz w:val="20"/>
          <w:szCs w:val="20"/>
          <w:shd w:fill="auto" w:val="clear"/>
          <w:lang w:val="fr-FR" w:eastAsia="fr-FR" w:bidi="ar-SA"/>
        </w:rPr>
        <w:t>5-1-Contenu de l'offre :</w:t>
      </w:r>
    </w:p>
    <w:p>
      <w:pPr>
        <w:pStyle w:val="RedTxt"/>
        <w:jc w:val="both"/>
        <w:rPr>
          <w:highlight w:val="none"/>
          <w:shd w:fill="auto" w:val="clear"/>
        </w:rPr>
      </w:pPr>
      <w:r>
        <w:rPr>
          <w:sz w:val="20"/>
          <w:szCs w:val="20"/>
          <w:shd w:fill="auto" w:val="clear"/>
        </w:rPr>
        <w:t>- Projet d’exécution des travaux comprenant :</w:t>
      </w:r>
    </w:p>
    <w:p>
      <w:pPr>
        <w:pStyle w:val="RedTxt"/>
        <w:jc w:val="both"/>
        <w:rPr>
          <w:highlight w:val="none"/>
          <w:shd w:fill="auto" w:val="clear"/>
        </w:rPr>
      </w:pPr>
      <w:r>
        <w:rPr>
          <w:sz w:val="20"/>
          <w:szCs w:val="20"/>
          <w:shd w:fill="auto" w:val="clear"/>
        </w:rPr>
        <w:t>un plan, le détail du matériel utilisé et un calendrier des différentes phases</w:t>
      </w:r>
    </w:p>
    <w:p>
      <w:pPr>
        <w:pStyle w:val="RedTxt"/>
        <w:jc w:val="both"/>
        <w:rPr>
          <w:highlight w:val="none"/>
          <w:shd w:fill="auto" w:val="clear"/>
        </w:rPr>
      </w:pPr>
      <w:r>
        <w:rPr>
          <w:sz w:val="20"/>
          <w:szCs w:val="20"/>
          <w:shd w:fill="auto" w:val="clear"/>
        </w:rPr>
        <w:t>- Devis détaillé – Le devis devra intégrer une ligne budgétaire pour couvrir les éventuels imprévus.</w:t>
      </w:r>
    </w:p>
    <w:p>
      <w:pPr>
        <w:pStyle w:val="RedTxt"/>
        <w:jc w:val="both"/>
        <w:rPr>
          <w:highlight w:val="none"/>
          <w:shd w:fill="auto" w:val="clear"/>
        </w:rPr>
      </w:pPr>
      <w:r>
        <w:rPr>
          <w:b/>
          <w:bCs/>
          <w:sz w:val="20"/>
          <w:szCs w:val="20"/>
          <w:shd w:fill="auto" w:val="clear"/>
        </w:rPr>
        <w:t>Le maître d’ouvrage a informé les différents candidats retenus lors de la visite de site qu’aucun avenant au devis initial ne sera possible. Les travaux seront exclusivement financés par l’enveloppe déléguée sur le Fonds Vert</w:t>
      </w:r>
      <w:r>
        <w:rPr>
          <w:sz w:val="20"/>
          <w:szCs w:val="20"/>
          <w:shd w:fill="auto" w:val="clear"/>
        </w:rPr>
        <w:t>.</w:t>
      </w:r>
    </w:p>
    <w:p>
      <w:pPr>
        <w:pStyle w:val="RedTxt"/>
        <w:jc w:val="both"/>
        <w:rPr>
          <w:rFonts w:cs="Arial"/>
          <w:b/>
          <w:bCs/>
          <w:i w:val="false"/>
          <w:i w:val="false"/>
          <w:iCs/>
        </w:rPr>
      </w:pPr>
      <w:r>
        <w:rPr>
          <w:rFonts w:cs="Arial"/>
          <w:b/>
          <w:bCs/>
          <w:i w:val="false"/>
          <w:iCs/>
        </w:rPr>
      </w:r>
    </w:p>
    <w:p>
      <w:pPr>
        <w:pStyle w:val="RedPara"/>
        <w:spacing w:before="120" w:after="120"/>
        <w:ind w:firstLine="709"/>
        <w:jc w:val="both"/>
        <w:rPr>
          <w:rFonts w:ascii="Arial" w:hAnsi="Arial"/>
          <w:sz w:val="20"/>
          <w:szCs w:val="20"/>
        </w:rPr>
      </w:pPr>
      <w:bookmarkStart w:id="21" w:name="_Toc171945467"/>
      <w:r>
        <w:rPr>
          <w:sz w:val="20"/>
          <w:szCs w:val="20"/>
        </w:rPr>
        <w:t>5-2- Complément à apporter au programme</w:t>
      </w:r>
      <w:bookmarkEnd w:id="21"/>
    </w:p>
    <w:p>
      <w:pPr>
        <w:pStyle w:val="RedTxt"/>
        <w:jc w:val="both"/>
        <w:rPr>
          <w:rFonts w:ascii="Arial" w:hAnsi="Arial"/>
          <w:sz w:val="20"/>
          <w:szCs w:val="20"/>
        </w:rPr>
      </w:pPr>
      <w:r>
        <w:rPr>
          <w:sz w:val="20"/>
          <w:szCs w:val="20"/>
        </w:rPr>
        <w:t>Les candidats n'ont pas à apporter de complément au programme, sauf dispositions d’ordre public.</w:t>
      </w:r>
    </w:p>
    <w:p>
      <w:pPr>
        <w:pStyle w:val="RedTxt"/>
        <w:jc w:val="both"/>
        <w:rPr>
          <w:rFonts w:ascii="Arial" w:hAnsi="Arial"/>
          <w:sz w:val="20"/>
          <w:szCs w:val="20"/>
        </w:rPr>
      </w:pPr>
      <w:r>
        <w:rPr>
          <w:sz w:val="20"/>
          <w:szCs w:val="20"/>
        </w:rPr>
        <w:t xml:space="preserve">Dans ce cas, le candidat préviendra le Maître d’ouvrage. Ce dernier fera le nécessaire pour modifier les documents de la consultation et avertir l’ensemble des candidats. </w:t>
      </w:r>
    </w:p>
    <w:p>
      <w:pPr>
        <w:pStyle w:val="RedTxt"/>
        <w:jc w:val="both"/>
        <w:rPr>
          <w:rFonts w:ascii="Arial" w:hAnsi="Arial"/>
          <w:sz w:val="20"/>
          <w:szCs w:val="20"/>
        </w:rPr>
      </w:pPr>
      <w:r>
        <w:rPr>
          <w:sz w:val="20"/>
          <w:szCs w:val="20"/>
        </w:rPr>
      </w:r>
    </w:p>
    <w:p>
      <w:pPr>
        <w:pStyle w:val="RedPara"/>
        <w:spacing w:before="120" w:after="120"/>
        <w:ind w:firstLine="709"/>
        <w:jc w:val="both"/>
        <w:rPr>
          <w:rFonts w:ascii="Arial" w:hAnsi="Arial"/>
          <w:sz w:val="20"/>
          <w:szCs w:val="20"/>
        </w:rPr>
      </w:pPr>
      <w:bookmarkStart w:id="22" w:name="_Toc171945468"/>
      <w:r>
        <w:rPr>
          <w:sz w:val="20"/>
          <w:szCs w:val="20"/>
        </w:rPr>
        <w:t>5-3- Langue de rédaction des propositions</w:t>
      </w:r>
      <w:bookmarkEnd w:id="22"/>
    </w:p>
    <w:p>
      <w:pPr>
        <w:pStyle w:val="Normal"/>
        <w:jc w:val="both"/>
        <w:rPr>
          <w:rFonts w:ascii="Arial" w:hAnsi="Arial"/>
          <w:sz w:val="20"/>
          <w:szCs w:val="20"/>
        </w:rPr>
      </w:pPr>
      <w:r>
        <w:rPr>
          <w:rFonts w:cs="Arial" w:ascii="Arial" w:hAnsi="Arial"/>
          <w:sz w:val="20"/>
          <w:szCs w:val="20"/>
        </w:rPr>
        <w:t>Les propositions doivent être rédigées en langue française.</w:t>
      </w:r>
    </w:p>
    <w:p>
      <w:pPr>
        <w:pStyle w:val="Normal"/>
        <w:jc w:val="both"/>
        <w:rPr>
          <w:rFonts w:ascii="Arial" w:hAnsi="Arial" w:cs="Arial"/>
          <w:sz w:val="20"/>
          <w:szCs w:val="20"/>
        </w:rPr>
      </w:pPr>
      <w:r>
        <w:rPr>
          <w:rFonts w:cs="Arial" w:ascii="Arial" w:hAnsi="Arial"/>
          <w:sz w:val="20"/>
          <w:szCs w:val="20"/>
        </w:rPr>
      </w:r>
    </w:p>
    <w:p>
      <w:pPr>
        <w:pStyle w:val="RedPara"/>
        <w:spacing w:before="120" w:after="120"/>
        <w:ind w:firstLine="709"/>
        <w:jc w:val="both"/>
        <w:rPr>
          <w:rFonts w:ascii="Arial" w:hAnsi="Arial"/>
          <w:sz w:val="20"/>
          <w:szCs w:val="20"/>
        </w:rPr>
      </w:pPr>
      <w:bookmarkStart w:id="23" w:name="_Toc171945469"/>
      <w:r>
        <w:rPr>
          <w:sz w:val="20"/>
          <w:szCs w:val="20"/>
        </w:rPr>
        <w:t>5-4- Unité monétaire</w:t>
      </w:r>
      <w:bookmarkEnd w:id="23"/>
    </w:p>
    <w:p>
      <w:pPr>
        <w:pStyle w:val="Normal"/>
        <w:jc w:val="both"/>
        <w:rPr>
          <w:rFonts w:ascii="Arial" w:hAnsi="Arial"/>
          <w:sz w:val="20"/>
          <w:szCs w:val="20"/>
        </w:rPr>
      </w:pPr>
      <w:r>
        <w:rPr>
          <w:rFonts w:cs="Arial" w:ascii="Arial" w:hAnsi="Arial"/>
          <w:sz w:val="20"/>
          <w:szCs w:val="20"/>
        </w:rPr>
        <w:t>Le Maître d’ouvrage conclura le marché dans l'unité monétaire suivante : euro(s).</w:t>
      </w:r>
    </w:p>
    <w:p>
      <w:pPr>
        <w:pStyle w:val="Normal"/>
        <w:jc w:val="both"/>
        <w:rPr>
          <w:rFonts w:ascii="Arial" w:hAnsi="Arial" w:cs="Arial"/>
          <w:sz w:val="20"/>
          <w:szCs w:val="20"/>
        </w:rPr>
      </w:pPr>
      <w:r>
        <w:rPr>
          <w:rFonts w:cs="Arial" w:ascii="Arial" w:hAnsi="Arial"/>
          <w:sz w:val="20"/>
          <w:szCs w:val="20"/>
        </w:rPr>
      </w:r>
    </w:p>
    <w:p>
      <w:pPr>
        <w:pStyle w:val="RedPara"/>
        <w:spacing w:before="120" w:after="120"/>
        <w:ind w:firstLine="709"/>
        <w:jc w:val="both"/>
        <w:rPr>
          <w:rFonts w:ascii="Arial" w:hAnsi="Arial"/>
          <w:sz w:val="20"/>
          <w:szCs w:val="20"/>
        </w:rPr>
      </w:pPr>
      <w:bookmarkStart w:id="24" w:name="_Toc171945470"/>
      <w:r>
        <w:rPr>
          <w:sz w:val="20"/>
          <w:szCs w:val="20"/>
        </w:rPr>
        <w:t>5-5- Délai de validité des propositions</w:t>
      </w:r>
      <w:bookmarkEnd w:id="24"/>
    </w:p>
    <w:p>
      <w:pPr>
        <w:pStyle w:val="Normal"/>
        <w:jc w:val="both"/>
        <w:rPr>
          <w:rFonts w:ascii="Arial" w:hAnsi="Arial"/>
          <w:sz w:val="20"/>
          <w:szCs w:val="20"/>
        </w:rPr>
      </w:pPr>
      <w:r>
        <w:rPr>
          <w:rFonts w:cs="Arial" w:ascii="Arial" w:hAnsi="Arial"/>
          <w:sz w:val="20"/>
          <w:szCs w:val="20"/>
        </w:rPr>
        <w:t>Le délai de validité des offres est fixé à </w:t>
      </w:r>
      <w:r>
        <w:rPr>
          <w:rFonts w:cs="Arial" w:ascii="Arial" w:hAnsi="Arial"/>
          <w:b/>
          <w:color w:val="00B050"/>
          <w:sz w:val="20"/>
          <w:szCs w:val="20"/>
        </w:rPr>
        <w:t>:</w:t>
      </w:r>
    </w:p>
    <w:p>
      <w:pPr>
        <w:pStyle w:val="RedTxt"/>
        <w:jc w:val="both"/>
        <w:rPr>
          <w:rFonts w:ascii="Arial" w:hAnsi="Arial"/>
          <w:b/>
          <w:bCs/>
          <w:color w:val="FF0000"/>
          <w:sz w:val="20"/>
          <w:szCs w:val="20"/>
        </w:rPr>
      </w:pPr>
      <w:r>
        <w:rPr>
          <w:b/>
          <w:bCs/>
          <w:color w:val="FF0000"/>
          <w:sz w:val="20"/>
          <w:szCs w:val="20"/>
        </w:rPr>
      </w:r>
    </w:p>
    <w:p>
      <w:pPr>
        <w:pStyle w:val="RedTxt"/>
        <w:ind w:firstLine="709"/>
        <w:jc w:val="both"/>
        <w:rPr>
          <w:rFonts w:ascii="Arial" w:hAnsi="Arial"/>
          <w:sz w:val="20"/>
          <w:szCs w:val="20"/>
        </w:rPr>
      </w:pPr>
      <w:r>
        <w:fldChar w:fldCharType="begin">
          <w:ffData>
            <w:name w:val=""/>
            <w:enabled/>
            <w:calcOnExit w:val="0"/>
            <w:checkBox>
              <w:sizeAuto/>
              <w:checked/>
            </w:checkBox>
          </w:ffData>
        </w:fldChar>
      </w:r>
      <w:r>
        <w:rPr>
          <w:sz w:val="20"/>
          <w:szCs w:val="20"/>
        </w:rPr>
        <w:instrText xml:space="preserve"> FORMCHECKBOX </w:instrText>
      </w:r>
      <w:r>
        <w:rPr>
          <w:sz w:val="20"/>
          <w:szCs w:val="20"/>
        </w:rPr>
        <w:fldChar w:fldCharType="separate"/>
      </w:r>
      <w:bookmarkStart w:id="25" w:name="Bookmark"/>
      <w:bookmarkStart w:id="26" w:name="Bookmark"/>
      <w:bookmarkEnd w:id="26"/>
      <w:r>
        <w:rPr>
          <w:sz w:val="20"/>
          <w:szCs w:val="20"/>
        </w:rPr>
      </w:r>
      <w:r>
        <w:rPr>
          <w:sz w:val="20"/>
          <w:szCs w:val="20"/>
        </w:rPr>
        <w:fldChar w:fldCharType="end"/>
      </w:r>
      <w:bookmarkStart w:id="27" w:name="Bookmark_Copie_1_Copie_1"/>
      <w:bookmarkStart w:id="28" w:name="Bookmark_Copie_1_Copie_1_Copie_1"/>
      <w:bookmarkStart w:id="29" w:name="Bookmark_Copie_1_Copie_1_Copie_1_Copie_1"/>
      <w:bookmarkStart w:id="30" w:name="Bookmark_Copie_1"/>
      <w:bookmarkStart w:id="31" w:name="CaseACocher109"/>
      <w:bookmarkStart w:id="32" w:name="Bookmark_Copie_1_Copie_1_Copie_1_Copie_1"/>
      <w:bookmarkStart w:id="33" w:name="Bookmark_Copie_1_Copie_1_Copie_1"/>
      <w:bookmarkStart w:id="34" w:name="Bookmark_Copie_1_Copie_1"/>
      <w:bookmarkStart w:id="35" w:name="Bookmark_Copie_1"/>
      <w:bookmarkEnd w:id="27"/>
      <w:bookmarkEnd w:id="28"/>
      <w:bookmarkEnd w:id="29"/>
      <w:bookmarkEnd w:id="30"/>
      <w:bookmarkEnd w:id="31"/>
      <w:bookmarkEnd w:id="32"/>
      <w:bookmarkEnd w:id="33"/>
      <w:bookmarkEnd w:id="34"/>
      <w:bookmarkEnd w:id="35"/>
      <w:r>
        <w:rPr>
          <w:b/>
          <w:bCs/>
          <w:sz w:val="20"/>
          <w:szCs w:val="20"/>
        </w:rPr>
        <w:t xml:space="preserve"> 90 jours</w:t>
      </w:r>
      <w:r>
        <w:rPr>
          <w:sz w:val="20"/>
          <w:szCs w:val="20"/>
        </w:rPr>
        <w:t xml:space="preserve"> </w:t>
      </w:r>
      <w:r>
        <w:rPr>
          <w:rFonts w:cs="Arial"/>
          <w:sz w:val="20"/>
          <w:szCs w:val="20"/>
        </w:rPr>
        <w:t>à compter de la date limite de remise des propositions.</w:t>
      </w:r>
    </w:p>
    <w:p>
      <w:pPr>
        <w:pStyle w:val="Normal"/>
        <w:jc w:val="both"/>
        <w:rPr>
          <w:rFonts w:ascii="Arial" w:hAnsi="Arial" w:cs="Arial"/>
          <w:b/>
          <w:bCs/>
          <w:sz w:val="20"/>
          <w:szCs w:val="20"/>
        </w:rPr>
      </w:pPr>
      <w:r>
        <w:rPr>
          <w:rFonts w:cs="Arial" w:ascii="Arial" w:hAnsi="Arial"/>
          <w:b/>
          <w:bCs/>
          <w:sz w:val="20"/>
          <w:szCs w:val="20"/>
        </w:rPr>
      </w:r>
    </w:p>
    <w:p>
      <w:pPr>
        <w:pStyle w:val="RedPara"/>
        <w:spacing w:before="120" w:after="120"/>
        <w:ind w:firstLine="709"/>
        <w:jc w:val="both"/>
        <w:rPr>
          <w:rFonts w:ascii="Arial" w:hAnsi="Arial"/>
          <w:sz w:val="20"/>
          <w:szCs w:val="20"/>
        </w:rPr>
      </w:pPr>
      <w:bookmarkStart w:id="36" w:name="_Toc171945471"/>
      <w:r>
        <w:rPr>
          <w:sz w:val="20"/>
          <w:szCs w:val="20"/>
        </w:rPr>
        <w:t>5-7- Modalités de remise des plis</w:t>
      </w:r>
      <w:bookmarkEnd w:id="36"/>
    </w:p>
    <w:p>
      <w:pPr>
        <w:pStyle w:val="Normal"/>
        <w:jc w:val="both"/>
        <w:rPr>
          <w:rFonts w:ascii="Arial" w:hAnsi="Arial"/>
          <w:sz w:val="20"/>
          <w:szCs w:val="20"/>
        </w:rPr>
      </w:pPr>
      <w:r>
        <w:rPr>
          <w:rFonts w:cs="Arial" w:ascii="Arial" w:hAnsi="Arial"/>
          <w:b/>
          <w:i/>
          <w:color w:val="44546A" w:themeColor="text2"/>
          <w:sz w:val="20"/>
          <w:szCs w:val="20"/>
        </w:rPr>
        <w:t xml:space="preserve"> </w:t>
      </w:r>
    </w:p>
    <w:p>
      <w:pPr>
        <w:pStyle w:val="RedTxt"/>
        <w:spacing w:before="0" w:after="120"/>
        <w:jc w:val="both"/>
        <w:rPr>
          <w:rFonts w:ascii="Arial" w:hAnsi="Arial"/>
          <w:sz w:val="20"/>
          <w:szCs w:val="20"/>
        </w:rPr>
      </w:pPr>
      <w:r>
        <w:rPr>
          <w:b/>
          <w:bCs/>
          <w:sz w:val="20"/>
          <w:szCs w:val="20"/>
          <w:u w:val="single"/>
        </w:rPr>
        <w:t>Remise des plis par voie électronique :</w:t>
      </w:r>
    </w:p>
    <w:p>
      <w:pPr>
        <w:pStyle w:val="RedTxt"/>
        <w:jc w:val="both"/>
        <w:rPr>
          <w:rFonts w:ascii="Arial" w:hAnsi="Arial"/>
          <w:sz w:val="20"/>
          <w:szCs w:val="20"/>
        </w:rPr>
      </w:pPr>
      <w:r>
        <w:rPr>
          <w:sz w:val="20"/>
          <w:szCs w:val="20"/>
        </w:rPr>
        <w:t>Conformément aux dispositions de l'article R2132-7 du Code de la Commande Publique, la transmission des plis doit s’effectuer par voie électronique sur la plate-forme d'administration électronique PLACE (https://www.marches-publics.gouv.fr/.) et dans les conditions techniques et procédurales figurant ci-dessous.</w:t>
      </w:r>
    </w:p>
    <w:p>
      <w:pPr>
        <w:pStyle w:val="RedTxt"/>
        <w:jc w:val="both"/>
        <w:rPr>
          <w:rFonts w:ascii="Arial" w:hAnsi="Arial"/>
          <w:sz w:val="20"/>
          <w:szCs w:val="20"/>
          <w:highlight w:val="none"/>
          <w:shd w:fill="FFFF00" w:val="clear"/>
        </w:rPr>
      </w:pPr>
      <w:r>
        <w:rPr>
          <w:sz w:val="20"/>
          <w:szCs w:val="20"/>
          <w:shd w:fill="FFFF00" w:val="clear"/>
        </w:rPr>
      </w:r>
    </w:p>
    <w:p>
      <w:pPr>
        <w:pStyle w:val="RedTxt"/>
        <w:keepLines/>
        <w:jc w:val="both"/>
        <w:rPr>
          <w:highlight w:val="none"/>
          <w:shd w:fill="auto" w:val="clear"/>
        </w:rPr>
      </w:pPr>
      <w:r>
        <w:rPr>
          <w:b/>
          <w:color w:val="000000"/>
          <w:sz w:val="20"/>
          <w:szCs w:val="20"/>
          <w:shd w:fill="auto" w:val="clear"/>
        </w:rPr>
        <w:t>La date butoir du dépôt des plis est fixée au 18/11/2024 à 23h.</w:t>
      </w:r>
    </w:p>
    <w:p>
      <w:pPr>
        <w:pStyle w:val="RedTxt"/>
        <w:keepLines/>
        <w:jc w:val="both"/>
        <w:rPr>
          <w:rFonts w:ascii="Arial" w:hAnsi="Arial"/>
          <w:b/>
          <w:sz w:val="20"/>
          <w:szCs w:val="20"/>
        </w:rPr>
      </w:pPr>
      <w:r>
        <w:rPr>
          <w:b/>
          <w:sz w:val="20"/>
          <w:szCs w:val="20"/>
        </w:rPr>
      </w:r>
    </w:p>
    <w:p>
      <w:pPr>
        <w:pStyle w:val="RedTxt"/>
        <w:keepLines/>
        <w:jc w:val="both"/>
        <w:rPr>
          <w:rFonts w:ascii="Arial" w:hAnsi="Arial"/>
          <w:sz w:val="20"/>
          <w:szCs w:val="20"/>
        </w:rPr>
      </w:pPr>
      <w:r>
        <w:rPr>
          <w:sz w:val="20"/>
          <w:szCs w:val="20"/>
        </w:rPr>
        <w:t>Les documents mis en ligne devront être soit au format " PDF ", soit aux formats Word 2010, Excel 2010, PowerPoint 2010 ou Project 2010 ou versions antérieures.</w:t>
      </w:r>
    </w:p>
    <w:p>
      <w:pPr>
        <w:pStyle w:val="Normal2"/>
        <w:tabs>
          <w:tab w:val="clear" w:pos="567"/>
          <w:tab w:val="clear" w:pos="851"/>
          <w:tab w:val="clear" w:pos="1134"/>
        </w:tabs>
        <w:ind w:left="0" w:hanging="0"/>
        <w:rPr>
          <w:rFonts w:ascii="Arial" w:hAnsi="Arial" w:cs="Arial"/>
          <w:sz w:val="20"/>
          <w:szCs w:val="20"/>
        </w:rPr>
      </w:pPr>
      <w:r>
        <w:rPr>
          <w:rFonts w:cs="Arial" w:ascii="Arial" w:hAnsi="Arial"/>
          <w:sz w:val="20"/>
          <w:szCs w:val="20"/>
        </w:rPr>
      </w:r>
    </w:p>
    <w:p>
      <w:pPr>
        <w:pStyle w:val="RedTxt"/>
        <w:keepLines/>
        <w:jc w:val="both"/>
        <w:rPr>
          <w:rFonts w:ascii="Arial" w:hAnsi="Arial"/>
          <w:sz w:val="20"/>
          <w:szCs w:val="20"/>
        </w:rPr>
      </w:pPr>
      <w:r>
        <w:rPr>
          <w:sz w:val="20"/>
          <w:szCs w:val="20"/>
        </w:rPr>
        <w:t>La transmission doit pouvoir faire l'objet d'une date certaine de réception et d'un accusé de réception électronique, tout pli transmis au-delà de la date et de l'heure limite de dépôt sera considéré comme hors délais.</w:t>
      </w:r>
    </w:p>
    <w:p>
      <w:pPr>
        <w:pStyle w:val="RedTxt"/>
        <w:keepLines/>
        <w:jc w:val="both"/>
        <w:rPr>
          <w:rFonts w:ascii="Arial" w:hAnsi="Arial"/>
          <w:sz w:val="20"/>
          <w:szCs w:val="20"/>
        </w:rPr>
      </w:pPr>
      <w:r>
        <w:rPr>
          <w:sz w:val="20"/>
          <w:szCs w:val="20"/>
        </w:rPr>
      </w:r>
    </w:p>
    <w:p>
      <w:pPr>
        <w:pStyle w:val="RedTxt"/>
        <w:keepLines/>
        <w:jc w:val="both"/>
        <w:rPr>
          <w:rFonts w:ascii="Arial" w:hAnsi="Arial"/>
          <w:sz w:val="20"/>
          <w:szCs w:val="20"/>
        </w:rPr>
      </w:pPr>
      <w:r>
        <w:rPr>
          <w:sz w:val="20"/>
          <w:szCs w:val="20"/>
        </w:rPr>
        <w:t xml:space="preserve">Les plis transmis par voie électronique sont horodatés. </w:t>
      </w:r>
    </w:p>
    <w:p>
      <w:pPr>
        <w:pStyle w:val="RedTxt"/>
        <w:keepLines/>
        <w:jc w:val="both"/>
        <w:rPr>
          <w:rFonts w:ascii="Arial" w:hAnsi="Arial"/>
          <w:sz w:val="20"/>
          <w:szCs w:val="20"/>
        </w:rPr>
      </w:pPr>
      <w:r>
        <w:rPr>
          <w:sz w:val="20"/>
          <w:szCs w:val="20"/>
        </w:rPr>
      </w:r>
    </w:p>
    <w:p>
      <w:pPr>
        <w:pStyle w:val="RedTxt"/>
        <w:keepLines/>
        <w:widowControl/>
        <w:jc w:val="both"/>
        <w:rPr>
          <w:rFonts w:ascii="Arial" w:hAnsi="Arial"/>
          <w:sz w:val="20"/>
          <w:szCs w:val="20"/>
        </w:rPr>
      </w:pPr>
      <w:r>
        <w:rPr>
          <w:bCs/>
          <w:sz w:val="20"/>
          <w:szCs w:val="20"/>
        </w:rPr>
        <w:t xml:space="preserve">Afin de contrôler le bon déroulement de la procédure, il est conseillé aux candidats de vérifier, sur l’accusé de dépôt, la taille des fichiers transmis. </w:t>
      </w:r>
    </w:p>
    <w:p>
      <w:pPr>
        <w:pStyle w:val="RedTxt"/>
        <w:keepLines/>
        <w:widowControl/>
        <w:jc w:val="both"/>
        <w:rPr>
          <w:rFonts w:ascii="Arial" w:hAnsi="Arial"/>
          <w:sz w:val="20"/>
          <w:szCs w:val="20"/>
        </w:rPr>
      </w:pPr>
      <w:r>
        <w:rPr>
          <w:b/>
          <w:bCs/>
          <w:sz w:val="20"/>
          <w:szCs w:val="20"/>
          <w:u w:val="single"/>
        </w:rPr>
        <w:t>Si le candidat dépose plusieurs plis, seul le dernier dépôt sera pris en compte</w:t>
      </w:r>
      <w:r>
        <w:rPr>
          <w:b/>
          <w:bCs/>
          <w:sz w:val="20"/>
          <w:szCs w:val="20"/>
        </w:rPr>
        <w:t>.</w:t>
      </w:r>
    </w:p>
    <w:p>
      <w:pPr>
        <w:pStyle w:val="RedTxt"/>
        <w:keepLines/>
        <w:jc w:val="both"/>
        <w:rPr>
          <w:rFonts w:ascii="Arial" w:hAnsi="Arial"/>
          <w:b/>
          <w:color w:val="FF0000"/>
          <w:sz w:val="20"/>
          <w:szCs w:val="20"/>
          <w:u w:val="single"/>
        </w:rPr>
      </w:pPr>
      <w:r>
        <w:rPr>
          <w:b/>
          <w:color w:val="FF0000"/>
          <w:sz w:val="20"/>
          <w:szCs w:val="20"/>
          <w:u w:val="single"/>
        </w:rPr>
      </w:r>
    </w:p>
    <w:p>
      <w:pPr>
        <w:pStyle w:val="RedTxt"/>
        <w:keepLines/>
        <w:jc w:val="both"/>
        <w:rPr>
          <w:rFonts w:ascii="Arial" w:hAnsi="Arial"/>
          <w:sz w:val="20"/>
          <w:szCs w:val="20"/>
        </w:rPr>
      </w:pPr>
      <w:r>
        <w:rPr>
          <w:b/>
          <w:sz w:val="20"/>
          <w:szCs w:val="20"/>
          <w:u w:val="single"/>
        </w:rPr>
        <w:t>La signature des documents relatifs à l’offre n’est pas exigée par le Maître d’ouvrage</w:t>
      </w:r>
      <w:r>
        <w:rPr>
          <w:b/>
          <w:sz w:val="20"/>
          <w:szCs w:val="20"/>
        </w:rPr>
        <w:t xml:space="preserve"> (seul l’attributaire devra signer les pièces en fin de procédure). </w:t>
      </w:r>
    </w:p>
    <w:p>
      <w:pPr>
        <w:pStyle w:val="RedTxt"/>
        <w:keepLines/>
        <w:jc w:val="both"/>
        <w:rPr>
          <w:rFonts w:ascii="Arial" w:hAnsi="Arial"/>
          <w:sz w:val="20"/>
          <w:szCs w:val="20"/>
        </w:rPr>
      </w:pPr>
      <w:r>
        <w:rPr>
          <w:sz w:val="20"/>
          <w:szCs w:val="20"/>
        </w:rPr>
        <w:t>Néanmoins, en répondant à la consultation, le candidat accepte les conditions de celle-ci. Même non signée, sa candidature l’engage juridiquement.</w:t>
      </w:r>
    </w:p>
    <w:p>
      <w:pPr>
        <w:pStyle w:val="Normal"/>
        <w:keepLines/>
        <w:ind w:left="720" w:hanging="0"/>
        <w:jc w:val="both"/>
        <w:rPr>
          <w:rFonts w:ascii="Arial" w:hAnsi="Arial" w:cs="Arial"/>
          <w:i/>
          <w:i/>
          <w:color w:val="00B050"/>
          <w:sz w:val="20"/>
          <w:szCs w:val="20"/>
          <w:highlight w:val="cyan"/>
        </w:rPr>
      </w:pPr>
      <w:r>
        <w:rPr>
          <w:rFonts w:cs="Arial" w:ascii="Arial" w:hAnsi="Arial"/>
          <w:i/>
          <w:color w:val="00B050"/>
          <w:sz w:val="20"/>
          <w:szCs w:val="20"/>
          <w:highlight w:val="cyan"/>
        </w:rPr>
      </w:r>
    </w:p>
    <w:p>
      <w:pPr>
        <w:pStyle w:val="Normal"/>
        <w:widowControl w:val="false"/>
        <w:jc w:val="both"/>
        <w:rPr>
          <w:rFonts w:ascii="Arial" w:hAnsi="Arial"/>
          <w:sz w:val="20"/>
          <w:szCs w:val="20"/>
        </w:rPr>
      </w:pPr>
      <w:r>
        <w:rPr>
          <w:rFonts w:cs="Arial" w:ascii="Arial" w:hAnsi="Arial"/>
          <w:sz w:val="20"/>
          <w:szCs w:val="20"/>
        </w:rPr>
        <w:t>En fin de procédure, le Maître d’ouvrage transformera l’offre électronique du soumissionnaire retenu, en offre papier ce qui donnera lieu à la signature manuscrite du marché par les parties.</w:t>
      </w:r>
    </w:p>
    <w:p>
      <w:pPr>
        <w:pStyle w:val="RedTxt"/>
        <w:keepLines/>
        <w:jc w:val="both"/>
        <w:rPr>
          <w:rFonts w:ascii="Arial" w:hAnsi="Arial"/>
          <w:sz w:val="20"/>
          <w:szCs w:val="20"/>
        </w:rPr>
      </w:pPr>
      <w:r>
        <w:rPr>
          <w:sz w:val="20"/>
          <w:szCs w:val="20"/>
        </w:rPr>
      </w:r>
    </w:p>
    <w:p>
      <w:pPr>
        <w:pStyle w:val="RedTxt"/>
        <w:jc w:val="both"/>
        <w:rPr>
          <w:rFonts w:ascii="Arial" w:hAnsi="Arial"/>
          <w:sz w:val="20"/>
          <w:szCs w:val="20"/>
        </w:rPr>
      </w:pPr>
      <w:r>
        <w:rPr>
          <w:b/>
          <w:sz w:val="20"/>
          <w:szCs w:val="20"/>
          <w:u w:val="single"/>
        </w:rPr>
        <w:t>Copie de sauvegarde :</w:t>
      </w:r>
    </w:p>
    <w:p>
      <w:pPr>
        <w:pStyle w:val="RedTxt"/>
        <w:keepLines/>
        <w:jc w:val="both"/>
        <w:rPr>
          <w:rFonts w:ascii="Arial" w:hAnsi="Arial"/>
          <w:b/>
          <w:sz w:val="20"/>
          <w:szCs w:val="20"/>
          <w:u w:val="single"/>
        </w:rPr>
      </w:pPr>
      <w:r>
        <w:rPr>
          <w:b/>
          <w:sz w:val="20"/>
          <w:szCs w:val="20"/>
          <w:u w:val="single"/>
        </w:rPr>
      </w:r>
    </w:p>
    <w:p>
      <w:pPr>
        <w:pStyle w:val="RedTxt"/>
        <w:keepLines/>
        <w:jc w:val="both"/>
        <w:rPr>
          <w:rFonts w:ascii="Arial" w:hAnsi="Arial"/>
          <w:sz w:val="20"/>
          <w:szCs w:val="20"/>
        </w:rPr>
      </w:pPr>
      <w:r>
        <w:rPr>
          <w:sz w:val="20"/>
          <w:szCs w:val="20"/>
        </w:rPr>
        <w:t xml:space="preserve">L’article R2132-11 </w:t>
      </w:r>
      <w:r>
        <w:rPr>
          <w:bCs/>
          <w:sz w:val="20"/>
          <w:szCs w:val="20"/>
        </w:rPr>
        <w:t xml:space="preserve">du </w:t>
      </w:r>
      <w:r>
        <w:rPr>
          <w:sz w:val="20"/>
          <w:szCs w:val="20"/>
        </w:rPr>
        <w:t>Code de la Commande Publique permet aux candidats qui le souhaitent, d’effectuer à la fois une transmission électronique et, titre de copie de sauvegarde, une transmission sur support physique électronique (clé USB</w:t>
      </w:r>
      <w:r>
        <w:rPr>
          <w:b/>
          <w:sz w:val="20"/>
          <w:szCs w:val="20"/>
        </w:rPr>
        <w:t>)</w:t>
      </w:r>
      <w:r>
        <w:rPr>
          <w:sz w:val="20"/>
          <w:szCs w:val="20"/>
        </w:rPr>
        <w:t xml:space="preserve"> ou sur support papier.</w:t>
      </w:r>
    </w:p>
    <w:p>
      <w:pPr>
        <w:pStyle w:val="RedTxt"/>
        <w:keepLines/>
        <w:jc w:val="both"/>
        <w:rPr>
          <w:rFonts w:ascii="Arial" w:hAnsi="Arial"/>
          <w:sz w:val="20"/>
          <w:szCs w:val="20"/>
        </w:rPr>
      </w:pPr>
      <w:r>
        <w:rPr>
          <w:sz w:val="20"/>
          <w:szCs w:val="20"/>
        </w:rPr>
      </w:r>
    </w:p>
    <w:p>
      <w:pPr>
        <w:pStyle w:val="Normal"/>
        <w:jc w:val="both"/>
        <w:rPr>
          <w:rFonts w:ascii="Arial" w:hAnsi="Arial"/>
          <w:sz w:val="20"/>
          <w:szCs w:val="20"/>
        </w:rPr>
      </w:pPr>
      <w:r>
        <w:rPr>
          <w:rFonts w:cs="Arial" w:ascii="Arial" w:hAnsi="Arial"/>
          <w:sz w:val="20"/>
          <w:szCs w:val="20"/>
        </w:rPr>
        <w:t>Cette copie de sauvegarde doit être placée dans un pli scellé comportant la mention lisible : « Copie de sauvegarde » – avec l’objet du marché public, et l’identification du prestataire et NE PAS OUVRIR.</w:t>
      </w:r>
    </w:p>
    <w:p>
      <w:pPr>
        <w:pStyle w:val="Normal"/>
        <w:jc w:val="both"/>
        <w:rPr>
          <w:rFonts w:ascii="Arial" w:hAnsi="Arial" w:cs="Arial"/>
          <w:sz w:val="20"/>
          <w:szCs w:val="20"/>
        </w:rPr>
      </w:pPr>
      <w:r>
        <w:rPr>
          <w:rFonts w:cs="Arial" w:ascii="Arial" w:hAnsi="Arial"/>
          <w:sz w:val="20"/>
          <w:szCs w:val="20"/>
        </w:rPr>
      </w:r>
    </w:p>
    <w:p>
      <w:pPr>
        <w:pStyle w:val="Default"/>
        <w:jc w:val="both"/>
        <w:rPr>
          <w:rFonts w:ascii="Arial" w:hAnsi="Arial"/>
          <w:sz w:val="20"/>
          <w:szCs w:val="20"/>
        </w:rPr>
      </w:pPr>
      <w:r>
        <w:rPr>
          <w:sz w:val="20"/>
          <w:szCs w:val="20"/>
        </w:rPr>
        <w:t>Cette copie de sauvegarde devra parvenir dans les délais impartis pour la remise des plis (avant la date et l’heure limite de dépôt indiquée en 1</w:t>
      </w:r>
      <w:r>
        <w:rPr>
          <w:sz w:val="20"/>
          <w:szCs w:val="20"/>
          <w:vertAlign w:val="superscript"/>
        </w:rPr>
        <w:t>ère</w:t>
      </w:r>
      <w:r>
        <w:rPr>
          <w:sz w:val="20"/>
          <w:szCs w:val="20"/>
        </w:rPr>
        <w:t xml:space="preserve"> page) et sera transmise par voie postale au moyen d’un pli recommandé avec avis de réception à l'adresse suivante : </w:t>
      </w:r>
    </w:p>
    <w:p>
      <w:pPr>
        <w:pStyle w:val="Default"/>
        <w:rPr>
          <w:rFonts w:ascii="Arial" w:hAnsi="Arial"/>
          <w:sz w:val="20"/>
          <w:szCs w:val="20"/>
        </w:rPr>
      </w:pPr>
      <w:r>
        <w:rPr>
          <w:sz w:val="20"/>
          <w:szCs w:val="20"/>
        </w:rPr>
      </w:r>
    </w:p>
    <w:p>
      <w:pPr>
        <w:pStyle w:val="RedTxt"/>
        <w:keepLines/>
        <w:jc w:val="left"/>
        <w:rPr>
          <w:rFonts w:ascii="Arial" w:hAnsi="Arial"/>
          <w:sz w:val="20"/>
          <w:szCs w:val="20"/>
        </w:rPr>
      </w:pPr>
      <w:r>
        <w:rPr>
          <w:b/>
          <w:color w:val="000000"/>
          <w:sz w:val="20"/>
          <w:szCs w:val="20"/>
        </w:rPr>
        <w:t>SECRÉTARIAT GÉNÉRAL COMMUN DÉPARTEMENTAL</w:t>
        <w:br/>
        <w:t>Service interministériel des achats, de la logistique et de l’immobilier</w:t>
      </w:r>
    </w:p>
    <w:p>
      <w:pPr>
        <w:pStyle w:val="RedTxt"/>
        <w:keepLines/>
        <w:jc w:val="both"/>
        <w:rPr>
          <w:rFonts w:ascii="Arial" w:hAnsi="Arial"/>
          <w:sz w:val="20"/>
          <w:szCs w:val="20"/>
        </w:rPr>
      </w:pPr>
      <w:r>
        <w:rPr>
          <w:b/>
          <w:color w:val="000000"/>
          <w:sz w:val="20"/>
          <w:szCs w:val="20"/>
        </w:rPr>
        <w:t>Cité administrative – Bâtiment C</w:t>
      </w:r>
    </w:p>
    <w:p>
      <w:pPr>
        <w:pStyle w:val="RedTxt"/>
        <w:keepLines/>
        <w:jc w:val="both"/>
        <w:rPr>
          <w:rFonts w:ascii="Arial" w:hAnsi="Arial"/>
          <w:sz w:val="20"/>
          <w:szCs w:val="20"/>
        </w:rPr>
      </w:pPr>
      <w:r>
        <w:rPr>
          <w:b/>
          <w:color w:val="000000"/>
          <w:sz w:val="20"/>
          <w:szCs w:val="20"/>
        </w:rPr>
        <w:t>3 Rue Fleischhauer</w:t>
      </w:r>
    </w:p>
    <w:p>
      <w:pPr>
        <w:pStyle w:val="RedTxt"/>
        <w:keepLines/>
        <w:widowControl/>
        <w:jc w:val="both"/>
        <w:rPr>
          <w:rFonts w:ascii="Arial" w:hAnsi="Arial"/>
          <w:sz w:val="20"/>
          <w:szCs w:val="20"/>
        </w:rPr>
      </w:pPr>
      <w:r>
        <w:rPr>
          <w:b/>
          <w:color w:val="000000"/>
          <w:sz w:val="20"/>
          <w:szCs w:val="20"/>
        </w:rPr>
        <w:t>68000 COLMAR</w:t>
      </w:r>
    </w:p>
    <w:p>
      <w:pPr>
        <w:pStyle w:val="RedTxt"/>
        <w:widowControl/>
        <w:jc w:val="both"/>
        <w:rPr>
          <w:rFonts w:ascii="Arial" w:hAnsi="Arial"/>
          <w:b/>
          <w:color w:val="E36C0A"/>
          <w:sz w:val="20"/>
          <w:szCs w:val="20"/>
        </w:rPr>
      </w:pPr>
      <w:r>
        <w:rPr>
          <w:b/>
          <w:color w:val="E36C0A"/>
          <w:sz w:val="20"/>
          <w:szCs w:val="20"/>
        </w:rPr>
      </w:r>
    </w:p>
    <w:p>
      <w:pPr>
        <w:pStyle w:val="RedTxt"/>
        <w:keepLines/>
        <w:widowControl/>
        <w:jc w:val="both"/>
        <w:rPr>
          <w:rFonts w:ascii="Arial" w:hAnsi="Arial"/>
          <w:sz w:val="20"/>
          <w:szCs w:val="20"/>
        </w:rPr>
      </w:pPr>
      <w:r>
        <w:rPr>
          <w:sz w:val="20"/>
          <w:szCs w:val="20"/>
        </w:rPr>
        <w:t>La copie de sauvegarde ne sera ouverte que dans les cas précisés à l’article 2 de l’arrêté du 22 mars 2019 fixant les modalités de mise à disposition des documents de la consultation et de la copie de sauvegarde.</w:t>
      </w:r>
    </w:p>
    <w:p>
      <w:pPr>
        <w:pStyle w:val="Normal"/>
        <w:jc w:val="both"/>
        <w:rPr>
          <w:rFonts w:ascii="Arial" w:hAnsi="Arial"/>
          <w:sz w:val="20"/>
          <w:szCs w:val="20"/>
        </w:rPr>
      </w:pPr>
      <w:r>
        <w:rPr>
          <w:rFonts w:cs="Arial" w:ascii="Arial" w:hAnsi="Arial"/>
          <w:sz w:val="20"/>
          <w:szCs w:val="20"/>
        </w:rPr>
        <w:t xml:space="preserve">Elle ne sera ouverte que dans les 2 cas suivants, sous réserve qu’elle soit parvenue dans les délais de dépôt : </w:t>
      </w:r>
    </w:p>
    <w:p>
      <w:pPr>
        <w:pStyle w:val="Normal"/>
        <w:numPr>
          <w:ilvl w:val="0"/>
          <w:numId w:val="2"/>
        </w:numPr>
        <w:jc w:val="both"/>
        <w:rPr>
          <w:rFonts w:ascii="Arial" w:hAnsi="Arial"/>
          <w:sz w:val="20"/>
          <w:szCs w:val="20"/>
        </w:rPr>
      </w:pPr>
      <w:r>
        <w:rPr>
          <w:rFonts w:cs="Arial" w:ascii="Arial" w:hAnsi="Arial"/>
          <w:sz w:val="20"/>
          <w:szCs w:val="20"/>
        </w:rPr>
        <w:t>lorsqu’un programme informatique malveillant est détecté ;</w:t>
      </w:r>
    </w:p>
    <w:p>
      <w:pPr>
        <w:pStyle w:val="Normal"/>
        <w:numPr>
          <w:ilvl w:val="0"/>
          <w:numId w:val="2"/>
        </w:numPr>
        <w:jc w:val="both"/>
        <w:rPr>
          <w:rFonts w:ascii="Arial" w:hAnsi="Arial"/>
          <w:sz w:val="20"/>
          <w:szCs w:val="20"/>
        </w:rPr>
      </w:pPr>
      <w:r>
        <w:rPr>
          <w:rFonts w:cs="Arial" w:ascii="Arial" w:hAnsi="Arial"/>
          <w:sz w:val="20"/>
          <w:szCs w:val="20"/>
        </w:rPr>
        <w:t xml:space="preserve">lorsqu’une candidature ou une offre transmise par voie électronique est reçue de façon incomplète, hors délais, ou n’a pu être ouverte, sous réserve que la transmission du pli ait commencé avant la clôture du délai prescrit pour le dépôt. </w:t>
      </w:r>
    </w:p>
    <w:p>
      <w:pPr>
        <w:pStyle w:val="Normal"/>
        <w:jc w:val="both"/>
        <w:rPr>
          <w:rFonts w:ascii="Arial" w:hAnsi="Arial" w:cs="Arial"/>
          <w:sz w:val="20"/>
          <w:szCs w:val="20"/>
        </w:rPr>
      </w:pPr>
      <w:r>
        <w:rPr>
          <w:rFonts w:cs="Arial" w:ascii="Arial" w:hAnsi="Arial"/>
          <w:sz w:val="20"/>
          <w:szCs w:val="20"/>
        </w:rPr>
      </w:r>
    </w:p>
    <w:p>
      <w:pPr>
        <w:pStyle w:val="Normal"/>
        <w:jc w:val="both"/>
        <w:rPr>
          <w:rFonts w:ascii="Arial" w:hAnsi="Arial"/>
          <w:sz w:val="20"/>
          <w:szCs w:val="20"/>
        </w:rPr>
      </w:pPr>
      <w:r>
        <w:rPr>
          <w:rFonts w:cs="Arial" w:ascii="Arial" w:hAnsi="Arial"/>
          <w:sz w:val="20"/>
          <w:szCs w:val="20"/>
        </w:rPr>
        <w:t>Si le pli contenant la copie de sauvegarde n’est pas ouvert, il est détruit par le Maître d’ouvrage.</w:t>
      </w:r>
    </w:p>
    <w:p>
      <w:pPr>
        <w:pStyle w:val="RedTitre2"/>
        <w:shd w:val="clear" w:color="auto" w:fill="D9D9D9"/>
        <w:jc w:val="both"/>
        <w:rPr>
          <w:rFonts w:ascii="Arial" w:hAnsi="Arial"/>
          <w:sz w:val="20"/>
          <w:szCs w:val="20"/>
        </w:rPr>
      </w:pPr>
      <w:r>
        <w:rPr>
          <w:b w:val="false"/>
          <w:sz w:val="20"/>
          <w:szCs w:val="20"/>
        </w:rPr>
        <w:t>A</w:t>
      </w:r>
      <w:bookmarkStart w:id="37" w:name="_Toc72657391"/>
      <w:bookmarkStart w:id="38" w:name="_Toc171945472"/>
      <w:r>
        <w:rPr>
          <w:b w:val="false"/>
          <w:sz w:val="20"/>
          <w:szCs w:val="20"/>
        </w:rPr>
        <w:t xml:space="preserve">rticle </w:t>
      </w:r>
      <w:r>
        <w:rPr>
          <w:rFonts w:eastAsia="Times New Roman" w:cs="Arial"/>
          <w:b w:val="false"/>
          <w:bCs/>
          <w:color w:val="auto"/>
          <w:kern w:val="0"/>
          <w:sz w:val="20"/>
          <w:szCs w:val="20"/>
          <w:lang w:val="fr-FR" w:eastAsia="fr-FR" w:bidi="ar-SA"/>
        </w:rPr>
        <w:t>6</w:t>
      </w:r>
      <w:r>
        <w:rPr>
          <w:sz w:val="20"/>
          <w:szCs w:val="20"/>
        </w:rPr>
        <w:t xml:space="preserve"> - Jugement des propositions</w:t>
      </w:r>
      <w:bookmarkEnd w:id="37"/>
      <w:bookmarkEnd w:id="38"/>
    </w:p>
    <w:p>
      <w:pPr>
        <w:pStyle w:val="RedTxt"/>
        <w:numPr>
          <w:ilvl w:val="0"/>
          <w:numId w:val="6"/>
        </w:numPr>
        <w:jc w:val="both"/>
        <w:rPr>
          <w:rFonts w:ascii="Arial" w:hAnsi="Arial"/>
          <w:sz w:val="20"/>
          <w:szCs w:val="20"/>
        </w:rPr>
      </w:pPr>
      <w:r>
        <w:rPr>
          <w:b/>
          <w:bCs/>
          <w:sz w:val="20"/>
          <w:szCs w:val="20"/>
        </w:rPr>
        <w:t>Phase « offres »</w:t>
      </w:r>
    </w:p>
    <w:p>
      <w:pPr>
        <w:pStyle w:val="RedTxt"/>
        <w:jc w:val="both"/>
        <w:rPr>
          <w:rFonts w:ascii="Arial" w:hAnsi="Arial"/>
          <w:b/>
          <w:bCs/>
          <w:sz w:val="20"/>
          <w:szCs w:val="20"/>
        </w:rPr>
      </w:pPr>
      <w:r>
        <w:rPr>
          <w:b/>
          <w:bCs/>
          <w:sz w:val="20"/>
          <w:szCs w:val="20"/>
        </w:rPr>
      </w:r>
    </w:p>
    <w:p>
      <w:pPr>
        <w:pStyle w:val="RedTxt"/>
        <w:jc w:val="both"/>
        <w:rPr>
          <w:rFonts w:ascii="Arial" w:hAnsi="Arial"/>
          <w:sz w:val="20"/>
          <w:szCs w:val="20"/>
        </w:rPr>
      </w:pPr>
      <w:r>
        <w:rPr>
          <w:b/>
          <w:bCs/>
          <w:sz w:val="20"/>
          <w:szCs w:val="20"/>
          <w:u w:val="single"/>
        </w:rPr>
        <w:t>Critères de jugement des offres :</w:t>
      </w:r>
    </w:p>
    <w:p>
      <w:pPr>
        <w:pStyle w:val="Normal"/>
        <w:jc w:val="both"/>
        <w:rPr>
          <w:rFonts w:ascii="Arial" w:hAnsi="Arial"/>
          <w:sz w:val="20"/>
          <w:szCs w:val="20"/>
        </w:rPr>
      </w:pPr>
      <w:r>
        <w:rPr>
          <w:rFonts w:cs="Arial" w:ascii="Arial" w:hAnsi="Arial"/>
          <w:sz w:val="20"/>
          <w:szCs w:val="20"/>
        </w:rPr>
        <w:t>Le jugement des offres sera effectué dans les conditions prévues aux articles L.2152-1 à L.2152-4, R. 2152-1 et R. 2152-2 du Code de la commande publique et donnera lieu à un classement des offres.</w:t>
      </w:r>
    </w:p>
    <w:p>
      <w:pPr>
        <w:pStyle w:val="RedTxt"/>
        <w:jc w:val="both"/>
        <w:rPr>
          <w:rFonts w:ascii="Arial" w:hAnsi="Arial"/>
          <w:b/>
          <w:bCs/>
          <w:sz w:val="20"/>
          <w:szCs w:val="20"/>
        </w:rPr>
      </w:pPr>
      <w:r>
        <w:rPr>
          <w:b/>
          <w:bCs/>
          <w:sz w:val="20"/>
          <w:szCs w:val="20"/>
        </w:rPr>
      </w:r>
    </w:p>
    <w:p>
      <w:pPr>
        <w:pStyle w:val="RedTxt"/>
        <w:jc w:val="both"/>
        <w:rPr>
          <w:rFonts w:ascii="Arial" w:hAnsi="Arial"/>
          <w:sz w:val="20"/>
          <w:szCs w:val="20"/>
        </w:rPr>
      </w:pPr>
      <w:r>
        <w:rPr>
          <w:sz w:val="20"/>
          <w:szCs w:val="20"/>
        </w:rPr>
        <w:t>Conformément à l’article R2152-7-2° du Code de la Commande Publique, le jugement des propositions sera effectué au moyen des critères suivants :</w:t>
      </w:r>
    </w:p>
    <w:p>
      <w:pPr>
        <w:pStyle w:val="RedTxt"/>
        <w:jc w:val="both"/>
        <w:rPr>
          <w:rFonts w:ascii="Arial" w:hAnsi="Arial"/>
          <w:sz w:val="20"/>
          <w:szCs w:val="20"/>
        </w:rPr>
      </w:pPr>
      <w:r>
        <w:rPr>
          <w:sz w:val="20"/>
          <w:szCs w:val="20"/>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6754"/>
        <w:gridCol w:w="2317"/>
      </w:tblGrid>
      <w:tr>
        <w:trPr>
          <w:trHeight w:val="346" w:hRule="atLeast"/>
        </w:trPr>
        <w:tc>
          <w:tcPr>
            <w:tcW w:w="6754"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RedTxt"/>
              <w:widowControl w:val="false"/>
              <w:rPr>
                <w:rFonts w:ascii="Arial" w:hAnsi="Arial"/>
                <w:sz w:val="20"/>
                <w:szCs w:val="20"/>
              </w:rPr>
            </w:pPr>
            <w:r>
              <w:rPr>
                <w:b/>
                <w:bCs/>
                <w:sz w:val="20"/>
                <w:szCs w:val="20"/>
              </w:rPr>
              <w:t>Critères</w:t>
            </w:r>
          </w:p>
        </w:tc>
        <w:tc>
          <w:tcPr>
            <w:tcW w:w="2317" w:type="dxa"/>
            <w:tcBorders>
              <w:top w:val="single" w:sz="4" w:space="0" w:color="000000"/>
              <w:left w:val="single" w:sz="4" w:space="0" w:color="000000"/>
              <w:bottom w:val="single" w:sz="4" w:space="0" w:color="000000"/>
              <w:right w:val="single" w:sz="4" w:space="0" w:color="000000"/>
            </w:tcBorders>
            <w:shd w:color="auto" w:fill="BFBFBF" w:val="clear"/>
            <w:vAlign w:val="center"/>
          </w:tcPr>
          <w:p>
            <w:pPr>
              <w:pStyle w:val="RedTxt"/>
              <w:widowControl w:val="false"/>
              <w:jc w:val="center"/>
              <w:rPr>
                <w:rFonts w:ascii="Arial" w:hAnsi="Arial"/>
                <w:sz w:val="20"/>
                <w:szCs w:val="20"/>
              </w:rPr>
            </w:pPr>
            <w:r>
              <w:rPr>
                <w:b/>
                <w:bCs/>
                <w:sz w:val="20"/>
                <w:szCs w:val="20"/>
              </w:rPr>
              <w:t>Pondération</w:t>
            </w:r>
          </w:p>
        </w:tc>
      </w:tr>
      <w:tr>
        <w:trPr/>
        <w:tc>
          <w:tcPr>
            <w:tcW w:w="6754" w:type="dxa"/>
            <w:tcBorders>
              <w:top w:val="single" w:sz="4" w:space="0" w:color="000000"/>
              <w:left w:val="single" w:sz="4" w:space="0" w:color="000000"/>
              <w:bottom w:val="dotted" w:sz="4" w:space="0" w:color="000000"/>
              <w:right w:val="single" w:sz="4" w:space="0" w:color="000000"/>
            </w:tcBorders>
            <w:shd w:color="auto" w:fill="auto" w:val="clear"/>
          </w:tcPr>
          <w:p>
            <w:pPr>
              <w:pStyle w:val="RedTxt"/>
              <w:widowControl w:val="false"/>
              <w:numPr>
                <w:ilvl w:val="0"/>
                <w:numId w:val="4"/>
              </w:numPr>
              <w:ind w:left="284" w:hanging="360"/>
              <w:rPr>
                <w:rFonts w:ascii="Arial" w:hAnsi="Arial"/>
                <w:sz w:val="20"/>
                <w:szCs w:val="20"/>
              </w:rPr>
            </w:pPr>
            <w:r>
              <w:rPr>
                <w:b/>
                <w:bCs/>
                <w:sz w:val="20"/>
                <w:szCs w:val="20"/>
              </w:rPr>
              <w:t>Valeur</w:t>
            </w:r>
            <w:r>
              <w:rPr>
                <w:b/>
                <w:sz w:val="20"/>
                <w:szCs w:val="20"/>
              </w:rPr>
              <w:t xml:space="preserve"> technique jugée sur la base de la note technique finale remise par le candidat en phase offre </w:t>
            </w:r>
          </w:p>
        </w:tc>
        <w:tc>
          <w:tcPr>
            <w:tcW w:w="2317" w:type="dxa"/>
            <w:tcBorders>
              <w:top w:val="single" w:sz="4" w:space="0" w:color="000000"/>
              <w:left w:val="single" w:sz="4" w:space="0" w:color="000000"/>
              <w:bottom w:val="dotted" w:sz="4" w:space="0" w:color="000000"/>
              <w:right w:val="single" w:sz="4" w:space="0" w:color="000000"/>
            </w:tcBorders>
            <w:shd w:color="auto" w:fill="auto" w:val="clear"/>
            <w:vAlign w:val="center"/>
          </w:tcPr>
          <w:p>
            <w:pPr>
              <w:pStyle w:val="RedTxt"/>
              <w:widowControl w:val="false"/>
              <w:jc w:val="center"/>
              <w:rPr>
                <w:rFonts w:ascii="Arial" w:hAnsi="Arial"/>
                <w:sz w:val="20"/>
                <w:szCs w:val="20"/>
              </w:rPr>
            </w:pPr>
            <w:r>
              <w:rPr>
                <w:b/>
                <w:bCs/>
                <w:sz w:val="20"/>
                <w:szCs w:val="20"/>
              </w:rPr>
              <w:t>50% de la note finale</w:t>
            </w:r>
          </w:p>
        </w:tc>
      </w:tr>
      <w:tr>
        <w:trPr>
          <w:trHeight w:val="346" w:hRule="atLeast"/>
        </w:trPr>
        <w:tc>
          <w:tcPr>
            <w:tcW w:w="67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RedTxt"/>
              <w:widowControl w:val="false"/>
              <w:numPr>
                <w:ilvl w:val="0"/>
                <w:numId w:val="4"/>
              </w:numPr>
              <w:ind w:left="284" w:hanging="360"/>
              <w:rPr>
                <w:rFonts w:ascii="Arial" w:hAnsi="Arial"/>
                <w:sz w:val="20"/>
                <w:szCs w:val="20"/>
              </w:rPr>
            </w:pPr>
            <w:r>
              <w:rPr>
                <w:b/>
                <w:bCs/>
                <w:sz w:val="20"/>
                <w:szCs w:val="20"/>
              </w:rPr>
              <w:t xml:space="preserve">Coût final de l’opération </w:t>
            </w:r>
          </w:p>
        </w:tc>
        <w:tc>
          <w:tcPr>
            <w:tcW w:w="23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RedTxt"/>
              <w:widowControl w:val="false"/>
              <w:jc w:val="center"/>
              <w:rPr>
                <w:rFonts w:ascii="Arial" w:hAnsi="Arial"/>
                <w:sz w:val="20"/>
                <w:szCs w:val="20"/>
              </w:rPr>
            </w:pPr>
            <w:r>
              <w:rPr>
                <w:b/>
                <w:bCs/>
                <w:sz w:val="20"/>
                <w:szCs w:val="20"/>
              </w:rPr>
              <w:t>50% de la note finale</w:t>
            </w:r>
          </w:p>
        </w:tc>
      </w:tr>
    </w:tbl>
    <w:p>
      <w:pPr>
        <w:pStyle w:val="RedTxt"/>
        <w:jc w:val="both"/>
        <w:rPr>
          <w:rFonts w:ascii="Arial" w:hAnsi="Arial"/>
          <w:sz w:val="20"/>
          <w:szCs w:val="20"/>
        </w:rPr>
      </w:pPr>
      <w:r>
        <w:rPr>
          <w:sz w:val="20"/>
          <w:szCs w:val="20"/>
        </w:rPr>
      </w:r>
    </w:p>
    <w:p>
      <w:pPr>
        <w:pStyle w:val="RedTitre2"/>
        <w:shd w:val="clear" w:color="auto" w:fill="D9D9D9"/>
        <w:jc w:val="both"/>
        <w:rPr>
          <w:rFonts w:ascii="Arial" w:hAnsi="Arial"/>
          <w:sz w:val="20"/>
          <w:szCs w:val="20"/>
        </w:rPr>
      </w:pPr>
      <w:bookmarkStart w:id="39" w:name="_Toc72657392_Copie_1"/>
      <w:bookmarkStart w:id="40" w:name="_Toc171945473_Copie_1"/>
      <w:r>
        <w:rPr>
          <w:b w:val="false"/>
          <w:sz w:val="20"/>
          <w:szCs w:val="20"/>
        </w:rPr>
        <w:t>Article</w:t>
      </w:r>
      <w:r>
        <w:rPr>
          <w:sz w:val="20"/>
          <w:szCs w:val="20"/>
        </w:rPr>
        <w:t xml:space="preserve"> </w:t>
      </w:r>
      <w:r>
        <w:rPr>
          <w:rFonts w:eastAsia="Times New Roman" w:cs="Arial"/>
          <w:b w:val="false"/>
          <w:bCs/>
          <w:color w:val="auto"/>
          <w:kern w:val="0"/>
          <w:sz w:val="20"/>
          <w:szCs w:val="20"/>
          <w:lang w:val="fr-FR" w:eastAsia="fr-FR" w:bidi="ar-SA"/>
        </w:rPr>
        <w:t>7</w:t>
      </w:r>
      <w:r>
        <w:rPr>
          <w:sz w:val="20"/>
          <w:szCs w:val="20"/>
        </w:rPr>
        <w:t xml:space="preserve"> – </w:t>
      </w:r>
      <w:bookmarkEnd w:id="39"/>
      <w:bookmarkEnd w:id="40"/>
      <w:r>
        <w:rPr>
          <w:rFonts w:eastAsia="Times New Roman" w:cs="Arial"/>
          <w:b/>
          <w:bCs/>
          <w:color w:val="auto"/>
          <w:kern w:val="0"/>
          <w:sz w:val="20"/>
          <w:szCs w:val="20"/>
          <w:lang w:val="fr-FR" w:eastAsia="fr-FR" w:bidi="ar-SA"/>
        </w:rPr>
        <w:t>Négociation</w:t>
      </w:r>
    </w:p>
    <w:p>
      <w:pPr>
        <w:pStyle w:val="Corpsdetexte"/>
        <w:jc w:val="both"/>
        <w:rPr>
          <w:rFonts w:ascii="Arial" w:hAnsi="Arial"/>
          <w:sz w:val="20"/>
          <w:szCs w:val="20"/>
        </w:rPr>
      </w:pPr>
      <w:r>
        <w:rPr>
          <w:rFonts w:eastAsia="Times New Roman" w:cs="Arial" w:ascii="Arial" w:hAnsi="Arial"/>
          <w:color w:val="auto"/>
          <w:kern w:val="0"/>
          <w:sz w:val="20"/>
          <w:szCs w:val="20"/>
          <w:lang w:val="fr-FR" w:eastAsia="fr-FR" w:bidi="ar-SA"/>
        </w:rPr>
        <w:br/>
      </w:r>
      <w:r>
        <w:rPr>
          <w:rFonts w:eastAsia="Times New Roman" w:cs="Arial" w:ascii="Arial" w:hAnsi="Arial"/>
          <w:b/>
          <w:bCs/>
          <w:color w:val="auto"/>
          <w:kern w:val="0"/>
          <w:sz w:val="20"/>
          <w:szCs w:val="20"/>
          <w:lang w:val="fr-FR" w:eastAsia="fr-FR" w:bidi="ar-SA"/>
        </w:rPr>
        <w:t>L’acheteur se réserve la possibilité d’attribuer le marché sur la base des offres initiales, sans négociation.</w:t>
      </w:r>
      <w:r>
        <w:rPr>
          <w:rFonts w:eastAsia="Times New Roman" w:cs="Arial" w:ascii="Arial" w:hAnsi="Arial"/>
          <w:color w:val="auto"/>
          <w:kern w:val="0"/>
          <w:sz w:val="20"/>
          <w:szCs w:val="20"/>
          <w:lang w:val="fr-FR" w:eastAsia="fr-FR" w:bidi="ar-SA"/>
        </w:rPr>
        <w:t xml:space="preserve"> </w:t>
      </w:r>
    </w:p>
    <w:p>
      <w:pPr>
        <w:pStyle w:val="Corpsdetexte"/>
        <w:rPr>
          <w:rFonts w:ascii="Arial" w:hAnsi="Arial"/>
          <w:sz w:val="20"/>
          <w:szCs w:val="20"/>
        </w:rPr>
      </w:pPr>
      <w:r>
        <w:rPr>
          <w:rFonts w:eastAsia="Times New Roman" w:cs="Arial" w:ascii="Arial" w:hAnsi="Arial"/>
          <w:color w:val="auto"/>
          <w:kern w:val="0"/>
          <w:sz w:val="20"/>
          <w:szCs w:val="20"/>
          <w:lang w:val="fr-FR" w:eastAsia="fr-FR" w:bidi="ar-SA"/>
        </w:rPr>
        <w:t xml:space="preserve">Si une négociation est engagée, l’acheteur négocie avec l’ensemble des candidats, sans classement préalable des offres. Les offres irrégulières pourront faire l’objet d’une demande de régularisation, à l’initiative de l’acheteur, lors des négociations. A l’issue de la négociation, les offres seront classées. </w:t>
      </w:r>
    </w:p>
    <w:p>
      <w:pPr>
        <w:pStyle w:val="Corpsdetexte"/>
        <w:rPr>
          <w:rFonts w:ascii="Arial" w:hAnsi="Arial"/>
          <w:sz w:val="20"/>
          <w:szCs w:val="20"/>
        </w:rPr>
      </w:pPr>
      <w:r>
        <w:rPr>
          <w:rFonts w:eastAsia="Times New Roman" w:cs="Arial" w:ascii="Arial" w:hAnsi="Arial"/>
          <w:color w:val="auto"/>
          <w:kern w:val="0"/>
          <w:sz w:val="20"/>
          <w:szCs w:val="20"/>
          <w:lang w:val="fr-FR" w:eastAsia="fr-FR" w:bidi="ar-SA"/>
        </w:rPr>
        <w:t>La négociation peut porter sur tous les éléments de l’offre et notamment le prix.</w:t>
      </w:r>
    </w:p>
    <w:p>
      <w:pPr>
        <w:pStyle w:val="RedTitre2"/>
        <w:shd w:val="clear" w:color="auto" w:fill="D9D9D9"/>
        <w:jc w:val="both"/>
        <w:rPr>
          <w:rFonts w:ascii="Arial" w:hAnsi="Arial"/>
          <w:sz w:val="20"/>
          <w:szCs w:val="20"/>
        </w:rPr>
      </w:pPr>
      <w:bookmarkStart w:id="41" w:name="_Toc72657392"/>
      <w:bookmarkStart w:id="42" w:name="_Toc171945473"/>
      <w:r>
        <w:rPr>
          <w:b w:val="false"/>
          <w:sz w:val="20"/>
          <w:szCs w:val="20"/>
        </w:rPr>
        <w:t>Article</w:t>
      </w:r>
      <w:r>
        <w:rPr>
          <w:sz w:val="20"/>
          <w:szCs w:val="20"/>
        </w:rPr>
        <w:t xml:space="preserve"> </w:t>
      </w:r>
      <w:r>
        <w:rPr>
          <w:rFonts w:eastAsia="Times New Roman" w:cs="Arial"/>
          <w:b w:val="false"/>
          <w:bCs/>
          <w:color w:val="auto"/>
          <w:kern w:val="0"/>
          <w:sz w:val="20"/>
          <w:szCs w:val="20"/>
          <w:lang w:val="fr-FR" w:eastAsia="fr-FR" w:bidi="ar-SA"/>
        </w:rPr>
        <w:t>8</w:t>
      </w:r>
      <w:r>
        <w:rPr>
          <w:sz w:val="20"/>
          <w:szCs w:val="20"/>
        </w:rPr>
        <w:t xml:space="preserve"> – Renseignements complémentaires</w:t>
      </w:r>
      <w:bookmarkEnd w:id="41"/>
      <w:bookmarkEnd w:id="42"/>
    </w:p>
    <w:p>
      <w:pPr>
        <w:pStyle w:val="Normal"/>
        <w:jc w:val="both"/>
        <w:rPr>
          <w:rFonts w:ascii="Arial" w:hAnsi="Arial" w:cs="Arial"/>
          <w:sz w:val="20"/>
          <w:szCs w:val="20"/>
        </w:rPr>
      </w:pPr>
      <w:r>
        <w:rPr>
          <w:rFonts w:cs="Arial" w:ascii="Arial" w:hAnsi="Arial"/>
          <w:sz w:val="20"/>
          <w:szCs w:val="20"/>
        </w:rPr>
      </w:r>
    </w:p>
    <w:p>
      <w:pPr>
        <w:pStyle w:val="RedTxt"/>
        <w:jc w:val="both"/>
        <w:rPr>
          <w:rFonts w:ascii="Arial" w:hAnsi="Arial"/>
          <w:sz w:val="20"/>
          <w:szCs w:val="20"/>
        </w:rPr>
      </w:pPr>
      <w:r>
        <w:rPr>
          <w:sz w:val="20"/>
          <w:szCs w:val="20"/>
        </w:rPr>
        <w:t>Pour obtenir tous renseignements complémentaires qui leur seraient nécessaires au cours de leur étude, les candidats devront faire parvenir une demande écrite via la plateforme PLACE, accessible à l’adresse suivante : : https://www.marches-publics.gouv.fr/.</w:t>
      </w:r>
    </w:p>
    <w:p>
      <w:pPr>
        <w:pStyle w:val="RedTxt"/>
        <w:jc w:val="both"/>
        <w:rPr>
          <w:rFonts w:ascii="Arial" w:hAnsi="Arial"/>
          <w:sz w:val="20"/>
          <w:szCs w:val="20"/>
        </w:rPr>
      </w:pPr>
      <w:r>
        <w:rPr>
          <w:sz w:val="20"/>
          <w:szCs w:val="20"/>
        </w:rPr>
      </w:r>
    </w:p>
    <w:p>
      <w:pPr>
        <w:pStyle w:val="Normal"/>
        <w:jc w:val="both"/>
        <w:rPr>
          <w:rFonts w:ascii="Arial" w:hAnsi="Arial"/>
          <w:sz w:val="20"/>
          <w:szCs w:val="20"/>
        </w:rPr>
      </w:pPr>
      <w:r>
        <w:rPr>
          <w:rFonts w:cs="Arial" w:ascii="Arial" w:hAnsi="Arial"/>
          <w:b/>
          <w:sz w:val="20"/>
          <w:szCs w:val="20"/>
          <w:u w:val="single"/>
        </w:rPr>
        <w:t>Les demandes de renseignements devront parvenir au plus tard 10 jours avant la date limite de remise des plis.</w:t>
      </w:r>
    </w:p>
    <w:p>
      <w:pPr>
        <w:pStyle w:val="RedTxt"/>
        <w:widowControl/>
        <w:jc w:val="both"/>
        <w:rPr>
          <w:rFonts w:ascii="Arial" w:hAnsi="Arial"/>
          <w:sz w:val="20"/>
          <w:szCs w:val="20"/>
        </w:rPr>
      </w:pPr>
      <w:r>
        <w:rPr>
          <w:sz w:val="20"/>
          <w:szCs w:val="20"/>
        </w:rPr>
      </w:r>
    </w:p>
    <w:p>
      <w:pPr>
        <w:pStyle w:val="RedTxt"/>
        <w:widowControl/>
        <w:jc w:val="both"/>
        <w:rPr>
          <w:rFonts w:ascii="Arial" w:hAnsi="Arial"/>
          <w:sz w:val="20"/>
          <w:szCs w:val="20"/>
        </w:rPr>
      </w:pPr>
      <w:r>
        <w:rPr>
          <w:sz w:val="20"/>
          <w:szCs w:val="20"/>
        </w:rPr>
        <w:t>Une réponse sera, alors, adressée en temps utile via le profil d’acheteur à tous les candidats ayant été destinataires du dossier, au plus tard 06 jours avant la date limite de remise des plis.</w:t>
      </w:r>
    </w:p>
    <w:sectPr>
      <w:headerReference w:type="default" r:id="rId3"/>
      <w:footerReference w:type="default" r:id="rId4"/>
      <w:type w:val="nextPage"/>
      <w:pgSz w:w="11906" w:h="16838"/>
      <w:pgMar w:left="1417" w:right="1417" w:gutter="0" w:header="283" w:top="1417" w:footer="68" w:bottom="1417"/>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Light">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ms Rmn">
    <w:altName w:val="Times New Roman"/>
    <w:charset w:val="00"/>
    <w:family w:val="roman"/>
    <w:pitch w:val="variable"/>
  </w:font>
  <w:font w:name="ArialMT">
    <w:charset w:val="01"/>
    <w:family w:val="swiss"/>
    <w:pitch w:val="default"/>
  </w:font>
  <w:font w:name="Courier New">
    <w:charset w:val="01"/>
    <w:family w:val="modern"/>
    <w:pitch w:val="fixed"/>
  </w:font>
  <w:font w:name="Wingdings">
    <w:charset w:val="02"/>
    <w:family w:val="auto"/>
    <w:pitch w:val="variable"/>
  </w:font>
  <w:font w:name="Arial">
    <w:charset w:val="01"/>
    <w:family w:val="swiss"/>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Grilledutableau"/>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50"/>
      <w:gridCol w:w="4675"/>
      <w:gridCol w:w="1837"/>
    </w:tblGrid>
    <w:tr>
      <w:trPr/>
      <w:tc>
        <w:tcPr>
          <w:tcW w:w="2550" w:type="dxa"/>
          <w:tcBorders>
            <w:left w:val="nil"/>
            <w:bottom w:val="nil"/>
            <w:right w:val="nil"/>
          </w:tcBorders>
        </w:tcPr>
        <w:p>
          <w:pPr>
            <w:pStyle w:val="Normal"/>
            <w:widowControl w:val="false"/>
            <w:suppressAutoHyphens w:val="true"/>
            <w:spacing w:before="0" w:after="0"/>
            <w:jc w:val="left"/>
            <w:rPr>
              <w:rFonts w:ascii="Arial" w:hAnsi="Arial" w:cs="Arial"/>
              <w:i/>
              <w:i/>
              <w:sz w:val="16"/>
              <w:szCs w:val="16"/>
            </w:rPr>
          </w:pPr>
          <w:r>
            <w:rPr>
              <w:rFonts w:cs="Arial" w:ascii="Arial" w:hAnsi="Arial"/>
              <w:i/>
              <w:sz w:val="16"/>
              <w:szCs w:val="16"/>
            </w:rPr>
          </w:r>
        </w:p>
      </w:tc>
      <w:tc>
        <w:tcPr>
          <w:tcW w:w="4675" w:type="dxa"/>
          <w:vMerge w:val="restart"/>
          <w:tcBorders>
            <w:left w:val="nil"/>
            <w:bottom w:val="nil"/>
            <w:right w:val="nil"/>
          </w:tcBorders>
          <w:vAlign w:val="center"/>
        </w:tcPr>
        <w:p>
          <w:pPr>
            <w:pStyle w:val="Pieddepage"/>
            <w:widowControl w:val="false"/>
            <w:suppressAutoHyphens w:val="true"/>
            <w:spacing w:before="0" w:after="0"/>
            <w:jc w:val="center"/>
            <w:rPr>
              <w:rFonts w:ascii="Arial" w:hAnsi="Arial" w:cs="Arial"/>
              <w:sz w:val="20"/>
              <w:szCs w:val="20"/>
            </w:rPr>
          </w:pPr>
          <w:r>
            <w:rPr>
              <w:rStyle w:val="Pagenumber"/>
              <w:rFonts w:eastAsia="Times New Roman" w:cs="Arial" w:ascii="Arial" w:hAnsi="Arial"/>
              <w:kern w:val="0"/>
              <w:sz w:val="18"/>
              <w:szCs w:val="20"/>
              <w:lang w:val="fr-FR" w:eastAsia="fr-FR" w:bidi="ar-SA"/>
            </w:rPr>
            <w:t>RÈGLEMENT DE LA CONSULTATION</w:t>
          </w:r>
        </w:p>
      </w:tc>
      <w:tc>
        <w:tcPr>
          <w:tcW w:w="1837" w:type="dxa"/>
          <w:tcBorders>
            <w:left w:val="nil"/>
            <w:bottom w:val="nil"/>
            <w:right w:val="nil"/>
          </w:tcBorders>
          <w:vAlign w:val="center"/>
        </w:tcPr>
        <w:p>
          <w:pPr>
            <w:pStyle w:val="Normal"/>
            <w:widowControl w:val="false"/>
            <w:suppressAutoHyphens w:val="true"/>
            <w:spacing w:before="0" w:after="0"/>
            <w:jc w:val="right"/>
            <w:rPr>
              <w:rFonts w:ascii="Arial" w:hAnsi="Arial" w:cs="Arial"/>
              <w:sz w:val="16"/>
              <w:szCs w:val="16"/>
            </w:rPr>
          </w:pPr>
          <w:r>
            <w:rPr>
              <w:rFonts w:eastAsia="Times New Roman" w:cs="Arial" w:ascii="Arial" w:hAnsi="Arial"/>
              <w:kern w:val="0"/>
              <w:sz w:val="16"/>
              <w:szCs w:val="16"/>
              <w:lang w:val="fr-FR" w:eastAsia="fr-FR" w:bidi="ar-SA"/>
            </w:rPr>
            <w:t xml:space="preserve">Page </w:t>
          </w:r>
          <w:r>
            <w:rPr>
              <w:rFonts w:eastAsia="Times New Roman" w:cs="Arial" w:ascii="Arial" w:hAnsi="Arial"/>
              <w:kern w:val="0"/>
              <w:sz w:val="16"/>
              <w:szCs w:val="16"/>
              <w:lang w:val="fr-FR" w:eastAsia="fr-FR" w:bidi="ar-SA"/>
            </w:rPr>
            <w:fldChar w:fldCharType="begin"/>
          </w:r>
          <w:r>
            <w:rPr>
              <w:sz w:val="16"/>
              <w:kern w:val="0"/>
              <w:szCs w:val="16"/>
              <w:rFonts w:eastAsia="Times New Roman" w:cs="Arial" w:ascii="Arial" w:hAnsi="Arial"/>
              <w:lang w:val="fr-FR" w:eastAsia="fr-FR" w:bidi="ar-SA"/>
            </w:rPr>
            <w:instrText xml:space="preserve"> PAGE </w:instrText>
          </w:r>
          <w:r>
            <w:rPr>
              <w:sz w:val="16"/>
              <w:kern w:val="0"/>
              <w:szCs w:val="16"/>
              <w:rFonts w:eastAsia="Times New Roman" w:cs="Arial" w:ascii="Arial" w:hAnsi="Arial"/>
              <w:lang w:val="fr-FR" w:eastAsia="fr-FR" w:bidi="ar-SA"/>
            </w:rPr>
            <w:fldChar w:fldCharType="separate"/>
          </w:r>
          <w:r>
            <w:rPr>
              <w:sz w:val="16"/>
              <w:kern w:val="0"/>
              <w:szCs w:val="16"/>
              <w:rFonts w:eastAsia="Times New Roman" w:cs="Arial" w:ascii="Arial" w:hAnsi="Arial"/>
              <w:lang w:val="fr-FR" w:eastAsia="fr-FR" w:bidi="ar-SA"/>
            </w:rPr>
            <w:t>8</w:t>
          </w:r>
          <w:r>
            <w:rPr>
              <w:sz w:val="16"/>
              <w:kern w:val="0"/>
              <w:szCs w:val="16"/>
              <w:rFonts w:eastAsia="Times New Roman" w:cs="Arial" w:ascii="Arial" w:hAnsi="Arial"/>
              <w:lang w:val="fr-FR" w:eastAsia="fr-FR" w:bidi="ar-SA"/>
            </w:rPr>
            <w:fldChar w:fldCharType="end"/>
          </w:r>
          <w:r>
            <w:rPr>
              <w:rFonts w:eastAsia="Times New Roman" w:cs="Arial" w:ascii="Arial" w:hAnsi="Arial"/>
              <w:kern w:val="0"/>
              <w:sz w:val="16"/>
              <w:szCs w:val="16"/>
              <w:lang w:val="fr-FR" w:eastAsia="fr-FR" w:bidi="ar-SA"/>
            </w:rPr>
            <w:t>/</w:t>
          </w:r>
          <w:r>
            <w:rPr>
              <w:rFonts w:eastAsia="Times New Roman" w:cs="Arial" w:ascii="Arial" w:hAnsi="Arial"/>
              <w:kern w:val="0"/>
              <w:sz w:val="16"/>
              <w:szCs w:val="16"/>
              <w:lang w:val="fr-FR" w:eastAsia="fr-FR" w:bidi="ar-SA"/>
            </w:rPr>
            <w:fldChar w:fldCharType="begin"/>
          </w:r>
          <w:r>
            <w:rPr>
              <w:sz w:val="16"/>
              <w:kern w:val="0"/>
              <w:szCs w:val="16"/>
              <w:rFonts w:eastAsia="Times New Roman" w:cs="Arial" w:ascii="Arial" w:hAnsi="Arial"/>
              <w:lang w:val="fr-FR" w:eastAsia="fr-FR" w:bidi="ar-SA"/>
            </w:rPr>
            <w:instrText xml:space="preserve"> NUMPAGES </w:instrText>
          </w:r>
          <w:r>
            <w:rPr>
              <w:sz w:val="16"/>
              <w:kern w:val="0"/>
              <w:szCs w:val="16"/>
              <w:rFonts w:eastAsia="Times New Roman" w:cs="Arial" w:ascii="Arial" w:hAnsi="Arial"/>
              <w:lang w:val="fr-FR" w:eastAsia="fr-FR" w:bidi="ar-SA"/>
            </w:rPr>
            <w:fldChar w:fldCharType="separate"/>
          </w:r>
          <w:r>
            <w:rPr>
              <w:sz w:val="16"/>
              <w:kern w:val="0"/>
              <w:szCs w:val="16"/>
              <w:rFonts w:eastAsia="Times New Roman" w:cs="Arial" w:ascii="Arial" w:hAnsi="Arial"/>
              <w:lang w:val="fr-FR" w:eastAsia="fr-FR" w:bidi="ar-SA"/>
            </w:rPr>
            <w:t>8</w:t>
          </w:r>
          <w:r>
            <w:rPr>
              <w:sz w:val="16"/>
              <w:kern w:val="0"/>
              <w:szCs w:val="16"/>
              <w:rFonts w:eastAsia="Times New Roman" w:cs="Arial" w:ascii="Arial" w:hAnsi="Arial"/>
              <w:lang w:val="fr-FR" w:eastAsia="fr-FR" w:bidi="ar-SA"/>
            </w:rPr>
            <w:fldChar w:fldCharType="end"/>
          </w:r>
        </w:p>
      </w:tc>
    </w:tr>
    <w:tr>
      <w:trPr>
        <w:trHeight w:val="658" w:hRule="atLeast"/>
      </w:trPr>
      <w:tc>
        <w:tcPr>
          <w:tcW w:w="2550" w:type="dxa"/>
          <w:tcBorders>
            <w:top w:val="nil"/>
            <w:left w:val="nil"/>
            <w:bottom w:val="nil"/>
            <w:right w:val="nil"/>
          </w:tcBorders>
        </w:tcPr>
        <w:p>
          <w:pPr>
            <w:pStyle w:val="Normal"/>
            <w:widowControl w:val="false"/>
            <w:suppressAutoHyphens w:val="true"/>
            <w:spacing w:before="0" w:after="0"/>
            <w:jc w:val="left"/>
            <w:rPr>
              <w:rFonts w:ascii="Arial" w:hAnsi="Arial" w:cs="Arial"/>
              <w:sz w:val="16"/>
              <w:szCs w:val="16"/>
            </w:rPr>
          </w:pPr>
          <w:r>
            <w:rPr>
              <w:rFonts w:cs="Arial" w:ascii="Arial" w:hAnsi="Arial"/>
              <w:sz w:val="16"/>
              <w:szCs w:val="16"/>
            </w:rPr>
          </w:r>
        </w:p>
      </w:tc>
      <w:tc>
        <w:tcPr>
          <w:tcW w:w="4675" w:type="dxa"/>
          <w:vMerge w:val="continue"/>
          <w:tcBorders>
            <w:top w:val="nil"/>
            <w:left w:val="nil"/>
            <w:bottom w:val="nil"/>
            <w:right w:val="nil"/>
          </w:tcBorders>
        </w:tcPr>
        <w:p>
          <w:pPr>
            <w:pStyle w:val="Pieddepage"/>
            <w:widowControl w:val="false"/>
            <w:suppressAutoHyphens w:val="true"/>
            <w:spacing w:before="0" w:after="0"/>
            <w:jc w:val="center"/>
            <w:rPr>
              <w:rFonts w:ascii="Arial" w:hAnsi="Arial" w:cs="Arial"/>
              <w:sz w:val="16"/>
              <w:szCs w:val="16"/>
            </w:rPr>
          </w:pPr>
          <w:r>
            <w:rPr>
              <w:rFonts w:cs="Arial" w:ascii="Arial" w:hAnsi="Arial"/>
              <w:sz w:val="16"/>
              <w:szCs w:val="16"/>
            </w:rPr>
          </w:r>
        </w:p>
      </w:tc>
      <w:tc>
        <w:tcPr>
          <w:tcW w:w="1837" w:type="dxa"/>
          <w:tcBorders>
            <w:top w:val="nil"/>
            <w:left w:val="nil"/>
            <w:bottom w:val="nil"/>
            <w:right w:val="nil"/>
          </w:tcBorders>
          <w:vAlign w:val="center"/>
        </w:tcPr>
        <w:p>
          <w:pPr>
            <w:pStyle w:val="Normal"/>
            <w:widowControl w:val="false"/>
            <w:suppressAutoHyphens w:val="true"/>
            <w:spacing w:before="0" w:after="0"/>
            <w:jc w:val="right"/>
            <w:rPr>
              <w:rFonts w:ascii="Arial" w:hAnsi="Arial" w:cs="Arial"/>
              <w:sz w:val="16"/>
              <w:szCs w:val="16"/>
            </w:rPr>
          </w:pPr>
          <w:r>
            <w:rPr>
              <w:rFonts w:eastAsia="Times New Roman" w:cs="Arial" w:ascii="Arial" w:hAnsi="Arial"/>
              <w:kern w:val="0"/>
              <w:sz w:val="14"/>
              <w:szCs w:val="16"/>
              <w:lang w:val="fr-FR" w:eastAsia="fr-FR" w:bidi="ar-SA"/>
            </w:rPr>
            <w:t>Version 01</w:t>
          </w:r>
        </w:p>
      </w:tc>
    </w:tr>
    <w:tr>
      <w:trPr>
        <w:trHeight w:val="116" w:hRule="atLeast"/>
      </w:trPr>
      <w:tc>
        <w:tcPr>
          <w:tcW w:w="2550" w:type="dxa"/>
          <w:tcBorders>
            <w:top w:val="nil"/>
            <w:left w:val="nil"/>
            <w:bottom w:val="nil"/>
            <w:right w:val="nil"/>
          </w:tcBorders>
        </w:tcPr>
        <w:p>
          <w:pPr>
            <w:pStyle w:val="Normal"/>
            <w:widowControl w:val="false"/>
            <w:suppressAutoHyphens w:val="true"/>
            <w:spacing w:before="0" w:after="0"/>
            <w:jc w:val="left"/>
            <w:rPr>
              <w:rFonts w:ascii="Arial" w:hAnsi="Arial" w:cs="Arial"/>
              <w:sz w:val="16"/>
              <w:szCs w:val="16"/>
            </w:rPr>
          </w:pPr>
          <w:r>
            <w:rPr>
              <w:rFonts w:cs="Arial" w:ascii="Arial" w:hAnsi="Arial"/>
              <w:sz w:val="16"/>
              <w:szCs w:val="16"/>
            </w:rPr>
          </w:r>
        </w:p>
      </w:tc>
      <w:tc>
        <w:tcPr>
          <w:tcW w:w="4675" w:type="dxa"/>
          <w:vMerge w:val="continue"/>
          <w:tcBorders>
            <w:top w:val="nil"/>
            <w:left w:val="nil"/>
            <w:bottom w:val="nil"/>
            <w:right w:val="nil"/>
          </w:tcBorders>
        </w:tcPr>
        <w:p>
          <w:pPr>
            <w:pStyle w:val="Pieddepage"/>
            <w:widowControl w:val="false"/>
            <w:suppressAutoHyphens w:val="true"/>
            <w:spacing w:before="0" w:after="0"/>
            <w:jc w:val="center"/>
            <w:rPr>
              <w:rFonts w:ascii="Arial" w:hAnsi="Arial" w:cs="Arial"/>
              <w:sz w:val="16"/>
              <w:szCs w:val="16"/>
            </w:rPr>
          </w:pPr>
          <w:r>
            <w:rPr>
              <w:rFonts w:cs="Arial" w:ascii="Arial" w:hAnsi="Arial"/>
              <w:sz w:val="16"/>
              <w:szCs w:val="16"/>
            </w:rPr>
          </w:r>
        </w:p>
      </w:tc>
      <w:tc>
        <w:tcPr>
          <w:tcW w:w="1837" w:type="dxa"/>
          <w:tcBorders>
            <w:top w:val="nil"/>
            <w:left w:val="nil"/>
            <w:bottom w:val="nil"/>
            <w:right w:val="nil"/>
          </w:tcBorders>
        </w:tcPr>
        <w:p>
          <w:pPr>
            <w:pStyle w:val="Pieddepage"/>
            <w:widowControl w:val="false"/>
            <w:suppressAutoHyphens w:val="true"/>
            <w:spacing w:before="0" w:after="0"/>
            <w:jc w:val="center"/>
            <w:rPr>
              <w:rFonts w:ascii="Arial" w:hAnsi="Arial" w:cs="Arial"/>
              <w:sz w:val="16"/>
              <w:szCs w:val="16"/>
            </w:rPr>
          </w:pPr>
          <w:r>
            <w:rPr>
              <w:rFonts w:cs="Arial" w:ascii="Arial" w:hAnsi="Arial"/>
              <w:sz w:val="16"/>
              <w:szCs w:val="16"/>
            </w:rPr>
          </w:r>
        </w:p>
      </w:tc>
    </w:tr>
  </w:tbl>
  <w:p>
    <w:pPr>
      <w:pStyle w:val="Pieddepage"/>
      <w:rPr>
        <w:rFonts w:ascii="Arial" w:hAnsi="Arial" w:cs="Arial"/>
        <w:sz w:val="16"/>
        <w:szCs w:val="16"/>
      </w:rPr>
    </w:pPr>
    <w:r>
      <w:rPr>
        <w:rFonts w:cs="Arial" w:ascii="Arial" w:hAnsi="Arial"/>
        <w:sz w:val="16"/>
        <w:szCs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tbl>
    <w:tblPr>
      <w:tblStyle w:val="Grilledutableau"/>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062"/>
    </w:tblGrid>
    <w:tr>
      <w:trPr>
        <w:trHeight w:val="274" w:hRule="atLeast"/>
      </w:trPr>
      <w:tc>
        <w:tcPr>
          <w:tcW w:w="9062" w:type="dxa"/>
          <w:tcBorders>
            <w:top w:val="nil"/>
            <w:left w:val="nil"/>
            <w:bottom w:val="nil"/>
            <w:right w:val="nil"/>
          </w:tcBorders>
        </w:tcPr>
        <w:p>
          <w:pPr>
            <w:pStyle w:val="En-tte"/>
            <w:widowControl w:val="false"/>
            <w:suppressAutoHyphens w:val="true"/>
            <w:spacing w:before="0" w:after="0"/>
            <w:jc w:val="center"/>
            <w:rPr>
              <w:rFonts w:ascii="Arial" w:hAnsi="Arial" w:cs="Arial"/>
            </w:rPr>
          </w:pPr>
          <w:r>
            <w:rPr>
              <w:rFonts w:cs="Arial" w:ascii="Arial" w:hAnsi="Arial"/>
            </w:rPr>
          </w:r>
        </w:p>
      </w:tc>
    </w:tr>
    <w:tr>
      <w:trPr>
        <w:trHeight w:val="277" w:hRule="atLeast"/>
      </w:trPr>
      <w:tc>
        <w:tcPr>
          <w:tcW w:w="9062" w:type="dxa"/>
          <w:tcBorders>
            <w:top w:val="nil"/>
            <w:left w:val="nil"/>
            <w:bottom w:val="nil"/>
            <w:right w:val="nil"/>
          </w:tcBorders>
          <w:vAlign w:val="center"/>
        </w:tcPr>
        <w:p>
          <w:pPr>
            <w:pStyle w:val="En-tte"/>
            <w:widowControl w:val="false"/>
            <w:suppressAutoHyphens w:val="true"/>
            <w:spacing w:before="0" w:after="0"/>
            <w:jc w:val="right"/>
            <w:rPr>
              <w:rFonts w:ascii="Arial" w:hAnsi="Arial" w:cs="Arial"/>
            </w:rPr>
          </w:pPr>
          <w:r>
            <w:rPr>
              <w:rFonts w:cs="Arial" w:ascii="Arial" w:hAnsi="Arial"/>
            </w:rPr>
          </w:r>
        </w:p>
      </w:tc>
    </w:tr>
  </w:tbl>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2"/>
      <w:numFmt w:val="bullet"/>
      <w:lvlText w:val="-"/>
      <w:lvlJc w:val="left"/>
      <w:pPr>
        <w:tabs>
          <w:tab w:val="num" w:pos="0"/>
        </w:tabs>
        <w:ind w:left="720" w:hanging="360"/>
      </w:pPr>
      <w:rPr>
        <w:rFonts w:ascii="ArialMT" w:hAnsi="ArialMT" w:cs="ArialMT"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1440" w:hanging="360"/>
      </w:pPr>
      <w:rPr>
        <w:rFonts w:ascii="Wingdings" w:hAnsi="Wingdings" w:cs="Wingdings" w:hint="default"/>
        <w:color w:val="auto"/>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rPr>
        <w:b/>
        <w:color w:val="FF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0"/>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202"/>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0a196d"/>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next w:val="Normal"/>
    <w:link w:val="Titre1Car"/>
    <w:qFormat/>
    <w:rsid w:val="00be3cb3"/>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Titre2">
    <w:name w:val="Heading 2"/>
    <w:basedOn w:val="Normal"/>
    <w:next w:val="Normal"/>
    <w:link w:val="Titre2Car"/>
    <w:uiPriority w:val="9"/>
    <w:qFormat/>
    <w:rsid w:val="00e0282e"/>
    <w:pPr>
      <w:keepNext w:val="true"/>
      <w:spacing w:before="240" w:after="60"/>
      <w:ind w:left="284" w:hanging="0"/>
      <w:outlineLvl w:val="1"/>
    </w:pPr>
    <w:rPr>
      <w:i/>
      <w:szCs w:val="20"/>
      <w:u w:val="single"/>
    </w:rPr>
  </w:style>
  <w:style w:type="paragraph" w:styleId="Titre3">
    <w:name w:val="Heading 3"/>
    <w:basedOn w:val="Normal"/>
    <w:next w:val="Normal"/>
    <w:link w:val="Titre3Car"/>
    <w:uiPriority w:val="9"/>
    <w:qFormat/>
    <w:rsid w:val="00e0282e"/>
    <w:pPr>
      <w:keepNext w:val="true"/>
      <w:spacing w:before="240" w:after="60"/>
      <w:outlineLvl w:val="2"/>
    </w:pPr>
    <w:rPr>
      <w:rFonts w:ascii="Arial" w:hAnsi="Arial" w:cs="Arial"/>
      <w:b/>
      <w:bCs/>
      <w:sz w:val="26"/>
      <w:szCs w:val="26"/>
    </w:rPr>
  </w:style>
  <w:style w:type="character" w:styleId="DefaultParagraphFont" w:default="1">
    <w:name w:val="Default Paragraph Font"/>
    <w:uiPriority w:val="1"/>
    <w:semiHidden/>
    <w:unhideWhenUsed/>
    <w:qFormat/>
    <w:rPr/>
  </w:style>
  <w:style w:type="character" w:styleId="Titre2Car" w:customStyle="1">
    <w:name w:val="Titre 2 Car"/>
    <w:uiPriority w:val="9"/>
    <w:semiHidden/>
    <w:qFormat/>
    <w:locked/>
    <w:rPr>
      <w:rFonts w:ascii="Cambria" w:hAnsi="Cambria" w:eastAsia="Times New Roman" w:cs="Times New Roman"/>
      <w:b/>
      <w:bCs/>
      <w:i/>
      <w:iCs/>
      <w:sz w:val="28"/>
      <w:szCs w:val="28"/>
    </w:rPr>
  </w:style>
  <w:style w:type="character" w:styleId="Titre3Car" w:customStyle="1">
    <w:name w:val="Titre 3 Car"/>
    <w:uiPriority w:val="9"/>
    <w:semiHidden/>
    <w:qFormat/>
    <w:locked/>
    <w:rPr>
      <w:rFonts w:ascii="Cambria" w:hAnsi="Cambria" w:eastAsia="Times New Roman" w:cs="Times New Roman"/>
      <w:b/>
      <w:bCs/>
      <w:sz w:val="26"/>
      <w:szCs w:val="26"/>
    </w:rPr>
  </w:style>
  <w:style w:type="character" w:styleId="LienInternet">
    <w:name w:val="Hyperlink"/>
    <w:uiPriority w:val="99"/>
    <w:rsid w:val="001b5bcb"/>
    <w:rPr>
      <w:rFonts w:cs="Times New Roman"/>
      <w:color w:val="0000FF"/>
      <w:u w:val="single"/>
    </w:rPr>
  </w:style>
  <w:style w:type="character" w:styleId="TextedebullesCar" w:customStyle="1">
    <w:name w:val="Texte de bulles Car"/>
    <w:link w:val="BalloonText"/>
    <w:uiPriority w:val="99"/>
    <w:semiHidden/>
    <w:qFormat/>
    <w:locked/>
    <w:rPr>
      <w:rFonts w:ascii="Tahoma" w:hAnsi="Tahoma" w:cs="Tahoma"/>
      <w:sz w:val="16"/>
      <w:szCs w:val="16"/>
    </w:rPr>
  </w:style>
  <w:style w:type="character" w:styleId="RetraitcorpsdetexteCar" w:customStyle="1">
    <w:name w:val="Retrait corps de texte Car"/>
    <w:uiPriority w:val="99"/>
    <w:semiHidden/>
    <w:qFormat/>
    <w:locked/>
    <w:rPr>
      <w:rFonts w:cs="Times New Roman"/>
      <w:sz w:val="24"/>
      <w:szCs w:val="24"/>
    </w:rPr>
  </w:style>
  <w:style w:type="character" w:styleId="CorpsdetexteCar" w:customStyle="1">
    <w:name w:val="Corps de texte Car"/>
    <w:uiPriority w:val="99"/>
    <w:semiHidden/>
    <w:qFormat/>
    <w:locked/>
    <w:rPr>
      <w:rFonts w:cs="Times New Roman"/>
      <w:sz w:val="24"/>
      <w:szCs w:val="24"/>
    </w:rPr>
  </w:style>
  <w:style w:type="character" w:styleId="En-tteCar" w:customStyle="1">
    <w:name w:val="En-tête Car"/>
    <w:uiPriority w:val="99"/>
    <w:qFormat/>
    <w:locked/>
    <w:rPr>
      <w:rFonts w:cs="Times New Roman"/>
      <w:sz w:val="24"/>
      <w:szCs w:val="24"/>
    </w:rPr>
  </w:style>
  <w:style w:type="character" w:styleId="Strong">
    <w:name w:val="Strong"/>
    <w:uiPriority w:val="22"/>
    <w:qFormat/>
    <w:rsid w:val="00f65d1a"/>
    <w:rPr>
      <w:rFonts w:cs="Times New Roman"/>
      <w:b/>
    </w:rPr>
  </w:style>
  <w:style w:type="character" w:styleId="Annotationreference">
    <w:name w:val="annotation reference"/>
    <w:uiPriority w:val="99"/>
    <w:unhideWhenUsed/>
    <w:qFormat/>
    <w:rsid w:val="00024047"/>
    <w:rPr>
      <w:sz w:val="16"/>
      <w:szCs w:val="16"/>
    </w:rPr>
  </w:style>
  <w:style w:type="character" w:styleId="CommentaireCar" w:customStyle="1">
    <w:name w:val="Commentaire Car"/>
    <w:basedOn w:val="DefaultParagraphFont"/>
    <w:link w:val="Annotationtext"/>
    <w:uiPriority w:val="99"/>
    <w:qFormat/>
    <w:rsid w:val="00024047"/>
    <w:rPr/>
  </w:style>
  <w:style w:type="character" w:styleId="ObjetducommentaireCar" w:customStyle="1">
    <w:name w:val="Objet du commentaire Car"/>
    <w:link w:val="Annotationsubject"/>
    <w:semiHidden/>
    <w:qFormat/>
    <w:rsid w:val="002b38e3"/>
    <w:rPr>
      <w:b/>
      <w:bCs/>
    </w:rPr>
  </w:style>
  <w:style w:type="character" w:styleId="Pagenumber">
    <w:name w:val="page number"/>
    <w:qFormat/>
    <w:rsid w:val="00be5b24"/>
    <w:rPr/>
  </w:style>
  <w:style w:type="character" w:styleId="PieddepageCar" w:customStyle="1">
    <w:name w:val="Pied de page Car"/>
    <w:qFormat/>
    <w:rsid w:val="00d51025"/>
    <w:rPr>
      <w:sz w:val="24"/>
      <w:szCs w:val="24"/>
    </w:rPr>
  </w:style>
  <w:style w:type="character" w:styleId="PlaceholderText">
    <w:name w:val="Placeholder Text"/>
    <w:uiPriority w:val="99"/>
    <w:semiHidden/>
    <w:qFormat/>
    <w:rsid w:val="00cc2d58"/>
    <w:rPr>
      <w:color w:val="808080"/>
    </w:rPr>
  </w:style>
  <w:style w:type="character" w:styleId="RedTxtCar" w:customStyle="1">
    <w:name w:val="RedTxt Car"/>
    <w:link w:val="RedTxt"/>
    <w:qFormat/>
    <w:locked/>
    <w:rsid w:val="00a0746c"/>
    <w:rPr>
      <w:rFonts w:ascii="Arial" w:hAnsi="Arial" w:cs="Arial"/>
      <w:sz w:val="18"/>
      <w:szCs w:val="18"/>
    </w:rPr>
  </w:style>
  <w:style w:type="character" w:styleId="UnresolvedMention">
    <w:name w:val="Unresolved Mention"/>
    <w:basedOn w:val="DefaultParagraphFont"/>
    <w:uiPriority w:val="99"/>
    <w:semiHidden/>
    <w:unhideWhenUsed/>
    <w:qFormat/>
    <w:rsid w:val="007a4891"/>
    <w:rPr>
      <w:color w:val="605E5C"/>
      <w:shd w:fill="E1DFDD" w:val="clear"/>
    </w:rPr>
  </w:style>
  <w:style w:type="character" w:styleId="Titre1Car" w:customStyle="1">
    <w:name w:val="Titre 1 Car"/>
    <w:basedOn w:val="DefaultParagraphFont"/>
    <w:qFormat/>
    <w:rsid w:val="00be3cb3"/>
    <w:rPr>
      <w:rFonts w:ascii="Calibri Light" w:hAnsi="Calibri Light" w:eastAsia="" w:cs="" w:asciiTheme="majorHAnsi" w:cstheme="majorBidi" w:eastAsiaTheme="majorEastAsia" w:hAnsiTheme="majorHAnsi"/>
      <w:color w:val="2E74B5" w:themeColor="accent1" w:themeShade="bf"/>
      <w:sz w:val="32"/>
      <w:szCs w:val="32"/>
    </w:rPr>
  </w:style>
  <w:style w:type="character" w:styleId="Sous-titreCar" w:customStyle="1">
    <w:name w:val="Sous-titre Car"/>
    <w:basedOn w:val="DefaultParagraphFont"/>
    <w:qFormat/>
    <w:rsid w:val="00be3cb3"/>
    <w:rPr>
      <w:rFonts w:ascii="Calibri" w:hAnsi="Calibri" w:eastAsia="" w:cs="" w:asciiTheme="minorHAnsi" w:cstheme="minorBidi" w:eastAsiaTheme="minorEastAsia" w:hAnsiTheme="minorHAnsi"/>
      <w:b/>
      <w:color w:val="0D0D0D" w:themeColor="text1" w:themeTint="f2"/>
      <w:spacing w:val="15"/>
      <w:sz w:val="28"/>
      <w:szCs w:val="22"/>
      <w:u w:val="single"/>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uiPriority w:val="99"/>
    <w:rsid w:val="00e0282e"/>
    <w:pPr>
      <w:spacing w:before="0" w:after="12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qFormat/>
    <w:rsid w:val="001b5bcb"/>
    <w:pPr>
      <w:spacing w:beforeAutospacing="1" w:afterAutospacing="1"/>
    </w:pPr>
    <w:rPr/>
  </w:style>
  <w:style w:type="paragraph" w:styleId="BalloonText">
    <w:name w:val="Balloon Text"/>
    <w:basedOn w:val="Normal"/>
    <w:link w:val="TextedebullesCar"/>
    <w:uiPriority w:val="99"/>
    <w:semiHidden/>
    <w:qFormat/>
    <w:rsid w:val="001b5bcb"/>
    <w:pPr/>
    <w:rPr>
      <w:rFonts w:ascii="Tahoma" w:hAnsi="Tahoma" w:cs="Tahoma"/>
      <w:sz w:val="16"/>
      <w:szCs w:val="16"/>
    </w:rPr>
  </w:style>
  <w:style w:type="paragraph" w:styleId="RedTitre1" w:customStyle="1">
    <w:name w:val="RedTitre1"/>
    <w:basedOn w:val="Normal"/>
    <w:qFormat/>
    <w:rsid w:val="000a196d"/>
    <w:pPr>
      <w:widowControl w:val="false"/>
      <w:jc w:val="center"/>
    </w:pPr>
    <w:rPr>
      <w:rFonts w:ascii="Arial" w:hAnsi="Arial" w:cs="Arial"/>
      <w:b/>
      <w:bCs/>
      <w:sz w:val="22"/>
      <w:szCs w:val="22"/>
    </w:rPr>
  </w:style>
  <w:style w:type="paragraph" w:styleId="Normal2" w:customStyle="1">
    <w:name w:val="Normal2"/>
    <w:basedOn w:val="Normal"/>
    <w:qFormat/>
    <w:rsid w:val="00e0282e"/>
    <w:pPr>
      <w:keepLines/>
      <w:tabs>
        <w:tab w:val="clear" w:pos="709"/>
        <w:tab w:val="left" w:pos="567" w:leader="none"/>
        <w:tab w:val="left" w:pos="851" w:leader="none"/>
        <w:tab w:val="left" w:pos="1134" w:leader="none"/>
      </w:tabs>
      <w:ind w:left="284" w:firstLine="284"/>
      <w:jc w:val="both"/>
    </w:pPr>
    <w:rPr>
      <w:szCs w:val="20"/>
    </w:rPr>
  </w:style>
  <w:style w:type="paragraph" w:styleId="Retraitdecorpsdetexte">
    <w:name w:val="Body Text Indent"/>
    <w:basedOn w:val="Normal"/>
    <w:link w:val="RetraitcorpsdetexteCar"/>
    <w:uiPriority w:val="99"/>
    <w:rsid w:val="00e0282e"/>
    <w:pPr>
      <w:ind w:left="284" w:hanging="0"/>
    </w:pPr>
    <w:rPr>
      <w:szCs w:val="20"/>
    </w:rPr>
  </w:style>
  <w:style w:type="paragraph" w:styleId="RedTxt" w:customStyle="1">
    <w:name w:val="RedTxt"/>
    <w:basedOn w:val="Normal"/>
    <w:link w:val="RedTxtCar"/>
    <w:qFormat/>
    <w:rsid w:val="00e0282e"/>
    <w:pPr>
      <w:widowControl w:val="false"/>
    </w:pPr>
    <w:rPr>
      <w:rFonts w:ascii="Arial" w:hAnsi="Arial" w:cs="Arial"/>
      <w:sz w:val="18"/>
      <w:szCs w:val="18"/>
    </w:rPr>
  </w:style>
  <w:style w:type="paragraph" w:styleId="Normal1" w:customStyle="1">
    <w:name w:val="Normal1"/>
    <w:basedOn w:val="Normal"/>
    <w:qFormat/>
    <w:rsid w:val="00e0282e"/>
    <w:pPr>
      <w:keepLines/>
      <w:tabs>
        <w:tab w:val="clear" w:pos="709"/>
        <w:tab w:val="left" w:pos="284" w:leader="none"/>
        <w:tab w:val="left" w:pos="567" w:leader="none"/>
        <w:tab w:val="left" w:pos="851" w:leader="none"/>
      </w:tabs>
      <w:ind w:firstLine="284"/>
      <w:jc w:val="both"/>
    </w:pPr>
    <w:rPr>
      <w:szCs w:val="20"/>
    </w:rPr>
  </w:style>
  <w:style w:type="paragraph" w:styleId="Retrait1" w:customStyle="1">
    <w:name w:val="Retrait1"/>
    <w:basedOn w:val="Normal"/>
    <w:qFormat/>
    <w:rsid w:val="00e0282e"/>
    <w:pPr>
      <w:numPr>
        <w:ilvl w:val="0"/>
        <w:numId w:val="1"/>
      </w:numPr>
      <w:jc w:val="both"/>
    </w:pPr>
    <w:rPr>
      <w:szCs w:val="20"/>
    </w:rPr>
  </w:style>
  <w:style w:type="paragraph" w:styleId="SousTitre2" w:customStyle="1">
    <w:name w:val="SousTitre2"/>
    <w:basedOn w:val="Normal"/>
    <w:qFormat/>
    <w:rsid w:val="00e0282e"/>
    <w:pPr>
      <w:jc w:val="both"/>
    </w:pPr>
    <w:rPr>
      <w:szCs w:val="20"/>
    </w:rPr>
  </w:style>
  <w:style w:type="paragraph" w:styleId="En-tteetpieddepage">
    <w:name w:val="En-tête et pied de page"/>
    <w:basedOn w:val="Normal"/>
    <w:qFormat/>
    <w:pPr/>
    <w:rPr/>
  </w:style>
  <w:style w:type="paragraph" w:styleId="En-tte">
    <w:name w:val="Header"/>
    <w:basedOn w:val="Normal"/>
    <w:link w:val="En-tteCar"/>
    <w:uiPriority w:val="99"/>
    <w:rsid w:val="00e0282e"/>
    <w:pPr>
      <w:tabs>
        <w:tab w:val="clear" w:pos="709"/>
        <w:tab w:val="center" w:pos="4819" w:leader="none"/>
        <w:tab w:val="right" w:pos="9071" w:leader="none"/>
      </w:tabs>
    </w:pPr>
    <w:rPr>
      <w:rFonts w:ascii="Tms Rmn" w:hAnsi="Tms Rmn"/>
      <w:sz w:val="20"/>
      <w:szCs w:val="20"/>
    </w:rPr>
  </w:style>
  <w:style w:type="paragraph" w:styleId="ListParagraph">
    <w:name w:val="List Paragraph"/>
    <w:basedOn w:val="Normal"/>
    <w:uiPriority w:val="34"/>
    <w:qFormat/>
    <w:rsid w:val="00690ac2"/>
    <w:pPr>
      <w:ind w:left="708" w:hanging="0"/>
    </w:pPr>
    <w:rPr/>
  </w:style>
  <w:style w:type="paragraph" w:styleId="RedRub" w:customStyle="1">
    <w:name w:val="RedRub"/>
    <w:basedOn w:val="Normal"/>
    <w:qFormat/>
    <w:rsid w:val="00e86ee6"/>
    <w:pPr>
      <w:keepNext w:val="true"/>
      <w:widowControl w:val="false"/>
      <w:spacing w:before="60" w:after="60"/>
    </w:pPr>
    <w:rPr>
      <w:rFonts w:ascii="Arial" w:hAnsi="Arial" w:cs="Arial"/>
      <w:b/>
      <w:bCs/>
      <w:sz w:val="22"/>
      <w:szCs w:val="22"/>
    </w:rPr>
  </w:style>
  <w:style w:type="paragraph" w:styleId="TITRE11" w:customStyle="1">
    <w:name w:val="TITRE 1"/>
    <w:basedOn w:val="Normal"/>
    <w:qFormat/>
    <w:rsid w:val="00ec5975"/>
    <w:pPr>
      <w:widowControl w:val="false"/>
      <w:pBdr>
        <w:top w:val="single" w:sz="6" w:space="1" w:color="000000"/>
        <w:left w:val="single" w:sz="6" w:space="1" w:color="000000"/>
        <w:bottom w:val="single" w:sz="6" w:space="1" w:color="000000"/>
        <w:right w:val="single" w:sz="6" w:space="1" w:color="000000"/>
      </w:pBdr>
      <w:spacing w:before="240" w:after="60"/>
    </w:pPr>
    <w:rPr>
      <w:rFonts w:ascii="Arial" w:hAnsi="Arial" w:cs="Arial"/>
      <w:b/>
      <w:bCs/>
    </w:rPr>
  </w:style>
  <w:style w:type="paragraph" w:styleId="Default" w:customStyle="1">
    <w:name w:val="Default"/>
    <w:qFormat/>
    <w:rsid w:val="00ec5975"/>
    <w:pPr>
      <w:widowControl/>
      <w:suppressAutoHyphens w:val="true"/>
      <w:bidi w:val="0"/>
      <w:spacing w:before="0" w:after="0"/>
      <w:jc w:val="left"/>
    </w:pPr>
    <w:rPr>
      <w:rFonts w:ascii="Arial" w:hAnsi="Arial" w:eastAsia="Times New Roman" w:cs="Arial"/>
      <w:color w:val="000000"/>
      <w:kern w:val="0"/>
      <w:sz w:val="24"/>
      <w:szCs w:val="24"/>
      <w:lang w:val="fr-FR" w:eastAsia="fr-FR" w:bidi="ar-SA"/>
    </w:rPr>
  </w:style>
  <w:style w:type="paragraph" w:styleId="RedPara" w:customStyle="1">
    <w:name w:val="RedPara"/>
    <w:basedOn w:val="Normal"/>
    <w:qFormat/>
    <w:rsid w:val="00b95c71"/>
    <w:pPr>
      <w:keepNext w:val="true"/>
      <w:widowControl w:val="false"/>
      <w:spacing w:before="120" w:after="60"/>
    </w:pPr>
    <w:rPr>
      <w:rFonts w:ascii="Arial" w:hAnsi="Arial" w:cs="Arial"/>
      <w:b/>
      <w:bCs/>
      <w:sz w:val="22"/>
      <w:szCs w:val="22"/>
    </w:rPr>
  </w:style>
  <w:style w:type="paragraph" w:styleId="RedTitre2" w:customStyle="1">
    <w:name w:val="RedTitre2"/>
    <w:basedOn w:val="Normal"/>
    <w:qFormat/>
    <w:rsid w:val="008f21bd"/>
    <w:pPr>
      <w:keepNext w:val="true"/>
      <w:widowControl w:val="false"/>
      <w:pBdr>
        <w:top w:val="single" w:sz="6" w:space="1" w:color="000000"/>
        <w:left w:val="single" w:sz="6" w:space="1" w:color="000000"/>
        <w:bottom w:val="single" w:sz="6" w:space="1" w:color="000000"/>
        <w:right w:val="single" w:sz="6" w:space="1" w:color="000000"/>
      </w:pBdr>
      <w:spacing w:before="240" w:after="60"/>
    </w:pPr>
    <w:rPr>
      <w:rFonts w:ascii="Arial" w:hAnsi="Arial" w:cs="Arial"/>
      <w:b/>
      <w:bCs/>
    </w:rPr>
  </w:style>
  <w:style w:type="paragraph" w:styleId="Annotationtext">
    <w:name w:val="annotation text"/>
    <w:basedOn w:val="Normal"/>
    <w:link w:val="CommentaireCar"/>
    <w:uiPriority w:val="99"/>
    <w:unhideWhenUsed/>
    <w:qFormat/>
    <w:rsid w:val="00024047"/>
    <w:pPr>
      <w:spacing w:before="0" w:after="120"/>
    </w:pPr>
    <w:rPr>
      <w:sz w:val="20"/>
      <w:szCs w:val="20"/>
    </w:rPr>
  </w:style>
  <w:style w:type="paragraph" w:styleId="Annotationsubject">
    <w:name w:val="annotation subject"/>
    <w:basedOn w:val="Annotationtext"/>
    <w:next w:val="Annotationtext"/>
    <w:link w:val="ObjetducommentaireCar"/>
    <w:semiHidden/>
    <w:unhideWhenUsed/>
    <w:qFormat/>
    <w:rsid w:val="002b38e3"/>
    <w:pPr>
      <w:spacing w:before="0" w:after="0"/>
    </w:pPr>
    <w:rPr>
      <w:b/>
      <w:bCs/>
    </w:rPr>
  </w:style>
  <w:style w:type="paragraph" w:styleId="Tabledesmatiresniveau1">
    <w:name w:val="TOC 1"/>
    <w:basedOn w:val="Normal"/>
    <w:next w:val="Normal"/>
    <w:autoRedefine/>
    <w:uiPriority w:val="39"/>
    <w:rsid w:val="00d537be"/>
    <w:pPr>
      <w:widowControl w:val="false"/>
    </w:pPr>
    <w:rPr>
      <w:rFonts w:ascii="Arial" w:hAnsi="Arial" w:cs="Arial"/>
      <w:sz w:val="20"/>
      <w:szCs w:val="20"/>
    </w:rPr>
  </w:style>
  <w:style w:type="paragraph" w:styleId="Tabledesmatiresniveau2">
    <w:name w:val="TOC 2"/>
    <w:basedOn w:val="Normal"/>
    <w:next w:val="Normal"/>
    <w:autoRedefine/>
    <w:uiPriority w:val="39"/>
    <w:rsid w:val="00d537be"/>
    <w:pPr>
      <w:widowControl w:val="false"/>
      <w:ind w:left="200" w:hanging="0"/>
    </w:pPr>
    <w:rPr>
      <w:rFonts w:ascii="Arial" w:hAnsi="Arial" w:cs="Arial"/>
      <w:sz w:val="20"/>
      <w:szCs w:val="20"/>
    </w:rPr>
  </w:style>
  <w:style w:type="paragraph" w:styleId="Pieddepage">
    <w:name w:val="Footer"/>
    <w:basedOn w:val="Normal"/>
    <w:link w:val="PieddepageCar"/>
    <w:unhideWhenUsed/>
    <w:rsid w:val="00d51025"/>
    <w:pPr>
      <w:tabs>
        <w:tab w:val="clear" w:pos="709"/>
        <w:tab w:val="center" w:pos="4536" w:leader="none"/>
        <w:tab w:val="right" w:pos="9072" w:leader="none"/>
      </w:tabs>
    </w:pPr>
    <w:rPr/>
  </w:style>
  <w:style w:type="paragraph" w:styleId="Textepardfaut" w:customStyle="1">
    <w:name w:val="Texte par défaut"/>
    <w:basedOn w:val="Normal"/>
    <w:qFormat/>
    <w:rsid w:val="008e031d"/>
    <w:pPr>
      <w:overflowPunct w:val="false"/>
      <w:textAlignment w:val="baseline"/>
    </w:pPr>
    <w:rPr>
      <w:color w:val="000000"/>
      <w:szCs w:val="20"/>
      <w:lang w:val="en-US"/>
    </w:rPr>
  </w:style>
  <w:style w:type="paragraph" w:styleId="Sous-titre">
    <w:name w:val="Subtitle"/>
    <w:basedOn w:val="Normal"/>
    <w:next w:val="Normal"/>
    <w:link w:val="Sous-titreCar"/>
    <w:qFormat/>
    <w:rsid w:val="00be3cb3"/>
    <w:pPr>
      <w:spacing w:before="0" w:after="160"/>
    </w:pPr>
    <w:rPr>
      <w:rFonts w:ascii="Calibri" w:hAnsi="Calibri" w:eastAsia="" w:cs="" w:asciiTheme="minorHAnsi" w:cstheme="minorBidi" w:eastAsiaTheme="minorEastAsia" w:hAnsiTheme="minorHAnsi"/>
      <w:b/>
      <w:color w:val="0D0D0D" w:themeColor="text1" w:themeTint="f2"/>
      <w:spacing w:val="15"/>
      <w:sz w:val="28"/>
      <w:szCs w:val="22"/>
      <w:u w:val="single"/>
    </w:rPr>
  </w:style>
  <w:style w:type="paragraph" w:styleId="Revision">
    <w:name w:val="Revision"/>
    <w:uiPriority w:val="99"/>
    <w:semiHidden/>
    <w:qFormat/>
    <w:rsid w:val="0010480b"/>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Contenudecadre">
    <w:name w:val="Contenu de cadre"/>
    <w:basedOn w:val="Normal"/>
    <w:qFormat/>
    <w:pPr/>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ec597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CFE32-794F-46B6-997B-161ED8525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01.10.2021_MODELE_RC_MOE_Ouvert_bat</Template>
  <TotalTime>1071</TotalTime>
  <Application>LibreOffice/7.5.7.1.M1$Windows_X86_64 LibreOffice_project/9d4bf91ba30c991aaed3b97dd4173f7705c6b5ae</Application>
  <AppVersion>15.0000</AppVersion>
  <Pages>8</Pages>
  <Words>2666</Words>
  <Characters>14609</Characters>
  <CharactersWithSpaces>17181</CharactersWithSpaces>
  <Paragraphs>211</Paragraphs>
  <Company>Conseil Général de Saône et Loire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2024-07-15T13:22:00Z</dcterms:created>
  <dc:creator>Aurelien VILFROY</dc:creator>
  <dc:description/>
  <dc:language>fr-FR</dc:language>
  <cp:lastModifiedBy/>
  <cp:lastPrinted>2010-04-30T15:49:00Z</cp:lastPrinted>
  <dcterms:modified xsi:type="dcterms:W3CDTF">2024-10-22T09:20:18Z</dcterms:modified>
  <cp:revision>59</cp:revision>
  <dc:subject/>
  <dc:title>RC marché de MOE</dc:title>
</cp:coreProperties>
</file>

<file path=docProps/custom.xml><?xml version="1.0" encoding="utf-8"?>
<Properties xmlns="http://schemas.openxmlformats.org/officeDocument/2006/custom-properties" xmlns:vt="http://schemas.openxmlformats.org/officeDocument/2006/docPropsVTypes"/>
</file>