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AB6DD" w14:textId="318123EE" w:rsidR="00176188" w:rsidRPr="00C822AF" w:rsidRDefault="00C65860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>
        <w:rPr>
          <w:rFonts w:cstheme="minorHAnsi"/>
          <w:b/>
          <w:bCs/>
          <w:color w:val="4F81BD" w:themeColor="accent1"/>
          <w:sz w:val="24"/>
          <w:szCs w:val="20"/>
        </w:rPr>
        <w:t>INSTALLATION D’UN SYSTEME DE CANTINE CONNECTEE</w:t>
      </w:r>
      <w:r w:rsidR="00053BBA">
        <w:rPr>
          <w:rFonts w:cstheme="minorHAnsi"/>
          <w:b/>
          <w:bCs/>
          <w:color w:val="4F81BD" w:themeColor="accent1"/>
          <w:sz w:val="24"/>
          <w:szCs w:val="20"/>
        </w:rPr>
        <w:t xml:space="preserve"> SUR LES SITES DE LA CPAM DE PARIS</w:t>
      </w:r>
    </w:p>
    <w:p w14:paraId="79DCC792" w14:textId="41E73CDC" w:rsidR="00477B53" w:rsidRPr="00C822AF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C822AF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053BBA">
        <w:rPr>
          <w:rFonts w:cstheme="minorHAnsi"/>
          <w:b/>
          <w:bCs/>
          <w:i/>
          <w:color w:val="4F81BD" w:themeColor="accent1"/>
          <w:szCs w:val="20"/>
        </w:rPr>
        <w:t>1 lot unique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318D8C65" w:rsidR="00E926D8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C822AF">
        <w:rPr>
          <w:b w:val="0"/>
          <w:i/>
          <w:sz w:val="20"/>
        </w:rPr>
        <w:t>Accor</w:t>
      </w:r>
      <w:r w:rsidR="00704723">
        <w:rPr>
          <w:b w:val="0"/>
          <w:i/>
          <w:sz w:val="20"/>
        </w:rPr>
        <w:t xml:space="preserve">d-cadre passé en application des articles </w:t>
      </w:r>
      <w:r w:rsidR="00704723" w:rsidRPr="00704723">
        <w:rPr>
          <w:b w:val="0"/>
          <w:i/>
          <w:sz w:val="20"/>
        </w:rPr>
        <w:t>L2123-1 et R2123-1-3° du Code de la commande publique</w:t>
      </w:r>
    </w:p>
    <w:p w14:paraId="64D47884" w14:textId="77777777" w:rsidR="008F7993" w:rsidRPr="003E5BE9" w:rsidRDefault="008F7993" w:rsidP="00FE66DB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F32B40" w14:paraId="719225D1" w14:textId="77777777" w:rsidTr="005416CB">
        <w:trPr>
          <w:trHeight w:val="171"/>
        </w:trPr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FFFFF"/>
            <w:vAlign w:val="center"/>
          </w:tcPr>
          <w:p w14:paraId="30B0693A" w14:textId="68B794C9" w:rsidR="008F7993" w:rsidRPr="00F32B40" w:rsidRDefault="008F7993" w:rsidP="00FE66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8" w:type="dxa"/>
            <w:shd w:val="clear" w:color="auto" w:fill="auto"/>
            <w:vAlign w:val="center"/>
          </w:tcPr>
          <w:p w14:paraId="7AC1A2DE" w14:textId="46070C63" w:rsidR="008F7993" w:rsidRPr="008E50E2" w:rsidRDefault="00913232" w:rsidP="00913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Location, maintenance et approvisionnement d’un système de restauration connecté</w:t>
            </w:r>
            <w:r w:rsidR="00FE66D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sur différents sites de la CPAM de Paris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37EBFFA9" w:rsidR="00176188" w:rsidRPr="009A440D" w:rsidRDefault="007047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  <w:listItem w:displayText="Département Achats" w:value="Département Achats"/>
                </w:comboBox>
              </w:sdtPr>
              <w:sdtEndPr/>
              <w:sdtContent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Achats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704723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704723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697DF3E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704723">
        <w:rPr>
          <w:rFonts w:ascii="Arial" w:hAnsi="Arial" w:cs="Arial"/>
          <w:b/>
          <w:bCs/>
          <w:color w:val="000000"/>
          <w:sz w:val="20"/>
          <w:szCs w:val="18"/>
        </w:rPr>
        <w:t>4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51C9E183" w:rsidR="0094181F" w:rsidRPr="00985966" w:rsidRDefault="0094181F" w:rsidP="0098596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5966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985966">
        <w:rPr>
          <w:rFonts w:ascii="Arial" w:hAnsi="Arial" w:cs="Arial"/>
          <w:b/>
          <w:bCs/>
          <w:color w:val="000000"/>
          <w:sz w:val="20"/>
          <w:szCs w:val="20"/>
        </w:rPr>
        <w:t>le cadre de réponse financière</w:t>
      </w:r>
      <w:r w:rsidRPr="00985966">
        <w:rPr>
          <w:rFonts w:ascii="Arial" w:hAnsi="Arial" w:cs="Arial"/>
          <w:bCs/>
          <w:color w:val="000000"/>
          <w:sz w:val="20"/>
          <w:szCs w:val="20"/>
        </w:rPr>
        <w:t xml:space="preserve"> (annexe 1</w:t>
      </w:r>
      <w:r w:rsidR="00C822AF" w:rsidRPr="0098596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85966">
        <w:rPr>
          <w:rFonts w:ascii="Arial" w:hAnsi="Arial" w:cs="Arial"/>
          <w:bCs/>
          <w:color w:val="000000"/>
          <w:sz w:val="20"/>
          <w:szCs w:val="20"/>
        </w:rPr>
        <w:t>de l’acte d’engagement).</w:t>
      </w:r>
    </w:p>
    <w:p w14:paraId="3ECEC966" w14:textId="0F835666" w:rsidR="0094181F" w:rsidRDefault="0094181F" w:rsidP="0098596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5966">
        <w:rPr>
          <w:rFonts w:ascii="Arial" w:hAnsi="Arial" w:cs="Arial"/>
          <w:bCs/>
          <w:color w:val="000000"/>
          <w:sz w:val="20"/>
          <w:szCs w:val="20"/>
        </w:rPr>
        <w:t xml:space="preserve">Ainsi, les prestations seront réglées sur la base des prix </w:t>
      </w:r>
      <w:r w:rsidR="00505B72" w:rsidRPr="00985966">
        <w:rPr>
          <w:rFonts w:ascii="Arial" w:hAnsi="Arial" w:cs="Arial"/>
          <w:bCs/>
          <w:color w:val="000000"/>
          <w:sz w:val="20"/>
          <w:szCs w:val="20"/>
        </w:rPr>
        <w:t>forfaitaires</w:t>
      </w:r>
      <w:r w:rsidRPr="00985966">
        <w:rPr>
          <w:rFonts w:ascii="Arial" w:hAnsi="Arial" w:cs="Arial"/>
          <w:bCs/>
          <w:color w:val="000000"/>
          <w:sz w:val="20"/>
          <w:szCs w:val="20"/>
        </w:rPr>
        <w:t xml:space="preserve"> hors taxes figurant sur l</w:t>
      </w:r>
      <w:r w:rsidR="00985966" w:rsidRPr="00985966">
        <w:rPr>
          <w:rFonts w:ascii="Arial" w:hAnsi="Arial" w:cs="Arial"/>
          <w:bCs/>
          <w:color w:val="000000"/>
          <w:sz w:val="20"/>
          <w:szCs w:val="20"/>
        </w:rPr>
        <w:t>a Décomposition des Prix Global et Forfaitaire (DPGF)</w:t>
      </w:r>
      <w:r w:rsidRPr="00985966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4CDD0C2" w14:textId="68114F1C" w:rsidR="0094181F" w:rsidRPr="0094181F" w:rsidRDefault="0094181F" w:rsidP="0098596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ED4DC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CD74F4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E0C8E2E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2B756E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E8C92E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6A95B21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42EBB2" w14:textId="27A72442" w:rsidR="00FE66DB" w:rsidRDefault="00FE66DB" w:rsidP="007047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bookmarkStart w:id="13" w:name="_GoBack"/>
      <w:bookmarkEnd w:id="13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A322696" w:rsidR="00893BA7" w:rsidRPr="00EC05EC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EC05EC">
        <w:rPr>
          <w:sz w:val="20"/>
          <w:szCs w:val="20"/>
        </w:rPr>
        <w:t xml:space="preserve">La durée du marché est fixée à </w:t>
      </w:r>
      <w:r w:rsidR="0072289F" w:rsidRPr="00EC05EC">
        <w:rPr>
          <w:sz w:val="20"/>
          <w:szCs w:val="20"/>
        </w:rPr>
        <w:t>1</w:t>
      </w:r>
      <w:r w:rsidR="00DE2C55" w:rsidRPr="00EC05EC">
        <w:rPr>
          <w:sz w:val="20"/>
          <w:szCs w:val="20"/>
        </w:rPr>
        <w:t xml:space="preserve"> (un)</w:t>
      </w:r>
      <w:r w:rsidR="00893BA7" w:rsidRPr="00EC05EC">
        <w:rPr>
          <w:sz w:val="20"/>
          <w:szCs w:val="20"/>
        </w:rPr>
        <w:t xml:space="preserve"> an, à compter </w:t>
      </w:r>
      <w:r w:rsidR="00DE2C55" w:rsidRPr="00EC05EC">
        <w:rPr>
          <w:sz w:val="20"/>
          <w:szCs w:val="20"/>
        </w:rPr>
        <w:t>de sa notification.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EC05EC">
        <w:rPr>
          <w:sz w:val="20"/>
          <w:szCs w:val="20"/>
        </w:rPr>
        <w:t>Le marché est r</w:t>
      </w:r>
      <w:r w:rsidR="00931288" w:rsidRPr="00EC05EC">
        <w:rPr>
          <w:sz w:val="20"/>
          <w:szCs w:val="20"/>
        </w:rPr>
        <w:t xml:space="preserve">econductible de manière tacite </w:t>
      </w:r>
      <w:r w:rsidR="00F44214" w:rsidRPr="00EC05EC">
        <w:rPr>
          <w:sz w:val="20"/>
          <w:szCs w:val="20"/>
        </w:rPr>
        <w:t>3</w:t>
      </w:r>
      <w:r w:rsidR="00DE2C55" w:rsidRPr="00EC05EC">
        <w:rPr>
          <w:sz w:val="20"/>
          <w:szCs w:val="20"/>
        </w:rPr>
        <w:t xml:space="preserve"> (trois)</w:t>
      </w:r>
      <w:r w:rsidRPr="00EC05EC">
        <w:rPr>
          <w:sz w:val="20"/>
          <w:szCs w:val="20"/>
        </w:rPr>
        <w:t xml:space="preserve"> fois, pour une période de 1</w:t>
      </w:r>
      <w:r w:rsidR="00DE2C55" w:rsidRPr="00EC05EC">
        <w:rPr>
          <w:sz w:val="20"/>
          <w:szCs w:val="20"/>
        </w:rPr>
        <w:t xml:space="preserve"> (un)</w:t>
      </w:r>
      <w:r w:rsidRPr="00EC05EC">
        <w:rPr>
          <w:sz w:val="20"/>
          <w:szCs w:val="20"/>
        </w:rPr>
        <w:t xml:space="preserve"> </w:t>
      </w:r>
      <w:r w:rsidR="00780AB7" w:rsidRPr="00EC05EC">
        <w:rPr>
          <w:sz w:val="20"/>
          <w:szCs w:val="20"/>
        </w:rPr>
        <w:t xml:space="preserve">an, soit une durée maximale de </w:t>
      </w:r>
      <w:r w:rsidR="00F44214" w:rsidRPr="00EC05EC">
        <w:rPr>
          <w:sz w:val="20"/>
          <w:szCs w:val="20"/>
        </w:rPr>
        <w:t>4</w:t>
      </w:r>
      <w:r w:rsidR="00DE2C55" w:rsidRPr="00EC05EC">
        <w:rPr>
          <w:sz w:val="20"/>
          <w:szCs w:val="20"/>
        </w:rPr>
        <w:t xml:space="preserve"> (quatre)</w:t>
      </w:r>
      <w:r w:rsidRPr="00EC05EC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6A36B204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1CD59155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3B0C53">
        <w:rPr>
          <w:rFonts w:ascii="Arial" w:hAnsi="Arial" w:cs="Arial"/>
          <w:color w:val="000000"/>
          <w:sz w:val="20"/>
          <w:szCs w:val="20"/>
        </w:rPr>
        <w:t>2.5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704723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704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704723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704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704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4ADB33" w14:textId="645BE4EA" w:rsidR="00972CFD" w:rsidRDefault="00704723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37314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A fait l’objet d’une négociation</w:t>
      </w:r>
    </w:p>
    <w:p w14:paraId="23C7EA01" w14:textId="692ACE91" w:rsidR="00972CFD" w:rsidRDefault="00704723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70357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N’a pas fait l’objet d’une négociation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0C0E5F84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3B0C53">
      <w:rPr>
        <w:rFonts w:ascii="Arial" w:hAnsi="Arial" w:cs="Arial"/>
        <w:color w:val="000000"/>
        <w:sz w:val="16"/>
        <w:szCs w:val="16"/>
      </w:rPr>
      <w:t>Location, maintenance et approvisionnement d’un système de restauration connecté sur différents</w:t>
    </w:r>
    <w:r w:rsidR="00C348B2">
      <w:rPr>
        <w:rFonts w:ascii="Arial" w:hAnsi="Arial" w:cs="Arial"/>
        <w:color w:val="000000"/>
        <w:sz w:val="16"/>
        <w:szCs w:val="16"/>
      </w:rPr>
      <w:t xml:space="preserve"> sites de la CPAM de Paris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704723">
      <w:rPr>
        <w:rFonts w:ascii="Arial" w:hAnsi="Arial" w:cs="Arial"/>
        <w:noProof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42214"/>
    <w:rsid w:val="00053BBA"/>
    <w:rsid w:val="000734D4"/>
    <w:rsid w:val="00080E57"/>
    <w:rsid w:val="000E646C"/>
    <w:rsid w:val="0010752F"/>
    <w:rsid w:val="00144C66"/>
    <w:rsid w:val="00160BEB"/>
    <w:rsid w:val="00176188"/>
    <w:rsid w:val="001D1DA1"/>
    <w:rsid w:val="001F4968"/>
    <w:rsid w:val="0023171F"/>
    <w:rsid w:val="00243379"/>
    <w:rsid w:val="00247FFD"/>
    <w:rsid w:val="002520D8"/>
    <w:rsid w:val="00292799"/>
    <w:rsid w:val="002B38DE"/>
    <w:rsid w:val="00354C84"/>
    <w:rsid w:val="003B0C53"/>
    <w:rsid w:val="003E5BE9"/>
    <w:rsid w:val="004006E1"/>
    <w:rsid w:val="00414D23"/>
    <w:rsid w:val="00477B53"/>
    <w:rsid w:val="00505B72"/>
    <w:rsid w:val="00507446"/>
    <w:rsid w:val="00532018"/>
    <w:rsid w:val="00547DAB"/>
    <w:rsid w:val="00565D8C"/>
    <w:rsid w:val="005825C7"/>
    <w:rsid w:val="005B2DC5"/>
    <w:rsid w:val="0066065B"/>
    <w:rsid w:val="006725A1"/>
    <w:rsid w:val="00676E73"/>
    <w:rsid w:val="006A74CC"/>
    <w:rsid w:val="006E4E86"/>
    <w:rsid w:val="006F009F"/>
    <w:rsid w:val="006F22CA"/>
    <w:rsid w:val="00704723"/>
    <w:rsid w:val="0072289F"/>
    <w:rsid w:val="00743745"/>
    <w:rsid w:val="00756374"/>
    <w:rsid w:val="00780AB7"/>
    <w:rsid w:val="007C02D1"/>
    <w:rsid w:val="007C5FDD"/>
    <w:rsid w:val="0082516E"/>
    <w:rsid w:val="00893BA7"/>
    <w:rsid w:val="008F7993"/>
    <w:rsid w:val="00901733"/>
    <w:rsid w:val="009032FB"/>
    <w:rsid w:val="00913232"/>
    <w:rsid w:val="00931288"/>
    <w:rsid w:val="0094181F"/>
    <w:rsid w:val="00972CFD"/>
    <w:rsid w:val="00985966"/>
    <w:rsid w:val="009A440D"/>
    <w:rsid w:val="009A5011"/>
    <w:rsid w:val="009E0FEE"/>
    <w:rsid w:val="00A512A2"/>
    <w:rsid w:val="00A6499B"/>
    <w:rsid w:val="00B439C2"/>
    <w:rsid w:val="00B608C6"/>
    <w:rsid w:val="00B60DA3"/>
    <w:rsid w:val="00B80DF7"/>
    <w:rsid w:val="00B96E6C"/>
    <w:rsid w:val="00C348B2"/>
    <w:rsid w:val="00C65860"/>
    <w:rsid w:val="00C822AF"/>
    <w:rsid w:val="00CC0657"/>
    <w:rsid w:val="00CE17E2"/>
    <w:rsid w:val="00D1049B"/>
    <w:rsid w:val="00D53CD4"/>
    <w:rsid w:val="00D70EE6"/>
    <w:rsid w:val="00DE2C55"/>
    <w:rsid w:val="00E54944"/>
    <w:rsid w:val="00E926D8"/>
    <w:rsid w:val="00EC05EC"/>
    <w:rsid w:val="00EC1E6B"/>
    <w:rsid w:val="00EE351A"/>
    <w:rsid w:val="00F036B9"/>
    <w:rsid w:val="00F04166"/>
    <w:rsid w:val="00F1468C"/>
    <w:rsid w:val="00F32B40"/>
    <w:rsid w:val="00F44214"/>
    <w:rsid w:val="00F505FE"/>
    <w:rsid w:val="00F72ACD"/>
    <w:rsid w:val="00F81E91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8A542-49F0-44FF-A9BD-D9F1CC91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CANADA JOHANNA (CPAM PARIS)</cp:lastModifiedBy>
  <cp:revision>5</cp:revision>
  <cp:lastPrinted>2017-08-08T13:04:00Z</cp:lastPrinted>
  <dcterms:created xsi:type="dcterms:W3CDTF">2024-10-02T09:27:00Z</dcterms:created>
  <dcterms:modified xsi:type="dcterms:W3CDTF">2024-10-17T09:53:00Z</dcterms:modified>
</cp:coreProperties>
</file>