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148" w:rsidRPr="00633148" w:rsidRDefault="00633148" w:rsidP="00633148">
      <w:pPr>
        <w:keepNext/>
        <w:spacing w:before="120" w:after="60" w:line="240" w:lineRule="auto"/>
        <w:ind w:left="1800" w:hanging="360"/>
        <w:jc w:val="center"/>
        <w:outlineLvl w:val="3"/>
        <w:rPr>
          <w:rFonts w:eastAsia="Times New Roman" w:cstheme="minorHAnsi"/>
          <w:sz w:val="24"/>
          <w:szCs w:val="24"/>
          <w:u w:val="single"/>
          <w:lang w:eastAsia="fr-FR"/>
        </w:rPr>
      </w:pPr>
      <w:bookmarkStart w:id="0" w:name="_Toc180477928"/>
      <w:r w:rsidRPr="00633148">
        <w:rPr>
          <w:rFonts w:eastAsia="Times New Roman" w:cstheme="minorHAnsi"/>
          <w:b/>
          <w:bCs/>
          <w:color w:val="2F5496" w:themeColor="accent5" w:themeShade="BF"/>
          <w:sz w:val="24"/>
          <w:szCs w:val="24"/>
          <w:u w:val="single"/>
          <w:lang w:eastAsia="fr-FR"/>
        </w:rPr>
        <w:t xml:space="preserve">ANNEXE </w:t>
      </w:r>
      <w:r w:rsidR="00222988">
        <w:rPr>
          <w:rFonts w:eastAsia="Times New Roman" w:cstheme="minorHAnsi"/>
          <w:b/>
          <w:bCs/>
          <w:color w:val="2F5496" w:themeColor="accent5" w:themeShade="BF"/>
          <w:sz w:val="24"/>
          <w:szCs w:val="24"/>
          <w:u w:val="single"/>
          <w:lang w:eastAsia="fr-FR"/>
        </w:rPr>
        <w:t>2</w:t>
      </w:r>
      <w:bookmarkStart w:id="1" w:name="_GoBack"/>
      <w:bookmarkEnd w:id="1"/>
      <w:r>
        <w:rPr>
          <w:rFonts w:eastAsia="Times New Roman" w:cstheme="minorHAnsi"/>
          <w:b/>
          <w:bCs/>
          <w:color w:val="2F5496" w:themeColor="accent5" w:themeShade="BF"/>
          <w:sz w:val="24"/>
          <w:szCs w:val="24"/>
          <w:u w:val="single"/>
          <w:lang w:eastAsia="fr-FR"/>
        </w:rPr>
        <w:t xml:space="preserve"> à l’Acte d’engagement </w:t>
      </w:r>
      <w:r w:rsidRPr="00633148">
        <w:rPr>
          <w:rFonts w:eastAsia="Times New Roman" w:cstheme="minorHAnsi"/>
          <w:b/>
          <w:bCs/>
          <w:color w:val="2F5496" w:themeColor="accent5" w:themeShade="BF"/>
          <w:sz w:val="24"/>
          <w:szCs w:val="24"/>
          <w:u w:val="single"/>
          <w:lang w:eastAsia="fr-FR"/>
        </w:rPr>
        <w:t>:</w:t>
      </w:r>
      <w:r w:rsidRPr="00633148">
        <w:rPr>
          <w:rFonts w:eastAsia="Times New Roman" w:cstheme="minorHAnsi"/>
          <w:color w:val="2F5496" w:themeColor="accent5" w:themeShade="BF"/>
          <w:sz w:val="24"/>
          <w:szCs w:val="24"/>
          <w:lang w:eastAsia="fr-FR"/>
        </w:rPr>
        <w:t xml:space="preserve"> </w:t>
      </w:r>
      <w:r w:rsidRPr="00633148">
        <w:rPr>
          <w:rFonts w:eastAsia="Times New Roman" w:cstheme="minorHAnsi"/>
          <w:sz w:val="24"/>
          <w:szCs w:val="24"/>
          <w:u w:val="single"/>
          <w:lang w:eastAsia="fr-FR"/>
        </w:rPr>
        <w:t>Mémoire technique – Plan imposé par l’Administration</w:t>
      </w:r>
      <w:bookmarkEnd w:id="0"/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highlight w:val="yellow"/>
          <w:lang w:eastAsia="fr-FR"/>
        </w:rPr>
      </w:pPr>
    </w:p>
    <w:p w:rsidR="00633148" w:rsidRPr="00633148" w:rsidRDefault="00633148" w:rsidP="00633148">
      <w:pPr>
        <w:numPr>
          <w:ilvl w:val="0"/>
          <w:numId w:val="2"/>
        </w:numPr>
        <w:spacing w:after="0" w:line="480" w:lineRule="auto"/>
        <w:contextualSpacing/>
        <w:rPr>
          <w:rFonts w:cstheme="minorHAnsi"/>
          <w:b/>
        </w:rPr>
      </w:pPr>
      <w:r w:rsidRPr="00633148">
        <w:rPr>
          <w:rFonts w:cstheme="minorHAnsi"/>
          <w:b/>
        </w:rPr>
        <w:t>Introduction</w:t>
      </w:r>
    </w:p>
    <w:p w:rsidR="00633148" w:rsidRPr="00633148" w:rsidRDefault="00633148" w:rsidP="00633148">
      <w:pPr>
        <w:spacing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 xml:space="preserve">1.1 Présentation de l’entreprise </w:t>
      </w:r>
    </w:p>
    <w:p w:rsidR="00633148" w:rsidRPr="00633148" w:rsidRDefault="00633148" w:rsidP="00633148">
      <w:pPr>
        <w:spacing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1.2 Compréhension et conduite du projet global</w:t>
      </w:r>
    </w:p>
    <w:p w:rsidR="00633148" w:rsidRPr="00633148" w:rsidRDefault="00633148" w:rsidP="00633148">
      <w:pPr>
        <w:ind w:left="720"/>
        <w:contextualSpacing/>
        <w:rPr>
          <w:rFonts w:cstheme="minorHAnsi"/>
        </w:rPr>
      </w:pPr>
    </w:p>
    <w:p w:rsidR="00633148" w:rsidRPr="00633148" w:rsidRDefault="00633148" w:rsidP="00633148">
      <w:pPr>
        <w:numPr>
          <w:ilvl w:val="0"/>
          <w:numId w:val="2"/>
        </w:numPr>
        <w:spacing w:after="0" w:line="480" w:lineRule="auto"/>
        <w:contextualSpacing/>
        <w:rPr>
          <w:rFonts w:cstheme="minorHAnsi"/>
          <w:b/>
        </w:rPr>
      </w:pPr>
      <w:r w:rsidRPr="00633148">
        <w:rPr>
          <w:rFonts w:cstheme="minorHAnsi"/>
          <w:b/>
        </w:rPr>
        <w:t xml:space="preserve">Conception et contenu du projet </w:t>
      </w:r>
    </w:p>
    <w:p w:rsidR="00633148" w:rsidRPr="00633148" w:rsidRDefault="00633148" w:rsidP="00633148">
      <w:pPr>
        <w:spacing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2.1 Ingénierie pédagogique mise en œuvre pour la conception des modules (utilisation techniques pédagogiques modernes et innovantes)</w:t>
      </w:r>
    </w:p>
    <w:p w:rsidR="00633148" w:rsidRPr="00633148" w:rsidRDefault="00633148" w:rsidP="00633148">
      <w:pPr>
        <w:spacing w:after="0"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2.2 Échantillon : Présentation de modèles similaires réalisés (visuels papiers)</w:t>
      </w:r>
    </w:p>
    <w:p w:rsidR="00633148" w:rsidRPr="00633148" w:rsidRDefault="00633148" w:rsidP="00633148">
      <w:pPr>
        <w:spacing w:after="0"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2.3 Qualité des parcours de formation proposés</w:t>
      </w:r>
    </w:p>
    <w:p w:rsidR="00633148" w:rsidRPr="00633148" w:rsidRDefault="00633148" w:rsidP="00633148">
      <w:pPr>
        <w:spacing w:after="0"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2.4 Variété du lexique de chaque module</w:t>
      </w:r>
    </w:p>
    <w:p w:rsidR="00633148" w:rsidRPr="00633148" w:rsidRDefault="00633148" w:rsidP="00633148">
      <w:pPr>
        <w:spacing w:after="0"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2.5 Diversité des types d’exercices au sein de chaque module ;</w:t>
      </w:r>
    </w:p>
    <w:p w:rsidR="00633148" w:rsidRPr="00633148" w:rsidRDefault="00633148" w:rsidP="00633148">
      <w:pPr>
        <w:spacing w:after="0"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2.6 Qualité de la scénarisation et richesse du lexique réinvesti</w:t>
      </w:r>
    </w:p>
    <w:p w:rsidR="00633148" w:rsidRPr="00633148" w:rsidRDefault="00633148" w:rsidP="00633148">
      <w:pPr>
        <w:spacing w:after="0"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2.7 Calendrier du projet avec échéances (Cf. Comitologie 5.1 de la partie CCTP) ;</w:t>
      </w:r>
    </w:p>
    <w:p w:rsidR="00633148" w:rsidRPr="00633148" w:rsidRDefault="00633148" w:rsidP="00633148">
      <w:pPr>
        <w:spacing w:after="0"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2.8 Pertinence du calendrier prévisionnel avec échéances etc. ;</w:t>
      </w:r>
    </w:p>
    <w:p w:rsidR="00633148" w:rsidRPr="00633148" w:rsidRDefault="00633148" w:rsidP="00633148">
      <w:pPr>
        <w:spacing w:after="0"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2.8 Technique de relance des apprenants ;</w:t>
      </w:r>
    </w:p>
    <w:p w:rsidR="00633148" w:rsidRPr="00633148" w:rsidRDefault="00633148" w:rsidP="00633148">
      <w:pPr>
        <w:spacing w:after="0"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2.9 Visuel de la solution (proposition de charte graphique) ;</w:t>
      </w:r>
    </w:p>
    <w:p w:rsidR="00633148" w:rsidRPr="00633148" w:rsidRDefault="00633148" w:rsidP="00633148">
      <w:pPr>
        <w:spacing w:after="0"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2.11 Intuitivité des modules de formation.</w:t>
      </w:r>
    </w:p>
    <w:p w:rsidR="00633148" w:rsidRPr="00633148" w:rsidRDefault="00633148" w:rsidP="00633148">
      <w:pPr>
        <w:spacing w:after="0" w:line="360" w:lineRule="auto"/>
        <w:ind w:left="1440"/>
        <w:contextualSpacing/>
        <w:rPr>
          <w:rFonts w:cstheme="minorHAnsi"/>
          <w:highlight w:val="yellow"/>
        </w:rPr>
      </w:pPr>
    </w:p>
    <w:p w:rsidR="00633148" w:rsidRPr="00633148" w:rsidRDefault="00633148" w:rsidP="00633148">
      <w:pPr>
        <w:numPr>
          <w:ilvl w:val="0"/>
          <w:numId w:val="2"/>
        </w:numPr>
        <w:spacing w:after="0" w:line="480" w:lineRule="auto"/>
        <w:contextualSpacing/>
        <w:rPr>
          <w:rFonts w:cstheme="minorHAnsi"/>
          <w:b/>
        </w:rPr>
      </w:pPr>
      <w:r w:rsidRPr="00633148">
        <w:rPr>
          <w:rFonts w:cstheme="minorHAnsi"/>
          <w:b/>
        </w:rPr>
        <w:t xml:space="preserve">Fonctionnalités  </w:t>
      </w:r>
    </w:p>
    <w:p w:rsidR="00633148" w:rsidRPr="00633148" w:rsidRDefault="00633148" w:rsidP="00633148">
      <w:pPr>
        <w:spacing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3.1 Simplicité d’accès à la solution.</w:t>
      </w:r>
    </w:p>
    <w:p w:rsidR="00633148" w:rsidRPr="00633148" w:rsidRDefault="00633148" w:rsidP="00633148">
      <w:pPr>
        <w:spacing w:line="360" w:lineRule="auto"/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3.2 Richesse des fonctionnalités.</w:t>
      </w:r>
    </w:p>
    <w:p w:rsidR="00633148" w:rsidRPr="00633148" w:rsidRDefault="00633148" w:rsidP="00633148">
      <w:pPr>
        <w:spacing w:line="360" w:lineRule="auto"/>
        <w:ind w:left="1440"/>
        <w:contextualSpacing/>
        <w:rPr>
          <w:rFonts w:cstheme="minorHAnsi"/>
          <w:b/>
        </w:rPr>
      </w:pPr>
      <w:r w:rsidRPr="00633148">
        <w:rPr>
          <w:rFonts w:cstheme="minorHAnsi"/>
        </w:rPr>
        <w:t>3.3 Ergonomie</w:t>
      </w:r>
    </w:p>
    <w:p w:rsidR="00633148" w:rsidRPr="00633148" w:rsidRDefault="00633148" w:rsidP="00633148">
      <w:pPr>
        <w:ind w:left="720"/>
        <w:contextualSpacing/>
        <w:rPr>
          <w:rFonts w:cstheme="minorHAnsi"/>
          <w:highlight w:val="yellow"/>
        </w:rPr>
      </w:pPr>
    </w:p>
    <w:p w:rsidR="00633148" w:rsidRPr="00633148" w:rsidRDefault="00633148" w:rsidP="00633148">
      <w:pPr>
        <w:numPr>
          <w:ilvl w:val="0"/>
          <w:numId w:val="2"/>
        </w:numPr>
        <w:spacing w:after="0" w:line="480" w:lineRule="auto"/>
        <w:contextualSpacing/>
        <w:rPr>
          <w:rFonts w:cstheme="minorHAnsi"/>
          <w:b/>
        </w:rPr>
      </w:pPr>
      <w:r w:rsidRPr="00633148">
        <w:rPr>
          <w:rFonts w:cstheme="minorHAnsi"/>
          <w:b/>
        </w:rPr>
        <w:t>Moyens humains</w:t>
      </w:r>
    </w:p>
    <w:p w:rsidR="00633148" w:rsidRPr="00633148" w:rsidRDefault="00633148" w:rsidP="00633148">
      <w:pPr>
        <w:ind w:left="1440"/>
        <w:contextualSpacing/>
        <w:rPr>
          <w:rFonts w:cstheme="minorHAnsi"/>
        </w:rPr>
      </w:pPr>
      <w:r w:rsidRPr="00633148">
        <w:rPr>
          <w:rFonts w:cstheme="minorHAnsi"/>
        </w:rPr>
        <w:t>Pertinence et qualité de l’équipe proposée (composition, expérience, CV…)</w:t>
      </w:r>
    </w:p>
    <w:p w:rsidR="00633148" w:rsidRPr="00633148" w:rsidRDefault="00633148" w:rsidP="00633148">
      <w:pPr>
        <w:ind w:left="720"/>
        <w:contextualSpacing/>
        <w:rPr>
          <w:rFonts w:cstheme="minorHAnsi"/>
          <w:highlight w:val="yellow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633148" w:rsidRPr="00633148" w:rsidRDefault="00633148" w:rsidP="00633148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80510F" w:rsidRDefault="0080510F"/>
    <w:sectPr w:rsidR="00805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E491E"/>
    <w:multiLevelType w:val="hybridMultilevel"/>
    <w:tmpl w:val="7B5CFA96"/>
    <w:lvl w:ilvl="0" w:tplc="F35811A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B7049"/>
    <w:multiLevelType w:val="multilevel"/>
    <w:tmpl w:val="78106D0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148"/>
    <w:rsid w:val="00222988"/>
    <w:rsid w:val="00633148"/>
    <w:rsid w:val="006B1D66"/>
    <w:rsid w:val="0080510F"/>
    <w:rsid w:val="00A5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95DDC"/>
  <w15:chartTrackingRefBased/>
  <w15:docId w15:val="{FDF79C88-9532-4C96-A00A-3CE51E13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B1D6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6B1D66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972</Characters>
  <Application>Microsoft Office Word</Application>
  <DocSecurity>0</DocSecurity>
  <Lines>8</Lines>
  <Paragraphs>2</Paragraphs>
  <ScaleCrop>false</ScaleCrop>
  <Company>Ministère des Armées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DEDIEU Laurent TSEF 2</dc:creator>
  <cp:keywords/>
  <dc:description/>
  <cp:lastModifiedBy>DEDIEU Laurent TSEF 2</cp:lastModifiedBy>
  <cp:revision>2</cp:revision>
  <dcterms:created xsi:type="dcterms:W3CDTF">2024-10-22T07:31:00Z</dcterms:created>
  <dcterms:modified xsi:type="dcterms:W3CDTF">2024-10-22T12:42:00Z</dcterms:modified>
</cp:coreProperties>
</file>