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937" w:rsidRDefault="009E38BE" w:rsidP="00BE1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Times New Roman" w:hAnsi="Times New Roman" w:cs="Times New Roman"/>
          <w:b/>
          <w:iCs/>
          <w:noProof/>
          <w:color w:val="365F91" w:themeColor="accent1" w:themeShade="BF"/>
          <w:sz w:val="24"/>
          <w:szCs w:val="24"/>
          <w:lang w:eastAsia="fr-FR"/>
        </w:rPr>
      </w:pPr>
      <w:r w:rsidRPr="009E38BE">
        <w:rPr>
          <w:rFonts w:ascii="Times New Roman" w:hAnsi="Times New Roman" w:cs="Times New Roman"/>
          <w:b/>
          <w:iCs/>
          <w:noProof/>
          <w:color w:val="365F91" w:themeColor="accent1" w:themeShade="BF"/>
          <w:sz w:val="24"/>
          <w:szCs w:val="24"/>
          <w:lang w:eastAsia="fr-FR"/>
        </w:rPr>
        <w:t xml:space="preserve">EVOLUTION DE LA REGLEMENTATION SUR LA PROTECTION DU SECRET </w:t>
      </w:r>
    </w:p>
    <w:p w:rsidR="0048161D" w:rsidRPr="009E38BE" w:rsidRDefault="009E38BE" w:rsidP="00BE1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Times New Roman" w:hAnsi="Times New Roman" w:cs="Times New Roman"/>
          <w:b/>
          <w:iCs/>
          <w:noProof/>
          <w:color w:val="365F91" w:themeColor="accent1" w:themeShade="BF"/>
          <w:sz w:val="24"/>
          <w:szCs w:val="24"/>
          <w:lang w:eastAsia="fr-FR"/>
        </w:rPr>
      </w:pPr>
      <w:r>
        <w:rPr>
          <w:rFonts w:ascii="Times New Roman" w:hAnsi="Times New Roman" w:cs="Times New Roman"/>
          <w:b/>
          <w:iCs/>
          <w:noProof/>
          <w:color w:val="365F91" w:themeColor="accent1" w:themeShade="BF"/>
          <w:sz w:val="24"/>
          <w:szCs w:val="24"/>
          <w:lang w:eastAsia="fr-FR"/>
        </w:rPr>
        <w:t xml:space="preserve">LA </w:t>
      </w:r>
      <w:r w:rsidRPr="009E38BE">
        <w:rPr>
          <w:rFonts w:ascii="Times New Roman" w:hAnsi="Times New Roman" w:cs="Times New Roman"/>
          <w:b/>
          <w:iCs/>
          <w:noProof/>
          <w:color w:val="365F91" w:themeColor="accent1" w:themeShade="BF"/>
          <w:sz w:val="24"/>
          <w:szCs w:val="24"/>
          <w:lang w:eastAsia="fr-FR"/>
        </w:rPr>
        <w:t>NOUVELLE IGI 1300</w:t>
      </w:r>
      <w:r>
        <w:rPr>
          <w:rFonts w:ascii="Times New Roman" w:hAnsi="Times New Roman" w:cs="Times New Roman"/>
          <w:b/>
          <w:iCs/>
          <w:noProof/>
          <w:color w:val="365F91" w:themeColor="accent1" w:themeShade="BF"/>
          <w:sz w:val="24"/>
          <w:szCs w:val="24"/>
          <w:lang w:eastAsia="fr-FR"/>
        </w:rPr>
        <w:t xml:space="preserve"> </w:t>
      </w:r>
    </w:p>
    <w:p w:rsidR="000A54CA" w:rsidRDefault="000A54CA" w:rsidP="00F514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fr-FR"/>
        </w:rPr>
      </w:pPr>
    </w:p>
    <w:p w:rsidR="001D0DC3" w:rsidRDefault="001D0DC3" w:rsidP="00F514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fr-FR"/>
        </w:rPr>
      </w:pPr>
    </w:p>
    <w:p w:rsidR="000A54CA" w:rsidRPr="009E38BE" w:rsidRDefault="000A54CA" w:rsidP="00F829B9">
      <w:pPr>
        <w:suppressAutoHyphens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9E38BE">
        <w:rPr>
          <w:rFonts w:ascii="Arial" w:eastAsia="Times New Roman" w:hAnsi="Arial" w:cs="Arial"/>
          <w:b/>
          <w:color w:val="000000" w:themeColor="text1"/>
          <w:sz w:val="20"/>
          <w:szCs w:val="20"/>
          <w:lang w:eastAsia="fr-FR"/>
        </w:rPr>
        <w:t xml:space="preserve">A compter du 01 juillet 2021, </w:t>
      </w:r>
      <w:r w:rsidR="001D0DC3" w:rsidRPr="009E38BE">
        <w:rPr>
          <w:rFonts w:ascii="Arial" w:eastAsia="Times New Roman" w:hAnsi="Arial" w:cs="Arial"/>
          <w:b/>
          <w:color w:val="000000" w:themeColor="text1"/>
          <w:sz w:val="20"/>
          <w:szCs w:val="20"/>
          <w:lang w:eastAsia="fr-FR"/>
        </w:rPr>
        <w:t xml:space="preserve">l’arrêté du 13 novembre 2020 portant approbation de </w:t>
      </w:r>
      <w:r w:rsidRPr="009E38BE">
        <w:rPr>
          <w:rFonts w:ascii="Arial" w:eastAsia="Times New Roman" w:hAnsi="Arial" w:cs="Arial"/>
          <w:b/>
          <w:color w:val="000000" w:themeColor="text1"/>
          <w:sz w:val="20"/>
          <w:szCs w:val="20"/>
          <w:lang w:eastAsia="fr-FR"/>
        </w:rPr>
        <w:t>la nouvelle Instruction Générale Interministérielle</w:t>
      </w:r>
      <w:r w:rsidR="00A57AE2" w:rsidRPr="009E38BE">
        <w:rPr>
          <w:rFonts w:ascii="Arial" w:eastAsia="Times New Roman" w:hAnsi="Arial" w:cs="Arial"/>
          <w:b/>
          <w:color w:val="000000" w:themeColor="text1"/>
          <w:sz w:val="20"/>
          <w:szCs w:val="20"/>
          <w:lang w:eastAsia="fr-FR"/>
        </w:rPr>
        <w:t xml:space="preserve"> (IGI)</w:t>
      </w:r>
      <w:r w:rsidRPr="009E38BE">
        <w:rPr>
          <w:rFonts w:ascii="Arial" w:eastAsia="Times New Roman" w:hAnsi="Arial" w:cs="Arial"/>
          <w:b/>
          <w:color w:val="000000" w:themeColor="text1"/>
          <w:sz w:val="20"/>
          <w:szCs w:val="20"/>
          <w:lang w:eastAsia="fr-FR"/>
        </w:rPr>
        <w:t xml:space="preserve"> 1300 entrera en vigueur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. </w:t>
      </w:r>
      <w:r w:rsidR="001D0DC3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Il 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remplacera l’arrêté du 30 novembre 2011 portant approbation de </w:t>
      </w:r>
      <w:r w:rsid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l’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IGI n°1300 sur la protection du secret de la défense </w:t>
      </w:r>
      <w:r w:rsidR="009E38BE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nationale</w:t>
      </w:r>
      <w:r w:rsid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.</w:t>
      </w:r>
    </w:p>
    <w:p w:rsidR="001D0DC3" w:rsidRDefault="001D0DC3" w:rsidP="00F829B9">
      <w:pPr>
        <w:suppressAutoHyphens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Il a pour objectif de renforcer la rigueur de la classification des informations et de clarifier les règles relatives au maniement des informations et supports classifiés dans un contexte de dématérialisation </w:t>
      </w:r>
      <w:r w:rsidR="00F829B9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grandissant.</w:t>
      </w:r>
    </w:p>
    <w:p w:rsidR="00265A6C" w:rsidRPr="009E38BE" w:rsidRDefault="00265A6C" w:rsidP="00F829B9">
      <w:pPr>
        <w:suppressAutoHyphens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:rsidR="00F5140E" w:rsidRDefault="00F5140E" w:rsidP="00F514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L’évolution la plus notable </w:t>
      </w:r>
      <w:r w:rsidR="00AF56B8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est le</w:t>
      </w:r>
      <w:r w:rsidRPr="009E38BE">
        <w:rPr>
          <w:rFonts w:ascii="Arial" w:eastAsia="Times New Roman" w:hAnsi="Arial" w:cs="Arial"/>
          <w:b/>
          <w:color w:val="000000" w:themeColor="text1"/>
          <w:sz w:val="20"/>
          <w:szCs w:val="20"/>
          <w:lang w:eastAsia="fr-FR"/>
        </w:rPr>
        <w:t xml:space="preserve"> changement des niveaux de classification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. </w:t>
      </w:r>
    </w:p>
    <w:p w:rsidR="00F5140E" w:rsidRDefault="00F5140E" w:rsidP="00F514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Le tableau ci-après précise la correspondance entre l’appellation actuelle et la future :</w:t>
      </w:r>
    </w:p>
    <w:p w:rsidR="00265A6C" w:rsidRPr="009E38BE" w:rsidRDefault="00265A6C" w:rsidP="00F5140E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2834"/>
        <w:gridCol w:w="3153"/>
      </w:tblGrid>
      <w:tr w:rsidR="007B7A5F" w:rsidRPr="009E38BE" w:rsidTr="007B7A5F">
        <w:tc>
          <w:tcPr>
            <w:tcW w:w="3301" w:type="dxa"/>
            <w:tcBorders>
              <w:bottom w:val="double" w:sz="4" w:space="0" w:color="auto"/>
            </w:tcBorders>
            <w:shd w:val="clear" w:color="auto" w:fill="95B3D7" w:themeFill="accent1" w:themeFillTint="99"/>
          </w:tcPr>
          <w:p w:rsidR="007B7A5F" w:rsidRPr="009E38BE" w:rsidRDefault="007B7A5F" w:rsidP="00F829B9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E38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Jusqu’au 30 juin 2021</w:t>
            </w:r>
          </w:p>
        </w:tc>
        <w:tc>
          <w:tcPr>
            <w:tcW w:w="2834" w:type="dxa"/>
            <w:tcBorders>
              <w:top w:val="nil"/>
              <w:bottom w:val="nil"/>
            </w:tcBorders>
            <w:shd w:val="clear" w:color="auto" w:fill="auto"/>
          </w:tcPr>
          <w:p w:rsidR="007B7A5F" w:rsidRPr="009E38BE" w:rsidRDefault="00203372" w:rsidP="00F829B9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E38B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Devient </w:t>
            </w:r>
          </w:p>
        </w:tc>
        <w:tc>
          <w:tcPr>
            <w:tcW w:w="3153" w:type="dxa"/>
            <w:tcBorders>
              <w:bottom w:val="double" w:sz="4" w:space="0" w:color="auto"/>
            </w:tcBorders>
            <w:shd w:val="clear" w:color="auto" w:fill="C2D69B" w:themeFill="accent3" w:themeFillTint="99"/>
          </w:tcPr>
          <w:p w:rsidR="007B7A5F" w:rsidRPr="009E38BE" w:rsidRDefault="007B7A5F" w:rsidP="00F829B9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E38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 compter du 01 juillet 2021</w:t>
            </w:r>
          </w:p>
        </w:tc>
      </w:tr>
      <w:tr w:rsidR="007B7A5F" w:rsidRPr="009E38BE" w:rsidTr="007B7A5F">
        <w:tc>
          <w:tcPr>
            <w:tcW w:w="3301" w:type="dxa"/>
            <w:tcBorders>
              <w:bottom w:val="single" w:sz="4" w:space="0" w:color="auto"/>
            </w:tcBorders>
          </w:tcPr>
          <w:p w:rsidR="007B7A5F" w:rsidRPr="009E38BE" w:rsidRDefault="007B7A5F" w:rsidP="00F829B9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E38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Confidentiel Défense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B7A5F" w:rsidRPr="009E38BE" w:rsidRDefault="007B7A5F" w:rsidP="00F829B9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E38BE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121921</wp:posOffset>
                      </wp:positionV>
                      <wp:extent cx="657225" cy="45719"/>
                      <wp:effectExtent l="0" t="19050" r="47625" b="31115"/>
                      <wp:wrapNone/>
                      <wp:docPr id="1" name="Flèche droi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225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16F7B3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 droite 1" o:spid="_x0000_s1026" type="#_x0000_t13" style="position:absolute;margin-left:35.6pt;margin-top:9.6pt;width:51.75pt;height:3.6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" adj="2084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3153" w:type="dxa"/>
            <w:tcBorders>
              <w:bottom w:val="single" w:sz="4" w:space="0" w:color="auto"/>
            </w:tcBorders>
          </w:tcPr>
          <w:p w:rsidR="007B7A5F" w:rsidRPr="009E38BE" w:rsidRDefault="007B7A5F" w:rsidP="00F829B9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E38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Secret</w:t>
            </w:r>
          </w:p>
        </w:tc>
      </w:tr>
      <w:tr w:rsidR="007B7A5F" w:rsidRPr="009E38BE" w:rsidTr="007B7A5F">
        <w:tc>
          <w:tcPr>
            <w:tcW w:w="3301" w:type="dxa"/>
            <w:tcBorders>
              <w:top w:val="single" w:sz="4" w:space="0" w:color="auto"/>
            </w:tcBorders>
          </w:tcPr>
          <w:p w:rsidR="007B7A5F" w:rsidRPr="009E38BE" w:rsidRDefault="007B7A5F" w:rsidP="00F829B9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E38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Secret Défense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B7A5F" w:rsidRPr="009E38BE" w:rsidRDefault="007B7A5F" w:rsidP="00F829B9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E38BE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00425EF" wp14:editId="2A300F27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124460</wp:posOffset>
                      </wp:positionV>
                      <wp:extent cx="657225" cy="45719"/>
                      <wp:effectExtent l="0" t="19050" r="47625" b="31115"/>
                      <wp:wrapNone/>
                      <wp:docPr id="2" name="Flèche droi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225" cy="45719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0DFA7E" id="Flèche droite 2" o:spid="_x0000_s1026" type="#_x0000_t13" style="position:absolute;margin-left:36.1pt;margin-top:9.8pt;width:51.75pt;height:3.6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" adj="20849" fillcolor="#4f81bd" strokecolor="#385d8a" strokeweight="2pt"/>
                  </w:pict>
                </mc:Fallback>
              </mc:AlternateContent>
            </w:r>
          </w:p>
        </w:tc>
        <w:tc>
          <w:tcPr>
            <w:tcW w:w="3153" w:type="dxa"/>
            <w:tcBorders>
              <w:top w:val="single" w:sz="4" w:space="0" w:color="auto"/>
            </w:tcBorders>
          </w:tcPr>
          <w:p w:rsidR="007B7A5F" w:rsidRPr="009E38BE" w:rsidRDefault="007B7A5F" w:rsidP="00F829B9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E38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Très secret</w:t>
            </w:r>
          </w:p>
        </w:tc>
      </w:tr>
    </w:tbl>
    <w:p w:rsidR="004F6EB4" w:rsidRPr="009E38BE" w:rsidRDefault="004F6EB4" w:rsidP="0012338D">
      <w:pPr>
        <w:suppressAutoHyphens/>
        <w:spacing w:before="240"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Cette </w:t>
      </w:r>
      <w:r w:rsid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modification 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n’entraine</w:t>
      </w:r>
      <w:r w:rsid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pas le 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démarquage des documents établis</w:t>
      </w:r>
      <w:r w:rsid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. L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es règles de sécurité qui leur sont assorties</w:t>
      </w:r>
      <w:r w:rsidR="005F0AD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sont inchangées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.</w:t>
      </w:r>
      <w:r w:rsidR="007D63C6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Les habilitations en vigueur </w:t>
      </w:r>
      <w:r w:rsidR="00203372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restent recevables</w:t>
      </w:r>
      <w:r w:rsidR="007D63C6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5F0AD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après le 01 juillet 2021, </w:t>
      </w:r>
      <w:r w:rsidR="007D63C6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conformément au tableau ci-dessus.</w:t>
      </w:r>
    </w:p>
    <w:p w:rsidR="00933AC5" w:rsidRPr="009E38BE" w:rsidRDefault="00933AC5" w:rsidP="004F6EB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FF5CC2" w:rsidRPr="009E38BE" w:rsidRDefault="000A54CA" w:rsidP="0012338D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9E38BE">
        <w:rPr>
          <w:rFonts w:ascii="Arial" w:hAnsi="Arial" w:cs="Arial"/>
          <w:b/>
          <w:iCs/>
          <w:noProof/>
          <w:color w:val="000000" w:themeColor="text1"/>
          <w:sz w:val="20"/>
          <w:szCs w:val="20"/>
          <w:lang w:eastAsia="fr-FR"/>
        </w:rPr>
        <w:t>Les marchés notifiés jusqu’au 30/06/2021</w:t>
      </w:r>
      <w:r w:rsidR="00FF5CC2" w:rsidRPr="009E38BE">
        <w:rPr>
          <w:rFonts w:ascii="Arial" w:hAnsi="Arial" w:cs="Arial"/>
          <w:i/>
          <w:iCs/>
          <w:noProof/>
          <w:color w:val="000000" w:themeColor="text1"/>
          <w:sz w:val="20"/>
          <w:szCs w:val="20"/>
          <w:lang w:eastAsia="fr-FR"/>
        </w:rPr>
        <w:t xml:space="preserve"> </w:t>
      </w:r>
      <w:r w:rsidR="005F0AD6">
        <w:rPr>
          <w:rFonts w:ascii="Arial" w:hAnsi="Arial" w:cs="Arial"/>
          <w:iCs/>
          <w:noProof/>
          <w:color w:val="000000" w:themeColor="text1"/>
          <w:sz w:val="20"/>
          <w:szCs w:val="20"/>
          <w:lang w:eastAsia="fr-FR"/>
        </w:rPr>
        <w:t xml:space="preserve">restent soumis </w:t>
      </w:r>
      <w:r w:rsidRPr="009E38BE">
        <w:rPr>
          <w:rFonts w:ascii="Arial" w:hAnsi="Arial" w:cs="Arial"/>
          <w:iCs/>
          <w:noProof/>
          <w:color w:val="000000" w:themeColor="text1"/>
          <w:sz w:val="20"/>
          <w:szCs w:val="20"/>
          <w:lang w:eastAsia="fr-FR"/>
        </w:rPr>
        <w:t xml:space="preserve">aux dispositions </w:t>
      </w:r>
      <w:r w:rsidR="0012338D" w:rsidRPr="009E38BE">
        <w:rPr>
          <w:rFonts w:ascii="Arial" w:hAnsi="Arial" w:cs="Arial"/>
          <w:iCs/>
          <w:noProof/>
          <w:color w:val="000000" w:themeColor="text1"/>
          <w:sz w:val="20"/>
          <w:szCs w:val="20"/>
          <w:lang w:eastAsia="fr-FR"/>
        </w:rPr>
        <w:t xml:space="preserve">de </w:t>
      </w:r>
      <w:r w:rsidR="005F0AD6">
        <w:rPr>
          <w:rFonts w:ascii="Arial" w:hAnsi="Arial" w:cs="Arial"/>
          <w:iCs/>
          <w:noProof/>
          <w:color w:val="000000" w:themeColor="text1"/>
          <w:sz w:val="20"/>
          <w:szCs w:val="20"/>
          <w:lang w:eastAsia="fr-FR"/>
        </w:rPr>
        <w:t>l’</w:t>
      </w:r>
      <w:r w:rsidR="00FF5CC2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IGI n°1300 </w:t>
      </w:r>
      <w:r w:rsidR="005F0AD6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du 30 novembre 2011.</w:t>
      </w:r>
      <w:r w:rsidR="00FF5CC2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</w:p>
    <w:p w:rsidR="0012338D" w:rsidRPr="009E38BE" w:rsidRDefault="0012338D" w:rsidP="0012338D">
      <w:pPr>
        <w:pStyle w:val="Paragraphedeliste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:rsidR="005F0AD6" w:rsidRPr="009E38BE" w:rsidRDefault="000A54CA" w:rsidP="005F0AD6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9E38BE">
        <w:rPr>
          <w:rFonts w:ascii="Arial" w:hAnsi="Arial" w:cs="Arial"/>
          <w:b/>
          <w:iCs/>
          <w:noProof/>
          <w:color w:val="000000" w:themeColor="text1"/>
          <w:sz w:val="20"/>
          <w:szCs w:val="20"/>
          <w:lang w:eastAsia="fr-FR"/>
        </w:rPr>
        <w:t>Les marchés notifiés à partir du 01/07/2021</w:t>
      </w:r>
      <w:r w:rsidRPr="009E38BE">
        <w:rPr>
          <w:rFonts w:ascii="Arial" w:hAnsi="Arial" w:cs="Arial"/>
          <w:i/>
          <w:iCs/>
          <w:noProof/>
          <w:color w:val="000000" w:themeColor="text1"/>
          <w:sz w:val="20"/>
          <w:szCs w:val="20"/>
          <w:lang w:eastAsia="fr-FR"/>
        </w:rPr>
        <w:t xml:space="preserve"> </w:t>
      </w:r>
      <w:r w:rsidRPr="009E38BE">
        <w:rPr>
          <w:rFonts w:ascii="Arial" w:hAnsi="Arial" w:cs="Arial"/>
          <w:iCs/>
          <w:noProof/>
          <w:color w:val="000000" w:themeColor="text1"/>
          <w:sz w:val="20"/>
          <w:szCs w:val="20"/>
          <w:lang w:eastAsia="fr-FR"/>
        </w:rPr>
        <w:t xml:space="preserve">seront </w:t>
      </w:r>
      <w:r w:rsidR="005F0AD6">
        <w:rPr>
          <w:rFonts w:ascii="Arial" w:hAnsi="Arial" w:cs="Arial"/>
          <w:iCs/>
          <w:noProof/>
          <w:color w:val="000000" w:themeColor="text1"/>
          <w:sz w:val="20"/>
          <w:szCs w:val="20"/>
          <w:lang w:eastAsia="fr-FR"/>
        </w:rPr>
        <w:t xml:space="preserve">soumis </w:t>
      </w:r>
      <w:r w:rsidR="005F0AD6" w:rsidRPr="009E38BE">
        <w:rPr>
          <w:rFonts w:ascii="Arial" w:hAnsi="Arial" w:cs="Arial"/>
          <w:iCs/>
          <w:noProof/>
          <w:color w:val="000000" w:themeColor="text1"/>
          <w:sz w:val="20"/>
          <w:szCs w:val="20"/>
          <w:lang w:eastAsia="fr-FR"/>
        </w:rPr>
        <w:t xml:space="preserve">aux dispositions de </w:t>
      </w:r>
      <w:r w:rsidR="005F0AD6">
        <w:rPr>
          <w:rFonts w:ascii="Arial" w:hAnsi="Arial" w:cs="Arial"/>
          <w:iCs/>
          <w:noProof/>
          <w:color w:val="000000" w:themeColor="text1"/>
          <w:sz w:val="20"/>
          <w:szCs w:val="20"/>
          <w:lang w:eastAsia="fr-FR"/>
        </w:rPr>
        <w:t>l’</w:t>
      </w:r>
      <w:r w:rsidR="005F0AD6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IGI n°1300 </w:t>
      </w:r>
      <w:r w:rsidR="005F0AD6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du </w:t>
      </w:r>
      <w:r w:rsidR="005F0AD6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13</w:t>
      </w:r>
      <w:r w:rsidR="005F0AD6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novembre 20</w:t>
      </w:r>
      <w:r w:rsidR="005F0AD6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20</w:t>
      </w:r>
      <w:r w:rsidR="005F0AD6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.</w:t>
      </w:r>
      <w:r w:rsidR="005F0AD6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</w:p>
    <w:p w:rsidR="005F0AD6" w:rsidRDefault="005F0AD6" w:rsidP="005F0AD6">
      <w:pPr>
        <w:pStyle w:val="Paragraphedeliste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:rsidR="00C0452F" w:rsidRPr="00F04F26" w:rsidRDefault="00C0452F" w:rsidP="00F04F26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Dans le plan de charge achats de l’établissement, quelques marchés</w:t>
      </w:r>
      <w:r w:rsidR="00F04F26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seulement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nécessitent une habilitation : il s’agit des marchés de défense et de sécurité </w:t>
      </w:r>
      <w:r w:rsidRPr="00C0452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fr-FR"/>
        </w:rPr>
        <w:t>(MDS)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. </w:t>
      </w:r>
      <w:r w:rsidR="00F04F26" w:rsidRPr="00F04F26">
        <w:rPr>
          <w:rFonts w:ascii="Arial" w:hAnsi="Arial" w:cs="Arial"/>
          <w:color w:val="000000" w:themeColor="text1"/>
          <w:sz w:val="20"/>
          <w:szCs w:val="20"/>
        </w:rPr>
        <w:t>Ils portent la mention « MDS »</w:t>
      </w:r>
      <w:r w:rsidR="00F04F26">
        <w:rPr>
          <w:rFonts w:ascii="Arial" w:hAnsi="Arial" w:cs="Arial"/>
          <w:color w:val="000000" w:themeColor="text1"/>
          <w:sz w:val="20"/>
          <w:szCs w:val="20"/>
        </w:rPr>
        <w:t xml:space="preserve"> indiquée dans les documents de la consultation.</w:t>
      </w:r>
      <w:r w:rsidR="00F04F26" w:rsidRPr="00F04F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265A6C" w:rsidRDefault="00265A6C" w:rsidP="00072B50">
      <w:pPr>
        <w:spacing w:before="120"/>
        <w:jc w:val="both"/>
        <w:rPr>
          <w:rFonts w:ascii="Arial" w:hAnsi="Arial" w:cs="Arial"/>
          <w:b/>
          <w:i/>
          <w:iCs/>
          <w:noProof/>
          <w:sz w:val="20"/>
          <w:szCs w:val="20"/>
          <w:lang w:eastAsia="fr-FR"/>
        </w:rPr>
      </w:pPr>
    </w:p>
    <w:p w:rsidR="00265A6C" w:rsidRPr="00265A6C" w:rsidRDefault="00A57AE2" w:rsidP="00072B50">
      <w:pPr>
        <w:spacing w:before="120"/>
        <w:jc w:val="both"/>
        <w:rPr>
          <w:rFonts w:ascii="Arial" w:hAnsi="Arial" w:cs="Arial"/>
          <w:b/>
          <w:i/>
          <w:iCs/>
          <w:noProof/>
          <w:sz w:val="20"/>
          <w:szCs w:val="20"/>
          <w:lang w:eastAsia="fr-FR"/>
        </w:rPr>
      </w:pPr>
      <w:r w:rsidRPr="00265A6C">
        <w:rPr>
          <w:rFonts w:ascii="Arial" w:hAnsi="Arial" w:cs="Arial"/>
          <w:b/>
          <w:i/>
          <w:iCs/>
          <w:noProof/>
          <w:sz w:val="20"/>
          <w:szCs w:val="20"/>
          <w:lang w:eastAsia="fr-FR"/>
        </w:rPr>
        <w:t>N’attendez-pas ! Anticipez .</w:t>
      </w:r>
    </w:p>
    <w:p w:rsidR="00265A6C" w:rsidRDefault="00A57AE2" w:rsidP="00A57AE2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9E38BE">
        <w:rPr>
          <w:rFonts w:ascii="Arial" w:hAnsi="Arial" w:cs="Arial"/>
          <w:iCs/>
          <w:noProof/>
          <w:sz w:val="20"/>
          <w:szCs w:val="20"/>
          <w:lang w:eastAsia="fr-FR"/>
        </w:rPr>
        <w:t xml:space="preserve">Compte tenu des délais de la procédure d’habilitation, il est recommandé, comme le prévoit 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l’instruction générale interministérielle (IGI) n°1300 sur la protection du secret de la défense nationale en vigueur à compter du 01/07/2021,</w:t>
      </w:r>
      <w:r w:rsidR="008450C1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de constituer le dossier d’habilitation et d’initier la procédure dès l’avis de pré information </w:t>
      </w:r>
      <w:r w:rsidR="00265A6C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(plan de charge achats de l’ESID de Bordeaux (</w:t>
      </w:r>
      <w:hyperlink r:id="rId5" w:history="1">
        <w:r w:rsidR="00265A6C" w:rsidRPr="000D5FE4">
          <w:rPr>
            <w:rStyle w:val="Lienhypertexte"/>
            <w:rFonts w:ascii="Arial" w:eastAsia="Times New Roman" w:hAnsi="Arial" w:cs="Arial"/>
            <w:sz w:val="20"/>
            <w:szCs w:val="20"/>
            <w:lang w:eastAsia="fr-FR"/>
          </w:rPr>
          <w:t>www.marches-publics.gouv.fr</w:t>
        </w:r>
      </w:hyperlink>
      <w:r w:rsidR="00265A6C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)</w:t>
      </w:r>
    </w:p>
    <w:p w:rsidR="00A57AE2" w:rsidRPr="009E38BE" w:rsidRDefault="00A57AE2" w:rsidP="00265A6C">
      <w:pPr>
        <w:pStyle w:val="Paragraphedeliste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:rsidR="008450C1" w:rsidRDefault="008450C1" w:rsidP="008450C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:rsidR="00265A6C" w:rsidRPr="009E38BE" w:rsidRDefault="00265A6C" w:rsidP="008450C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:rsidR="00265A6C" w:rsidRDefault="008450C1" w:rsidP="008450C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Vous trouverez dans le règlement de la consultation tous les renseignements nécessaires pour compléter le dossier. Vous pouvez également contacter l</w:t>
      </w:r>
      <w:r w:rsidR="00F5184E"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a Cellule Sécurité Défense </w:t>
      </w:r>
      <w:r w:rsidRPr="009E38BE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de l’ESID de Bordeaux :  </w:t>
      </w:r>
    </w:p>
    <w:p w:rsidR="00265A6C" w:rsidRDefault="00265A6C" w:rsidP="008450C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:rsidR="00265A6C" w:rsidRDefault="00265A6C" w:rsidP="008450C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Tel : 05 57 85 16 22</w:t>
      </w:r>
    </w:p>
    <w:p w:rsidR="00265A6C" w:rsidRPr="009E38BE" w:rsidRDefault="00265A6C" w:rsidP="008450C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fr-FR"/>
        </w:rPr>
      </w:pPr>
      <w:hyperlink r:id="rId6" w:history="1">
        <w:r w:rsidRPr="000D5FE4">
          <w:rPr>
            <w:rStyle w:val="Lienhypertexte"/>
            <w:rFonts w:ascii="Arial" w:eastAsia="Times New Roman" w:hAnsi="Arial" w:cs="Arial"/>
            <w:sz w:val="20"/>
            <w:szCs w:val="20"/>
            <w:lang w:eastAsia="fr-FR"/>
          </w:rPr>
          <w:t>esid-bordeaux.off-secu.fct@intradef.gouv.fr</w:t>
        </w:r>
      </w:hyperlink>
    </w:p>
    <w:sectPr w:rsidR="00265A6C" w:rsidRPr="009E38BE" w:rsidSect="009E38BE">
      <w:pgSz w:w="11906" w:h="16838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E1CE4"/>
    <w:multiLevelType w:val="hybridMultilevel"/>
    <w:tmpl w:val="9C6AFE6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C02B1"/>
    <w:multiLevelType w:val="hybridMultilevel"/>
    <w:tmpl w:val="1BF4E15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673E1"/>
    <w:multiLevelType w:val="hybridMultilevel"/>
    <w:tmpl w:val="5BA669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2589F"/>
    <w:multiLevelType w:val="hybridMultilevel"/>
    <w:tmpl w:val="81A03EB0"/>
    <w:lvl w:ilvl="0" w:tplc="85E2C268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56" w:hanging="360"/>
      </w:pPr>
    </w:lvl>
    <w:lvl w:ilvl="2" w:tplc="040C001B" w:tentative="1">
      <w:start w:val="1"/>
      <w:numFmt w:val="lowerRoman"/>
      <w:lvlText w:val="%3."/>
      <w:lvlJc w:val="right"/>
      <w:pPr>
        <w:ind w:left="3076" w:hanging="180"/>
      </w:pPr>
    </w:lvl>
    <w:lvl w:ilvl="3" w:tplc="040C000F" w:tentative="1">
      <w:start w:val="1"/>
      <w:numFmt w:val="decimal"/>
      <w:lvlText w:val="%4."/>
      <w:lvlJc w:val="left"/>
      <w:pPr>
        <w:ind w:left="3796" w:hanging="360"/>
      </w:pPr>
    </w:lvl>
    <w:lvl w:ilvl="4" w:tplc="040C0019" w:tentative="1">
      <w:start w:val="1"/>
      <w:numFmt w:val="lowerLetter"/>
      <w:lvlText w:val="%5."/>
      <w:lvlJc w:val="left"/>
      <w:pPr>
        <w:ind w:left="4516" w:hanging="360"/>
      </w:pPr>
    </w:lvl>
    <w:lvl w:ilvl="5" w:tplc="040C001B" w:tentative="1">
      <w:start w:val="1"/>
      <w:numFmt w:val="lowerRoman"/>
      <w:lvlText w:val="%6."/>
      <w:lvlJc w:val="right"/>
      <w:pPr>
        <w:ind w:left="5236" w:hanging="180"/>
      </w:pPr>
    </w:lvl>
    <w:lvl w:ilvl="6" w:tplc="040C000F" w:tentative="1">
      <w:start w:val="1"/>
      <w:numFmt w:val="decimal"/>
      <w:lvlText w:val="%7."/>
      <w:lvlJc w:val="left"/>
      <w:pPr>
        <w:ind w:left="5956" w:hanging="360"/>
      </w:pPr>
    </w:lvl>
    <w:lvl w:ilvl="7" w:tplc="040C0019" w:tentative="1">
      <w:start w:val="1"/>
      <w:numFmt w:val="lowerLetter"/>
      <w:lvlText w:val="%8."/>
      <w:lvlJc w:val="left"/>
      <w:pPr>
        <w:ind w:left="6676" w:hanging="360"/>
      </w:pPr>
    </w:lvl>
    <w:lvl w:ilvl="8" w:tplc="040C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53094B1D"/>
    <w:multiLevelType w:val="hybridMultilevel"/>
    <w:tmpl w:val="A7086B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EE"/>
    <w:rsid w:val="00047D56"/>
    <w:rsid w:val="00072A5E"/>
    <w:rsid w:val="00072B50"/>
    <w:rsid w:val="000858B2"/>
    <w:rsid w:val="000A54CA"/>
    <w:rsid w:val="0012338D"/>
    <w:rsid w:val="001A7F7B"/>
    <w:rsid w:val="001B07C9"/>
    <w:rsid w:val="001D0DC3"/>
    <w:rsid w:val="00203372"/>
    <w:rsid w:val="002110D9"/>
    <w:rsid w:val="00265A6C"/>
    <w:rsid w:val="00266270"/>
    <w:rsid w:val="002D3D8F"/>
    <w:rsid w:val="002E7505"/>
    <w:rsid w:val="0036733B"/>
    <w:rsid w:val="003954DD"/>
    <w:rsid w:val="003F3BD4"/>
    <w:rsid w:val="00443826"/>
    <w:rsid w:val="0048161D"/>
    <w:rsid w:val="004D6F21"/>
    <w:rsid w:val="004F6EB4"/>
    <w:rsid w:val="004F7145"/>
    <w:rsid w:val="005138EE"/>
    <w:rsid w:val="00521247"/>
    <w:rsid w:val="005F0AD6"/>
    <w:rsid w:val="0062040B"/>
    <w:rsid w:val="0066703D"/>
    <w:rsid w:val="007B7A5F"/>
    <w:rsid w:val="007C61AD"/>
    <w:rsid w:val="007D63C6"/>
    <w:rsid w:val="007E3CDD"/>
    <w:rsid w:val="008450C1"/>
    <w:rsid w:val="00855250"/>
    <w:rsid w:val="00933AC5"/>
    <w:rsid w:val="009D24AE"/>
    <w:rsid w:val="009E38BE"/>
    <w:rsid w:val="00A57AE2"/>
    <w:rsid w:val="00A6234C"/>
    <w:rsid w:val="00A761BF"/>
    <w:rsid w:val="00AF56B8"/>
    <w:rsid w:val="00B45728"/>
    <w:rsid w:val="00BA1D42"/>
    <w:rsid w:val="00BA480A"/>
    <w:rsid w:val="00BE1937"/>
    <w:rsid w:val="00C0452F"/>
    <w:rsid w:val="00C50ECA"/>
    <w:rsid w:val="00D7666C"/>
    <w:rsid w:val="00DB5AC9"/>
    <w:rsid w:val="00EF75EB"/>
    <w:rsid w:val="00F04F26"/>
    <w:rsid w:val="00F15F50"/>
    <w:rsid w:val="00F5140E"/>
    <w:rsid w:val="00F5184E"/>
    <w:rsid w:val="00F829B9"/>
    <w:rsid w:val="00FF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CB494"/>
  <w15:docId w15:val="{5BB029E6-0FC4-4584-A60D-1D0B68F7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5F5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5F50"/>
    <w:pPr>
      <w:ind w:left="720"/>
      <w:contextualSpacing/>
    </w:pPr>
  </w:style>
  <w:style w:type="table" w:customStyle="1" w:styleId="TableauListe4-Accentuation11">
    <w:name w:val="Tableau Liste 4 - Accentuation 11"/>
    <w:basedOn w:val="TableauNormal"/>
    <w:next w:val="TableauListe4-Accentuation1"/>
    <w:uiPriority w:val="49"/>
    <w:rsid w:val="004F6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Liste4-Accentuation1">
    <w:name w:val="List Table 4 Accent 1"/>
    <w:basedOn w:val="TableauNormal"/>
    <w:uiPriority w:val="49"/>
    <w:rsid w:val="004F6EB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4F6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F51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65A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3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7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96684">
                  <w:marLeft w:val="8"/>
                  <w:marRight w:val="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id-bordeaux.off-secu.fct@intradef.gouv.fr" TargetMode="External"/><Relationship Id="rId5" Type="http://schemas.openxmlformats.org/officeDocument/2006/relationships/hyperlink" Target="http://www.marches-publics.gouv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</Pages>
  <Words>374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LAVIGNAC Anne SA CL SUPERIE DEF</dc:creator>
  <cp:keywords/>
  <dc:description/>
  <cp:lastModifiedBy>LAVIGNAC Anne SA CL EXCEPTI DEF</cp:lastModifiedBy>
  <cp:revision>31</cp:revision>
  <cp:lastPrinted>2017-11-27T14:24:00Z</cp:lastPrinted>
  <dcterms:created xsi:type="dcterms:W3CDTF">2017-11-27T12:48:00Z</dcterms:created>
  <dcterms:modified xsi:type="dcterms:W3CDTF">2021-04-21T11:48:00Z</dcterms:modified>
</cp:coreProperties>
</file>