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28.png" ContentType="image/png"/>
  <Override PartName="/word/media/image1.jpeg" ContentType="image/jpeg"/>
  <Override PartName="/word/media/image17.jpeg" ContentType="image/jpeg"/>
  <Override PartName="/word/media/image3.png" ContentType="image/png"/>
  <Override PartName="/word/media/image2.jpeg" ContentType="image/jpeg"/>
  <Override PartName="/word/media/image4.png" ContentType="image/png"/>
  <Override PartName="/word/media/image5.png" ContentType="image/png"/>
  <Override PartName="/word/media/image8.jpeg" ContentType="image/jpeg"/>
  <Override PartName="/word/media/image6.png" ContentType="image/png"/>
  <Override PartName="/word/media/image7.jpeg" ContentType="image/jpeg"/>
  <Override PartName="/word/media/image31.png" ContentType="image/png"/>
  <Override PartName="/word/media/image9.jpeg" ContentType="image/jpeg"/>
  <Override PartName="/word/media/image10.jpeg" ContentType="image/jpeg"/>
  <Override PartName="/word/media/image11.jpeg" ContentType="image/jpeg"/>
  <Override PartName="/word/media/image21.wmf" ContentType="image/x-wmf"/>
  <Override PartName="/word/media/image12.jpeg" ContentType="image/jpeg"/>
  <Override PartName="/word/media/image13.jpeg" ContentType="image/jpeg"/>
  <Override PartName="/word/media/image19.png" ContentType="image/png"/>
  <Override PartName="/word/media/image14.jpeg" ContentType="image/jpeg"/>
  <Override PartName="/word/media/image29.png" ContentType="image/png"/>
  <Override PartName="/word/media/image15.jpeg" ContentType="image/jpeg"/>
  <Override PartName="/word/media/image16.jpeg" ContentType="image/jpeg"/>
  <Override PartName="/word/media/image18.png" ContentType="image/png"/>
  <Override PartName="/word/media/image20.wmf" ContentType="image/x-wmf"/>
  <Override PartName="/word/media/image22.wmf" ContentType="image/x-wmf"/>
  <Override PartName="/word/media/image23.png" ContentType="image/png"/>
  <Override PartName="/word/media/image24.wmf" ContentType="image/x-wmf"/>
  <Override PartName="/word/media/image25.wmf" ContentType="image/x-wmf"/>
  <Override PartName="/word/media/image26.wmf" ContentType="image/x-wmf"/>
  <Override PartName="/word/media/image27.wmf" ContentType="image/x-wmf"/>
  <Override PartName="/word/media/image30.wmf" ContentType="image/x-wmf"/>
  <Override PartName="/word/media/image32.wmf" ContentType="image/x-wmf"/>
  <Override PartName="/word/media/image33.png" ContentType="image/png"/>
  <Override PartName="/word/media/image34.wmf" ContentType="image/x-wmf"/>
  <Override PartName="/word/media/image35.png" ContentType="image/png"/>
  <Override PartName="/word/media/image36.png" ContentType="image/png"/>
  <Override PartName="/word/media/image37.png" ContentType="image/png"/>
  <Override PartName="/word/header2.xml" ContentType="application/vnd.openxmlformats-officedocument.wordprocessingml.header+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sdt>
      <w:sdtPr>
        <w:docPartObj>
          <w:docPartGallery w:val="Cover Pages"/>
          <w:docPartUnique w:val="true"/>
        </w:docPartObj>
        <w:id w:val="1158795361"/>
      </w:sdtPr>
      <w:sdtContent>
        <w:p>
          <w:pPr>
            <w:pStyle w:val="Corpsdetexte"/>
            <w:rPr/>
          </w:pPr>
          <w:r>
            <w:rPr/>
            <mc:AlternateContent>
              <mc:Choice Requires="wps">
                <w:drawing>
                  <wp:anchor behindDoc="1" distT="0" distB="0" distL="0" distR="0" simplePos="0" locked="0" layoutInCell="0" allowOverlap="1" relativeHeight="7">
                    <wp:simplePos x="0" y="0"/>
                    <wp:positionH relativeFrom="column">
                      <wp:posOffset>4519930</wp:posOffset>
                    </wp:positionH>
                    <wp:positionV relativeFrom="paragraph">
                      <wp:posOffset>-873760</wp:posOffset>
                    </wp:positionV>
                    <wp:extent cx="2099945" cy="876300"/>
                    <wp:effectExtent l="0" t="0" r="0" b="0"/>
                    <wp:wrapNone/>
                    <wp:docPr id="1" name=""/>
                    <a:graphic xmlns:a="http://schemas.openxmlformats.org/drawingml/2006/main">
                      <a:graphicData uri="http://schemas.openxmlformats.org/drawingml/2006/picture">
                        <pic:pic xmlns:pic="http://schemas.openxmlformats.org/drawingml/2006/picture">
                          <pic:nvPicPr>
                            <pic:cNvPr id="0" name="" descr=""/>
                            <pic:cNvPicPr/>
                          </pic:nvPicPr>
                          <pic:blipFill>
                            <a:blip r:embed="rId2"/>
                            <a:stretch/>
                          </pic:blipFill>
                          <pic:spPr>
                            <a:xfrm>
                              <a:off x="0" y="0"/>
                              <a:ext cx="2099160" cy="875520"/>
                            </a:xfrm>
                            <a:prstGeom prst="rect">
                              <a:avLst/>
                            </a:prstGeom>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355.9pt;margin-top:-68.8pt;width:165.25pt;height:68.9pt;mso-wrap-style:none;v-text-anchor:middle" type="_x0000_t75">
                    <v:imagedata r:id="rId2" o:detectmouseclick="t"/>
                    <v:stroke color="#3465a4" joinstyle="round" endcap="flat"/>
                    <w10:wrap type="none"/>
                  </v:shape>
                </w:pict>
              </mc:Fallback>
            </mc:AlternateContent>
          </w:r>
        </w:p>
        <w:p>
          <w:pPr>
            <w:pStyle w:val="Corpsdetexte"/>
            <w:rPr/>
          </w:pPr>
          <w:r>
            <w:rPr/>
          </w:r>
        </w:p>
        <w:p>
          <w:pPr>
            <w:pStyle w:val="Corpsdetexte"/>
            <w:rPr/>
          </w:pPr>
          <w:r>
            <w:rPr/>
          </w:r>
        </w:p>
        <w:p>
          <w:pPr>
            <w:pStyle w:val="Corpsdetexte"/>
            <w:rPr>
              <w:rFonts w:ascii="Gantari Medium" w:hAnsi="Gantari Medium"/>
            </w:rPr>
          </w:pPr>
          <w:r>
            <w:rPr>
              <w:rFonts w:ascii="Gantari Medium" w:hAnsi="Gantari Medium"/>
            </w:rPr>
            <w:drawing>
              <wp:anchor behindDoc="1" distT="0" distB="0" distL="114300" distR="114300" simplePos="0" locked="0" layoutInCell="0" allowOverlap="1" relativeHeight="9">
                <wp:simplePos x="0" y="0"/>
                <wp:positionH relativeFrom="margin">
                  <wp:posOffset>-228600</wp:posOffset>
                </wp:positionH>
                <wp:positionV relativeFrom="topMargin">
                  <wp:align>bottom</wp:align>
                </wp:positionV>
                <wp:extent cx="1958340" cy="711200"/>
                <wp:effectExtent l="0" t="0" r="0" b="0"/>
                <wp:wrapSquare wrapText="bothSides"/>
                <wp:docPr id="2" name="Image 11589361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158936180" descr=""/>
                        <pic:cNvPicPr>
                          <a:picLocks noChangeAspect="1" noChangeArrowheads="1"/>
                        </pic:cNvPicPr>
                      </pic:nvPicPr>
                      <pic:blipFill>
                        <a:blip r:embed="rId3"/>
                        <a:stretch>
                          <a:fillRect/>
                        </a:stretch>
                      </pic:blipFill>
                      <pic:spPr bwMode="auto">
                        <a:xfrm>
                          <a:off x="0" y="0"/>
                          <a:ext cx="1958340" cy="711200"/>
                        </a:xfrm>
                        <a:prstGeom prst="rect">
                          <a:avLst/>
                        </a:prstGeom>
                      </pic:spPr>
                    </pic:pic>
                  </a:graphicData>
                </a:graphic>
              </wp:anchor>
            </w:drawing>
          </w:r>
        </w:p>
        <w:p>
          <w:pPr>
            <w:pStyle w:val="Corpsdetexte"/>
            <w:rPr/>
          </w:pPr>
          <w:r>
            <w:rPr/>
          </w:r>
        </w:p>
        <w:p>
          <w:pPr>
            <w:pStyle w:val="Corpsdetexte"/>
            <w:rPr/>
          </w:pPr>
          <w:r>
            <w:rPr/>
          </w:r>
        </w:p>
        <w:p>
          <w:pPr>
            <w:pStyle w:val="Corpsdetexte"/>
            <w:rPr/>
          </w:pPr>
          <w:r>
            <w:rPr/>
          </w:r>
        </w:p>
        <w:p>
          <w:pPr>
            <w:pStyle w:val="Corpsdetexte"/>
            <w:rPr/>
          </w:pPr>
          <w:r>
            <w:rPr/>
          </w:r>
        </w:p>
        <w:p>
          <w:pPr>
            <w:pStyle w:val="Corpsdetexte"/>
            <w:rPr/>
          </w:pPr>
          <w:r>
            <w:rPr/>
          </w:r>
        </w:p>
        <w:p>
          <w:pPr>
            <w:pStyle w:val="Corpsdetexte"/>
            <w:rPr/>
          </w:pPr>
          <w:r>
            <w:rPr/>
          </w:r>
        </w:p>
        <w:p>
          <w:pPr>
            <w:pStyle w:val="Corpsdetexte"/>
            <w:rPr/>
          </w:pPr>
          <w:r>
            <w:rPr/>
          </w:r>
        </w:p>
        <w:p>
          <w:pPr>
            <w:pStyle w:val="Corpsdetexte"/>
            <w:rPr/>
          </w:pPr>
          <w:r>
            <w:rPr/>
          </w:r>
        </w:p>
        <w:p>
          <w:pPr>
            <w:pStyle w:val="Corpsdetexte"/>
            <w:rPr/>
          </w:pPr>
          <w:r>
            <w:rPr/>
          </w:r>
        </w:p>
        <w:p>
          <w:pPr>
            <w:pStyle w:val="Titredudocument"/>
            <w:rPr>
              <w:sz w:val="40"/>
            </w:rPr>
          </w:pPr>
          <w:sdt>
            <w:sdtPr>
              <w:id w:val="1368704347"/>
              <w:dataBinding w:prefixMappings="xmlns:ns0='http://purl.org/dc/elements/1.1/' xmlns:ns1='http://schemas.openxmlformats.org/package/2006/metadata/core-properties' " w:xpath="/ns1:coreProperties[1]/ns0:title[1]" w:storeItemID="{6C3C8BC8-F283-45AE-878A-BAB7291924A1}"/>
              <w:alias w:val="Titre "/>
            </w:sdtPr>
            <w:sdtContent>
              <w:r>
                <w:rPr>
                  <w:rFonts w:ascii="Times New Roman" w:hAnsi="Times New Roman"/>
                  <w:sz w:val="40"/>
                </w:rPr>
                <w:t xml:space="preserve">Géo détection des réseaux enterrés                     </w:t>
              </w:r>
              <w:r>
                <w:rPr>
                  <w:rFonts w:ascii="Times New Roman" w:hAnsi="Times New Roman"/>
                  <w:sz w:val="40"/>
                </w:rPr>
                <w:t xml:space="preserve">                      -A 75 – LE PIROU / LA BESSAIRE</w:t>
              </w:r>
            </w:sdtContent>
          </w:sdt>
        </w:p>
        <w:p>
          <w:pPr>
            <w:pStyle w:val="Normal"/>
            <w:rPr/>
          </w:pPr>
          <w:r>
            <w:rPr/>
            <w:t>14/06/2024</w:t>
          </w:r>
        </w:p>
        <w:p>
          <w:pPr>
            <w:pStyle w:val="Normal"/>
            <w:rPr/>
          </w:pPr>
          <w:r>
            <w:rPr/>
          </w:r>
        </w:p>
        <w:p>
          <w:pPr>
            <w:pStyle w:val="Normal"/>
            <w:rPr/>
          </w:pPr>
          <w:r>
            <w:rPr/>
          </w:r>
        </w:p>
        <w:p>
          <w:pPr>
            <w:pStyle w:val="Normal"/>
            <w:rPr/>
          </w:pPr>
          <w:r>
            <w:rPr/>
            <w:t>REFERENCE DOSSIER : 01NI122045-20</w:t>
          </w:r>
        </w:p>
        <w:p>
          <w:pPr>
            <w:pStyle w:val="Normal"/>
            <w:rPr/>
          </w:pPr>
          <w:r>
            <w:rPr/>
            <w:t>DATE : 14/06/2024</w:t>
          </w:r>
        </w:p>
        <w:p>
          <w:pPr>
            <w:pStyle w:val="Normal"/>
            <w:rPr/>
          </w:pPr>
          <w:r>
            <w:rPr/>
            <w:t>REDACTION : Malatier Adrien</w:t>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b/>
              <w:bCs/>
            </w:rPr>
          </w:r>
        </w:p>
        <w:p>
          <w:pPr>
            <w:pStyle w:val="Normal"/>
            <w:rPr>
              <w:b/>
              <w:b/>
              <w:bCs/>
            </w:rPr>
          </w:pPr>
          <w:r>
            <w:rPr/>
            <w:drawing>
              <wp:inline distT="0" distB="0" distL="0" distR="0">
                <wp:extent cx="3505835" cy="676275"/>
                <wp:effectExtent l="0" t="0" r="0" b="0"/>
                <wp:docPr id="3" name="Image 11" descr="Une image contenant texte, capture d’écran, Police,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1" descr="Une image contenant texte, capture d’écran, Police, noir&#10;&#10;Description générée automatiquement"/>
                        <pic:cNvPicPr>
                          <a:picLocks noChangeAspect="1" noChangeArrowheads="1"/>
                        </pic:cNvPicPr>
                      </pic:nvPicPr>
                      <pic:blipFill>
                        <a:blip r:embed="rId4"/>
                        <a:stretch>
                          <a:fillRect/>
                        </a:stretch>
                      </pic:blipFill>
                      <pic:spPr bwMode="auto">
                        <a:xfrm>
                          <a:off x="0" y="0"/>
                          <a:ext cx="3505835" cy="676275"/>
                        </a:xfrm>
                        <a:prstGeom prst="rect">
                          <a:avLst/>
                        </a:prstGeom>
                      </pic:spPr>
                    </pic:pic>
                  </a:graphicData>
                </a:graphic>
              </wp:inline>
            </w:drawing>
          </w:r>
        </w:p>
        <w:p>
          <w:pPr>
            <w:pStyle w:val="Titre1GEOFIT"/>
            <w:numPr>
              <w:ilvl w:val="0"/>
              <w:numId w:val="0"/>
            </w:numPr>
            <w:ind w:left="357" w:hanging="0"/>
            <w:rPr>
              <w:rFonts w:ascii="Open Sans" w:hAnsi="Open Sans" w:eastAsia="Open Sans" w:cs="Open Sans"/>
              <w:b w:val="false"/>
              <w:b w:val="false"/>
              <w:color w:val="auto"/>
              <w:sz w:val="20"/>
              <w:szCs w:val="20"/>
            </w:rPr>
          </w:pPr>
          <w:r>
            <w:rPr>
              <w:rFonts w:eastAsia="Open Sans" w:cs="Open Sans" w:ascii="Open Sans" w:hAnsi="Open Sans"/>
              <w:b w:val="false"/>
              <w:color w:val="auto"/>
              <w:sz w:val="20"/>
              <w:szCs w:val="20"/>
            </w:rPr>
            <w:drawing>
              <wp:anchor behindDoc="0" distT="0" distB="0" distL="114300" distR="114300" simplePos="0" locked="0" layoutInCell="0" allowOverlap="1" relativeHeight="40">
                <wp:simplePos x="0" y="0"/>
                <wp:positionH relativeFrom="column">
                  <wp:posOffset>5090160</wp:posOffset>
                </wp:positionH>
                <wp:positionV relativeFrom="page">
                  <wp:posOffset>4362450</wp:posOffset>
                </wp:positionV>
                <wp:extent cx="4078605" cy="5414645"/>
                <wp:effectExtent l="0" t="0" r="0" b="0"/>
                <wp:wrapTight wrapText="bothSides">
                  <wp:wrapPolygon edited="0">
                    <wp:start x="7865" y="0"/>
                    <wp:lineTo x="6857" y="73"/>
                    <wp:lineTo x="3729" y="986"/>
                    <wp:lineTo x="2821" y="1822"/>
                    <wp:lineTo x="2015" y="2430"/>
                    <wp:lineTo x="905" y="3646"/>
                    <wp:lineTo x="199" y="4861"/>
                    <wp:lineTo x="-99" y="6076"/>
                    <wp:lineTo x="-99" y="8510"/>
                    <wp:lineTo x="400" y="9725"/>
                    <wp:lineTo x="1208" y="10942"/>
                    <wp:lineTo x="2619" y="12234"/>
                    <wp:lineTo x="4738" y="13373"/>
                    <wp:lineTo x="-99" y="14589"/>
                    <wp:lineTo x="-99" y="15804"/>
                    <wp:lineTo x="300" y="17021"/>
                    <wp:lineTo x="1107" y="18236"/>
                    <wp:lineTo x="2317" y="19452"/>
                    <wp:lineTo x="4335" y="20668"/>
                    <wp:lineTo x="4436" y="20819"/>
                    <wp:lineTo x="7362" y="21505"/>
                    <wp:lineTo x="7865" y="21505"/>
                    <wp:lineTo x="10892" y="21505"/>
                    <wp:lineTo x="11396" y="21505"/>
                    <wp:lineTo x="14322" y="20819"/>
                    <wp:lineTo x="14423" y="20668"/>
                    <wp:lineTo x="16340" y="19528"/>
                    <wp:lineTo x="16442" y="19452"/>
                    <wp:lineTo x="17650" y="18313"/>
                    <wp:lineTo x="17752" y="18236"/>
                    <wp:lineTo x="18459" y="17097"/>
                    <wp:lineTo x="18459" y="17021"/>
                    <wp:lineTo x="18862" y="15880"/>
                    <wp:lineTo x="18862" y="15804"/>
                    <wp:lineTo x="19164" y="14664"/>
                    <wp:lineTo x="10892" y="14589"/>
                    <wp:lineTo x="13919" y="13373"/>
                    <wp:lineTo x="14020" y="13373"/>
                    <wp:lineTo x="16137" y="12234"/>
                    <wp:lineTo x="16238" y="12157"/>
                    <wp:lineTo x="17450" y="11018"/>
                    <wp:lineTo x="17551" y="10942"/>
                    <wp:lineTo x="18358" y="9801"/>
                    <wp:lineTo x="18358" y="9725"/>
                    <wp:lineTo x="18862" y="8586"/>
                    <wp:lineTo x="19065" y="7294"/>
                    <wp:lineTo x="18963" y="6076"/>
                    <wp:lineTo x="18761" y="4861"/>
                    <wp:lineTo x="17953" y="4786"/>
                    <wp:lineTo x="7362" y="3646"/>
                    <wp:lineTo x="16442" y="3646"/>
                    <wp:lineTo x="21081" y="3266"/>
                    <wp:lineTo x="20980" y="2430"/>
                    <wp:lineTo x="21383" y="1289"/>
                    <wp:lineTo x="21383" y="1213"/>
                    <wp:lineTo x="21585" y="73"/>
                    <wp:lineTo x="21585" y="0"/>
                    <wp:lineTo x="7865" y="0"/>
                  </wp:wrapPolygon>
                </wp:wrapTight>
                <wp:docPr id="4" name="Image 267824717" descr="Une image contenant Graphique, cercle, graphis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67824717" descr="Une image contenant Graphique, cercle, graphisme, Police&#10;&#10;Description générée automatiquement"/>
                        <pic:cNvPicPr>
                          <a:picLocks noChangeAspect="1" noChangeArrowheads="1"/>
                        </pic:cNvPicPr>
                      </pic:nvPicPr>
                      <pic:blipFill>
                        <a:blip r:embed="rId5"/>
                        <a:stretch>
                          <a:fillRect/>
                        </a:stretch>
                      </pic:blipFill>
                      <pic:spPr bwMode="auto">
                        <a:xfrm>
                          <a:off x="0" y="0"/>
                          <a:ext cx="4078605" cy="5414645"/>
                        </a:xfrm>
                        <a:prstGeom prst="rect">
                          <a:avLst/>
                        </a:prstGeom>
                      </pic:spPr>
                    </pic:pic>
                  </a:graphicData>
                </a:graphic>
              </wp:anchor>
            </w:drawing>
          </w:r>
          <w:bookmarkStart w:id="0" w:name="_Toc160522053"/>
          <w:bookmarkStart w:id="1" w:name="_Toc160521503"/>
          <w:bookmarkStart w:id="2" w:name="_Toc155957135"/>
          <w:bookmarkStart w:id="3" w:name="_Toc155955576"/>
          <w:bookmarkStart w:id="4" w:name="_Toc163137703"/>
          <w:bookmarkStart w:id="5" w:name="_Toc160522053"/>
          <w:bookmarkStart w:id="6" w:name="_Toc160521503"/>
          <w:bookmarkStart w:id="7" w:name="_Toc155957135"/>
          <w:bookmarkStart w:id="8" w:name="_Toc155955576"/>
          <w:bookmarkStart w:id="9" w:name="_Toc163137703"/>
          <w:bookmarkEnd w:id="9"/>
        </w:p>
        <w:p>
          <w:pPr>
            <w:pStyle w:val="Normal"/>
            <w:rPr/>
          </w:pPr>
          <w:bookmarkStart w:id="10" w:name="_Toc160522053"/>
          <w:bookmarkStart w:id="11" w:name="_Toc160521503"/>
          <w:bookmarkStart w:id="12" w:name="_Toc155957135"/>
          <w:bookmarkStart w:id="13" w:name="_Toc155955576"/>
          <w:r>
            <w:rPr/>
            <w:t>Table des m</w:t>
          </w:r>
          <w:bookmarkEnd w:id="10"/>
          <w:bookmarkEnd w:id="11"/>
          <w:bookmarkEnd w:id="12"/>
          <w:bookmarkEnd w:id="13"/>
          <w:r>
            <w:rPr/>
            <w:t>atières…………………………………………………………………………………………………………</w:t>
          </w:r>
          <w:r>
            <w:rPr>
              <w:vanish w:val="false"/>
            </w:rPr>
            <w:t>2</w:t>
          </w:r>
        </w:p>
      </w:sdtContent>
    </w:sdt>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4">
        <w:r>
          <w:rPr>
            <w:rStyle w:val="Sautdindex"/>
          </w:rPr>
          <w:t>1.</w:t>
        </w:r>
        <w:r>
          <w:rPr>
            <w:rStyle w:val="Sautdindex"/>
            <w:rFonts w:eastAsia="" w:cs="" w:cstheme="minorBidi" w:eastAsiaTheme="minorEastAsia"/>
            <w:color w:val="auto"/>
            <w:kern w:val="2"/>
            <w:sz w:val="24"/>
            <w:szCs w:val="24"/>
            <w:lang w:eastAsia="fr-FR"/>
          </w:rPr>
          <w:tab/>
        </w:r>
        <w:r>
          <w:rPr>
            <w:rStyle w:val="Sautdindex"/>
          </w:rPr>
          <w:t>RÉSULTATS OBTENUS</w:t>
        </w:r>
        <w:r>
          <w:rPr>
            <w:webHidden/>
          </w:rPr>
          <w:fldChar w:fldCharType="begin"/>
        </w:r>
        <w:r>
          <w:rPr>
            <w:webHidden/>
          </w:rPr>
          <w:instrText>PAGEREF _Toc163137704 \h</w:instrText>
        </w:r>
        <w:r>
          <w:rPr>
            <w:webHidden/>
          </w:rPr>
          <w:fldChar w:fldCharType="separate"/>
        </w:r>
        <w:r>
          <w:rPr>
            <w:rStyle w:val="Sautdindex"/>
            <w:vanish w:val="false"/>
          </w:rPr>
          <w:tab/>
          <w:t>4</w:t>
        </w:r>
        <w:r>
          <w:rPr>
            <w:webHidden/>
          </w:rPr>
          <w:fldChar w:fldCharType="end"/>
        </w:r>
      </w:hyperlink>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5">
        <w:r>
          <w:rPr>
            <w:rStyle w:val="Sautdindex"/>
          </w:rPr>
          <w:t>1.1.</w:t>
        </w:r>
        <w:r>
          <w:rPr>
            <w:rStyle w:val="Sautdindex"/>
            <w:rFonts w:eastAsia="" w:cs="" w:cstheme="minorBidi" w:eastAsiaTheme="minorEastAsia"/>
            <w:color w:val="auto"/>
            <w:kern w:val="2"/>
            <w:sz w:val="24"/>
            <w:szCs w:val="24"/>
            <w:lang w:eastAsia="fr-FR"/>
          </w:rPr>
          <w:tab/>
        </w:r>
        <w:r>
          <w:rPr>
            <w:rStyle w:val="Sautdindex"/>
          </w:rPr>
          <w:t>Classe de précision</w:t>
        </w:r>
        <w:r>
          <w:rPr>
            <w:webHidden/>
          </w:rPr>
          <w:fldChar w:fldCharType="begin"/>
        </w:r>
        <w:r>
          <w:rPr>
            <w:webHidden/>
          </w:rPr>
          <w:instrText>PAGEREF _Toc163137705 \h</w:instrText>
        </w:r>
        <w:r>
          <w:rPr>
            <w:webHidden/>
          </w:rPr>
          <w:fldChar w:fldCharType="separate"/>
        </w:r>
        <w:r>
          <w:rPr>
            <w:rStyle w:val="Sautdindex"/>
            <w:vanish w:val="false"/>
          </w:rPr>
          <w:tab/>
          <w:t>4</w:t>
        </w:r>
        <w:r>
          <w:rPr>
            <w:webHidden/>
          </w:rPr>
          <w:fldChar w:fldCharType="end"/>
        </w:r>
      </w:hyperlink>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6">
        <w:r>
          <w:rPr>
            <w:rStyle w:val="Sautdindex"/>
          </w:rPr>
          <w:t>1.2.</w:t>
        </w:r>
        <w:r>
          <w:rPr>
            <w:rStyle w:val="Sautdindex"/>
            <w:rFonts w:eastAsia="" w:cs="" w:cstheme="minorBidi" w:eastAsiaTheme="minorEastAsia"/>
            <w:color w:val="auto"/>
            <w:kern w:val="2"/>
            <w:sz w:val="24"/>
            <w:szCs w:val="24"/>
            <w:lang w:eastAsia="fr-FR"/>
          </w:rPr>
          <w:tab/>
        </w:r>
        <w:r>
          <w:rPr>
            <w:rStyle w:val="Sautdindex"/>
          </w:rPr>
          <w:t>Analyse des mesures</w:t>
        </w:r>
        <w:r>
          <w:rPr>
            <w:webHidden/>
          </w:rPr>
          <w:fldChar w:fldCharType="begin"/>
        </w:r>
        <w:r>
          <w:rPr>
            <w:webHidden/>
          </w:rPr>
          <w:instrText>PAGEREF _Toc163137706 \h</w:instrText>
        </w:r>
        <w:r>
          <w:rPr>
            <w:webHidden/>
          </w:rPr>
          <w:fldChar w:fldCharType="separate"/>
        </w:r>
        <w:r>
          <w:rPr>
            <w:rStyle w:val="Sautdindex"/>
            <w:vanish w:val="false"/>
          </w:rPr>
          <w:tab/>
          <w:t>4</w:t>
        </w:r>
        <w:r>
          <w:rPr>
            <w:webHidden/>
          </w:rPr>
          <w:fldChar w:fldCharType="end"/>
        </w:r>
      </w:hyperlink>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7">
        <w:r>
          <w:rPr>
            <w:rStyle w:val="Sautdindex"/>
          </w:rPr>
          <w:t>1.3.</w:t>
        </w:r>
        <w:r>
          <w:rPr>
            <w:rStyle w:val="Sautdindex"/>
            <w:rFonts w:eastAsia="" w:cs="" w:cstheme="minorBidi" w:eastAsiaTheme="minorEastAsia"/>
            <w:color w:val="auto"/>
            <w:kern w:val="2"/>
            <w:sz w:val="24"/>
            <w:szCs w:val="24"/>
            <w:lang w:eastAsia="fr-FR"/>
          </w:rPr>
          <w:tab/>
        </w:r>
        <w:r>
          <w:rPr>
            <w:rStyle w:val="Sautdindex"/>
          </w:rPr>
          <w:t>Écarts entre les IC et les DT</w:t>
        </w:r>
        <w:r>
          <w:rPr>
            <w:webHidden/>
          </w:rPr>
          <w:fldChar w:fldCharType="begin"/>
        </w:r>
        <w:r>
          <w:rPr>
            <w:webHidden/>
          </w:rPr>
          <w:instrText>PAGEREF _Toc163137707 \h</w:instrText>
        </w:r>
        <w:r>
          <w:rPr>
            <w:webHidden/>
          </w:rPr>
          <w:fldChar w:fldCharType="separate"/>
        </w:r>
        <w:r>
          <w:rPr>
            <w:rStyle w:val="Sautdindex"/>
            <w:vanish w:val="false"/>
          </w:rPr>
          <w:tab/>
          <w:t>4</w:t>
        </w:r>
        <w:r>
          <w:rPr>
            <w:webHidden/>
          </w:rPr>
          <w:fldChar w:fldCharType="end"/>
        </w:r>
      </w:hyperlink>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8">
        <w:r>
          <w:rPr>
            <w:rStyle w:val="Sautdindex"/>
          </w:rPr>
          <w:t>1.4.</w:t>
        </w:r>
        <w:r>
          <w:rPr>
            <w:rStyle w:val="Sautdindex"/>
            <w:rFonts w:eastAsia="" w:cs="" w:cstheme="minorBidi" w:eastAsiaTheme="minorEastAsia"/>
            <w:color w:val="auto"/>
            <w:kern w:val="2"/>
            <w:sz w:val="24"/>
            <w:szCs w:val="24"/>
            <w:lang w:eastAsia="fr-FR"/>
          </w:rPr>
          <w:tab/>
        </w:r>
        <w:r>
          <w:rPr>
            <w:rStyle w:val="Sautdindex"/>
          </w:rPr>
          <w:t>I</w:t>
        </w:r>
        <w:r>
          <w:rPr>
            <w:rStyle w:val="Sautdindex"/>
          </w:rPr>
          <w:t>nvestigations sur le terrain</w:t>
        </w:r>
        <w:r>
          <w:rPr>
            <w:webHidden/>
          </w:rPr>
          <w:fldChar w:fldCharType="begin"/>
        </w:r>
        <w:r>
          <w:rPr>
            <w:webHidden/>
          </w:rPr>
          <w:instrText>PAGEREF _Toc163137708 \h</w:instrText>
        </w:r>
        <w:r>
          <w:rPr>
            <w:webHidden/>
          </w:rPr>
          <w:fldChar w:fldCharType="separate"/>
        </w:r>
        <w:r>
          <w:rPr>
            <w:rStyle w:val="Sautdindex"/>
            <w:vanish w:val="false"/>
          </w:rPr>
          <w:tab/>
          <w:t>5</w:t>
        </w:r>
        <w:r>
          <w:rPr>
            <w:webHidden/>
          </w:rPr>
          <w:fldChar w:fldCharType="end"/>
        </w:r>
      </w:hyperlink>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09">
        <w:r>
          <w:rPr>
            <w:rStyle w:val="Sautdindex"/>
          </w:rPr>
          <w:t>1.4.1.</w:t>
        </w:r>
        <w:r>
          <w:rPr>
            <w:rStyle w:val="Sautdindex"/>
            <w:rFonts w:eastAsia="" w:cs="" w:cstheme="minorBidi" w:eastAsiaTheme="minorEastAsia"/>
            <w:color w:val="auto"/>
            <w:kern w:val="2"/>
            <w:sz w:val="24"/>
            <w:szCs w:val="24"/>
            <w:lang w:eastAsia="fr-FR"/>
          </w:rPr>
          <w:tab/>
        </w:r>
        <w:r>
          <w:rPr>
            <w:rStyle w:val="Sautdindex"/>
          </w:rPr>
          <w:t>Réseaux sensibles</w:t>
        </w:r>
        <w:r>
          <w:rPr>
            <w:rStyle w:val="Sautdindex"/>
            <w:vanish w:val="false"/>
          </w:rPr>
          <w:tab/>
        </w:r>
        <w:r>
          <w:rPr>
            <w:webHidden/>
          </w:rPr>
          <w:fldChar w:fldCharType="begin"/>
        </w:r>
        <w:r>
          <w:rPr>
            <w:webHidden/>
          </w:rPr>
          <w:instrText>PAGEREF _Toc163137709 \h</w:instrText>
        </w:r>
        <w:r>
          <w:rPr>
            <w:webHidden/>
          </w:rPr>
          <w:fldChar w:fldCharType="separate"/>
        </w:r>
        <w:r>
          <w:rPr>
            <w:rStyle w:val="Sautdindex"/>
            <w:vanish w:val="false"/>
          </w:rPr>
          <w:t>6</w:t>
        </w:r>
        <w:r>
          <w:rPr>
            <w:webHidden/>
          </w:rPr>
          <w:fldChar w:fldCharType="end"/>
        </w:r>
      </w:hyperlink>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0">
        <w:r>
          <w:rPr>
            <w:rStyle w:val="Sautdindex"/>
          </w:rPr>
          <w:t>1.4.1.1.</w:t>
        </w:r>
        <w:r>
          <w:rPr>
            <w:rStyle w:val="Sautdindex"/>
            <w:rFonts w:eastAsia="" w:cs="" w:cstheme="minorBidi" w:eastAsiaTheme="minorEastAsia"/>
            <w:color w:val="auto"/>
            <w:kern w:val="2"/>
            <w:sz w:val="24"/>
            <w:szCs w:val="24"/>
            <w:lang w:eastAsia="fr-FR"/>
          </w:rPr>
          <w:tab/>
        </w:r>
        <w:r>
          <w:rPr>
            <w:rStyle w:val="Sautdindex"/>
          </w:rPr>
          <w:t>Électricité</w:t>
        </w:r>
        <w:r>
          <w:rPr>
            <w:rStyle w:val="Sautdindex"/>
            <w:vanish w:val="false"/>
          </w:rPr>
          <w:tab/>
        </w:r>
        <w:r>
          <w:rPr>
            <w:webHidden/>
          </w:rPr>
          <w:fldChar w:fldCharType="begin"/>
        </w:r>
        <w:r>
          <w:rPr>
            <w:webHidden/>
          </w:rPr>
          <w:instrText>PAGEREF _Toc163137710 \h</w:instrText>
        </w:r>
        <w:r>
          <w:rPr>
            <w:webHidden/>
          </w:rPr>
          <w:fldChar w:fldCharType="separate"/>
        </w:r>
        <w:r>
          <w:rPr>
            <w:rStyle w:val="Sautdindex"/>
            <w:vanish w:val="false"/>
          </w:rPr>
          <w:t>6</w:t>
        </w:r>
        <w:r>
          <w:rPr>
            <w:webHidden/>
          </w:rPr>
          <w:fldChar w:fldCharType="end"/>
        </w:r>
      </w:hyperlink>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1">
        <w:r>
          <w:rPr>
            <w:rStyle w:val="Sautdindex"/>
          </w:rPr>
          <w:t>1.4.1.2.</w:t>
        </w:r>
        <w:r>
          <w:rPr>
            <w:rStyle w:val="Sautdindex"/>
            <w:rFonts w:eastAsia="" w:cs="" w:cstheme="minorBidi" w:eastAsiaTheme="minorEastAsia"/>
            <w:color w:val="auto"/>
            <w:kern w:val="2"/>
            <w:sz w:val="24"/>
            <w:szCs w:val="24"/>
            <w:lang w:eastAsia="fr-FR"/>
          </w:rPr>
          <w:tab/>
        </w:r>
        <w:r>
          <w:rPr>
            <w:rStyle w:val="Sautdindex"/>
          </w:rPr>
          <w:t>Télécommunication</w:t>
        </w:r>
        <w:r>
          <w:rPr>
            <w:rStyle w:val="Sautdindex"/>
            <w:vanish w:val="false"/>
          </w:rPr>
          <w:tab/>
        </w:r>
      </w:hyperlink>
      <w:r>
        <w:rPr>
          <w:vanish w:val="false"/>
        </w:rPr>
        <w:t>7</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2">
        <w:r>
          <w:rPr>
            <w:rStyle w:val="Sautdindex"/>
          </w:rPr>
          <w:t>1.4.2.</w:t>
        </w:r>
        <w:r>
          <w:rPr>
            <w:rStyle w:val="Sautdindex"/>
            <w:rFonts w:eastAsia="" w:cs="" w:cstheme="minorBidi" w:eastAsiaTheme="minorEastAsia"/>
            <w:color w:val="auto"/>
            <w:kern w:val="2"/>
            <w:sz w:val="24"/>
            <w:szCs w:val="24"/>
            <w:lang w:eastAsia="fr-FR"/>
          </w:rPr>
          <w:tab/>
        </w:r>
        <w:r>
          <w:rPr>
            <w:rStyle w:val="Sautdindex"/>
          </w:rPr>
          <w:t>Réseaux non sensibles</w:t>
        </w:r>
        <w:r>
          <w:rPr>
            <w:rStyle w:val="Sautdindex"/>
            <w:vanish w:val="false"/>
          </w:rPr>
          <w:tab/>
        </w:r>
      </w:hyperlink>
      <w:r>
        <w:rPr>
          <w:vanish w:val="false"/>
        </w:rPr>
        <w:t>7</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3">
        <w:r>
          <w:rPr>
            <w:rStyle w:val="Sautdindex"/>
          </w:rPr>
          <w:t>1.4.2.1.</w:t>
        </w:r>
        <w:r>
          <w:rPr>
            <w:rStyle w:val="Sautdindex"/>
            <w:rFonts w:eastAsia="" w:cs="" w:cstheme="minorBidi" w:eastAsiaTheme="minorEastAsia"/>
            <w:color w:val="auto"/>
            <w:kern w:val="2"/>
            <w:sz w:val="24"/>
            <w:szCs w:val="24"/>
            <w:lang w:eastAsia="fr-FR"/>
          </w:rPr>
          <w:tab/>
        </w:r>
        <w:r>
          <w:rPr>
            <w:rStyle w:val="Sautdindex"/>
          </w:rPr>
          <w:t>AEP</w:t>
        </w:r>
        <w:r>
          <w:rPr>
            <w:rStyle w:val="Sautdindex"/>
            <w:vanish w:val="false"/>
          </w:rPr>
          <w:tab/>
        </w:r>
      </w:hyperlink>
      <w:r>
        <w:rPr>
          <w:rFonts w:eastAsia="" w:cs="" w:cstheme="minorBidi" w:eastAsiaTheme="minorEastAsia"/>
          <w:vanish w:val="false"/>
          <w:color w:val="auto"/>
          <w:kern w:val="2"/>
          <w:sz w:val="24"/>
          <w:szCs w:val="24"/>
          <w:lang w:eastAsia="fr-FR"/>
        </w:rPr>
        <w:t>7</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4">
        <w:r>
          <w:rPr>
            <w:rStyle w:val="Sautdindex"/>
          </w:rPr>
          <w:t>1.4.2.2.</w:t>
        </w:r>
        <w:r>
          <w:rPr>
            <w:rStyle w:val="Sautdindex"/>
            <w:rFonts w:eastAsia="" w:cs="" w:cstheme="minorBidi" w:eastAsiaTheme="minorEastAsia"/>
            <w:color w:val="auto"/>
            <w:kern w:val="2"/>
            <w:sz w:val="24"/>
            <w:szCs w:val="24"/>
            <w:lang w:eastAsia="fr-FR"/>
          </w:rPr>
          <w:tab/>
        </w:r>
        <w:r>
          <w:rPr>
            <w:rStyle w:val="Sautdindex"/>
          </w:rPr>
          <w:t xml:space="preserve">Assainissement : Eaux </w:t>
        </w:r>
        <w:r>
          <w:rPr>
            <w:rStyle w:val="Sautdindex"/>
          </w:rPr>
          <w:t>pluviales</w:t>
        </w:r>
        <w:r>
          <w:rPr>
            <w:rStyle w:val="Sautdindex"/>
            <w:vanish w:val="false"/>
          </w:rPr>
          <w:tab/>
        </w:r>
      </w:hyperlink>
      <w:r>
        <w:rPr>
          <w:vanish w:val="false"/>
        </w:rPr>
        <w:t>8</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7">
        <w:r>
          <w:rPr>
            <w:rStyle w:val="Sautdindex"/>
          </w:rPr>
          <w:t>1.5.</w:t>
        </w:r>
        <w:r>
          <w:rPr>
            <w:rStyle w:val="Sautdindex"/>
            <w:rFonts w:eastAsia="" w:cs="" w:cstheme="minorBidi" w:eastAsiaTheme="minorEastAsia"/>
            <w:color w:val="auto"/>
            <w:kern w:val="2"/>
            <w:sz w:val="24"/>
            <w:szCs w:val="24"/>
            <w:lang w:eastAsia="fr-FR"/>
          </w:rPr>
          <w:tab/>
        </w:r>
        <w:r>
          <w:rPr>
            <w:rStyle w:val="Sautdindex"/>
          </w:rPr>
          <w:t>Attestation de localisation d’ouvrage en classe A</w:t>
        </w:r>
        <w:r>
          <w:rPr>
            <w:rStyle w:val="Sautdindex"/>
            <w:vanish w:val="false"/>
          </w:rPr>
          <w:tab/>
          <w:t>1</w:t>
        </w:r>
      </w:hyperlink>
      <w:r>
        <w:rPr>
          <w:vanish w:val="false"/>
        </w:rPr>
        <w:t>0</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8">
        <w:r>
          <w:rPr>
            <w:rStyle w:val="Sautdindex"/>
          </w:rPr>
          <w:t>2.</w:t>
        </w:r>
        <w:r>
          <w:rPr>
            <w:rStyle w:val="Sautdindex"/>
            <w:rFonts w:eastAsia="" w:cs="" w:cstheme="minorBidi" w:eastAsiaTheme="minorEastAsia"/>
            <w:color w:val="auto"/>
            <w:kern w:val="2"/>
            <w:sz w:val="24"/>
            <w:szCs w:val="24"/>
            <w:lang w:eastAsia="fr-FR"/>
          </w:rPr>
          <w:tab/>
        </w:r>
        <w:r>
          <w:rPr>
            <w:rStyle w:val="Sautdindex"/>
          </w:rPr>
          <w:t>CONCLUSION</w:t>
        </w:r>
        <w:r>
          <w:rPr>
            <w:rStyle w:val="Sautdindex"/>
            <w:vanish w:val="false"/>
          </w:rPr>
          <w:tab/>
          <w:t>1</w:t>
        </w:r>
      </w:hyperlink>
      <w:r>
        <w:rPr>
          <w:vanish w:val="false"/>
        </w:rPr>
        <w:t>1</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19">
        <w:r>
          <w:rPr>
            <w:rStyle w:val="Sautdindex"/>
          </w:rPr>
          <w:t>3.</w:t>
        </w:r>
        <w:r>
          <w:rPr>
            <w:rStyle w:val="Sautdindex"/>
            <w:rFonts w:eastAsia="" w:cs="" w:cstheme="minorBidi" w:eastAsiaTheme="minorEastAsia"/>
            <w:color w:val="auto"/>
            <w:kern w:val="2"/>
            <w:sz w:val="24"/>
            <w:szCs w:val="24"/>
            <w:lang w:eastAsia="fr-FR"/>
          </w:rPr>
          <w:tab/>
        </w:r>
        <w:r>
          <w:rPr>
            <w:rStyle w:val="Sautdindex"/>
          </w:rPr>
          <w:t>Méthodologie</w:t>
        </w:r>
        <w:r>
          <w:rPr>
            <w:rStyle w:val="Sautdindex"/>
            <w:vanish w:val="false"/>
          </w:rPr>
          <w:tab/>
          <w:t>1</w:t>
        </w:r>
      </w:hyperlink>
      <w:r>
        <w:rPr>
          <w:vanish w:val="false"/>
        </w:rPr>
        <w:t>2</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0">
        <w:r>
          <w:rPr>
            <w:rStyle w:val="Sautdindex"/>
          </w:rPr>
          <w:t>3.1.</w:t>
        </w:r>
        <w:r>
          <w:rPr>
            <w:rStyle w:val="Sautdindex"/>
            <w:rFonts w:eastAsia="" w:cs="" w:cstheme="minorBidi" w:eastAsiaTheme="minorEastAsia"/>
            <w:color w:val="auto"/>
            <w:kern w:val="2"/>
            <w:sz w:val="24"/>
            <w:szCs w:val="24"/>
            <w:lang w:eastAsia="fr-FR"/>
          </w:rPr>
          <w:tab/>
        </w:r>
        <w:r>
          <w:rPr>
            <w:rStyle w:val="Sautdindex"/>
          </w:rPr>
          <w:t>CONTEXTE GÉNÉRAL</w:t>
        </w:r>
        <w:r>
          <w:rPr>
            <w:rStyle w:val="Sautdindex"/>
            <w:vanish w:val="false"/>
          </w:rPr>
          <w:tab/>
          <w:t>1</w:t>
        </w:r>
      </w:hyperlink>
      <w:r>
        <w:rPr>
          <w:vanish w:val="false"/>
        </w:rPr>
        <w:t>2</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1">
        <w:r>
          <w:rPr>
            <w:rStyle w:val="Sautdindex"/>
          </w:rPr>
          <w:t>3.1.1.</w:t>
        </w:r>
        <w:r>
          <w:rPr>
            <w:rStyle w:val="Sautdindex"/>
            <w:rFonts w:eastAsia="" w:cs="" w:cstheme="minorBidi" w:eastAsiaTheme="minorEastAsia"/>
            <w:color w:val="auto"/>
            <w:kern w:val="2"/>
            <w:sz w:val="24"/>
            <w:szCs w:val="24"/>
            <w:lang w:eastAsia="fr-FR"/>
          </w:rPr>
          <w:tab/>
        </w:r>
        <w:r>
          <w:rPr>
            <w:rStyle w:val="Sautdindex"/>
          </w:rPr>
          <w:t>Objet de la prestation</w:t>
        </w:r>
        <w:r>
          <w:rPr>
            <w:rStyle w:val="Sautdindex"/>
            <w:vanish w:val="false"/>
          </w:rPr>
          <w:tab/>
          <w:t>1</w:t>
        </w:r>
      </w:hyperlink>
      <w:r>
        <w:rPr>
          <w:vanish w:val="false"/>
        </w:rPr>
        <w:t>2</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2">
        <w:r>
          <w:rPr>
            <w:rStyle w:val="Sautdindex"/>
          </w:rPr>
          <w:t>3.1.2.</w:t>
        </w:r>
        <w:r>
          <w:rPr>
            <w:rStyle w:val="Sautdindex"/>
            <w:rFonts w:eastAsia="" w:cs="" w:cstheme="minorBidi" w:eastAsiaTheme="minorEastAsia"/>
            <w:color w:val="auto"/>
            <w:kern w:val="2"/>
            <w:sz w:val="24"/>
            <w:szCs w:val="24"/>
            <w:lang w:eastAsia="fr-FR"/>
          </w:rPr>
          <w:tab/>
        </w:r>
        <w:r>
          <w:rPr>
            <w:rStyle w:val="Sautdindex"/>
          </w:rPr>
          <w:t>Client</w:t>
        </w:r>
        <w:r>
          <w:rPr>
            <w:rStyle w:val="Sautdindex"/>
            <w:vanish w:val="false"/>
          </w:rPr>
          <w:tab/>
          <w:t>1</w:t>
        </w:r>
      </w:hyperlink>
      <w:r>
        <w:rPr>
          <w:vanish w:val="false"/>
        </w:rPr>
        <w:t>2</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3">
        <w:r>
          <w:rPr>
            <w:rStyle w:val="Sautdindex"/>
          </w:rPr>
          <w:t>3.1.3.</w:t>
        </w:r>
        <w:r>
          <w:rPr>
            <w:rStyle w:val="Sautdindex"/>
            <w:rFonts w:eastAsia="" w:cs="" w:cstheme="minorBidi" w:eastAsiaTheme="minorEastAsia"/>
            <w:color w:val="auto"/>
            <w:kern w:val="2"/>
            <w:sz w:val="24"/>
            <w:szCs w:val="24"/>
            <w:lang w:eastAsia="fr-FR"/>
          </w:rPr>
          <w:tab/>
        </w:r>
        <w:r>
          <w:rPr>
            <w:rStyle w:val="Sautdindex"/>
          </w:rPr>
          <w:t>Date d’intervention</w:t>
        </w:r>
        <w:r>
          <w:rPr>
            <w:rStyle w:val="Sautdindex"/>
            <w:vanish w:val="false"/>
          </w:rPr>
          <w:tab/>
          <w:t>1</w:t>
        </w:r>
      </w:hyperlink>
      <w:r>
        <w:rPr>
          <w:vanish w:val="false"/>
        </w:rPr>
        <w:t>2</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4">
        <w:r>
          <w:rPr>
            <w:rStyle w:val="Sautdindex"/>
          </w:rPr>
          <w:t>3.1.4.</w:t>
        </w:r>
        <w:r>
          <w:rPr>
            <w:rStyle w:val="Sautdindex"/>
            <w:rFonts w:eastAsia="" w:cs="" w:cstheme="minorBidi" w:eastAsiaTheme="minorEastAsia"/>
            <w:color w:val="auto"/>
            <w:kern w:val="2"/>
            <w:sz w:val="24"/>
            <w:szCs w:val="24"/>
            <w:lang w:eastAsia="fr-FR"/>
          </w:rPr>
          <w:tab/>
        </w:r>
        <w:r>
          <w:rPr>
            <w:rStyle w:val="Sautdindex"/>
          </w:rPr>
          <w:t>Localisation de la zone d’études</w:t>
        </w:r>
        <w:r>
          <w:rPr>
            <w:rStyle w:val="Sautdindex"/>
            <w:vanish w:val="false"/>
          </w:rPr>
          <w:tab/>
          <w:t>1</w:t>
        </w:r>
      </w:hyperlink>
      <w:r>
        <w:rPr>
          <w:vanish w:val="false"/>
        </w:rPr>
        <w:t>3</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5">
        <w:r>
          <w:rPr>
            <w:rStyle w:val="Sautdindex"/>
          </w:rPr>
          <w:t>3.1.5.</w:t>
        </w:r>
        <w:r>
          <w:rPr>
            <w:rStyle w:val="Sautdindex"/>
            <w:rFonts w:eastAsia="" w:cs="" w:cstheme="minorBidi" w:eastAsiaTheme="minorEastAsia"/>
            <w:color w:val="auto"/>
            <w:kern w:val="2"/>
            <w:sz w:val="24"/>
            <w:szCs w:val="24"/>
            <w:lang w:eastAsia="fr-FR"/>
          </w:rPr>
          <w:tab/>
        </w:r>
        <w:r>
          <w:rPr>
            <w:rStyle w:val="Sautdindex"/>
          </w:rPr>
          <w:t>Intervenant sur la prestation</w:t>
        </w:r>
        <w:r>
          <w:rPr>
            <w:rStyle w:val="Sautdindex"/>
            <w:vanish w:val="false"/>
          </w:rPr>
          <w:tab/>
          <w:t>1</w:t>
        </w:r>
      </w:hyperlink>
      <w:r>
        <w:rPr>
          <w:vanish w:val="false"/>
        </w:rPr>
        <w:t>3</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6">
        <w:r>
          <w:rPr>
            <w:rStyle w:val="Sautdindex"/>
          </w:rPr>
          <w:t>3.2.</w:t>
        </w:r>
        <w:r>
          <w:rPr>
            <w:rStyle w:val="Sautdindex"/>
            <w:rFonts w:eastAsia="" w:cs="" w:cstheme="minorBidi" w:eastAsiaTheme="minorEastAsia"/>
            <w:color w:val="auto"/>
            <w:kern w:val="2"/>
            <w:sz w:val="24"/>
            <w:szCs w:val="24"/>
            <w:lang w:eastAsia="fr-FR"/>
          </w:rPr>
          <w:tab/>
        </w:r>
        <w:r>
          <w:rPr>
            <w:rStyle w:val="Sautdindex"/>
          </w:rPr>
          <w:t>CONTEXTE LÉGISLATIF</w:t>
        </w:r>
        <w:r>
          <w:rPr>
            <w:rStyle w:val="Sautdindex"/>
            <w:vanish w:val="false"/>
          </w:rPr>
          <w:tab/>
          <w:t>1</w:t>
        </w:r>
      </w:hyperlink>
      <w:r>
        <w:rPr>
          <w:vanish w:val="false"/>
        </w:rPr>
        <w:t>4</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7">
        <w:r>
          <w:rPr>
            <w:rStyle w:val="Sautdindex"/>
          </w:rPr>
          <w:t>3.2.1.</w:t>
        </w:r>
        <w:r>
          <w:rPr>
            <w:rStyle w:val="Sautdindex"/>
            <w:rFonts w:eastAsia="" w:cs="" w:cstheme="minorBidi" w:eastAsiaTheme="minorEastAsia"/>
            <w:color w:val="auto"/>
            <w:kern w:val="2"/>
            <w:sz w:val="24"/>
            <w:szCs w:val="24"/>
            <w:lang w:eastAsia="fr-FR"/>
          </w:rPr>
          <w:tab/>
        </w:r>
        <w:r>
          <w:rPr>
            <w:rStyle w:val="Sautdindex"/>
          </w:rPr>
          <w:t>Application de la réforme « DT</w:t>
        </w:r>
        <w:r>
          <w:rPr>
            <w:rStyle w:val="Sautdindex"/>
            <w:rFonts w:cs="Times New Roman" w:ascii="Times New Roman" w:hAnsi="Times New Roman"/>
          </w:rPr>
          <w:t>‐</w:t>
        </w:r>
        <w:r>
          <w:rPr>
            <w:rStyle w:val="Sautdindex"/>
          </w:rPr>
          <w:t>DICT »</w:t>
        </w:r>
        <w:r>
          <w:rPr>
            <w:rStyle w:val="Sautdindex"/>
            <w:vanish w:val="false"/>
          </w:rPr>
          <w:tab/>
          <w:t>1</w:t>
        </w:r>
      </w:hyperlink>
      <w:r>
        <w:rPr>
          <w:vanish w:val="false"/>
        </w:rPr>
        <w:t>4</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8">
        <w:r>
          <w:rPr>
            <w:rStyle w:val="Sautdindex"/>
          </w:rPr>
          <w:t>3.2.2.</w:t>
        </w:r>
        <w:r>
          <w:rPr>
            <w:rStyle w:val="Sautdindex"/>
            <w:rFonts w:eastAsia="" w:cs="" w:cstheme="minorBidi" w:eastAsiaTheme="minorEastAsia"/>
            <w:color w:val="auto"/>
            <w:kern w:val="2"/>
            <w:sz w:val="24"/>
            <w:szCs w:val="24"/>
            <w:lang w:eastAsia="fr-FR"/>
          </w:rPr>
          <w:tab/>
        </w:r>
        <w:r>
          <w:rPr>
            <w:rStyle w:val="Sautdindex"/>
          </w:rPr>
          <w:t>Sensibilité des réseaux</w:t>
        </w:r>
        <w:r>
          <w:rPr>
            <w:rStyle w:val="Sautdindex"/>
            <w:vanish w:val="false"/>
          </w:rPr>
          <w:tab/>
        </w:r>
      </w:hyperlink>
      <w:r>
        <w:rPr>
          <w:vanish w:val="false"/>
        </w:rPr>
        <w:t>16</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29">
        <w:r>
          <w:rPr>
            <w:rStyle w:val="Sautdindex"/>
          </w:rPr>
          <w:t>3.2.3.</w:t>
        </w:r>
        <w:r>
          <w:rPr>
            <w:rStyle w:val="Sautdindex"/>
            <w:rFonts w:eastAsia="" w:cs="" w:cstheme="minorBidi" w:eastAsiaTheme="minorEastAsia"/>
            <w:color w:val="auto"/>
            <w:kern w:val="2"/>
            <w:sz w:val="24"/>
            <w:szCs w:val="24"/>
            <w:lang w:eastAsia="fr-FR"/>
          </w:rPr>
          <w:tab/>
        </w:r>
        <w:r>
          <w:rPr>
            <w:rStyle w:val="Sautdindex"/>
          </w:rPr>
          <w:t>Démarches auprès du guichet unique</w:t>
        </w:r>
        <w:r>
          <w:rPr>
            <w:rStyle w:val="Sautdindex"/>
            <w:vanish w:val="false"/>
          </w:rPr>
          <w:tab/>
        </w:r>
      </w:hyperlink>
      <w:r>
        <w:rPr>
          <w:vanish w:val="false"/>
        </w:rPr>
        <w:t>17</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0">
        <w:r>
          <w:rPr>
            <w:rStyle w:val="Sautdindex"/>
          </w:rPr>
          <w:t>3.3.</w:t>
        </w:r>
        <w:r>
          <w:rPr>
            <w:rStyle w:val="Sautdindex"/>
            <w:rFonts w:eastAsia="" w:cs="" w:cstheme="minorBidi" w:eastAsiaTheme="minorEastAsia"/>
            <w:color w:val="auto"/>
            <w:kern w:val="2"/>
            <w:sz w:val="24"/>
            <w:szCs w:val="24"/>
            <w:lang w:eastAsia="fr-FR"/>
          </w:rPr>
          <w:tab/>
        </w:r>
        <w:r>
          <w:rPr>
            <w:rStyle w:val="Sautdindex"/>
          </w:rPr>
          <w:t>PHASE PRÉPARATOIRE</w:t>
        </w:r>
        <w:r>
          <w:rPr>
            <w:rStyle w:val="Sautdindex"/>
            <w:vanish w:val="false"/>
          </w:rPr>
          <w:tab/>
        </w:r>
      </w:hyperlink>
      <w:r>
        <w:rPr>
          <w:vanish w:val="false"/>
        </w:rPr>
        <w:t>17</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1">
        <w:r>
          <w:rPr>
            <w:rStyle w:val="Sautdindex"/>
          </w:rPr>
          <w:t>3.3.1.</w:t>
        </w:r>
        <w:r>
          <w:rPr>
            <w:rStyle w:val="Sautdindex"/>
            <w:rFonts w:eastAsia="" w:cs="" w:cstheme="minorBidi" w:eastAsiaTheme="minorEastAsia"/>
            <w:color w:val="auto"/>
            <w:kern w:val="2"/>
            <w:sz w:val="24"/>
            <w:szCs w:val="24"/>
            <w:lang w:eastAsia="fr-FR"/>
          </w:rPr>
          <w:tab/>
        </w:r>
        <w:r>
          <w:rPr>
            <w:rStyle w:val="Sautdindex"/>
          </w:rPr>
          <w:t>Données récoltées</w:t>
        </w:r>
        <w:r>
          <w:rPr>
            <w:rStyle w:val="Sautdindex"/>
            <w:vanish w:val="false"/>
          </w:rPr>
          <w:tab/>
        </w:r>
      </w:hyperlink>
      <w:r>
        <w:rPr>
          <w:vanish w:val="false"/>
        </w:rPr>
        <w:t>17</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2">
        <w:r>
          <mc:AlternateContent>
            <mc:Choice Requires="wps">
              <w:drawing>
                <wp:anchor behindDoc="0" distT="0" distB="0" distL="114300" distR="114300" simplePos="0" locked="0" layoutInCell="0" allowOverlap="1" relativeHeight="79">
                  <wp:simplePos x="0" y="0"/>
                  <wp:positionH relativeFrom="column">
                    <wp:posOffset>146685</wp:posOffset>
                  </wp:positionH>
                  <wp:positionV relativeFrom="paragraph">
                    <wp:posOffset>7606665</wp:posOffset>
                  </wp:positionV>
                  <wp:extent cx="2827020" cy="390525"/>
                  <wp:effectExtent l="0" t="0" r="0" b="0"/>
                  <wp:wrapSquare wrapText="bothSides"/>
                  <wp:docPr id="5" name="Zone de texte 1498304691"/>
                  <a:graphic xmlns:a="http://schemas.openxmlformats.org/drawingml/2006/main">
                    <a:graphicData uri="http://schemas.microsoft.com/office/word/2010/wordprocessingShape">
                      <wps:wsp>
                        <wps:cNvSpPr/>
                        <wps:spPr>
                          <a:xfrm>
                            <a:off x="0" y="0"/>
                            <a:ext cx="2826360" cy="389880"/>
                          </a:xfrm>
                          <a:prstGeom prst="rect">
                            <a:avLst/>
                          </a:prstGeom>
                          <a:noFill/>
                          <a:ln w="0">
                            <a:noFill/>
                          </a:ln>
                        </wps:spPr>
                        <wps:style>
                          <a:lnRef idx="0"/>
                          <a:fillRef idx="0"/>
                          <a:effectRef idx="0"/>
                          <a:fontRef idx="minor"/>
                        </wps:style>
                        <wps:txbx>
                          <w:txbxContent>
                            <w:p>
                              <w:pPr>
                                <w:pStyle w:val="Contenudecadre"/>
                                <w:rPr/>
                              </w:pPr>
                              <w:r>
                                <w:rPr/>
                              </w:r>
                            </w:p>
                          </w:txbxContent>
                        </wps:txbx>
                        <wps:bodyPr anchor="b">
                          <a:noAutofit/>
                        </wps:bodyPr>
                      </wps:wsp>
                    </a:graphicData>
                  </a:graphic>
                </wp:anchor>
              </w:drawing>
            </mc:Choice>
            <mc:Fallback>
              <w:pict>
                <v:shapetype id="_x0000_t202" coordsize="21600,21600" o:spt="202" path="m,l,21600l21600,21600l21600,xe">
                  <v:stroke joinstyle="miter"/>
                  <v:path gradientshapeok="t" o:connecttype="rect"/>
                </v:shapetype>
                <v:shape id="shape_0" ID="Zone de texte 1498304691" stroked="f" o:allowincell="f" style="position:absolute;margin-left:11.55pt;margin-top:598.95pt;width:222.5pt;height:30.65pt;mso-wrap-style:none;v-text-anchor:middle" type="_x0000_t202">
                  <v:fill o:detectmouseclick="t" on="false"/>
                  <v:stroke color="#3465a4" joinstyle="round" endcap="flat"/>
                  <v:textbox>
                    <w:txbxContent>
                      <w:p>
                        <w:pPr>
                          <w:pStyle w:val="Contenudecadre"/>
                          <w:rPr/>
                        </w:pPr>
                        <w:r>
                          <w:rPr/>
                        </w:r>
                      </w:p>
                    </w:txbxContent>
                  </v:textbox>
                  <w10:wrap type="square"/>
                </v:shape>
              </w:pict>
            </mc:Fallback>
          </mc:AlternateContent>
        </w:r>
        <w:r>
          <w:rPr>
            <w:rStyle w:val="Sautdindex"/>
          </w:rPr>
          <w:t>3.3.2.</w:t>
        </w:r>
        <w:r>
          <w:rPr>
            <w:rStyle w:val="Sautdindex"/>
            <w:rFonts w:eastAsia="" w:cs="" w:cstheme="minorBidi" w:eastAsiaTheme="minorEastAsia"/>
            <w:color w:val="auto"/>
            <w:kern w:val="2"/>
            <w:sz w:val="24"/>
            <w:szCs w:val="24"/>
            <w:lang w:eastAsia="fr-FR"/>
          </w:rPr>
          <w:tab/>
        </w:r>
        <w:r>
          <w:rPr>
            <w:rStyle w:val="Sautdindex"/>
          </w:rPr>
          <w:t>Analyse des risques</w:t>
        </w:r>
        <w:r>
          <w:rPr>
            <w:rStyle w:val="Sautdindex"/>
            <w:vanish w:val="false"/>
          </w:rPr>
          <w:tab/>
        </w:r>
      </w:hyperlink>
      <w:r>
        <w:rPr>
          <w:vanish w:val="false"/>
        </w:rPr>
        <w:t>17</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3">
        <w:r>
          <w:rPr>
            <w:rStyle w:val="Sautdindex"/>
          </w:rPr>
          <w:t>3.3.3.</w:t>
        </w:r>
        <w:r>
          <w:rPr>
            <w:rStyle w:val="Sautdindex"/>
            <w:rFonts w:eastAsia="" w:cs="" w:cstheme="minorBidi" w:eastAsiaTheme="minorEastAsia"/>
            <w:color w:val="auto"/>
            <w:kern w:val="2"/>
            <w:sz w:val="24"/>
            <w:szCs w:val="24"/>
            <w:lang w:eastAsia="fr-FR"/>
          </w:rPr>
          <w:tab/>
        </w:r>
        <w:r>
          <w:rPr>
            <w:rStyle w:val="Sautdindex"/>
          </w:rPr>
          <w:t>Repérage du site</w:t>
        </w:r>
        <w:r>
          <w:rPr>
            <w:rStyle w:val="Sautdindex"/>
            <w:vanish w:val="false"/>
          </w:rPr>
          <w:tab/>
        </w:r>
      </w:hyperlink>
      <w:r>
        <w:rPr>
          <w:vanish w:val="false"/>
        </w:rPr>
        <w:t>17</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4">
        <w:r>
          <w:rPr>
            <w:rStyle w:val="Sautdindex"/>
          </w:rPr>
          <w:t>3.4.</w:t>
        </w:r>
        <w:r>
          <w:rPr>
            <w:rStyle w:val="Sautdindex"/>
            <w:rFonts w:eastAsia="" w:cs="" w:cstheme="minorBidi" w:eastAsiaTheme="minorEastAsia"/>
            <w:color w:val="auto"/>
            <w:kern w:val="2"/>
            <w:sz w:val="24"/>
            <w:szCs w:val="24"/>
            <w:lang w:eastAsia="fr-FR"/>
          </w:rPr>
          <w:tab/>
        </w:r>
        <w:r>
          <w:rPr>
            <w:rStyle w:val="Sautdindex"/>
          </w:rPr>
          <w:t>TECHNIQUES EMPLOYÉES</w:t>
        </w:r>
        <w:r>
          <w:rPr>
            <w:rStyle w:val="Sautdindex"/>
            <w:vanish w:val="false"/>
          </w:rPr>
          <w:tab/>
        </w:r>
      </w:hyperlink>
      <w:r>
        <w:rPr>
          <w:vanish w:val="false"/>
        </w:rPr>
        <w:t>18</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5">
        <w:r>
          <w:rPr>
            <w:rStyle w:val="Sautdindex"/>
          </w:rPr>
          <w:t>3.4.1.</w:t>
        </w:r>
        <w:r>
          <w:rPr>
            <w:rStyle w:val="Sautdindex"/>
            <w:rFonts w:eastAsia="" w:cs="" w:cstheme="minorBidi" w:eastAsiaTheme="minorEastAsia"/>
            <w:color w:val="auto"/>
            <w:kern w:val="2"/>
            <w:sz w:val="24"/>
            <w:szCs w:val="24"/>
            <w:lang w:eastAsia="fr-FR"/>
          </w:rPr>
          <w:tab/>
        </w:r>
        <w:r>
          <w:rPr>
            <w:rStyle w:val="Sautdindex"/>
          </w:rPr>
          <w:t>Détection des réseaux enterrés</w:t>
        </w:r>
        <w:r>
          <w:rPr>
            <w:rStyle w:val="Sautdindex"/>
            <w:vanish w:val="false"/>
          </w:rPr>
          <w:tab/>
        </w:r>
      </w:hyperlink>
      <w:r>
        <w:rPr>
          <w:vanish w:val="false"/>
        </w:rPr>
        <w:t>18</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6">
        <w:r>
          <w:rPr>
            <w:rStyle w:val="Sautdindex"/>
          </w:rPr>
          <w:t>3.4.1.1.</w:t>
        </w:r>
        <w:r>
          <w:rPr>
            <w:rStyle w:val="Sautdindex"/>
            <w:rFonts w:eastAsia="" w:cs="" w:cstheme="minorBidi" w:eastAsiaTheme="minorEastAsia"/>
            <w:color w:val="auto"/>
            <w:kern w:val="2"/>
            <w:sz w:val="24"/>
            <w:szCs w:val="24"/>
            <w:lang w:eastAsia="fr-FR"/>
          </w:rPr>
          <w:tab/>
        </w:r>
        <w:r>
          <w:rPr>
            <w:rStyle w:val="Sautdindex"/>
          </w:rPr>
          <w:t>Investigation des affleurants</w:t>
        </w:r>
        <w:r>
          <w:rPr>
            <w:rStyle w:val="Sautdindex"/>
            <w:vanish w:val="false"/>
          </w:rPr>
          <w:tab/>
        </w:r>
      </w:hyperlink>
      <w:r>
        <w:rPr>
          <w:vanish w:val="false"/>
        </w:rPr>
        <w:t>18</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7">
        <w:r>
          <w:rPr>
            <w:rStyle w:val="Sautdindex"/>
          </w:rPr>
          <w:t>3.4.1.2.</w:t>
        </w:r>
        <w:r>
          <w:rPr>
            <w:rStyle w:val="Sautdindex"/>
            <w:rFonts w:eastAsia="" w:cs="" w:cstheme="minorBidi" w:eastAsiaTheme="minorEastAsia"/>
            <w:color w:val="auto"/>
            <w:kern w:val="2"/>
            <w:sz w:val="24"/>
            <w:szCs w:val="24"/>
            <w:lang w:eastAsia="fr-FR"/>
          </w:rPr>
          <w:tab/>
        </w:r>
        <w:r>
          <w:rPr>
            <w:rStyle w:val="Sautdindex"/>
          </w:rPr>
          <w:t xml:space="preserve">Utilisation des détecteurs       </w:t>
        </w:r>
        <w:r>
          <w:rPr>
            <w:rStyle w:val="Sautdindex"/>
          </w:rPr>
          <w:t>électromagnétiques</w:t>
        </w:r>
        <w:r>
          <w:rPr>
            <w:rStyle w:val="Sautdindex"/>
            <w:vanish w:val="false"/>
          </w:rPr>
          <w:tab/>
        </w:r>
      </w:hyperlink>
      <w:r>
        <w:rPr>
          <w:vanish w:val="false"/>
        </w:rPr>
        <w:t>19</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8">
        <w:r>
          <w:rPr>
            <w:rStyle w:val="Sautdindex"/>
          </w:rPr>
          <w:t>3.4.1.3.</w:t>
        </w:r>
        <w:r>
          <w:rPr>
            <w:rStyle w:val="Sautdindex"/>
            <w:rFonts w:eastAsia="" w:cs="" w:cstheme="minorBidi" w:eastAsiaTheme="minorEastAsia"/>
            <w:color w:val="auto"/>
            <w:kern w:val="2"/>
            <w:sz w:val="24"/>
            <w:szCs w:val="24"/>
            <w:lang w:eastAsia="fr-FR"/>
          </w:rPr>
          <w:tab/>
        </w:r>
        <w:r>
          <w:rPr>
            <w:rStyle w:val="Sautdindex"/>
          </w:rPr>
          <w:t>Utilisation du géoradar</w:t>
        </w:r>
        <w:r>
          <w:rPr>
            <w:rStyle w:val="Sautdindex"/>
            <w:vanish w:val="false"/>
          </w:rPr>
          <w:tab/>
        </w:r>
      </w:hyperlink>
      <w:r>
        <w:rPr>
          <w:vanish w:val="false"/>
        </w:rPr>
        <w:t>20</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39">
        <w:r>
          <w:rPr>
            <w:rStyle w:val="Sautdindex"/>
          </w:rPr>
          <w:t>3.4.1.4.</w:t>
        </w:r>
        <w:r>
          <w:rPr>
            <w:rStyle w:val="Sautdindex"/>
            <w:rFonts w:eastAsia="" w:cs="" w:cstheme="minorBidi" w:eastAsiaTheme="minorEastAsia"/>
            <w:color w:val="auto"/>
            <w:kern w:val="2"/>
            <w:sz w:val="24"/>
            <w:szCs w:val="24"/>
            <w:lang w:eastAsia="fr-FR"/>
          </w:rPr>
          <w:tab/>
        </w:r>
        <w:r>
          <w:rPr>
            <w:rStyle w:val="Sautdindex"/>
          </w:rPr>
          <w:t>Utilisation de la sonde intrusive</w:t>
        </w:r>
        <w:r>
          <w:rPr>
            <w:rStyle w:val="Sautdindex"/>
            <w:vanish w:val="false"/>
          </w:rPr>
          <w:tab/>
        </w:r>
      </w:hyperlink>
      <w:r>
        <w:rPr>
          <w:vanish w:val="false"/>
        </w:rPr>
        <w:t>23</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0">
        <w:r>
          <w:rPr>
            <w:rStyle w:val="Sautdindex"/>
          </w:rPr>
          <w:t>3.4.2.</w:t>
        </w:r>
        <w:r>
          <w:rPr>
            <w:rStyle w:val="Sautdindex"/>
            <w:rFonts w:eastAsia="" w:cs="" w:cstheme="minorBidi" w:eastAsiaTheme="minorEastAsia"/>
            <w:color w:val="auto"/>
            <w:kern w:val="2"/>
            <w:sz w:val="24"/>
            <w:szCs w:val="24"/>
            <w:lang w:eastAsia="fr-FR"/>
          </w:rPr>
          <w:tab/>
        </w:r>
        <w:r>
          <w:rPr>
            <w:rStyle w:val="Sautdindex"/>
          </w:rPr>
          <w:t>Marquage</w:t>
        </w:r>
        <w:r>
          <w:rPr>
            <w:rStyle w:val="Sautdindex"/>
            <w:rFonts w:cs="Times New Roman" w:ascii="Times New Roman" w:hAnsi="Times New Roman"/>
          </w:rPr>
          <w:t>‐</w:t>
        </w:r>
        <w:r>
          <w:rPr>
            <w:rStyle w:val="Sautdindex"/>
          </w:rPr>
          <w:t>piquetage et tracé au sol</w:t>
        </w:r>
        <w:r>
          <w:rPr>
            <w:rStyle w:val="Sautdindex"/>
            <w:vanish w:val="false"/>
          </w:rPr>
          <w:tab/>
        </w:r>
      </w:hyperlink>
      <w:r>
        <w:rPr>
          <w:vanish w:val="false"/>
        </w:rPr>
        <w:t>23</w:t>
      </w:r>
    </w:p>
    <w:p>
      <w:pPr>
        <w:pStyle w:val="Tabledesmatiresniveau1"/>
        <w:tabs>
          <w:tab w:val="clear" w:pos="720"/>
          <w:tab w:val="left" w:pos="96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1">
        <w:r>
          <w:rPr>
            <w:rStyle w:val="Sautdindex"/>
          </w:rPr>
          <w:t>3.4.3.</w:t>
        </w:r>
        <w:r>
          <w:rPr>
            <w:rStyle w:val="Sautdindex"/>
            <w:rFonts w:eastAsia="" w:cs="" w:cstheme="minorBidi" w:eastAsiaTheme="minorEastAsia"/>
            <w:color w:val="auto"/>
            <w:kern w:val="2"/>
            <w:sz w:val="24"/>
            <w:szCs w:val="24"/>
            <w:lang w:eastAsia="fr-FR"/>
          </w:rPr>
          <w:tab/>
        </w:r>
        <w:r>
          <w:rPr>
            <w:rStyle w:val="Sautdindex"/>
          </w:rPr>
          <w:t>Levés topographiques</w:t>
        </w:r>
        <w:r>
          <w:rPr>
            <w:rStyle w:val="Sautdindex"/>
            <w:vanish w:val="false"/>
          </w:rPr>
          <w:tab/>
        </w:r>
      </w:hyperlink>
      <w:r>
        <w:rPr>
          <w:vanish w:val="false"/>
        </w:rPr>
        <w:t>25</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2">
        <w:r>
          <w:rPr>
            <w:rStyle w:val="Sautdindex"/>
          </w:rPr>
          <w:t>3.4.3.1.</w:t>
        </w:r>
        <w:r>
          <w:rPr>
            <w:rStyle w:val="Sautdindex"/>
            <w:rFonts w:eastAsia="" w:cs="" w:cstheme="minorBidi" w:eastAsiaTheme="minorEastAsia"/>
            <w:color w:val="auto"/>
            <w:kern w:val="2"/>
            <w:sz w:val="24"/>
            <w:szCs w:val="24"/>
            <w:lang w:eastAsia="fr-FR"/>
          </w:rPr>
          <w:tab/>
        </w:r>
        <w:r>
          <w:rPr>
            <w:rStyle w:val="Sautdindex"/>
          </w:rPr>
          <w:t>Levés topographiques</w:t>
        </w:r>
        <w:r>
          <w:rPr>
            <w:rStyle w:val="Sautdindex"/>
            <w:vanish w:val="false"/>
          </w:rPr>
          <w:tab/>
        </w:r>
      </w:hyperlink>
      <w:r>
        <w:rPr>
          <w:vanish w:val="false"/>
        </w:rPr>
        <w:t>25</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3">
        <w:r>
          <w:rPr>
            <w:rStyle w:val="Sautdindex"/>
          </w:rPr>
          <w:t>3.4.3.2.</w:t>
        </w:r>
        <w:r>
          <w:rPr>
            <w:rStyle w:val="Sautdindex"/>
            <w:rFonts w:eastAsia="" w:cs="" w:cstheme="minorBidi" w:eastAsiaTheme="minorEastAsia"/>
            <w:color w:val="auto"/>
            <w:kern w:val="2"/>
            <w:sz w:val="24"/>
            <w:szCs w:val="24"/>
            <w:lang w:eastAsia="fr-FR"/>
          </w:rPr>
          <w:tab/>
        </w:r>
        <w:r>
          <w:rPr>
            <w:rStyle w:val="Sautdindex"/>
          </w:rPr>
          <w:t>Le recalage</w:t>
        </w:r>
        <w:r>
          <w:rPr>
            <w:rStyle w:val="Sautdindex"/>
            <w:vanish w:val="false"/>
          </w:rPr>
          <w:tab/>
        </w:r>
      </w:hyperlink>
      <w:r>
        <w:rPr>
          <w:vanish w:val="false"/>
        </w:rPr>
        <w:t>26</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4">
        <w:r>
          <w:rPr>
            <w:rStyle w:val="Sautdindex"/>
          </w:rPr>
          <w:t>3.4.3.3.</w:t>
        </w:r>
        <w:r>
          <w:rPr>
            <w:rStyle w:val="Sautdindex"/>
            <w:rFonts w:eastAsia="" w:cs="" w:cstheme="minorBidi" w:eastAsiaTheme="minorEastAsia"/>
            <w:color w:val="auto"/>
            <w:kern w:val="2"/>
            <w:sz w:val="24"/>
            <w:szCs w:val="24"/>
            <w:lang w:eastAsia="fr-FR"/>
          </w:rPr>
          <w:tab/>
        </w:r>
        <w:r>
          <w:rPr>
            <w:rStyle w:val="Sautdindex"/>
          </w:rPr>
          <w:t>Relevé des tracés de réseaux</w:t>
        </w:r>
        <w:r>
          <w:rPr>
            <w:rStyle w:val="Sautdindex"/>
            <w:vanish w:val="false"/>
          </w:rPr>
          <w:tab/>
        </w:r>
      </w:hyperlink>
      <w:r>
        <w:rPr>
          <w:vanish w:val="false"/>
        </w:rPr>
        <w:t>26</w:t>
      </w:r>
    </w:p>
    <w:p>
      <w:pPr>
        <w:pStyle w:val="Tabledesmatiresniveau1"/>
        <w:tabs>
          <w:tab w:val="clear" w:pos="720"/>
          <w:tab w:val="left" w:pos="120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5">
        <w:r>
          <w:rPr>
            <w:rStyle w:val="Sautdindex"/>
          </w:rPr>
          <w:t>3.4.3.4.</w:t>
        </w:r>
        <w:r>
          <w:rPr>
            <w:rStyle w:val="Sautdindex"/>
            <w:rFonts w:eastAsia="" w:cs="" w:cstheme="minorBidi" w:eastAsiaTheme="minorEastAsia"/>
            <w:color w:val="auto"/>
            <w:kern w:val="2"/>
            <w:sz w:val="24"/>
            <w:szCs w:val="24"/>
            <w:lang w:eastAsia="fr-FR"/>
          </w:rPr>
          <w:tab/>
        </w:r>
        <w:r>
          <w:rPr>
            <w:rStyle w:val="Sautdindex"/>
          </w:rPr>
          <w:t>Édition du plan de détection</w:t>
        </w:r>
        <w:r>
          <w:rPr>
            <w:rStyle w:val="Sautdindex"/>
            <w:vanish w:val="false"/>
          </w:rPr>
          <w:tab/>
        </w:r>
      </w:hyperlink>
      <w:r>
        <w:rPr>
          <w:vanish w:val="false"/>
        </w:rPr>
        <w:t>27</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6">
        <w:r>
          <w:rPr>
            <w:rStyle w:val="Sautdindex"/>
          </w:rPr>
          <w:t>4.</w:t>
        </w:r>
        <w:r>
          <w:rPr>
            <w:rStyle w:val="Sautdindex"/>
            <w:rFonts w:eastAsia="" w:cs="" w:cstheme="minorBidi" w:eastAsiaTheme="minorEastAsia"/>
            <w:color w:val="auto"/>
            <w:kern w:val="2"/>
            <w:sz w:val="24"/>
            <w:szCs w:val="24"/>
            <w:lang w:eastAsia="fr-FR"/>
          </w:rPr>
          <w:tab/>
        </w:r>
        <w:r>
          <w:rPr>
            <w:rStyle w:val="Sautdindex"/>
          </w:rPr>
          <w:t>ANNEXES</w:t>
        </w:r>
        <w:r>
          <w:rPr>
            <w:rStyle w:val="Sautdindex"/>
            <w:vanish w:val="false"/>
          </w:rPr>
          <w:tab/>
        </w:r>
      </w:hyperlink>
      <w:r>
        <w:rPr>
          <w:vanish w:val="false"/>
        </w:rPr>
        <w:t>29</w:t>
      </w:r>
    </w:p>
    <w:p>
      <w:pPr>
        <w:pStyle w:val="Tabledesmatiresniveau1"/>
        <w:tabs>
          <w:tab w:val="left" w:pos="720" w:leader="none"/>
          <w:tab w:val="right" w:pos="9632" w:leader="dot"/>
        </w:tabs>
        <w:rPr>
          <w:rFonts w:ascii="Open Sans" w:hAnsi="Open Sans" w:eastAsia="" w:cs="" w:asciiTheme="minorHAnsi" w:cstheme="minorBidi" w:eastAsiaTheme="minorEastAsia" w:hAnsiTheme="minorHAnsi"/>
          <w:color w:val="auto"/>
          <w:kern w:val="2"/>
          <w:sz w:val="24"/>
          <w:szCs w:val="24"/>
          <w:lang w:eastAsia="fr-FR"/>
        </w:rPr>
      </w:pPr>
      <w:hyperlink w:anchor="_Toc163137747">
        <w:r>
          <w:rPr>
            <w:rStyle w:val="Sautdindex"/>
          </w:rPr>
          <w:t>4.1.</w:t>
        </w:r>
        <w:r>
          <w:rPr>
            <w:rStyle w:val="Sautdindex"/>
            <w:rFonts w:eastAsia="" w:cs="" w:cstheme="minorBidi" w:eastAsiaTheme="minorEastAsia"/>
            <w:color w:val="auto"/>
            <w:kern w:val="2"/>
            <w:sz w:val="24"/>
            <w:szCs w:val="24"/>
            <w:lang w:eastAsia="fr-FR"/>
          </w:rPr>
          <w:tab/>
        </w:r>
        <w:r>
          <w:rPr>
            <w:rStyle w:val="Sautdindex"/>
          </w:rPr>
          <w:t>ANNEXE 1 : RÉALIMENTATION EN VIGUEUR DANS LE CADRE DE NOS MISSIONS DE DÉTECTION ET DE GÉORÉFÉRENCEMENT DE RÉSEAUX</w:t>
        </w:r>
        <w:r>
          <w:rPr>
            <w:rStyle w:val="Sautdindex"/>
            <w:vanish w:val="false"/>
          </w:rPr>
          <w:tab/>
        </w:r>
      </w:hyperlink>
      <w:r>
        <w:rPr>
          <w:vanish w:val="false"/>
        </w:rPr>
        <w:t>29</w:t>
      </w:r>
    </w:p>
    <w:p>
      <w:pPr>
        <w:pStyle w:val="Tabledesmatiresniveau1"/>
        <w:tabs>
          <w:tab w:val="clear" w:pos="720"/>
          <w:tab w:val="left" w:pos="1100" w:leader="none"/>
          <w:tab w:val="right" w:pos="9632" w:leader="dot"/>
        </w:tabs>
        <w:ind w:left="0" w:right="89" w:hanging="0"/>
        <w:rPr/>
      </w:pPr>
      <w:r>
        <w:rPr/>
      </w:r>
    </w:p>
    <w:p>
      <w:pPr>
        <w:pStyle w:val="Tabledesmatiresniveau1"/>
        <w:tabs>
          <w:tab w:val="clear" w:pos="720"/>
          <w:tab w:val="left" w:pos="1100" w:leader="none"/>
          <w:tab w:val="right" w:pos="9632" w:leader="dot"/>
        </w:tabs>
        <w:ind w:left="0" w:right="89" w:hanging="0"/>
        <w:rPr/>
      </w:pPr>
      <w:r>
        <w:drawing>
          <wp:anchor behindDoc="1" distT="0" distB="0" distL="0" distR="0" simplePos="0" locked="0" layoutInCell="0" allowOverlap="1" relativeHeight="8">
            <wp:simplePos x="0" y="0"/>
            <wp:positionH relativeFrom="margin">
              <wp:posOffset>3728720</wp:posOffset>
            </wp:positionH>
            <wp:positionV relativeFrom="page">
              <wp:posOffset>4197985</wp:posOffset>
            </wp:positionV>
            <wp:extent cx="4074160" cy="5421630"/>
            <wp:effectExtent l="0" t="0" r="0" b="0"/>
            <wp:wrapNone/>
            <wp:docPr id="7" name="Image 1919227654" descr="Une image contenant Graphique, cercle, graphis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919227654" descr="Une image contenant Graphique, cercle, graphisme, Police&#10;&#10;Description générée automatiquement"/>
                    <pic:cNvPicPr>
                      <a:picLocks noChangeAspect="1" noChangeArrowheads="1"/>
                    </pic:cNvPicPr>
                  </pic:nvPicPr>
                  <pic:blipFill>
                    <a:blip r:embed="rId6"/>
                    <a:stretch>
                      <a:fillRect/>
                    </a:stretch>
                  </pic:blipFill>
                  <pic:spPr bwMode="auto">
                    <a:xfrm>
                      <a:off x="0" y="0"/>
                      <a:ext cx="4074160" cy="5421630"/>
                    </a:xfrm>
                    <a:prstGeom prst="rect">
                      <a:avLst/>
                    </a:prstGeom>
                  </pic:spPr>
                </pic:pic>
              </a:graphicData>
            </a:graphic>
          </wp:anchor>
        </w:drawing>
      </w:r>
      <w:r>
        <w:rPr/>
        <w:tab/>
      </w:r>
    </w:p>
    <w:p>
      <w:pPr>
        <w:pStyle w:val="Normal"/>
        <w:rPr/>
      </w:pPr>
      <w:r>
        <w:rPr/>
      </w:r>
    </w:p>
    <w:p>
      <w:pPr>
        <w:pStyle w:val="Normal"/>
        <w:spacing w:lineRule="auto" w:line="240"/>
        <w:jc w:val="left"/>
        <w:rPr/>
      </w:pPr>
      <w:r>
        <w:rPr/>
      </w:r>
      <w:r>
        <w:br w:type="page"/>
      </w:r>
    </w:p>
    <w:p>
      <w:pPr>
        <w:pStyle w:val="Titre1GEOFIT"/>
        <w:numPr>
          <w:ilvl w:val="0"/>
          <w:numId w:val="3"/>
        </w:numPr>
        <w:ind w:left="567" w:hanging="567"/>
        <w:rPr/>
      </w:pPr>
      <w:bookmarkStart w:id="14" w:name="_Toc163137704"/>
      <w:r>
        <w:rPr/>
        <w:t>RÉSULTATS OBTENUS</w:t>
      </w:r>
      <w:bookmarkEnd w:id="14"/>
    </w:p>
    <w:p>
      <w:pPr>
        <w:pStyle w:val="Titre2GEOFIT"/>
        <w:numPr>
          <w:ilvl w:val="1"/>
          <w:numId w:val="3"/>
        </w:numPr>
        <w:ind w:left="792" w:hanging="567"/>
        <w:rPr/>
      </w:pPr>
      <w:bookmarkStart w:id="15" w:name="_Toc163137705"/>
      <w:r>
        <w:rPr/>
        <w:t>Classe de précision</w:t>
      </w:r>
      <w:bookmarkEnd w:id="15"/>
    </w:p>
    <w:p>
      <w:pPr>
        <w:pStyle w:val="Normal"/>
        <w:rPr>
          <w:highlight w:val="yellow"/>
        </w:rPr>
      </w:pPr>
      <w:r>
        <w:rPr/>
        <w:t>Le tableau ci-dessous récapitule les différentes tolérances permettant de classer les réseaux en fonction de la réponse du signal obtenue lors de la détection.</w:t>
      </w:r>
    </w:p>
    <w:p>
      <w:pPr>
        <w:pStyle w:val="Normal"/>
        <w:rPr>
          <w:highlight w:val="yellow"/>
        </w:rPr>
      </w:pPr>
      <w:r>
        <w:rPr>
          <w:highlight w:val="yellow"/>
        </w:rPr>
      </w:r>
    </w:p>
    <w:p>
      <w:pPr>
        <w:pStyle w:val="Normal"/>
        <w:jc w:val="center"/>
        <w:rPr>
          <w:highlight w:val="yellow"/>
        </w:rPr>
      </w:pPr>
      <w:r>
        <w:rPr/>
        <w:drawing>
          <wp:inline distT="0" distB="0" distL="0" distR="0">
            <wp:extent cx="3627120" cy="1122045"/>
            <wp:effectExtent l="0" t="0" r="0" b="0"/>
            <wp:docPr id="8" name="Image 3" descr="Une image contenant texte, capture d’écran, Police,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3" descr="Une image contenant texte, capture d’écran, Police, cercle&#10;&#10;Description générée automatiquement"/>
                    <pic:cNvPicPr>
                      <a:picLocks noChangeAspect="1" noChangeArrowheads="1"/>
                    </pic:cNvPicPr>
                  </pic:nvPicPr>
                  <pic:blipFill>
                    <a:blip r:embed="rId7"/>
                    <a:stretch>
                      <a:fillRect/>
                    </a:stretch>
                  </pic:blipFill>
                  <pic:spPr bwMode="auto">
                    <a:xfrm>
                      <a:off x="0" y="0"/>
                      <a:ext cx="3627120" cy="1122045"/>
                    </a:xfrm>
                    <a:prstGeom prst="rect">
                      <a:avLst/>
                    </a:prstGeom>
                  </pic:spPr>
                </pic:pic>
              </a:graphicData>
            </a:graphic>
          </wp:inline>
        </w:drawing>
      </w:r>
    </w:p>
    <w:p>
      <w:pPr>
        <w:pStyle w:val="Normal"/>
        <w:rPr>
          <w:highlight w:val="yellow"/>
        </w:rPr>
      </w:pPr>
      <w:r>
        <w:rPr>
          <w:highlight w:val="yellow"/>
        </w:rPr>
      </w:r>
    </w:p>
    <w:p>
      <w:pPr>
        <w:pStyle w:val="Titre2GEOFIT"/>
        <w:numPr>
          <w:ilvl w:val="1"/>
          <w:numId w:val="3"/>
        </w:numPr>
        <w:ind w:left="792" w:hanging="567"/>
        <w:rPr/>
      </w:pPr>
      <w:bookmarkStart w:id="16" w:name="_Toc163137706"/>
      <w:r>
        <w:rPr/>
        <w:t>Analyse des mesures</w:t>
      </w:r>
      <w:bookmarkEnd w:id="16"/>
    </w:p>
    <w:p>
      <w:pPr>
        <w:pStyle w:val="Normal"/>
        <w:rPr/>
      </w:pPr>
      <w:r>
        <w:rPr/>
        <w:t xml:space="preserve">L’analyse des résultats obtenus a été effectuée par compilation des radargrammes transversaux et longitudinaux. Les anomalies sont ensuite analysées et les éventuels réseaux identifiés. En parallèle, une géo détection par radiodétection est réalisée. </w:t>
      </w:r>
    </w:p>
    <w:p>
      <w:pPr>
        <w:pStyle w:val="Normal"/>
        <w:rPr/>
      </w:pPr>
      <w:r>
        <w:rPr/>
        <w:t>Nota : le terme « anomalie » ou « signature » désigne une réponse particulière renvoyée par un élément dans le milieu ausculté. Une anomalie en termes géophysiques peut donc correspondre à une canalisation ou une structure enterrée.</w:t>
      </w:r>
    </w:p>
    <w:p>
      <w:pPr>
        <w:pStyle w:val="Normal"/>
        <w:rPr/>
      </w:pPr>
      <w:r>
        <w:rPr/>
      </w:r>
    </w:p>
    <w:p>
      <w:pPr>
        <w:pStyle w:val="Titre2GEOFIT"/>
        <w:numPr>
          <w:ilvl w:val="1"/>
          <w:numId w:val="3"/>
        </w:numPr>
        <w:ind w:left="792" w:hanging="567"/>
        <w:rPr/>
      </w:pPr>
      <w:bookmarkStart w:id="17" w:name="_Toc163137707"/>
      <w:r>
        <w:rPr/>
        <w:t>Ecarts entre les IC et les DT</w:t>
      </w:r>
      <w:bookmarkEnd w:id="17"/>
    </w:p>
    <w:p>
      <w:pPr>
        <w:pStyle w:val="Normal"/>
        <w:rPr/>
      </w:pPr>
      <w:r>
        <w:rPr/>
        <w:t>Conformément aux exigences de la norme, tous les écarts entre les investigations complémentaires et les plans fournis par les concessionnaires sont indiqués sur les plans. Il peut s'agir notamment d'écarts sur la position des réseaux par rapport à la classe de précision indiquée par le concessionnaire ou de tronçons de réseaux ou éléments de surface supplémentaires.</w:t>
      </w:r>
    </w:p>
    <w:p>
      <w:pPr>
        <w:pStyle w:val="Normal"/>
        <w:rPr/>
      </w:pPr>
      <w:r>
        <w:rPr/>
        <w:t>Toutes les données fournies par les exploitants concernés sur le tableau récapitulatif du guichet unique sont analysées, et comparées à nos résultats d'investigations complémentaires.</w:t>
      </w:r>
    </w:p>
    <w:p>
      <w:pPr>
        <w:pStyle w:val="Titre2GEOFIT"/>
        <w:numPr>
          <w:ilvl w:val="1"/>
          <w:numId w:val="3"/>
        </w:numPr>
        <w:ind w:left="792" w:hanging="567"/>
        <w:rPr/>
      </w:pPr>
      <w:bookmarkStart w:id="18" w:name="_Toc163137708"/>
      <w:r>
        <w:rPr/>
        <w:t>I</w:t>
      </w:r>
      <w:bookmarkEnd w:id="18"/>
      <w:r>
        <w:rPr/>
        <w:t>nvestigations sur le terrain</w:t>
      </w:r>
    </w:p>
    <w:p>
      <w:pPr>
        <w:pStyle w:val="Normal"/>
        <w:rPr/>
      </w:pPr>
      <w:r>
        <w:rPr/>
        <w:t xml:space="preserve">Récépissés de DT et plans des exploitants : </w:t>
      </w:r>
    </w:p>
    <w:p>
      <w:pPr>
        <w:pStyle w:val="Normal"/>
        <w:rPr>
          <w:strike/>
        </w:rPr>
      </w:pPr>
      <w:r>
        <w:rPr>
          <w:strike/>
        </w:rPr>
        <w:t xml:space="preserve">Dans le cadre du chantier, une DICT a été demandée le </w:t>
      </w:r>
    </w:p>
    <w:p>
      <w:pPr>
        <w:pStyle w:val="Normal"/>
        <w:rPr>
          <w:rStyle w:val="SubtleEmphasis"/>
          <w:i w:val="false"/>
          <w:i w:val="false"/>
          <w:iCs w:val="false"/>
          <w:strike/>
          <w:color w:val="auto"/>
        </w:rPr>
      </w:pPr>
      <w:r>
        <w:rPr>
          <w:rStyle w:val="SubtleEmphasis"/>
          <w:i w:val="false"/>
          <w:iCs w:val="false"/>
          <w:strike/>
          <w:color w:val="auto"/>
        </w:rPr>
        <w:t xml:space="preserve">Numéro de consultation du téléservice DT : </w:t>
      </w:r>
    </w:p>
    <w:p>
      <w:pPr>
        <w:pStyle w:val="Normal"/>
        <w:rPr>
          <w:rStyle w:val="SubtleEmphasis"/>
          <w:i w:val="false"/>
          <w:i w:val="false"/>
          <w:iCs w:val="false"/>
          <w:strike/>
          <w:color w:val="auto"/>
        </w:rPr>
      </w:pPr>
      <w:r>
        <w:rPr>
          <w:rStyle w:val="SubtleEmphasis"/>
          <w:i w:val="false"/>
          <w:iCs w:val="false"/>
          <w:strike/>
          <w:color w:val="auto"/>
        </w:rPr>
        <w:t>Numéro de consultation du téléservice DICT :</w:t>
      </w:r>
    </w:p>
    <w:p>
      <w:pPr>
        <w:pStyle w:val="Normal"/>
        <w:rPr/>
      </w:pPr>
      <w:r>
        <w:rPr/>
      </w:r>
    </w:p>
    <w:p>
      <w:pPr>
        <w:pStyle w:val="Normal"/>
        <w:rPr>
          <w:color w:val="FF0000"/>
        </w:rPr>
      </w:pPr>
      <w:r>
        <w:rPr>
          <w:color w:val="FF0000"/>
        </w:rPr>
      </w:r>
    </w:p>
    <w:tbl>
      <w:tblPr>
        <w:tblStyle w:val="Grilledutableau"/>
        <w:tblW w:w="9758" w:type="dxa"/>
        <w:jc w:val="center"/>
        <w:tblInd w:w="0" w:type="dxa"/>
        <w:tblLayout w:type="fixed"/>
        <w:tblCellMar>
          <w:top w:w="0" w:type="dxa"/>
          <w:left w:w="108" w:type="dxa"/>
          <w:bottom w:w="0" w:type="dxa"/>
          <w:right w:w="108" w:type="dxa"/>
        </w:tblCellMar>
        <w:tblLook w:val="04a0"/>
      </w:tblPr>
      <w:tblGrid>
        <w:gridCol w:w="2699"/>
        <w:gridCol w:w="426"/>
        <w:gridCol w:w="425"/>
        <w:gridCol w:w="427"/>
        <w:gridCol w:w="429"/>
        <w:gridCol w:w="852"/>
        <w:gridCol w:w="854"/>
        <w:gridCol w:w="878"/>
        <w:gridCol w:w="971"/>
        <w:gridCol w:w="456"/>
        <w:gridCol w:w="425"/>
        <w:gridCol w:w="490"/>
        <w:gridCol w:w="425"/>
      </w:tblGrid>
      <w:tr>
        <w:trPr>
          <w:trHeight w:val="488" w:hRule="atLeast"/>
        </w:trPr>
        <w:tc>
          <w:tcPr>
            <w:tcW w:w="2699" w:type="dxa"/>
            <w:tcBorders>
              <w:top w:val="single" w:sz="18" w:space="0" w:color="000000"/>
              <w:left w:val="single" w:sz="18" w:space="0" w:color="000000"/>
              <w:right w:val="single" w:sz="18" w:space="0" w:color="000000"/>
            </w:tcBorders>
            <w:vAlign w:val="center"/>
          </w:tcPr>
          <w:p>
            <w:pPr>
              <w:pStyle w:val="Normal"/>
              <w:widowControl w:val="false"/>
              <w:spacing w:before="0" w:after="0"/>
              <w:jc w:val="center"/>
              <w:rPr>
                <w:rFonts w:cs="Open Sans" w:cstheme="minorHAnsi"/>
                <w:b/>
                <w:b/>
                <w:szCs w:val="24"/>
              </w:rPr>
            </w:pPr>
            <w:r>
              <w:rPr>
                <w:rFonts w:cs="Open Sans" w:cstheme="minorHAnsi"/>
                <w:b/>
                <w:kern w:val="0"/>
                <w:szCs w:val="24"/>
                <w:lang w:eastAsia="en-US" w:bidi="ar-SA"/>
              </w:rPr>
              <w:t>RESEAUX REPERES</w:t>
            </w:r>
          </w:p>
        </w:tc>
        <w:tc>
          <w:tcPr>
            <w:tcW w:w="1707" w:type="dxa"/>
            <w:gridSpan w:val="4"/>
            <w:tcBorders>
              <w:top w:val="single" w:sz="18" w:space="0" w:color="000000"/>
              <w:left w:val="single" w:sz="18" w:space="0" w:color="000000"/>
              <w:right w:val="single" w:sz="18" w:space="0" w:color="000000"/>
            </w:tcBorders>
            <w:vAlign w:val="center"/>
          </w:tcPr>
          <w:p>
            <w:pPr>
              <w:pStyle w:val="Normal"/>
              <w:widowControl w:val="false"/>
              <w:spacing w:before="0" w:after="0"/>
              <w:jc w:val="center"/>
              <w:rPr>
                <w:rFonts w:cs="Open Sans" w:cstheme="minorHAnsi"/>
                <w:b/>
                <w:b/>
                <w:szCs w:val="24"/>
              </w:rPr>
            </w:pPr>
            <w:r>
              <w:rPr>
                <w:rFonts w:cs="Open Sans" w:cstheme="minorHAnsi"/>
                <w:b/>
                <w:kern w:val="0"/>
                <w:szCs w:val="24"/>
                <w:lang w:eastAsia="en-US" w:bidi="ar-SA"/>
              </w:rPr>
              <w:t>APPAREILS DE DETECTION</w:t>
            </w:r>
          </w:p>
        </w:tc>
        <w:tc>
          <w:tcPr>
            <w:tcW w:w="3555" w:type="dxa"/>
            <w:gridSpan w:val="4"/>
            <w:tcBorders>
              <w:top w:val="single" w:sz="18" w:space="0" w:color="000000"/>
              <w:left w:val="single" w:sz="18" w:space="0" w:color="000000"/>
              <w:right w:val="single" w:sz="18" w:space="0" w:color="000000"/>
            </w:tcBorders>
            <w:vAlign w:val="center"/>
          </w:tcPr>
          <w:p>
            <w:pPr>
              <w:pStyle w:val="Normal"/>
              <w:widowControl w:val="false"/>
              <w:spacing w:before="0" w:after="0"/>
              <w:ind w:left="177" w:hanging="0"/>
              <w:jc w:val="center"/>
              <w:rPr>
                <w:rFonts w:cs="Open Sans" w:cstheme="minorHAnsi"/>
                <w:b/>
                <w:b/>
                <w:szCs w:val="24"/>
              </w:rPr>
            </w:pPr>
            <w:r>
              <w:rPr>
                <w:rFonts w:cs="Open Sans" w:cstheme="minorHAnsi"/>
                <w:b/>
                <w:kern w:val="0"/>
                <w:szCs w:val="24"/>
                <w:lang w:eastAsia="en-US" w:bidi="ar-SA"/>
              </w:rPr>
              <w:t>METHODES UTILISEES</w:t>
            </w:r>
          </w:p>
        </w:tc>
        <w:tc>
          <w:tcPr>
            <w:tcW w:w="1796" w:type="dxa"/>
            <w:gridSpan w:val="4"/>
            <w:tcBorders>
              <w:top w:val="single" w:sz="18" w:space="0" w:color="000000"/>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b/>
                <w:kern w:val="0"/>
                <w:szCs w:val="24"/>
                <w:lang w:eastAsia="en-US" w:bidi="ar-SA"/>
              </w:rPr>
              <w:t>Classe Précision</w:t>
            </w:r>
          </w:p>
        </w:tc>
      </w:tr>
      <w:tr>
        <w:trPr>
          <w:trHeight w:val="1803" w:hRule="atLeast"/>
          <w:cantSplit w:val="true"/>
        </w:trPr>
        <w:tc>
          <w:tcPr>
            <w:tcW w:w="2699" w:type="dxa"/>
            <w:tcBorders>
              <w:left w:val="single" w:sz="18" w:space="0" w:color="000000"/>
              <w:right w:val="single" w:sz="18" w:space="0" w:color="000000"/>
            </w:tcBorders>
          </w:tcPr>
          <w:p>
            <w:pPr>
              <w:pStyle w:val="Normal"/>
              <w:widowControl w:val="false"/>
              <w:spacing w:before="0" w:after="0"/>
              <w:rPr>
                <w:rFonts w:cs="Open Sans" w:cstheme="minorHAnsi"/>
              </w:rPr>
            </w:pPr>
            <w:r>
              <w:rPr>
                <w:rFonts w:cs="Open Sans" w:cstheme="minorHAnsi"/>
                <w:kern w:val="0"/>
                <w:lang w:eastAsia="en-US" w:bidi="ar-SA"/>
              </w:rPr>
            </w:r>
          </w:p>
        </w:tc>
        <w:tc>
          <w:tcPr>
            <w:tcW w:w="426" w:type="dxa"/>
            <w:tcBorders>
              <w:left w:val="single" w:sz="18" w:space="0" w:color="000000"/>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VIVAX Vloc 3</w:t>
            </w:r>
          </w:p>
        </w:tc>
        <w:tc>
          <w:tcPr>
            <w:tcW w:w="425" w:type="dxa"/>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RADAR</w:t>
            </w:r>
          </w:p>
        </w:tc>
        <w:tc>
          <w:tcPr>
            <w:tcW w:w="427" w:type="dxa"/>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FLEXCITRACE</w:t>
            </w:r>
          </w:p>
        </w:tc>
        <w:tc>
          <w:tcPr>
            <w:tcW w:w="429" w:type="dxa"/>
            <w:tcBorders>
              <w:right w:val="single" w:sz="18" w:space="0" w:color="000000"/>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BOULE MARQUEUR</w:t>
            </w:r>
          </w:p>
        </w:tc>
        <w:tc>
          <w:tcPr>
            <w:tcW w:w="852" w:type="dxa"/>
            <w:tcBorders>
              <w:left w:val="single" w:sz="18" w:space="0" w:color="000000"/>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Méthode par Pince Electromagnétique</w:t>
            </w:r>
          </w:p>
        </w:tc>
        <w:tc>
          <w:tcPr>
            <w:tcW w:w="854" w:type="dxa"/>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Méthode par voie Passive</w:t>
            </w:r>
          </w:p>
        </w:tc>
        <w:tc>
          <w:tcPr>
            <w:tcW w:w="878" w:type="dxa"/>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Méthode par voie Active</w:t>
            </w:r>
          </w:p>
        </w:tc>
        <w:tc>
          <w:tcPr>
            <w:tcW w:w="971" w:type="dxa"/>
            <w:tcBorders>
              <w:right w:val="single" w:sz="18" w:space="0" w:color="000000"/>
            </w:tcBorders>
            <w:textDirection w:val="btLr"/>
            <w:vAlign w:val="center"/>
          </w:tcPr>
          <w:p>
            <w:pPr>
              <w:pStyle w:val="Normal"/>
              <w:widowControl w:val="false"/>
              <w:spacing w:before="0" w:after="0"/>
              <w:ind w:left="113" w:right="113" w:hanging="0"/>
              <w:rPr>
                <w:rFonts w:cs="Open Sans" w:cstheme="minorHAnsi"/>
              </w:rPr>
            </w:pPr>
            <w:r>
              <w:rPr>
                <w:rFonts w:cs="Open Sans" w:cstheme="minorHAnsi"/>
                <w:kern w:val="0"/>
                <w:lang w:eastAsia="en-US" w:bidi="ar-SA"/>
              </w:rPr>
              <w:t>Méthode avec utilisation de sondes</w:t>
            </w:r>
          </w:p>
        </w:tc>
        <w:tc>
          <w:tcPr>
            <w:tcW w:w="456" w:type="dxa"/>
            <w:tcBorders>
              <w:left w:val="single" w:sz="18" w:space="0" w:color="000000"/>
            </w:tcBorders>
            <w:textDirection w:val="btLr"/>
          </w:tcPr>
          <w:p>
            <w:pPr>
              <w:pStyle w:val="Normal"/>
              <w:widowControl w:val="false"/>
              <w:spacing w:before="0" w:after="0"/>
              <w:ind w:left="113" w:right="113" w:hanging="0"/>
              <w:rPr>
                <w:rFonts w:cs="Open Sans" w:cstheme="minorHAnsi"/>
              </w:rPr>
            </w:pPr>
            <w:r>
              <w:rPr>
                <w:rFonts w:cs="Open Sans" w:cstheme="minorHAnsi"/>
                <w:kern w:val="0"/>
                <w:lang w:eastAsia="en-US" w:bidi="ar-SA"/>
              </w:rPr>
              <w:t>Classe A</w:t>
            </w:r>
          </w:p>
        </w:tc>
        <w:tc>
          <w:tcPr>
            <w:tcW w:w="425" w:type="dxa"/>
            <w:tcBorders/>
            <w:textDirection w:val="btLr"/>
          </w:tcPr>
          <w:p>
            <w:pPr>
              <w:pStyle w:val="Normal"/>
              <w:widowControl w:val="false"/>
              <w:spacing w:before="0" w:after="0"/>
              <w:ind w:left="113" w:right="113" w:hanging="0"/>
              <w:rPr>
                <w:rFonts w:cs="Open Sans" w:cstheme="minorHAnsi"/>
              </w:rPr>
            </w:pPr>
            <w:r>
              <w:rPr>
                <w:rFonts w:cs="Open Sans" w:cstheme="minorHAnsi"/>
                <w:kern w:val="0"/>
                <w:lang w:eastAsia="en-US" w:bidi="ar-SA"/>
              </w:rPr>
              <w:t>Classe B</w:t>
            </w:r>
          </w:p>
        </w:tc>
        <w:tc>
          <w:tcPr>
            <w:tcW w:w="490" w:type="dxa"/>
            <w:tcBorders/>
            <w:textDirection w:val="btLr"/>
          </w:tcPr>
          <w:p>
            <w:pPr>
              <w:pStyle w:val="Normal"/>
              <w:widowControl w:val="false"/>
              <w:spacing w:before="0" w:after="0"/>
              <w:ind w:left="113" w:right="113" w:hanging="0"/>
              <w:rPr>
                <w:rFonts w:cs="Open Sans" w:cstheme="minorHAnsi"/>
              </w:rPr>
            </w:pPr>
            <w:r>
              <w:rPr>
                <w:rFonts w:cs="Open Sans" w:cstheme="minorHAnsi"/>
                <w:kern w:val="0"/>
                <w:lang w:eastAsia="en-US" w:bidi="ar-SA"/>
              </w:rPr>
              <w:t>Classe C</w:t>
            </w:r>
          </w:p>
        </w:tc>
        <w:tc>
          <w:tcPr>
            <w:tcW w:w="425" w:type="dxa"/>
            <w:tcBorders>
              <w:right w:val="single" w:sz="18" w:space="0" w:color="000000"/>
            </w:tcBorders>
            <w:textDirection w:val="btLr"/>
          </w:tcPr>
          <w:p>
            <w:pPr>
              <w:pStyle w:val="Normal"/>
              <w:widowControl w:val="false"/>
              <w:spacing w:before="0" w:after="0"/>
              <w:ind w:left="113" w:right="113" w:hanging="0"/>
              <w:rPr>
                <w:rFonts w:cs="Open Sans" w:cstheme="minorHAnsi"/>
              </w:rPr>
            </w:pPr>
            <w:r>
              <w:rPr>
                <w:rFonts w:cs="Open Sans" w:cstheme="minorHAnsi"/>
                <w:kern w:val="0"/>
                <w:lang w:eastAsia="en-US" w:bidi="ar-SA"/>
              </w:rPr>
              <w:t>Abandonné</w:t>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t>Electricité</w:t>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color w:val="222222"/>
                <w:kern w:val="0"/>
                <w:shd w:fill="FFFFFF" w:val="clear"/>
                <w:lang w:eastAsia="en-US" w:bidi="ar-SA"/>
              </w:rPr>
              <w:t>X</w:t>
            </w:r>
          </w:p>
        </w:tc>
        <w:tc>
          <w:tcPr>
            <w:tcW w:w="425" w:type="dxa"/>
            <w:tcBorders/>
            <w:vAlign w:val="center"/>
          </w:tcPr>
          <w:p>
            <w:pPr>
              <w:pStyle w:val="Normal"/>
              <w:widowControl w:val="false"/>
              <w:shd w:val="clear" w:color="auto" w:fill="FFFFFF"/>
              <w:spacing w:before="0" w:after="240"/>
              <w:jc w:val="center"/>
              <w:rPr>
                <w:rFonts w:eastAsia="Times New Roman" w:cs="Open Sans" w:cstheme="minorHAnsi"/>
                <w:lang w:eastAsia="fr-FR"/>
              </w:rPr>
            </w:pPr>
            <w:r>
              <w:rPr>
                <w:rFonts w:eastAsia="Times New Roman" w:cs="Open Sans" w:cstheme="minorHAnsi"/>
                <w:kern w:val="0"/>
                <w:lang w:eastAsia="en-US" w:bidi="ar-SA"/>
              </w:rPr>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56" w:type="dxa"/>
            <w:tcBorders>
              <w:left w:val="single" w:sz="18" w:space="0" w:color="000000"/>
            </w:tcBorders>
            <w:vAlign w:val="center"/>
          </w:tcPr>
          <w:p>
            <w:pPr>
              <w:pStyle w:val="NormalWeb"/>
              <w:widowControl w:val="false"/>
              <w:spacing w:before="0" w:after="240"/>
              <w:jc w:val="center"/>
              <w:rPr>
                <w:rFonts w:ascii="Open Sans" w:hAnsi="Open Sans" w:cs="Open Sans" w:asciiTheme="minorHAnsi" w:cstheme="minorHAnsi" w:hAnsiTheme="minorHAnsi"/>
                <w:sz w:val="20"/>
                <w:szCs w:val="20"/>
              </w:rPr>
            </w:pPr>
            <w:r>
              <w:rPr>
                <w:rFonts w:cs="Open Sans" w:ascii="Open Sans" w:hAnsi="Open Sans" w:asciiTheme="minorHAnsi" w:cstheme="minorHAnsi" w:hAnsiTheme="minorHAnsi"/>
                <w:color w:val="222222"/>
                <w:kern w:val="0"/>
                <w:sz w:val="20"/>
                <w:szCs w:val="20"/>
                <w:lang w:bidi="ar-SA"/>
              </w:rPr>
              <w:t>X</w:t>
            </w:r>
          </w:p>
        </w:tc>
        <w:tc>
          <w:tcPr>
            <w:tcW w:w="425" w:type="dxa"/>
            <w:tcBorders/>
            <w:vAlign w:val="center"/>
          </w:tcPr>
          <w:p>
            <w:pPr>
              <w:pStyle w:val="NormalWeb"/>
              <w:widowControl w:val="false"/>
              <w:spacing w:before="0" w:after="240"/>
              <w:jc w:val="center"/>
              <w:rPr>
                <w:rFonts w:ascii="Open Sans" w:hAnsi="Open Sans" w:cs="Open Sans" w:asciiTheme="minorHAnsi" w:cstheme="minorHAnsi" w:hAnsiTheme="minorHAnsi"/>
                <w:sz w:val="20"/>
                <w:szCs w:val="20"/>
              </w:rPr>
            </w:pPr>
            <w:r>
              <w:rPr>
                <w:rFonts w:cs="Open Sans" w:cstheme="minorHAnsi" w:ascii="Open Sans" w:hAnsi="Open Sans"/>
                <w:kern w:val="0"/>
                <w:sz w:val="20"/>
                <w:szCs w:val="20"/>
                <w:lang w:bidi="ar-SA"/>
              </w:rPr>
            </w:r>
          </w:p>
        </w:tc>
        <w:tc>
          <w:tcPr>
            <w:tcW w:w="490" w:type="dxa"/>
            <w:tcBorders/>
            <w:vAlign w:val="center"/>
          </w:tcPr>
          <w:p>
            <w:pPr>
              <w:pStyle w:val="NormalWeb"/>
              <w:widowControl w:val="false"/>
              <w:spacing w:before="0" w:after="240"/>
              <w:jc w:val="center"/>
              <w:rPr>
                <w:rFonts w:ascii="Open Sans" w:hAnsi="Open Sans" w:cs="Open Sans" w:asciiTheme="minorHAnsi" w:cstheme="minorHAnsi" w:hAnsiTheme="minorHAnsi"/>
                <w:sz w:val="20"/>
                <w:szCs w:val="20"/>
              </w:rPr>
            </w:pPr>
            <w:r>
              <w:rPr>
                <w:rFonts w:cs="Open Sans" w:cstheme="minorHAnsi" w:ascii="Open Sans" w:hAnsi="Open Sans"/>
                <w:kern w:val="0"/>
                <w:sz w:val="20"/>
                <w:szCs w:val="20"/>
                <w:lang w:bidi="ar-SA"/>
              </w:rPr>
            </w:r>
          </w:p>
        </w:tc>
        <w:tc>
          <w:tcPr>
            <w:tcW w:w="425" w:type="dxa"/>
            <w:tcBorders>
              <w:right w:val="single" w:sz="18" w:space="0" w:color="000000"/>
            </w:tcBorders>
            <w:vAlign w:val="center"/>
          </w:tcPr>
          <w:p>
            <w:pPr>
              <w:pStyle w:val="NormalWeb"/>
              <w:widowControl w:val="false"/>
              <w:spacing w:before="0" w:after="240"/>
              <w:jc w:val="center"/>
              <w:rPr>
                <w:rFonts w:ascii="Open Sans" w:hAnsi="Open Sans" w:cs="Open Sans" w:asciiTheme="minorHAnsi" w:cstheme="minorHAnsi" w:hAnsiTheme="minorHAnsi"/>
                <w:sz w:val="20"/>
                <w:szCs w:val="20"/>
              </w:rPr>
            </w:pPr>
            <w:r>
              <w:rPr>
                <w:rFonts w:cs="Open Sans" w:cstheme="minorHAnsi" w:ascii="Open Sans" w:hAnsi="Open Sans"/>
                <w:kern w:val="0"/>
                <w:sz w:val="20"/>
                <w:szCs w:val="20"/>
                <w:lang w:bidi="ar-SA"/>
              </w:rPr>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t>Fourreaux Vide</w:t>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hd w:val="clear" w:color="auto" w:fill="FFFFFF"/>
              <w:spacing w:before="0" w:after="240"/>
              <w:jc w:val="center"/>
              <w:rPr>
                <w:rFonts w:eastAsia="Times New Roman" w:cs="Open Sans" w:cstheme="minorHAnsi"/>
                <w:lang w:eastAsia="fr-FR"/>
              </w:rPr>
            </w:pPr>
            <w:r>
              <w:rPr>
                <w:rFonts w:eastAsia="Times New Roman" w:cs="Open Sans" w:cstheme="minorHAnsi"/>
                <w:kern w:val="0"/>
                <w:lang w:eastAsia="fr-FR" w:bidi="ar-SA"/>
              </w:rPr>
              <w:t>X</w:t>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5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90"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t>Telecom</w:t>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5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90"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t>EP</w:t>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5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t>X</w:t>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90"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rPr>
                <w:rFonts w:cs="Open Sans" w:cstheme="minorHAnsi"/>
              </w:rPr>
            </w:pPr>
            <w:r>
              <w:rPr>
                <w:rFonts w:cs="Open Sans" w:cstheme="minorHAnsi"/>
                <w:kern w:val="0"/>
                <w:lang w:eastAsia="en-US" w:bidi="ar-SA"/>
              </w:rPr>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5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90"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r>
      <w:tr>
        <w:trPr>
          <w:trHeight w:val="450" w:hRule="exact"/>
        </w:trPr>
        <w:tc>
          <w:tcPr>
            <w:tcW w:w="2699" w:type="dxa"/>
            <w:tcBorders>
              <w:left w:val="single" w:sz="18" w:space="0" w:color="000000"/>
              <w:right w:val="single" w:sz="18" w:space="0" w:color="000000"/>
            </w:tcBorders>
            <w:vAlign w:val="center"/>
          </w:tcPr>
          <w:p>
            <w:pPr>
              <w:pStyle w:val="Normal"/>
              <w:widowControl w:val="false"/>
              <w:spacing w:before="0" w:after="0"/>
              <w:rPr>
                <w:rFonts w:cs="Open Sans" w:cstheme="minorHAnsi"/>
                <w:szCs w:val="24"/>
              </w:rPr>
            </w:pPr>
            <w:r>
              <w:rPr>
                <w:rFonts w:cs="Open Sans" w:cstheme="minorHAnsi"/>
                <w:kern w:val="0"/>
                <w:szCs w:val="24"/>
                <w:lang w:eastAsia="en-US" w:bidi="ar-SA"/>
              </w:rPr>
            </w:r>
          </w:p>
        </w:tc>
        <w:tc>
          <w:tcPr>
            <w:tcW w:w="42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7"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9"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2"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54"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878"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971"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56" w:type="dxa"/>
            <w:tcBorders>
              <w:lef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90" w:type="dxa"/>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c>
          <w:tcPr>
            <w:tcW w:w="425" w:type="dxa"/>
            <w:tcBorders>
              <w:right w:val="single" w:sz="18" w:space="0" w:color="000000"/>
            </w:tcBorders>
            <w:vAlign w:val="center"/>
          </w:tcPr>
          <w:p>
            <w:pPr>
              <w:pStyle w:val="Normal"/>
              <w:widowControl w:val="false"/>
              <w:spacing w:before="0" w:after="0"/>
              <w:jc w:val="center"/>
              <w:rPr>
                <w:rFonts w:cs="Open Sans" w:cstheme="minorHAnsi"/>
              </w:rPr>
            </w:pPr>
            <w:r>
              <w:rPr>
                <w:rFonts w:cs="Open Sans" w:cstheme="minorHAnsi"/>
                <w:kern w:val="0"/>
                <w:lang w:eastAsia="en-US" w:bidi="ar-SA"/>
              </w:rPr>
            </w:r>
          </w:p>
        </w:tc>
      </w:tr>
    </w:tbl>
    <w:p>
      <w:pPr>
        <w:pStyle w:val="Normal"/>
        <w:rPr>
          <w:rFonts w:cs="Open Sans" w:cstheme="minorHAnsi"/>
        </w:rPr>
      </w:pPr>
      <w:r>
        <w:rPr>
          <w:rFonts w:cs="Open Sans" w:cstheme="minorHAnsi"/>
        </w:rPr>
      </w:r>
    </w:p>
    <w:p>
      <w:pPr>
        <w:pStyle w:val="Normal"/>
        <w:rPr/>
      </w:pPr>
      <w:r>
        <w:rPr/>
      </w:r>
    </w:p>
    <w:p>
      <w:pPr>
        <w:pStyle w:val="Normal"/>
        <w:rPr>
          <w:rFonts w:ascii="Open Sans" w:hAnsi="Open Sans" w:eastAsia="Open Sans" w:cs="" w:asciiTheme="minorHAnsi" w:cstheme="minorBidi" w:eastAsiaTheme="minorHAnsi" w:hAnsiTheme="minorHAnsi"/>
          <w:sz w:val="22"/>
          <w:szCs w:val="22"/>
          <w:lang w:val="en-US"/>
        </w:rPr>
      </w:pPr>
      <w:r>
        <w:fldChar w:fldCharType="begin"/>
      </w:r>
      <w:r>
        <w:rPr/>
        <w:instrText>LINK Excel.Sheet.12 "C:\\CARTO\\DETECTION\\DETECTION LOIRE\\ST ETIENNE HOPITAL NORD\\RAPPORT\\plan de Réseaux_mre.xlsx" "Quantitatif linéaire!L9C1:L24C3" \a \f 4 \h  \* MERGEFORMAT</w:instrText>
      </w:r>
      <w:r>
        <w:rPr/>
      </w:r>
      <w:r>
        <w:rPr/>
        <w:fldChar w:fldCharType="separate"/>
      </w:r>
      <w:r>
        <w:rPr/>
      </w:r>
    </w:p>
    <w:tbl>
      <w:tblPr>
        <w:tblW w:w="6540" w:type="dxa"/>
        <w:jc w:val="left"/>
        <w:tblInd w:w="0" w:type="dxa"/>
        <w:tblLayout w:type="fixed"/>
        <w:tblCellMar>
          <w:top w:w="0" w:type="dxa"/>
          <w:left w:w="70" w:type="dxa"/>
          <w:bottom w:w="0" w:type="dxa"/>
          <w:right w:w="70" w:type="dxa"/>
        </w:tblCellMar>
        <w:tblLook w:val="04a0"/>
      </w:tblPr>
      <w:tblGrid>
        <w:gridCol w:w="2180"/>
        <w:gridCol w:w="2180"/>
        <w:gridCol w:w="2180"/>
      </w:tblGrid>
      <w:tr>
        <w:trPr>
          <w:trHeight w:val="300" w:hRule="atLeast"/>
        </w:trPr>
        <w:tc>
          <w:tcPr>
            <w:tcW w:w="2180" w:type="dxa"/>
            <w:tcBorders>
              <w:top w:val="single" w:sz="4" w:space="0" w:color="000080"/>
              <w:left w:val="single" w:sz="4" w:space="0" w:color="000080"/>
              <w:bottom w:val="single" w:sz="4" w:space="0" w:color="000080"/>
              <w:right w:val="single" w:sz="4" w:space="0" w:color="000080"/>
            </w:tcBorders>
            <w:shd w:color="99CCFF" w:fill="99CCFF" w:val="clear"/>
            <w:vAlign w:val="center"/>
          </w:tcPr>
          <w:p>
            <w:pPr>
              <w:pStyle w:val="Normal"/>
              <w:widowControl w:val="false"/>
              <w:spacing w:lineRule="auto" w:line="240"/>
              <w:rPr>
                <w:rFonts w:ascii="Calibri" w:hAnsi="Calibri" w:eastAsia="Times New Roman" w:cs="Calibri"/>
                <w:b/>
                <w:b/>
                <w:bCs/>
                <w:color w:val="000080"/>
                <w:lang w:eastAsia="fr-FR"/>
              </w:rPr>
            </w:pPr>
            <w:r>
              <w:rPr>
                <w:rFonts w:eastAsia="Times New Roman" w:cs="Calibri" w:ascii="Calibri" w:hAnsi="Calibri"/>
                <w:b/>
                <w:bCs/>
                <w:color w:val="000080"/>
                <w:lang w:eastAsia="fr-FR"/>
              </w:rPr>
              <w:t>Nom réseaux</w:t>
            </w:r>
          </w:p>
        </w:tc>
        <w:tc>
          <w:tcPr>
            <w:tcW w:w="2180" w:type="dxa"/>
            <w:tcBorders>
              <w:top w:val="single" w:sz="4" w:space="0" w:color="000080"/>
              <w:bottom w:val="single" w:sz="4" w:space="0" w:color="000080"/>
              <w:right w:val="single" w:sz="4" w:space="0" w:color="000080"/>
            </w:tcBorders>
            <w:shd w:color="99CCFF" w:fill="99CCFF" w:val="clear"/>
            <w:vAlign w:val="center"/>
          </w:tcPr>
          <w:p>
            <w:pPr>
              <w:pStyle w:val="Normal"/>
              <w:widowControl w:val="false"/>
              <w:spacing w:lineRule="auto" w:line="240"/>
              <w:jc w:val="center"/>
              <w:rPr>
                <w:rFonts w:ascii="Calibri" w:hAnsi="Calibri" w:eastAsia="Times New Roman" w:cs="Calibri"/>
                <w:b/>
                <w:b/>
                <w:bCs/>
                <w:color w:val="000080"/>
                <w:lang w:eastAsia="fr-FR"/>
              </w:rPr>
            </w:pPr>
            <w:r>
              <w:rPr>
                <w:rFonts w:eastAsia="Times New Roman" w:cs="Calibri" w:ascii="Calibri" w:hAnsi="Calibri"/>
                <w:b/>
                <w:bCs/>
                <w:color w:val="000080"/>
                <w:lang w:eastAsia="fr-FR"/>
              </w:rPr>
              <w:t>Lg segments (mL)</w:t>
            </w:r>
          </w:p>
        </w:tc>
        <w:tc>
          <w:tcPr>
            <w:tcW w:w="2180" w:type="dxa"/>
            <w:tcBorders/>
            <w:shd w:color="auto" w:fill="auto" w:val="clear"/>
            <w:vAlign w:val="bottom"/>
          </w:tcPr>
          <w:p>
            <w:pPr>
              <w:pStyle w:val="Normal"/>
              <w:widowControl w:val="false"/>
              <w:spacing w:lineRule="auto" w:line="240"/>
              <w:jc w:val="center"/>
              <w:rPr>
                <w:rFonts w:ascii="Calibri" w:hAnsi="Calibri" w:eastAsia="Times New Roman" w:cs="Calibri"/>
                <w:b/>
                <w:b/>
                <w:bCs/>
                <w:color w:val="000080"/>
                <w:lang w:eastAsia="fr-FR"/>
              </w:rPr>
            </w:pPr>
            <w:r>
              <w:rPr>
                <w:rFonts w:eastAsia="Times New Roman" w:cs="Calibri" w:ascii="Calibri" w:hAnsi="Calibri"/>
                <w:b/>
                <w:bCs/>
                <w:color w:val="000080"/>
                <w:lang w:eastAsia="fr-FR"/>
              </w:rPr>
            </w:r>
          </w:p>
        </w:tc>
      </w:tr>
      <w:tr>
        <w:trPr>
          <w:trHeight w:val="300" w:hRule="atLeas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t>ELEC_CLASSE A</w:t>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t>72</w:t>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atLeas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t>FRX VIDE_CLASSE A</w:t>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t>474</w:t>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atLeas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t>TELECOM_CLASSE A</w:t>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t>1217</w:t>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atLeas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t>EP_CLASSE A</w:t>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t>1009</w:t>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exact"/>
        </w:trPr>
        <w:tc>
          <w:tcPr>
            <w:tcW w:w="2180" w:type="dxa"/>
            <w:tcBorders>
              <w:left w:val="single" w:sz="4" w:space="0" w:color="000080"/>
              <w:bottom w:val="single" w:sz="4" w:space="0" w:color="000080"/>
              <w:right w:val="single" w:sz="4" w:space="0" w:color="000080"/>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r>
          </w:p>
        </w:tc>
        <w:tc>
          <w:tcPr>
            <w:tcW w:w="2180" w:type="dxa"/>
            <w:tcBorders>
              <w:bottom w:val="single" w:sz="4" w:space="0" w:color="000080"/>
              <w:right w:val="single" w:sz="4" w:space="0" w:color="000080"/>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atLeast"/>
        </w:trPr>
        <w:tc>
          <w:tcPr>
            <w:tcW w:w="2180" w:type="dxa"/>
            <w:tcBorders/>
            <w:shd w:color="auto" w:fill="auto" w:val="clear"/>
            <w:vAlign w:val="center"/>
          </w:tcPr>
          <w:p>
            <w:pPr>
              <w:pStyle w:val="Normal"/>
              <w:widowControl w:val="false"/>
              <w:spacing w:lineRule="auto" w:line="240"/>
              <w:jc w:val="left"/>
              <w:rPr>
                <w:rFonts w:ascii="Calibri" w:hAnsi="Calibri" w:eastAsia="Times New Roman" w:cs="Calibri"/>
                <w:b/>
                <w:b/>
                <w:bCs/>
                <w:color w:val="000000"/>
                <w:lang w:eastAsia="fr-FR"/>
              </w:rPr>
            </w:pPr>
            <w:r>
              <w:rPr>
                <w:rFonts w:eastAsia="Times New Roman" w:cs="Calibri" w:ascii="Calibri" w:hAnsi="Calibri"/>
                <w:b/>
                <w:bCs/>
                <w:color w:val="000000"/>
                <w:lang w:eastAsia="fr-FR"/>
              </w:rPr>
              <w:t> </w:t>
            </w:r>
          </w:p>
        </w:tc>
        <w:tc>
          <w:tcPr>
            <w:tcW w:w="2180" w:type="dxa"/>
            <w:tcBorders/>
            <w:shd w:color="auto" w:fill="auto" w:val="clear"/>
            <w:vAlign w:val="center"/>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t> </w:t>
            </w:r>
          </w:p>
        </w:tc>
        <w:tc>
          <w:tcPr>
            <w:tcW w:w="2180" w:type="dxa"/>
            <w:tcBorders/>
            <w:shd w:color="auto" w:fill="auto" w:val="clear"/>
            <w:vAlign w:val="bottom"/>
          </w:tcPr>
          <w:p>
            <w:pPr>
              <w:pStyle w:val="Normal"/>
              <w:widowControl w:val="false"/>
              <w:spacing w:lineRule="auto" w:line="240"/>
              <w:jc w:val="right"/>
              <w:rPr>
                <w:rFonts w:ascii="Calibri" w:hAnsi="Calibri" w:eastAsia="Times New Roman" w:cs="Calibri"/>
                <w:color w:val="000000"/>
                <w:lang w:eastAsia="fr-FR"/>
              </w:rPr>
            </w:pPr>
            <w:r>
              <w:rPr>
                <w:rFonts w:eastAsia="Times New Roman" w:cs="Calibri" w:ascii="Calibri" w:hAnsi="Calibri"/>
                <w:color w:val="000000"/>
                <w:lang w:eastAsia="fr-FR"/>
              </w:rPr>
            </w:r>
          </w:p>
        </w:tc>
      </w:tr>
      <w:tr>
        <w:trPr>
          <w:trHeight w:val="300" w:hRule="atLeast"/>
        </w:trPr>
        <w:tc>
          <w:tcPr>
            <w:tcW w:w="2180" w:type="dxa"/>
            <w:tcBorders/>
            <w:shd w:color="auto" w:fill="auto" w:val="clear"/>
            <w:vAlign w:val="bottom"/>
          </w:tcPr>
          <w:p>
            <w:pPr>
              <w:pStyle w:val="Normal"/>
              <w:widowControl w:val="false"/>
              <w:spacing w:lineRule="auto" w:line="240"/>
              <w:jc w:val="left"/>
              <w:rPr>
                <w:rFonts w:ascii="Times New Roman" w:hAnsi="Times New Roman" w:eastAsia="Times New Roman" w:cs="Times New Roman"/>
                <w:lang w:eastAsia="fr-FR"/>
              </w:rPr>
            </w:pPr>
            <w:r>
              <w:rPr>
                <w:rFonts w:eastAsia="Times New Roman" w:cs="Times New Roman" w:ascii="Times New Roman" w:hAnsi="Times New Roman"/>
                <w:lang w:eastAsia="fr-FR"/>
              </w:rPr>
            </w:r>
          </w:p>
        </w:tc>
        <w:tc>
          <w:tcPr>
            <w:tcW w:w="2180" w:type="dxa"/>
            <w:tcBorders/>
            <w:shd w:color="auto" w:fill="auto" w:val="clear"/>
            <w:vAlign w:val="bottom"/>
          </w:tcPr>
          <w:p>
            <w:pPr>
              <w:pStyle w:val="Normal"/>
              <w:widowControl w:val="false"/>
              <w:spacing w:lineRule="auto" w:line="240"/>
              <w:jc w:val="center"/>
              <w:rPr>
                <w:rFonts w:ascii="Calibri" w:hAnsi="Calibri" w:eastAsia="Times New Roman" w:cs="Calibri"/>
                <w:sz w:val="22"/>
                <w:szCs w:val="22"/>
                <w:lang w:eastAsia="fr-FR"/>
              </w:rPr>
            </w:pPr>
            <w:r>
              <w:rPr>
                <w:rFonts w:eastAsia="Times New Roman" w:cs="Calibri" w:ascii="Calibri" w:hAnsi="Calibri"/>
                <w:sz w:val="22"/>
                <w:szCs w:val="22"/>
                <w:lang w:eastAsia="fr-FR"/>
              </w:rPr>
              <w:t>Classe A</w:t>
            </w:r>
          </w:p>
        </w:tc>
        <w:tc>
          <w:tcPr>
            <w:tcW w:w="2180" w:type="dxa"/>
            <w:tcBorders/>
            <w:shd w:color="auto" w:fill="auto" w:val="clear"/>
            <w:vAlign w:val="bottom"/>
          </w:tcPr>
          <w:p>
            <w:pPr>
              <w:pStyle w:val="Normal"/>
              <w:widowControl w:val="false"/>
              <w:spacing w:lineRule="auto" w:line="240"/>
              <w:jc w:val="center"/>
              <w:rPr>
                <w:rFonts w:ascii="Calibri" w:hAnsi="Calibri" w:eastAsia="Times New Roman" w:cs="Calibri"/>
                <w:sz w:val="22"/>
                <w:szCs w:val="22"/>
                <w:lang w:eastAsia="fr-FR"/>
              </w:rPr>
            </w:pPr>
            <w:r>
              <w:rPr>
                <w:rFonts w:eastAsia="Times New Roman" w:cs="Calibri" w:ascii="Calibri" w:hAnsi="Calibri"/>
                <w:sz w:val="22"/>
                <w:szCs w:val="22"/>
                <w:lang w:eastAsia="fr-FR"/>
              </w:rPr>
              <w:t>Classe B</w:t>
            </w:r>
          </w:p>
        </w:tc>
      </w:tr>
      <w:tr>
        <w:trPr>
          <w:trHeight w:val="300" w:hRule="atLeast"/>
        </w:trPr>
        <w:tc>
          <w:tcPr>
            <w:tcW w:w="2180" w:type="dxa"/>
            <w:tcBorders>
              <w:top w:val="single" w:sz="4" w:space="0" w:color="000080"/>
              <w:left w:val="single" w:sz="4" w:space="0" w:color="000080"/>
              <w:bottom w:val="single" w:sz="4" w:space="0" w:color="000080"/>
              <w:right w:val="single" w:sz="4" w:space="0" w:color="000080"/>
            </w:tcBorders>
            <w:shd w:color="CCFFCC" w:fill="CCFFCC" w:val="clear"/>
            <w:vAlign w:val="center"/>
          </w:tcPr>
          <w:p>
            <w:pPr>
              <w:pStyle w:val="Normal"/>
              <w:widowControl w:val="false"/>
              <w:spacing w:lineRule="auto" w:line="240"/>
              <w:jc w:val="right"/>
              <w:rPr>
                <w:rFonts w:ascii="Calibri" w:hAnsi="Calibri" w:eastAsia="Times New Roman" w:cs="Calibri"/>
                <w:b/>
                <w:b/>
                <w:bCs/>
                <w:color w:val="000080"/>
                <w:lang w:eastAsia="fr-FR"/>
              </w:rPr>
            </w:pPr>
            <w:r>
              <w:rPr>
                <w:rFonts w:eastAsia="Times New Roman" w:cs="Calibri" w:ascii="Calibri" w:hAnsi="Calibri"/>
                <w:b/>
                <w:bCs/>
                <w:color w:val="000080"/>
                <w:lang w:eastAsia="fr-FR"/>
              </w:rPr>
              <w:t>TOTAL GENERAL :</w:t>
            </w:r>
          </w:p>
        </w:tc>
        <w:tc>
          <w:tcPr>
            <w:tcW w:w="2180" w:type="dxa"/>
            <w:tcBorders>
              <w:top w:val="single" w:sz="4" w:space="0" w:color="000080"/>
              <w:bottom w:val="single" w:sz="4" w:space="0" w:color="000080"/>
            </w:tcBorders>
            <w:shd w:color="CCFFCC" w:fill="CCFFCC" w:val="clear"/>
            <w:vAlign w:val="center"/>
          </w:tcPr>
          <w:p>
            <w:pPr>
              <w:pStyle w:val="Normal"/>
              <w:widowControl w:val="false"/>
              <w:spacing w:lineRule="auto" w:line="240"/>
              <w:jc w:val="right"/>
              <w:rPr>
                <w:rFonts w:ascii="Calibri" w:hAnsi="Calibri" w:eastAsia="Times New Roman" w:cs="Calibri"/>
                <w:b/>
                <w:b/>
                <w:bCs/>
                <w:color w:val="000080"/>
                <w:lang w:eastAsia="fr-FR"/>
              </w:rPr>
            </w:pPr>
            <w:r>
              <w:rPr>
                <w:rFonts w:eastAsia="Times New Roman" w:cs="Calibri" w:ascii="Calibri" w:hAnsi="Calibri"/>
                <w:b/>
                <w:bCs/>
                <w:color w:val="000080"/>
                <w:lang w:eastAsia="fr-FR"/>
              </w:rPr>
              <w:t>2772</w:t>
            </w:r>
          </w:p>
        </w:tc>
        <w:tc>
          <w:tcPr>
            <w:tcW w:w="2180" w:type="dxa"/>
            <w:tcBorders>
              <w:top w:val="single" w:sz="4" w:space="0" w:color="000000"/>
              <w:left w:val="single" w:sz="4" w:space="0" w:color="000000"/>
              <w:bottom w:val="single" w:sz="4" w:space="0" w:color="000000"/>
              <w:right w:val="single" w:sz="4" w:space="0" w:color="000000"/>
            </w:tcBorders>
            <w:shd w:color="000000" w:fill="CAEDFB" w:val="clear"/>
            <w:vAlign w:val="bottom"/>
          </w:tcPr>
          <w:p>
            <w:pPr>
              <w:pStyle w:val="Normal"/>
              <w:widowControl w:val="false"/>
              <w:spacing w:lineRule="auto" w:line="240"/>
              <w:jc w:val="right"/>
              <w:rPr>
                <w:rFonts w:ascii="Calibri" w:hAnsi="Calibri" w:eastAsia="Times New Roman" w:cs="Calibri"/>
                <w:sz w:val="22"/>
                <w:szCs w:val="22"/>
                <w:lang w:eastAsia="fr-FR"/>
              </w:rPr>
            </w:pPr>
            <w:r>
              <w:rPr>
                <w:rFonts w:eastAsia="Times New Roman" w:cs="Calibri" w:ascii="Calibri" w:hAnsi="Calibri"/>
                <w:sz w:val="22"/>
                <w:szCs w:val="22"/>
                <w:lang w:eastAsia="fr-FR"/>
              </w:rPr>
            </w:r>
          </w:p>
        </w:tc>
      </w:tr>
    </w:tbl>
    <w:p>
      <w:pPr>
        <w:pStyle w:val="Normal"/>
        <w:rPr>
          <w:highlight w:val="yellow"/>
        </w:rPr>
      </w:pPr>
      <w:r>
        <w:rPr/>
      </w:r>
      <w:r>
        <w:rPr/>
        <w:fldChar w:fldCharType="end"/>
      </w:r>
    </w:p>
    <w:p>
      <w:pPr>
        <w:pStyle w:val="Titre3GEOFIT"/>
        <w:numPr>
          <w:ilvl w:val="2"/>
          <w:numId w:val="3"/>
        </w:numPr>
        <w:ind w:left="792" w:hanging="567"/>
        <w:rPr/>
      </w:pPr>
      <w:r>
        <w:rPr/>
        <w:t>R</w:t>
      </w:r>
      <w:bookmarkStart w:id="19" w:name="_Toc163137709"/>
      <w:r>
        <w:rPr/>
        <w:t>éseaux sensibles</w:t>
      </w:r>
      <w:bookmarkEnd w:id="19"/>
    </w:p>
    <w:p>
      <w:pPr>
        <w:pStyle w:val="Titre4GEOFIT"/>
        <w:numPr>
          <w:ilvl w:val="3"/>
          <w:numId w:val="3"/>
        </w:numPr>
        <w:ind w:left="2098" w:hanging="1077"/>
        <w:rPr/>
      </w:pPr>
      <w:bookmarkStart w:id="20" w:name="_Toc163137710"/>
      <w:r>
        <w:rPr/>
        <w:t>É</w:t>
      </w:r>
      <w:bookmarkEnd w:id="20"/>
      <w:r>
        <w:rPr/>
        <w:t>lectricité</w:t>
      </w:r>
    </w:p>
    <w:tbl>
      <w:tblPr>
        <w:tblStyle w:val="ListTable1Light"/>
        <w:tblW w:w="9632" w:type="dxa"/>
        <w:jc w:val="left"/>
        <w:tblInd w:w="0" w:type="dxa"/>
        <w:tblLayout w:type="fixed"/>
        <w:tblCellMar>
          <w:top w:w="0" w:type="dxa"/>
          <w:left w:w="108" w:type="dxa"/>
          <w:bottom w:w="0" w:type="dxa"/>
          <w:right w:w="108" w:type="dxa"/>
        </w:tblCellMar>
        <w:tblLook w:val="04a0"/>
      </w:tblPr>
      <w:tblGrid>
        <w:gridCol w:w="4816"/>
        <w:gridCol w:w="4815"/>
      </w:tblGrid>
      <w:tr>
        <w:trPr>
          <w:cnfStyle w:val="100000000000"/>
        </w:trPr>
        <w:tc>
          <w:tcPr>
            <w:tcW w:w="4816" w:type="dxa"/>
            <w:cnfStyle w:val="001000000000"/>
            <w:tcBorders>
              <w:bottom w:val="single" w:sz="4" w:space="0" w:color="7185A6"/>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t>Observations</w:t>
            </w:r>
          </w:p>
        </w:tc>
        <w:tc>
          <w:tcPr>
            <w:tcW w:w="4815" w:type="dxa"/>
            <w:tcBorders>
              <w:bottom w:val="single" w:sz="4" w:space="0" w:color="7185A6"/>
            </w:tcBorders>
            <w:shd w:color="auto" w:fill="D0F4F3" w:themeFill="text2" w:themeFillTint="33" w:val="clear"/>
          </w:tcPr>
          <w:p>
            <w:pPr>
              <w:pStyle w:val="Normal"/>
              <w:widowControl w:val="false"/>
              <w:spacing w:before="0" w:after="0"/>
              <w:cnfStyle w:val="100000000000"/>
              <w:rPr>
                <w:kern w:val="0"/>
                <w:lang w:eastAsia="en-US" w:bidi="ar-SA"/>
              </w:rPr>
            </w:pPr>
            <w:r>
              <w:rPr>
                <w:b w:val="false"/>
                <w:bCs w:val="false"/>
                <w:kern w:val="0"/>
                <w:lang w:eastAsia="en-US" w:bidi="ar-SA"/>
              </w:rPr>
              <w:t>Détection de l’ensemble des réseaux électrique dans la zone d’emprise.</w:t>
            </w:r>
          </w:p>
          <w:p>
            <w:pPr>
              <w:pStyle w:val="Normal"/>
              <w:widowControl w:val="false"/>
              <w:spacing w:before="0" w:after="0"/>
              <w:cnfStyle w:val="100000000000"/>
              <w:rPr>
                <w:b w:val="false"/>
                <w:b w:val="false"/>
                <w:bCs w:val="false"/>
              </w:rPr>
            </w:pPr>
            <w:r>
              <w:rPr>
                <w:b w:val="false"/>
                <w:bCs w:val="false"/>
                <w:kern w:val="0"/>
                <w:lang w:eastAsia="en-US" w:bidi="ar-SA"/>
              </w:rPr>
              <w:t xml:space="preserve">Câble d’alimentation du PMV au Pirou sens Sud / Nord </w:t>
            </w:r>
          </w:p>
        </w:tc>
      </w:tr>
      <w:tr>
        <w:trPr>
          <w:cnfStyle w:val="000000100000"/>
        </w:trPr>
        <w:tc>
          <w:tcPr>
            <w:tcW w:w="4816" w:type="dxa"/>
            <w:cnfStyle w:val="001000000000"/>
            <w:tcBorders/>
            <w:shd w:color="auto" w:fill="auto" w:val="clear"/>
          </w:tcPr>
          <w:p>
            <w:pPr>
              <w:pStyle w:val="Normal"/>
              <w:widowControl w:val="false"/>
              <w:spacing w:before="0" w:after="0"/>
              <w:rPr>
                <w:b/>
                <w:b/>
                <w:bCs/>
                <w:kern w:val="0"/>
                <w:lang w:eastAsia="en-US" w:bidi="ar-SA"/>
              </w:rPr>
            </w:pPr>
            <w:r>
              <w:rPr>
                <w:b/>
                <w:bCs/>
                <w:kern w:val="0"/>
                <w:lang w:eastAsia="en-US" w:bidi="ar-SA"/>
              </w:rPr>
            </w:r>
          </w:p>
        </w:tc>
        <w:tc>
          <w:tcPr>
            <w:tcW w:w="4815" w:type="dxa"/>
            <w:tcBorders/>
            <w:shd w:color="auto" w:fill="auto" w:val="clear"/>
          </w:tcPr>
          <w:p>
            <w:pPr>
              <w:pStyle w:val="Normal"/>
              <w:widowControl w:val="false"/>
              <w:spacing w:before="0" w:after="0"/>
              <w:cnfStyle w:val="000000100000"/>
              <w:rPr>
                <w:kern w:val="0"/>
                <w:lang w:eastAsia="en-US" w:bidi="ar-SA"/>
              </w:rPr>
            </w:pPr>
            <w:r>
              <w:rPr>
                <w:kern w:val="0"/>
                <w:lang w:eastAsia="en-US" w:bidi="ar-SA"/>
              </w:rPr>
            </w:r>
          </w:p>
        </w:tc>
      </w:tr>
      <w:tr>
        <w:trPr/>
        <w:tc>
          <w:tcPr>
            <w:tcW w:w="4816" w:type="dxa"/>
            <w:cnfStyle w:val="001000000000"/>
            <w:tcBorders/>
            <w:shd w:color="auto" w:fill="D0F4F3" w:themeFill="text2" w:themeFillTint="33" w:val="clear"/>
          </w:tcPr>
          <w:p>
            <w:pPr>
              <w:pStyle w:val="Normal"/>
              <w:widowControl w:val="false"/>
              <w:spacing w:before="0" w:after="0"/>
              <w:rPr>
                <w:highlight w:val="yellow"/>
              </w:rPr>
            </w:pPr>
            <w:r>
              <w:rPr>
                <w:b/>
                <w:bCs/>
                <w:kern w:val="0"/>
                <w:lang w:eastAsia="en-US" w:bidi="ar-SA"/>
              </w:rPr>
              <w:t>Méthode utilisée pour ce réseau :</w:t>
            </w:r>
          </w:p>
        </w:tc>
        <w:tc>
          <w:tcPr>
            <w:tcW w:w="4815" w:type="dxa"/>
            <w:tcBorders/>
            <w:shd w:color="auto" w:fill="D0F4F3" w:themeFill="text2" w:themeFillTint="33" w:val="clear"/>
          </w:tcPr>
          <w:p>
            <w:pPr>
              <w:pStyle w:val="Normal"/>
              <w:widowControl w:val="false"/>
              <w:spacing w:before="0" w:after="0"/>
              <w:cnfStyle w:val="000000000000"/>
              <w:rPr>
                <w:kern w:val="0"/>
                <w:lang w:eastAsia="en-US" w:bidi="ar-SA"/>
              </w:rPr>
            </w:pPr>
            <w:r>
              <w:rPr>
                <w:kern w:val="0"/>
                <w:lang w:eastAsia="en-US" w:bidi="ar-SA"/>
              </w:rPr>
              <w:t>Détection électromagnétique par pince ampérométrique</w:t>
            </w:r>
          </w:p>
        </w:tc>
      </w:tr>
      <w:tr>
        <w:trPr>
          <w:cnfStyle w:val="000000100000"/>
        </w:trPr>
        <w:tc>
          <w:tcPr>
            <w:tcW w:w="4816" w:type="dxa"/>
            <w:cnfStyle w:val="001000000000"/>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r>
          </w:p>
        </w:tc>
        <w:tc>
          <w:tcPr>
            <w:tcW w:w="4815" w:type="dxa"/>
            <w:tcBorders/>
            <w:shd w:color="auto" w:fill="D0F4F3" w:themeFill="text2" w:themeFillTint="33" w:val="clear"/>
          </w:tcPr>
          <w:p>
            <w:pPr>
              <w:pStyle w:val="Normal"/>
              <w:widowControl w:val="false"/>
              <w:spacing w:before="0" w:after="0"/>
              <w:cnfStyle w:val="000000100000"/>
              <w:rPr>
                <w:kern w:val="0"/>
                <w:lang w:eastAsia="en-US" w:bidi="ar-SA"/>
              </w:rPr>
            </w:pPr>
            <w:r>
              <w:rPr>
                <w:kern w:val="0"/>
                <w:lang w:eastAsia="en-US" w:bidi="ar-SA"/>
              </w:rPr>
            </w:r>
          </w:p>
        </w:tc>
      </w:tr>
    </w:tbl>
    <w:p>
      <w:pPr>
        <w:pStyle w:val="Normal"/>
        <w:rPr>
          <w:highlight w:val="yellow"/>
        </w:rPr>
      </w:pPr>
      <w:r>
        <w:rPr>
          <w:highlight w:val="yellow"/>
        </w:rPr>
      </w:r>
    </w:p>
    <w:p>
      <w:pPr>
        <w:pStyle w:val="Normal"/>
        <w:rPr>
          <w:highlight w:val="yellow"/>
        </w:rPr>
      </w:pPr>
      <w:r>
        <w:rPr>
          <w:highlight w:val="yellow"/>
        </w:rPr>
      </w:r>
    </w:p>
    <w:p>
      <w:pPr>
        <w:pStyle w:val="Normal"/>
        <w:jc w:val="center"/>
        <w:rPr>
          <w:highlight w:val="yellow"/>
        </w:rPr>
      </w:pPr>
      <w:r>
        <w:rPr/>
        <mc:AlternateContent>
          <mc:Choice Requires="wps">
            <w:drawing>
              <wp:inline distT="0" distB="0" distL="0" distR="0">
                <wp:extent cx="6106795" cy="3434715"/>
                <wp:effectExtent l="0" t="0" r="0" b="0"/>
                <wp:docPr id="9" name=""/>
                <a:graphic xmlns:a="http://schemas.openxmlformats.org/drawingml/2006/main">
                  <a:graphicData uri="http://schemas.openxmlformats.org/drawingml/2006/picture">
                    <pic:pic xmlns:pic="http://schemas.openxmlformats.org/drawingml/2006/picture">
                      <pic:nvPicPr>
                        <pic:cNvPr id="1" name="" descr=""/>
                        <pic:cNvPicPr/>
                      </pic:nvPicPr>
                      <pic:blipFill>
                        <a:blip r:embed="rId8"/>
                        <a:stretch/>
                      </pic:blipFill>
                      <pic:spPr>
                        <a:xfrm>
                          <a:off x="0" y="0"/>
                          <a:ext cx="6106320" cy="3434040"/>
                        </a:xfrm>
                        <a:prstGeom prst="rect">
                          <a:avLst/>
                        </a:prstGeom>
                        <a:ln w="0">
                          <a:noFill/>
                        </a:ln>
                      </pic:spPr>
                    </pic:pic>
                  </a:graphicData>
                </a:graphic>
              </wp:inline>
            </w:drawing>
          </mc:Choice>
          <mc:Fallback>
            <w:pict>
              <v:shape id="shape_0" stroked="f" o:allowincell="f" style="position:absolute;margin-left:0pt;margin-top:-270.45pt;width:480.75pt;height:270.35pt;mso-wrap-style:none;v-text-anchor:middle;mso-position-vertical:top" type="_x0000_t75">
                <v:imagedata r:id="rId8" o:detectmouseclick="t"/>
                <v:stroke color="#3465a4" joinstyle="round" endcap="flat"/>
                <w10:wrap type="none"/>
              </v:shape>
            </w:pict>
          </mc:Fallback>
        </mc:AlternateContent>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Titre4GEOFIT"/>
        <w:numPr>
          <w:ilvl w:val="3"/>
          <w:numId w:val="3"/>
        </w:numPr>
        <w:ind w:left="2098" w:hanging="1077"/>
        <w:rPr/>
      </w:pPr>
      <w:bookmarkStart w:id="21" w:name="_Toc163137711"/>
      <w:r>
        <w:rPr/>
        <w:t>Télécommunication</w:t>
      </w:r>
      <w:bookmarkEnd w:id="21"/>
    </w:p>
    <w:tbl>
      <w:tblPr>
        <w:tblStyle w:val="ListTable1Light"/>
        <w:tblW w:w="9632" w:type="dxa"/>
        <w:jc w:val="left"/>
        <w:tblInd w:w="0" w:type="dxa"/>
        <w:tblLayout w:type="fixed"/>
        <w:tblCellMar>
          <w:top w:w="0" w:type="dxa"/>
          <w:left w:w="108" w:type="dxa"/>
          <w:bottom w:w="0" w:type="dxa"/>
          <w:right w:w="108" w:type="dxa"/>
        </w:tblCellMar>
        <w:tblLook w:val="04a0"/>
      </w:tblPr>
      <w:tblGrid>
        <w:gridCol w:w="4816"/>
        <w:gridCol w:w="4815"/>
      </w:tblGrid>
      <w:tr>
        <w:trPr>
          <w:cnfStyle w:val="100000000000"/>
        </w:trPr>
        <w:tc>
          <w:tcPr>
            <w:tcW w:w="4816" w:type="dxa"/>
            <w:cnfStyle w:val="001000000000"/>
            <w:tcBorders>
              <w:bottom w:val="single" w:sz="4" w:space="0" w:color="7185A6"/>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t>Observations</w:t>
            </w:r>
          </w:p>
        </w:tc>
        <w:tc>
          <w:tcPr>
            <w:tcW w:w="4815" w:type="dxa"/>
            <w:tcBorders>
              <w:bottom w:val="single" w:sz="4" w:space="0" w:color="7185A6"/>
            </w:tcBorders>
            <w:shd w:color="auto" w:fill="D0F4F3" w:themeFill="text2" w:themeFillTint="33" w:val="clear"/>
          </w:tcPr>
          <w:p>
            <w:pPr>
              <w:pStyle w:val="Normal"/>
              <w:widowControl w:val="false"/>
              <w:spacing w:before="0" w:after="0"/>
              <w:cnfStyle w:val="100000000000"/>
              <w:rPr>
                <w:b w:val="false"/>
                <w:b w:val="false"/>
                <w:bCs w:val="false"/>
              </w:rPr>
            </w:pPr>
            <w:r>
              <w:rPr>
                <w:b w:val="false"/>
                <w:bCs w:val="false"/>
                <w:kern w:val="0"/>
                <w:lang w:eastAsia="en-US" w:bidi="ar-SA"/>
              </w:rPr>
              <w:t>Détection de l’ensemble des FO dans la zone d’emprise, réseaux dans des fourreaux multi-réseaux sens Nord /Sud Le Pirou et Bessaire</w:t>
            </w:r>
          </w:p>
        </w:tc>
      </w:tr>
      <w:tr>
        <w:trPr>
          <w:cnfStyle w:val="000000100000"/>
        </w:trPr>
        <w:tc>
          <w:tcPr>
            <w:tcW w:w="4816" w:type="dxa"/>
            <w:cnfStyle w:val="001000000000"/>
            <w:tcBorders/>
            <w:shd w:color="auto" w:fill="auto" w:val="clear"/>
          </w:tcPr>
          <w:p>
            <w:pPr>
              <w:pStyle w:val="Normal"/>
              <w:widowControl w:val="false"/>
              <w:spacing w:before="0" w:after="0"/>
              <w:rPr>
                <w:b/>
                <w:b/>
                <w:bCs/>
                <w:kern w:val="0"/>
                <w:lang w:eastAsia="en-US" w:bidi="ar-SA"/>
              </w:rPr>
            </w:pPr>
            <w:r>
              <w:rPr>
                <w:b/>
                <w:bCs/>
                <w:kern w:val="0"/>
                <w:lang w:eastAsia="en-US" w:bidi="ar-SA"/>
              </w:rPr>
            </w:r>
          </w:p>
        </w:tc>
        <w:tc>
          <w:tcPr>
            <w:tcW w:w="4815" w:type="dxa"/>
            <w:tcBorders/>
            <w:shd w:color="auto" w:fill="auto" w:val="clear"/>
          </w:tcPr>
          <w:p>
            <w:pPr>
              <w:pStyle w:val="Normal"/>
              <w:widowControl w:val="false"/>
              <w:spacing w:before="0" w:after="0"/>
              <w:cnfStyle w:val="000000100000"/>
              <w:rPr>
                <w:kern w:val="0"/>
                <w:lang w:eastAsia="en-US" w:bidi="ar-SA"/>
              </w:rPr>
            </w:pPr>
            <w:r>
              <w:rPr>
                <w:kern w:val="0"/>
                <w:lang w:eastAsia="en-US" w:bidi="ar-SA"/>
              </w:rPr>
            </w:r>
          </w:p>
        </w:tc>
      </w:tr>
      <w:tr>
        <w:trPr/>
        <w:tc>
          <w:tcPr>
            <w:tcW w:w="4816" w:type="dxa"/>
            <w:cnfStyle w:val="001000000000"/>
            <w:tcBorders/>
            <w:shd w:color="auto" w:fill="D0F4F3" w:themeFill="text2" w:themeFillTint="33" w:val="clear"/>
          </w:tcPr>
          <w:p>
            <w:pPr>
              <w:pStyle w:val="Normal"/>
              <w:widowControl w:val="false"/>
              <w:spacing w:before="0" w:after="0"/>
              <w:rPr>
                <w:highlight w:val="yellow"/>
              </w:rPr>
            </w:pPr>
            <w:r>
              <w:rPr>
                <w:b/>
                <w:bCs/>
                <w:kern w:val="0"/>
                <w:lang w:eastAsia="en-US" w:bidi="ar-SA"/>
              </w:rPr>
              <w:t>Méthode utilisée pour ce réseau :</w:t>
            </w:r>
          </w:p>
        </w:tc>
        <w:tc>
          <w:tcPr>
            <w:tcW w:w="4815" w:type="dxa"/>
            <w:tcBorders/>
            <w:shd w:color="auto" w:fill="D0F4F3" w:themeFill="text2" w:themeFillTint="33" w:val="clear"/>
          </w:tcPr>
          <w:p>
            <w:pPr>
              <w:pStyle w:val="Normal"/>
              <w:widowControl w:val="false"/>
              <w:spacing w:before="0" w:after="0"/>
              <w:cnfStyle w:val="000000000000"/>
              <w:rPr>
                <w:kern w:val="0"/>
                <w:lang w:eastAsia="en-US" w:bidi="ar-SA"/>
              </w:rPr>
            </w:pPr>
            <w:r>
              <w:rPr>
                <w:kern w:val="0"/>
                <w:lang w:eastAsia="en-US" w:bidi="ar-SA"/>
              </w:rPr>
              <w:t>Détection électromagnétique par induction directe sur le câble de détection prévue à cet effet.</w:t>
            </w:r>
          </w:p>
        </w:tc>
      </w:tr>
    </w:tbl>
    <w:p>
      <w:pPr>
        <w:pStyle w:val="Normal"/>
        <w:rPr>
          <w:lang w:eastAsia="fr-FR"/>
        </w:rPr>
      </w:pPr>
      <w:r>
        <w:rPr/>
        <mc:AlternateContent>
          <mc:Choice Requires="wps">
            <w:drawing>
              <wp:anchor behindDoc="1" distT="0" distB="0" distL="0" distR="0" simplePos="0" locked="0" layoutInCell="0" allowOverlap="1" relativeHeight="2">
                <wp:simplePos x="0" y="0"/>
                <wp:positionH relativeFrom="column">
                  <wp:posOffset>3399790</wp:posOffset>
                </wp:positionH>
                <wp:positionV relativeFrom="paragraph">
                  <wp:posOffset>36830</wp:posOffset>
                </wp:positionV>
                <wp:extent cx="3156585" cy="1778000"/>
                <wp:effectExtent l="0" t="0" r="0" b="0"/>
                <wp:wrapNone/>
                <wp:docPr id="10" name=""/>
                <a:graphic xmlns:a="http://schemas.openxmlformats.org/drawingml/2006/main">
                  <a:graphicData uri="http://schemas.openxmlformats.org/drawingml/2006/picture">
                    <pic:pic xmlns:pic="http://schemas.openxmlformats.org/drawingml/2006/picture">
                      <pic:nvPicPr>
                        <pic:cNvPr id="2" name="" descr=""/>
                        <pic:cNvPicPr/>
                      </pic:nvPicPr>
                      <pic:blipFill>
                        <a:blip r:embed="rId9"/>
                        <a:stretch/>
                      </pic:blipFill>
                      <pic:spPr>
                        <a:xfrm>
                          <a:off x="0" y="0"/>
                          <a:ext cx="3156120" cy="1777320"/>
                        </a:xfrm>
                        <a:prstGeom prst="rect">
                          <a:avLst/>
                        </a:prstGeom>
                        <a:ln w="0">
                          <a:noFill/>
                        </a:ln>
                      </pic:spPr>
                    </pic:pic>
                  </a:graphicData>
                </a:graphic>
              </wp:anchor>
            </w:drawing>
          </mc:Choice>
          <mc:Fallback>
            <w:pict>
              <v:shape id="shape_0" stroked="f" o:allowincell="f" style="position:absolute;margin-left:267.7pt;margin-top:2.9pt;width:248.45pt;height:139.9pt;mso-wrap-style:none;v-text-anchor:middle" type="_x0000_t75">
                <v:imagedata r:id="rId9" o:detectmouseclick="t"/>
                <v:stroke color="#3465a4" joinstyle="round" endcap="flat"/>
                <w10:wrap type="none"/>
              </v:shape>
            </w:pict>
          </mc:Fallback>
        </mc:AlternateContent>
        <mc:AlternateContent>
          <mc:Choice Requires="wps">
            <w:drawing>
              <wp:inline distT="0" distB="0" distL="0" distR="0">
                <wp:extent cx="3241675" cy="1819275"/>
                <wp:effectExtent l="0" t="0" r="0" b="0"/>
                <wp:docPr id="11" name=""/>
                <a:graphic xmlns:a="http://schemas.openxmlformats.org/drawingml/2006/main">
                  <a:graphicData uri="http://schemas.openxmlformats.org/drawingml/2006/picture">
                    <pic:pic xmlns:pic="http://schemas.openxmlformats.org/drawingml/2006/picture">
                      <pic:nvPicPr>
                        <pic:cNvPr id="3" name="" descr=""/>
                        <pic:cNvPicPr/>
                      </pic:nvPicPr>
                      <pic:blipFill>
                        <a:blip r:embed="rId10"/>
                        <a:stretch/>
                      </pic:blipFill>
                      <pic:spPr>
                        <a:xfrm>
                          <a:off x="0" y="0"/>
                          <a:ext cx="3241080" cy="1818720"/>
                        </a:xfrm>
                        <a:prstGeom prst="rect">
                          <a:avLst/>
                        </a:prstGeom>
                        <a:ln w="0">
                          <a:noFill/>
                        </a:ln>
                      </pic:spPr>
                    </pic:pic>
                  </a:graphicData>
                </a:graphic>
              </wp:inline>
            </w:drawing>
          </mc:Choice>
          <mc:Fallback>
            <w:pict>
              <v:shape id="shape_0" stroked="f" o:allowincell="f" style="position:absolute;margin-left:0pt;margin-top:-143.25pt;width:255.15pt;height:143.15pt;mso-wrap-style:none;v-text-anchor:middle;mso-position-vertical:top" type="_x0000_t75">
                <v:imagedata r:id="rId10" o:detectmouseclick="t"/>
                <v:stroke color="#3465a4" joinstyle="round" endcap="flat"/>
                <w10:wrap type="none"/>
              </v:shape>
            </w:pict>
          </mc:Fallback>
        </mc:AlternateContent>
      </w:r>
    </w:p>
    <w:p>
      <w:pPr>
        <w:pStyle w:val="Normal"/>
        <w:rPr>
          <w:lang w:eastAsia="fr-FR"/>
        </w:rPr>
      </w:pPr>
      <w:r>
        <w:rPr>
          <w:lang w:eastAsia="fr-FR"/>
        </w:rPr>
      </w:r>
    </w:p>
    <w:p>
      <w:pPr>
        <w:pStyle w:val="Normal"/>
        <w:rPr>
          <w:lang w:eastAsia="fr-FR"/>
        </w:rPr>
      </w:pPr>
      <w:r>
        <w:rPr>
          <w:lang w:eastAsia="fr-FR"/>
        </w:rPr>
      </w:r>
    </w:p>
    <w:p>
      <w:pPr>
        <w:pStyle w:val="Normal"/>
        <w:rPr>
          <w:lang w:eastAsia="fr-FR"/>
        </w:rPr>
      </w:pPr>
      <w:r>
        <w:rPr/>
        <mc:AlternateContent>
          <mc:Choice Requires="wps">
            <w:drawing>
              <wp:inline distT="0" distB="0" distL="0" distR="0">
                <wp:extent cx="3201035" cy="1798955"/>
                <wp:effectExtent l="0" t="0" r="0" b="0"/>
                <wp:docPr id="12" name=""/>
                <a:graphic xmlns:a="http://schemas.openxmlformats.org/drawingml/2006/main">
                  <a:graphicData uri="http://schemas.openxmlformats.org/drawingml/2006/picture">
                    <pic:pic xmlns:pic="http://schemas.openxmlformats.org/drawingml/2006/picture">
                      <pic:nvPicPr>
                        <pic:cNvPr id="4" name="" descr=""/>
                        <pic:cNvPicPr/>
                      </pic:nvPicPr>
                      <pic:blipFill>
                        <a:blip r:embed="rId11"/>
                        <a:stretch/>
                      </pic:blipFill>
                      <pic:spPr>
                        <a:xfrm>
                          <a:off x="0" y="0"/>
                          <a:ext cx="3200400" cy="1798200"/>
                        </a:xfrm>
                        <a:prstGeom prst="rect">
                          <a:avLst/>
                        </a:prstGeom>
                        <a:ln w="0">
                          <a:noFill/>
                        </a:ln>
                      </pic:spPr>
                    </pic:pic>
                  </a:graphicData>
                </a:graphic>
              </wp:inline>
            </w:drawing>
          </mc:Choice>
          <mc:Fallback>
            <w:pict>
              <v:shape id="shape_0" stroked="f" o:allowincell="f" style="position:absolute;margin-left:0pt;margin-top:-141.65pt;width:251.95pt;height:141.55pt;mso-wrap-style:none;v-text-anchor:middle;mso-position-vertical:top" type="_x0000_t75">
                <v:imagedata r:id="rId11" o:detectmouseclick="t"/>
                <v:stroke color="#3465a4" joinstyle="round" endcap="flat"/>
                <w10:wrap type="none"/>
              </v:shape>
            </w:pict>
          </mc:Fallback>
        </mc:AlternateContent>
      </w:r>
    </w:p>
    <w:p>
      <w:pPr>
        <w:pStyle w:val="Normal"/>
        <w:rPr>
          <w:lang w:eastAsia="fr-FR"/>
        </w:rPr>
      </w:pPr>
      <w:r>
        <w:rPr>
          <w:lang w:eastAsia="fr-FR"/>
        </w:rPr>
      </w:r>
    </w:p>
    <w:p>
      <w:pPr>
        <w:pStyle w:val="Titre3GEOFIT"/>
        <w:numPr>
          <w:ilvl w:val="2"/>
          <w:numId w:val="3"/>
        </w:numPr>
        <w:ind w:left="792" w:hanging="567"/>
        <w:rPr/>
      </w:pPr>
      <w:bookmarkStart w:id="22" w:name="_Toc163137712"/>
      <w:r>
        <w:rPr/>
        <w:t>Réseaux non sensibles</w:t>
      </w:r>
      <w:bookmarkEnd w:id="22"/>
    </w:p>
    <w:p>
      <w:pPr>
        <w:pStyle w:val="Titre4GEOFIT"/>
        <w:numPr>
          <w:ilvl w:val="3"/>
          <w:numId w:val="3"/>
        </w:numPr>
        <w:ind w:left="2098" w:hanging="1077"/>
        <w:rPr/>
      </w:pPr>
      <w:r>
        <w:rPr/>
        <w:t>Eau Pluvial</w:t>
      </w:r>
      <w:r>
        <w:rPr/>
        <w:t>e</w:t>
      </w:r>
    </w:p>
    <w:tbl>
      <w:tblPr>
        <w:tblStyle w:val="ListTable1Light"/>
        <w:tblW w:w="9632" w:type="dxa"/>
        <w:jc w:val="left"/>
        <w:tblInd w:w="0" w:type="dxa"/>
        <w:tblLayout w:type="fixed"/>
        <w:tblCellMar>
          <w:top w:w="0" w:type="dxa"/>
          <w:left w:w="108" w:type="dxa"/>
          <w:bottom w:w="0" w:type="dxa"/>
          <w:right w:w="108" w:type="dxa"/>
        </w:tblCellMar>
        <w:tblLook w:val="04a0"/>
      </w:tblPr>
      <w:tblGrid>
        <w:gridCol w:w="4816"/>
        <w:gridCol w:w="4815"/>
      </w:tblGrid>
      <w:tr>
        <w:trPr>
          <w:cnfStyle w:val="100000000000"/>
        </w:trPr>
        <w:tc>
          <w:tcPr>
            <w:tcW w:w="4816" w:type="dxa"/>
            <w:cnfStyle w:val="001000000000"/>
            <w:tcBorders>
              <w:bottom w:val="single" w:sz="4" w:space="0" w:color="7185A6"/>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t>Observations</w:t>
            </w:r>
          </w:p>
        </w:tc>
        <w:tc>
          <w:tcPr>
            <w:tcW w:w="4815" w:type="dxa"/>
            <w:tcBorders>
              <w:bottom w:val="single" w:sz="4" w:space="0" w:color="7185A6"/>
            </w:tcBorders>
            <w:shd w:color="auto" w:fill="D0F4F3" w:themeFill="text2" w:themeFillTint="33" w:val="clear"/>
          </w:tcPr>
          <w:p>
            <w:pPr>
              <w:pStyle w:val="Normal"/>
              <w:widowControl w:val="false"/>
              <w:spacing w:before="0" w:after="0"/>
              <w:cnfStyle w:val="100000000000"/>
              <w:rPr>
                <w:b w:val="false"/>
                <w:b w:val="false"/>
                <w:bCs w:val="false"/>
              </w:rPr>
            </w:pPr>
            <w:r>
              <w:rPr>
                <w:b w:val="false"/>
                <w:bCs w:val="false"/>
                <w:kern w:val="0"/>
                <w:lang w:eastAsia="en-US" w:bidi="ar-SA"/>
              </w:rPr>
              <w:t>Détection de l’ensemble des réseaux unitaire dans la zone d’emprise</w:t>
            </w:r>
          </w:p>
          <w:p>
            <w:pPr>
              <w:pStyle w:val="Normal"/>
              <w:widowControl w:val="false"/>
              <w:spacing w:before="0" w:after="0"/>
              <w:cnfStyle w:val="100000000000"/>
              <w:rPr>
                <w:b w:val="false"/>
                <w:b w:val="false"/>
                <w:bCs w:val="false"/>
              </w:rPr>
            </w:pPr>
            <w:r>
              <w:rPr>
                <w:b w:val="false"/>
                <w:bCs w:val="false"/>
                <w:kern w:val="0"/>
                <w:lang w:eastAsia="en-US" w:bidi="ar-SA"/>
              </w:rPr>
              <w:t>Présences de drains et de traversées sur toutes les zones de détection.</w:t>
            </w:r>
          </w:p>
        </w:tc>
      </w:tr>
      <w:tr>
        <w:trPr>
          <w:cnfStyle w:val="000000100000"/>
        </w:trPr>
        <w:tc>
          <w:tcPr>
            <w:tcW w:w="4816" w:type="dxa"/>
            <w:cnfStyle w:val="001000000000"/>
            <w:tcBorders/>
            <w:shd w:color="auto" w:fill="auto" w:val="clear"/>
          </w:tcPr>
          <w:p>
            <w:pPr>
              <w:pStyle w:val="Normal"/>
              <w:widowControl w:val="false"/>
              <w:spacing w:before="0" w:after="0"/>
              <w:rPr>
                <w:b/>
                <w:b/>
                <w:bCs/>
                <w:kern w:val="0"/>
                <w:lang w:eastAsia="en-US" w:bidi="ar-SA"/>
              </w:rPr>
            </w:pPr>
            <w:r>
              <w:rPr>
                <w:b/>
                <w:bCs/>
                <w:kern w:val="0"/>
                <w:lang w:eastAsia="en-US" w:bidi="ar-SA"/>
              </w:rPr>
            </w:r>
          </w:p>
        </w:tc>
        <w:tc>
          <w:tcPr>
            <w:tcW w:w="4815" w:type="dxa"/>
            <w:tcBorders/>
            <w:shd w:color="auto" w:fill="auto" w:val="clear"/>
          </w:tcPr>
          <w:p>
            <w:pPr>
              <w:pStyle w:val="Normal"/>
              <w:widowControl w:val="false"/>
              <w:spacing w:before="0" w:after="0"/>
              <w:cnfStyle w:val="000000100000"/>
              <w:rPr>
                <w:kern w:val="0"/>
                <w:lang w:eastAsia="en-US" w:bidi="ar-SA"/>
              </w:rPr>
            </w:pPr>
            <w:r>
              <w:rPr>
                <w:kern w:val="0"/>
                <w:lang w:eastAsia="en-US" w:bidi="ar-SA"/>
              </w:rPr>
            </w:r>
          </w:p>
        </w:tc>
      </w:tr>
      <w:tr>
        <w:trPr/>
        <w:tc>
          <w:tcPr>
            <w:tcW w:w="4816" w:type="dxa"/>
            <w:cnfStyle w:val="001000000000"/>
            <w:tcBorders/>
            <w:shd w:color="auto" w:fill="D0F4F3" w:themeFill="text2" w:themeFillTint="33" w:val="clear"/>
          </w:tcPr>
          <w:p>
            <w:pPr>
              <w:pStyle w:val="Normal"/>
              <w:widowControl w:val="false"/>
              <w:spacing w:before="0" w:after="0"/>
              <w:rPr>
                <w:highlight w:val="yellow"/>
              </w:rPr>
            </w:pPr>
            <w:r>
              <w:rPr>
                <w:b/>
                <w:bCs/>
                <w:kern w:val="0"/>
                <w:lang w:eastAsia="en-US" w:bidi="ar-SA"/>
              </w:rPr>
              <w:t>Méthode utilisée pour ce réseau :</w:t>
            </w:r>
          </w:p>
        </w:tc>
        <w:tc>
          <w:tcPr>
            <w:tcW w:w="4815" w:type="dxa"/>
            <w:tcBorders/>
            <w:shd w:color="auto" w:fill="D0F4F3" w:themeFill="text2" w:themeFillTint="33" w:val="clear"/>
          </w:tcPr>
          <w:p>
            <w:pPr>
              <w:pStyle w:val="Normal"/>
              <w:widowControl w:val="false"/>
              <w:spacing w:before="0" w:after="0"/>
              <w:cnfStyle w:val="000000000000"/>
              <w:rPr>
                <w:kern w:val="0"/>
                <w:lang w:eastAsia="en-US" w:bidi="ar-SA"/>
              </w:rPr>
            </w:pPr>
            <w:r>
              <w:rPr>
                <w:kern w:val="0"/>
                <w:lang w:eastAsia="en-US" w:bidi="ar-SA"/>
              </w:rPr>
              <w:t>Contrôle visuel, aiguillage et géoradar</w:t>
            </w:r>
          </w:p>
        </w:tc>
      </w:tr>
    </w:tbl>
    <w:p>
      <w:pPr>
        <w:pStyle w:val="Normal"/>
        <w:rPr>
          <w:highlight w:val="yellow"/>
        </w:rPr>
      </w:pPr>
      <w:r>
        <w:rPr>
          <w:highlight w:val="yellow"/>
        </w:rPr>
      </w:r>
    </w:p>
    <w:p>
      <w:pPr>
        <w:pStyle w:val="Normal"/>
        <w:rPr/>
      </w:pPr>
      <w:r>
        <w:rPr/>
        <mc:AlternateContent>
          <mc:Choice Requires="wps">
            <w:drawing>
              <wp:anchor behindDoc="1" distT="0" distB="0" distL="0" distR="0" simplePos="0" locked="0" layoutInCell="0" allowOverlap="1" relativeHeight="3">
                <wp:simplePos x="0" y="0"/>
                <wp:positionH relativeFrom="column">
                  <wp:posOffset>-270510</wp:posOffset>
                </wp:positionH>
                <wp:positionV relativeFrom="paragraph">
                  <wp:posOffset>173355</wp:posOffset>
                </wp:positionV>
                <wp:extent cx="3537585" cy="1993265"/>
                <wp:effectExtent l="0" t="0" r="0" b="0"/>
                <wp:wrapNone/>
                <wp:docPr id="13" name=""/>
                <a:graphic xmlns:a="http://schemas.openxmlformats.org/drawingml/2006/main">
                  <a:graphicData uri="http://schemas.openxmlformats.org/drawingml/2006/picture">
                    <pic:pic xmlns:pic="http://schemas.openxmlformats.org/drawingml/2006/picture">
                      <pic:nvPicPr>
                        <pic:cNvPr id="5" name="" descr=""/>
                        <pic:cNvPicPr/>
                      </pic:nvPicPr>
                      <pic:blipFill>
                        <a:blip r:embed="rId12"/>
                        <a:stretch/>
                      </pic:blipFill>
                      <pic:spPr>
                        <a:xfrm>
                          <a:off x="0" y="0"/>
                          <a:ext cx="3537000" cy="1992600"/>
                        </a:xfrm>
                        <a:prstGeom prst="rect">
                          <a:avLst/>
                        </a:prstGeom>
                        <a:ln w="0">
                          <a:noFill/>
                        </a:ln>
                      </pic:spPr>
                    </pic:pic>
                  </a:graphicData>
                </a:graphic>
              </wp:anchor>
            </w:drawing>
          </mc:Choice>
          <mc:Fallback>
            <w:pict>
              <v:shape id="shape_0" stroked="f" o:allowincell="f" style="position:absolute;margin-left:-21.3pt;margin-top:13.65pt;width:278.45pt;height:156.85pt;mso-wrap-style:none;v-text-anchor:middle" type="_x0000_t75">
                <v:imagedata r:id="rId12" o:detectmouseclick="t"/>
                <v:stroke color="#3465a4" joinstyle="round" endcap="flat"/>
                <w10:wrap type="none"/>
              </v:shape>
            </w:pict>
          </mc:Fallback>
        </mc:AlternateConten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mc:AlternateContent>
          <mc:Choice Requires="wps">
            <w:drawing>
              <wp:anchor behindDoc="1" distT="0" distB="0" distL="0" distR="0" simplePos="0" locked="0" layoutInCell="0" allowOverlap="1" relativeHeight="4">
                <wp:simplePos x="0" y="0"/>
                <wp:positionH relativeFrom="column">
                  <wp:posOffset>-270510</wp:posOffset>
                </wp:positionH>
                <wp:positionV relativeFrom="paragraph">
                  <wp:posOffset>127000</wp:posOffset>
                </wp:positionV>
                <wp:extent cx="3537585" cy="1992630"/>
                <wp:effectExtent l="0" t="0" r="0" b="0"/>
                <wp:wrapNone/>
                <wp:docPr id="14" name=""/>
                <a:graphic xmlns:a="http://schemas.openxmlformats.org/drawingml/2006/main">
                  <a:graphicData uri="http://schemas.openxmlformats.org/drawingml/2006/picture">
                    <pic:pic xmlns:pic="http://schemas.openxmlformats.org/drawingml/2006/picture">
                      <pic:nvPicPr>
                        <pic:cNvPr id="6" name="" descr=""/>
                        <pic:cNvPicPr/>
                      </pic:nvPicPr>
                      <pic:blipFill>
                        <a:blip r:embed="rId13"/>
                        <a:stretch/>
                      </pic:blipFill>
                      <pic:spPr>
                        <a:xfrm>
                          <a:off x="0" y="0"/>
                          <a:ext cx="3537000" cy="1991880"/>
                        </a:xfrm>
                        <a:prstGeom prst="rect">
                          <a:avLst/>
                        </a:prstGeom>
                        <a:ln w="0">
                          <a:noFill/>
                        </a:ln>
                      </pic:spPr>
                    </pic:pic>
                  </a:graphicData>
                </a:graphic>
              </wp:anchor>
            </w:drawing>
          </mc:Choice>
          <mc:Fallback>
            <w:pict>
              <v:shape id="shape_0" stroked="f" o:allowincell="f" style="position:absolute;margin-left:-21.3pt;margin-top:10pt;width:278.45pt;height:156.8pt;mso-wrap-style:none;v-text-anchor:middle" type="_x0000_t75">
                <v:imagedata r:id="rId13" o:detectmouseclick="t"/>
                <v:stroke color="#3465a4" joinstyle="round" endcap="flat"/>
                <w10:wrap type="none"/>
              </v:shape>
            </w:pict>
          </mc:Fallback>
        </mc:AlternateConten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Titre4GEOFIT"/>
        <w:numPr>
          <w:ilvl w:val="3"/>
          <w:numId w:val="3"/>
        </w:numPr>
        <w:ind w:left="2098" w:hanging="1077"/>
        <w:rPr/>
      </w:pPr>
      <w:r>
        <w:rPr/>
        <w:t>Fourreaux Vide</w:t>
      </w:r>
      <w:r>
        <w:rPr/>
        <w:t>s</w:t>
      </w:r>
    </w:p>
    <w:tbl>
      <w:tblPr>
        <w:tblStyle w:val="ListTable1Light"/>
        <w:tblW w:w="9632" w:type="dxa"/>
        <w:jc w:val="left"/>
        <w:tblInd w:w="0" w:type="dxa"/>
        <w:tblLayout w:type="fixed"/>
        <w:tblCellMar>
          <w:top w:w="0" w:type="dxa"/>
          <w:left w:w="108" w:type="dxa"/>
          <w:bottom w:w="0" w:type="dxa"/>
          <w:right w:w="108" w:type="dxa"/>
        </w:tblCellMar>
        <w:tblLook w:val="04a0"/>
      </w:tblPr>
      <w:tblGrid>
        <w:gridCol w:w="4816"/>
        <w:gridCol w:w="4815"/>
      </w:tblGrid>
      <w:tr>
        <w:trPr>
          <w:cnfStyle w:val="100000000000"/>
        </w:trPr>
        <w:tc>
          <w:tcPr>
            <w:tcW w:w="4816" w:type="dxa"/>
            <w:cnfStyle w:val="001000000000"/>
            <w:tcBorders>
              <w:bottom w:val="single" w:sz="4" w:space="0" w:color="7185A6"/>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t>Observations</w:t>
            </w:r>
          </w:p>
        </w:tc>
        <w:tc>
          <w:tcPr>
            <w:tcW w:w="4815" w:type="dxa"/>
            <w:tcBorders>
              <w:bottom w:val="single" w:sz="4" w:space="0" w:color="7185A6"/>
            </w:tcBorders>
            <w:shd w:color="auto" w:fill="D0F4F3" w:themeFill="text2" w:themeFillTint="33" w:val="clear"/>
          </w:tcPr>
          <w:p>
            <w:pPr>
              <w:pStyle w:val="Normal"/>
              <w:widowControl w:val="false"/>
              <w:spacing w:before="0" w:after="0"/>
              <w:cnfStyle w:val="100000000000"/>
              <w:rPr>
                <w:b w:val="false"/>
                <w:b w:val="false"/>
                <w:bCs w:val="false"/>
              </w:rPr>
            </w:pPr>
            <w:r>
              <w:rPr>
                <w:b w:val="false"/>
                <w:bCs w:val="false"/>
                <w:kern w:val="0"/>
                <w:lang w:eastAsia="en-US" w:bidi="ar-SA"/>
              </w:rPr>
              <w:t xml:space="preserve">Présence de fourreaux vides le long de la BAU ainsi qu’en traversé d’autoroute  </w:t>
            </w:r>
          </w:p>
        </w:tc>
      </w:tr>
      <w:tr>
        <w:trPr>
          <w:cnfStyle w:val="000000100000"/>
        </w:trPr>
        <w:tc>
          <w:tcPr>
            <w:tcW w:w="4816" w:type="dxa"/>
            <w:cnfStyle w:val="001000000000"/>
            <w:tcBorders/>
            <w:shd w:color="auto" w:fill="auto" w:val="clear"/>
          </w:tcPr>
          <w:p>
            <w:pPr>
              <w:pStyle w:val="Normal"/>
              <w:widowControl w:val="false"/>
              <w:spacing w:before="0" w:after="0"/>
              <w:rPr>
                <w:b w:val="false"/>
                <w:b w:val="false"/>
                <w:bCs w:val="false"/>
              </w:rPr>
            </w:pPr>
            <w:r>
              <w:rPr>
                <w:b/>
                <w:bCs/>
                <w:kern w:val="0"/>
                <w:lang w:eastAsia="en-US" w:bidi="ar-SA"/>
              </w:rPr>
            </w:r>
          </w:p>
        </w:tc>
        <w:tc>
          <w:tcPr>
            <w:tcW w:w="4815" w:type="dxa"/>
            <w:tcBorders/>
            <w:shd w:color="auto" w:fill="auto" w:val="clear"/>
          </w:tcPr>
          <w:p>
            <w:pPr>
              <w:pStyle w:val="Normal"/>
              <w:widowControl w:val="false"/>
              <w:spacing w:before="0" w:after="0"/>
              <w:cnfStyle w:val="000000100000"/>
              <w:rPr>
                <w:kern w:val="0"/>
                <w:lang w:eastAsia="en-US" w:bidi="ar-SA"/>
              </w:rPr>
            </w:pPr>
            <w:r>
              <w:rPr>
                <w:kern w:val="0"/>
                <w:lang w:eastAsia="en-US" w:bidi="ar-SA"/>
              </w:rPr>
            </w:r>
          </w:p>
        </w:tc>
      </w:tr>
      <w:tr>
        <w:trPr/>
        <w:tc>
          <w:tcPr>
            <w:tcW w:w="4816" w:type="dxa"/>
            <w:cnfStyle w:val="001000000000"/>
            <w:tcBorders/>
            <w:shd w:color="auto" w:fill="D0F4F3" w:themeFill="text2" w:themeFillTint="33" w:val="clear"/>
          </w:tcPr>
          <w:p>
            <w:pPr>
              <w:pStyle w:val="Normal"/>
              <w:widowControl w:val="false"/>
              <w:spacing w:before="0" w:after="0"/>
              <w:rPr>
                <w:b/>
                <w:b/>
                <w:bCs/>
                <w:kern w:val="0"/>
                <w:lang w:eastAsia="en-US" w:bidi="ar-SA"/>
              </w:rPr>
            </w:pPr>
            <w:r>
              <w:rPr>
                <w:b/>
                <w:bCs/>
                <w:kern w:val="0"/>
                <w:lang w:eastAsia="en-US" w:bidi="ar-SA"/>
              </w:rPr>
              <w:t>Méthode utilisée pour ce réseau :</w:t>
            </w:r>
          </w:p>
        </w:tc>
        <w:tc>
          <w:tcPr>
            <w:tcW w:w="4815" w:type="dxa"/>
            <w:tcBorders/>
            <w:shd w:color="auto" w:fill="D0F4F3" w:themeFill="text2" w:themeFillTint="33" w:val="clear"/>
          </w:tcPr>
          <w:p>
            <w:pPr>
              <w:pStyle w:val="Normal"/>
              <w:widowControl w:val="false"/>
              <w:spacing w:before="0" w:after="0"/>
              <w:cnfStyle w:val="000000000000"/>
              <w:rPr>
                <w:kern w:val="0"/>
                <w:lang w:eastAsia="en-US" w:bidi="ar-SA"/>
              </w:rPr>
            </w:pPr>
            <w:r>
              <w:rPr>
                <w:kern w:val="0"/>
                <w:lang w:eastAsia="en-US" w:bidi="ar-SA"/>
              </w:rPr>
              <w:t>Géoradar et aiguillage</w:t>
            </w:r>
          </w:p>
        </w:tc>
      </w:tr>
    </w:tbl>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anchor behindDoc="1" distT="0" distB="0" distL="0" distR="0" simplePos="0" locked="0" layoutInCell="0" allowOverlap="1" relativeHeight="6">
                <wp:simplePos x="0" y="0"/>
                <wp:positionH relativeFrom="column">
                  <wp:posOffset>45085</wp:posOffset>
                </wp:positionH>
                <wp:positionV relativeFrom="paragraph">
                  <wp:posOffset>37465</wp:posOffset>
                </wp:positionV>
                <wp:extent cx="3834130" cy="2159635"/>
                <wp:effectExtent l="0" t="0" r="0" b="0"/>
                <wp:wrapNone/>
                <wp:docPr id="15" name=""/>
                <a:graphic xmlns:a="http://schemas.openxmlformats.org/drawingml/2006/main">
                  <a:graphicData uri="http://schemas.openxmlformats.org/drawingml/2006/picture">
                    <pic:pic xmlns:pic="http://schemas.openxmlformats.org/drawingml/2006/picture">
                      <pic:nvPicPr>
                        <pic:cNvPr id="7" name="" descr=""/>
                        <pic:cNvPicPr/>
                      </pic:nvPicPr>
                      <pic:blipFill>
                        <a:blip r:embed="rId14"/>
                        <a:stretch/>
                      </pic:blipFill>
                      <pic:spPr>
                        <a:xfrm>
                          <a:off x="0" y="0"/>
                          <a:ext cx="3833640" cy="2158920"/>
                        </a:xfrm>
                        <a:prstGeom prst="rect">
                          <a:avLst/>
                        </a:prstGeom>
                        <a:ln w="0">
                          <a:noFill/>
                        </a:ln>
                      </pic:spPr>
                    </pic:pic>
                  </a:graphicData>
                </a:graphic>
              </wp:anchor>
            </w:drawing>
          </mc:Choice>
          <mc:Fallback>
            <w:pict>
              <v:shape id="shape_0" stroked="f" o:allowincell="f" style="position:absolute;margin-left:3.55pt;margin-top:2.95pt;width:301.8pt;height:169.95pt;mso-wrap-style:none;v-text-anchor:middle" type="_x0000_t75">
                <v:imagedata r:id="rId14" o:detectmouseclick="t"/>
                <v:stroke color="#3465a4" joinstyle="round" endcap="flat"/>
                <w10:wrap type="none"/>
              </v:shape>
            </w:pict>
          </mc:Fallback>
        </mc:AlternateContent>
      </w:r>
    </w:p>
    <w:p>
      <w:pPr>
        <w:pStyle w:val="Normal"/>
        <w:rPr/>
      </w:pPr>
      <w:r>
        <w:rPr/>
      </w:r>
    </w:p>
    <w:p>
      <w:pPr>
        <w:pStyle w:val="Normal"/>
        <w:spacing w:lineRule="auto" w:line="240"/>
        <w:jc w:val="left"/>
        <w:rPr/>
      </w:pPr>
      <w:r>
        <w:rPr/>
        <mc:AlternateContent>
          <mc:Choice Requires="wps">
            <w:drawing>
              <wp:anchor behindDoc="1" distT="0" distB="0" distL="0" distR="0" simplePos="0" locked="0" layoutInCell="0" allowOverlap="1" relativeHeight="5">
                <wp:simplePos x="0" y="0"/>
                <wp:positionH relativeFrom="column">
                  <wp:posOffset>47625</wp:posOffset>
                </wp:positionH>
                <wp:positionV relativeFrom="paragraph">
                  <wp:posOffset>1929130</wp:posOffset>
                </wp:positionV>
                <wp:extent cx="3744595" cy="2109470"/>
                <wp:effectExtent l="0" t="0" r="0" b="0"/>
                <wp:wrapNone/>
                <wp:docPr id="16" name=""/>
                <a:graphic xmlns:a="http://schemas.openxmlformats.org/drawingml/2006/main">
                  <a:graphicData uri="http://schemas.openxmlformats.org/drawingml/2006/picture">
                    <pic:pic xmlns:pic="http://schemas.openxmlformats.org/drawingml/2006/picture">
                      <pic:nvPicPr>
                        <pic:cNvPr id="8" name="" descr=""/>
                        <pic:cNvPicPr/>
                      </pic:nvPicPr>
                      <pic:blipFill>
                        <a:blip r:embed="rId15"/>
                        <a:stretch/>
                      </pic:blipFill>
                      <pic:spPr>
                        <a:xfrm>
                          <a:off x="0" y="0"/>
                          <a:ext cx="3744000" cy="2108880"/>
                        </a:xfrm>
                        <a:prstGeom prst="rect">
                          <a:avLst/>
                        </a:prstGeom>
                        <a:ln w="0">
                          <a:noFill/>
                        </a:ln>
                      </pic:spPr>
                    </pic:pic>
                  </a:graphicData>
                </a:graphic>
              </wp:anchor>
            </w:drawing>
          </mc:Choice>
          <mc:Fallback>
            <w:pict>
              <v:shape id="shape_0" stroked="f" o:allowincell="f" style="position:absolute;margin-left:3.75pt;margin-top:151.9pt;width:294.75pt;height:166pt;mso-wrap-style:none;v-text-anchor:middle" type="_x0000_t75">
                <v:imagedata r:id="rId15" o:detectmouseclick="t"/>
                <v:stroke color="#3465a4" joinstyle="round" endcap="flat"/>
                <w10:wrap type="none"/>
              </v:shape>
            </w:pict>
          </mc:Fallback>
        </mc:AlternateContent>
      </w:r>
      <w:r>
        <w:br w:type="page"/>
      </w:r>
    </w:p>
    <w:p>
      <w:pPr>
        <w:pStyle w:val="Titre2GEOFIT"/>
        <w:numPr>
          <w:ilvl w:val="1"/>
          <w:numId w:val="3"/>
        </w:numPr>
        <w:ind w:left="792" w:hanging="567"/>
        <w:rPr/>
      </w:pPr>
      <w:bookmarkStart w:id="23" w:name="_Toc163137717"/>
      <w:r>
        <w:rPr/>
        <w:t>Attestation de localisation d’ouvrage en classe A</w:t>
      </w:r>
      <w:bookmarkEnd w:id="23"/>
    </w:p>
    <w:tbl>
      <w:tblPr>
        <w:tblStyle w:val="TableNormal"/>
        <w:tblW w:w="9776" w:type="dxa"/>
        <w:jc w:val="center"/>
        <w:tblInd w:w="0" w:type="dxa"/>
        <w:tblLayout w:type="fixed"/>
        <w:tblCellMar>
          <w:top w:w="0" w:type="dxa"/>
          <w:left w:w="5" w:type="dxa"/>
          <w:bottom w:w="0" w:type="dxa"/>
          <w:right w:w="5" w:type="dxa"/>
        </w:tblCellMar>
        <w:tblLook w:val="01e0"/>
      </w:tblPr>
      <w:tblGrid>
        <w:gridCol w:w="3406"/>
        <w:gridCol w:w="1844"/>
        <w:gridCol w:w="2553"/>
        <w:gridCol w:w="1972"/>
      </w:tblGrid>
      <w:tr>
        <w:trPr>
          <w:trHeight w:val="398" w:hRule="atLeast"/>
        </w:trPr>
        <w:tc>
          <w:tcPr>
            <w:tcW w:w="340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b/>
                <w:b/>
                <w:szCs w:val="28"/>
              </w:rPr>
            </w:pPr>
            <w:r>
              <w:rPr>
                <w:rFonts w:cs="Open Sans" w:cstheme="minorHAnsi"/>
                <w:b/>
                <w:kern w:val="0"/>
                <w:szCs w:val="28"/>
                <w:lang w:eastAsia="en-US" w:bidi="ar-SA"/>
              </w:rPr>
              <w:t>Raison sociale de l’entreprise</w:t>
            </w:r>
          </w:p>
        </w:tc>
        <w:tc>
          <w:tcPr>
            <w:tcW w:w="6369" w:type="dxa"/>
            <w:gridSpan w:val="3"/>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GEOFIT</w:t>
            </w:r>
          </w:p>
        </w:tc>
      </w:tr>
      <w:tr>
        <w:trPr>
          <w:trHeight w:val="395" w:hRule="atLeast"/>
        </w:trPr>
        <w:tc>
          <w:tcPr>
            <w:tcW w:w="3406"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szCs w:val="28"/>
              </w:rPr>
            </w:pPr>
            <w:r>
              <w:rPr>
                <w:rFonts w:cs="Open Sans" w:cstheme="minorHAnsi"/>
                <w:kern w:val="0"/>
                <w:szCs w:val="28"/>
                <w:lang w:eastAsia="en-US" w:bidi="ar-SA"/>
              </w:rPr>
              <w:t>Titulaire du marché</w:t>
            </w:r>
            <w:r>
              <w:rPr>
                <w:rFonts w:cs="Open Sans" w:cstheme="minorHAnsi"/>
                <w:spacing w:val="-3"/>
                <w:kern w:val="0"/>
                <w:szCs w:val="28"/>
                <w:lang w:eastAsia="en-US" w:bidi="ar-SA"/>
              </w:rPr>
              <w:t xml:space="preserve"> n</w:t>
            </w:r>
            <w:r>
              <w:rPr>
                <w:rFonts w:cs="Open Sans" w:cstheme="minorHAnsi"/>
                <w:kern w:val="0"/>
                <w:szCs w:val="28"/>
                <w:lang w:eastAsia="en-US" w:bidi="ar-SA"/>
              </w:rPr>
              <w:t>°</w:t>
            </w:r>
          </w:p>
          <w:p>
            <w:pPr>
              <w:pStyle w:val="Normal"/>
              <w:widowControl w:val="false"/>
              <w:spacing w:before="0" w:after="0"/>
              <w:rPr>
                <w:rFonts w:cs="Open Sans" w:cstheme="minorHAnsi"/>
                <w:szCs w:val="28"/>
              </w:rPr>
            </w:pPr>
            <w:r>
              <w:rPr>
                <w:rFonts w:cs="Open Sans" w:cstheme="minorHAnsi"/>
                <w:kern w:val="0"/>
                <w:szCs w:val="28"/>
                <w:lang w:eastAsia="en-US" w:bidi="ar-SA"/>
              </w:rPr>
              <w:t>Commande n°</w:t>
            </w:r>
          </w:p>
        </w:tc>
        <w:tc>
          <w:tcPr>
            <w:tcW w:w="6369" w:type="dxa"/>
            <w:gridSpan w:val="3"/>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highlight w:val="yellow"/>
              </w:rPr>
            </w:pPr>
            <w:r>
              <w:rPr>
                <w:kern w:val="0"/>
                <w:highlight w:val="yellow"/>
                <w:lang w:eastAsia="en-US" w:bidi="ar-SA"/>
              </w:rPr>
            </w:r>
          </w:p>
        </w:tc>
      </w:tr>
      <w:tr>
        <w:trPr>
          <w:trHeight w:val="398" w:hRule="atLeast"/>
        </w:trPr>
        <w:tc>
          <w:tcPr>
            <w:tcW w:w="3406"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rPr>
                <w:rFonts w:eastAsia="Calibri" w:cs="Open Sans" w:cstheme="minorHAnsi"/>
                <w:szCs w:val="28"/>
              </w:rPr>
            </w:pPr>
            <w:r>
              <w:rPr>
                <w:rFonts w:eastAsia="Calibri" w:cs="Open Sans" w:cstheme="minorHAnsi"/>
                <w:kern w:val="0"/>
                <w:szCs w:val="28"/>
                <w:lang w:eastAsia="en-US" w:bidi="ar-SA"/>
              </w:rPr>
            </w:r>
          </w:p>
        </w:tc>
        <w:tc>
          <w:tcPr>
            <w:tcW w:w="6369" w:type="dxa"/>
            <w:gridSpan w:val="3"/>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r>
          </w:p>
        </w:tc>
      </w:tr>
      <w:tr>
        <w:trPr>
          <w:trHeight w:val="453" w:hRule="atLeast"/>
        </w:trPr>
        <w:tc>
          <w:tcPr>
            <w:tcW w:w="340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b/>
                <w:b/>
                <w:szCs w:val="28"/>
              </w:rPr>
            </w:pPr>
            <w:r>
              <w:rPr>
                <w:rFonts w:cs="Open Sans" w:cstheme="minorHAnsi"/>
                <w:b/>
                <w:kern w:val="0"/>
                <w:szCs w:val="28"/>
                <w:lang w:eastAsia="en-US" w:bidi="ar-SA"/>
              </w:rPr>
              <w:t>Nom du Responsable de Projet</w:t>
            </w:r>
          </w:p>
        </w:tc>
        <w:tc>
          <w:tcPr>
            <w:tcW w:w="6369" w:type="dxa"/>
            <w:gridSpan w:val="3"/>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RABANET Adeline – Cabinet Merlin</w:t>
            </w:r>
          </w:p>
        </w:tc>
      </w:tr>
      <w:tr>
        <w:trPr>
          <w:trHeight w:val="431" w:hRule="atLeast"/>
        </w:trPr>
        <w:tc>
          <w:tcPr>
            <w:tcW w:w="340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szCs w:val="28"/>
              </w:rPr>
            </w:pPr>
            <w:r>
              <w:rPr>
                <w:rFonts w:cs="Open Sans" w:cstheme="minorHAnsi"/>
                <w:spacing w:val="-3"/>
                <w:kern w:val="0"/>
                <w:szCs w:val="28"/>
                <w:lang w:eastAsia="en-US" w:bidi="ar-SA"/>
              </w:rPr>
              <w:t xml:space="preserve">N° </w:t>
            </w:r>
            <w:r>
              <w:rPr>
                <w:rFonts w:cs="Open Sans" w:cstheme="minorHAnsi"/>
                <w:kern w:val="0"/>
                <w:szCs w:val="28"/>
                <w:lang w:eastAsia="en-US" w:bidi="ar-SA"/>
              </w:rPr>
              <w:t>Affaire</w:t>
            </w:r>
            <w:r>
              <w:rPr>
                <w:rFonts w:cs="Open Sans" w:cstheme="minorHAnsi"/>
                <w:spacing w:val="-3"/>
                <w:kern w:val="0"/>
                <w:szCs w:val="28"/>
                <w:lang w:eastAsia="en-US" w:bidi="ar-SA"/>
              </w:rPr>
              <w:t>client</w:t>
            </w:r>
          </w:p>
        </w:tc>
        <w:tc>
          <w:tcPr>
            <w:tcW w:w="184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kern w:val="0"/>
                <w:lang w:eastAsia="en-US" w:bidi="ar-SA"/>
              </w:rPr>
              <w:t>01NI122045-20</w:t>
            </w:r>
          </w:p>
        </w:tc>
        <w:tc>
          <w:tcPr>
            <w:tcW w:w="2553"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-Déclaration de Travaux n°</w:t>
            </w:r>
          </w:p>
        </w:tc>
        <w:tc>
          <w:tcPr>
            <w:tcW w:w="197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highlight w:val="yellow"/>
              </w:rPr>
            </w:pPr>
            <w:r>
              <w:rPr>
                <w:kern w:val="0"/>
                <w:highlight w:val="yellow"/>
                <w:lang w:eastAsia="en-US" w:bidi="ar-SA"/>
              </w:rPr>
            </w:r>
          </w:p>
        </w:tc>
      </w:tr>
      <w:tr>
        <w:trPr>
          <w:trHeight w:val="489" w:hRule="atLeast"/>
        </w:trPr>
        <w:tc>
          <w:tcPr>
            <w:tcW w:w="340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b/>
                <w:b/>
                <w:szCs w:val="28"/>
              </w:rPr>
            </w:pPr>
            <w:r>
              <w:rPr>
                <w:rFonts w:cs="Open Sans" w:cstheme="minorHAnsi"/>
                <w:b/>
                <w:kern w:val="0"/>
                <w:szCs w:val="28"/>
                <w:lang w:eastAsia="en-US" w:bidi="ar-SA"/>
              </w:rPr>
              <w:t>Adresse du chantier</w:t>
            </w:r>
          </w:p>
          <w:p>
            <w:pPr>
              <w:pStyle w:val="Normal"/>
              <w:widowControl w:val="false"/>
              <w:spacing w:before="0" w:after="0"/>
              <w:rPr>
                <w:rFonts w:cs="Open Sans" w:cstheme="minorHAnsi"/>
                <w:i/>
                <w:i/>
                <w:szCs w:val="28"/>
              </w:rPr>
            </w:pPr>
            <w:r>
              <w:rPr>
                <w:rFonts w:cs="Open Sans" w:cstheme="minorHAnsi"/>
                <w:i/>
                <w:kern w:val="0"/>
                <w:szCs w:val="28"/>
                <w:lang w:eastAsia="en-US" w:bidi="ar-SA"/>
              </w:rPr>
              <w:t>(A minima CP, Commune)</w:t>
            </w:r>
          </w:p>
        </w:tc>
        <w:tc>
          <w:tcPr>
            <w:tcW w:w="6369" w:type="dxa"/>
            <w:gridSpan w:val="3"/>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kern w:val="0"/>
                <w:lang w:eastAsia="en-US" w:bidi="ar-SA"/>
              </w:rPr>
              <w:t>Le Pirou / La Bessaire A 75 Département du CANTAL</w:t>
            </w:r>
          </w:p>
        </w:tc>
      </w:tr>
    </w:tbl>
    <w:p>
      <w:pPr>
        <w:pStyle w:val="Normal"/>
        <w:rPr/>
      </w:pPr>
      <w:r>
        <w:rPr/>
      </w:r>
    </w:p>
    <w:p>
      <w:pPr>
        <w:pStyle w:val="Normal"/>
        <w:rPr/>
      </w:pPr>
      <w:r>
        <w:rPr/>
        <w:t>L’entreprise mentionnée ci-dessus, certifiée en détection et en géoréférencement, atteste de la localisation en classe A des ouvrages ou portions d’ouvrages objets de la commande, telle que mentionnée dans le Cahier de Fin d’Affaire de Détection (CFAD, rapport de la prestation de détection géoréférencée) remis au Responsable de Projet.</w:t>
      </w:r>
    </w:p>
    <w:p>
      <w:pPr>
        <w:pStyle w:val="Normal"/>
        <w:rPr/>
      </w:pPr>
      <w:r>
        <w:rPr/>
        <w:t>La localisation des ouvrages respecte les spécifications définies dans l’article 1 de l’arrêté du 15 février 2012 modifié.</w:t>
      </w:r>
    </w:p>
    <w:p>
      <w:pPr>
        <w:pStyle w:val="Normal"/>
        <w:rPr/>
      </w:pPr>
      <w:r>
        <w:rPr/>
        <w:t>Tous les ouvrages et/ou portions d’ouvrages détectés mais n’ayant pu faire l’objet de localisation en classe A sont identifiés et mentionnés dans les documents remis au Responsable de Projet.</w:t>
      </w:r>
    </w:p>
    <w:p>
      <w:pPr>
        <w:pStyle w:val="Normal"/>
        <w:rPr/>
      </w:pPr>
      <w:r>
        <w:rPr/>
        <w:t>Tous les ouvrages et/ou tronçons d’ouvrages détectés sans lien apparent avec un Exploitant consulté (récépissés de DT et/ou DICT), ayant pu faire l’objet d’une localisation en classe A ou non, sont identifiés et mentionnés dans les documents remis au Responsable de Projet (cas de certains ouvrages abandonnés ou ayant fait l’objet d’une rétrocession privée/publique, etc.).</w:t>
      </w:r>
    </w:p>
    <w:p>
      <w:pPr>
        <w:pStyle w:val="Normal"/>
        <w:rPr/>
      </w:pPr>
      <w:r>
        <w:rPr/>
      </w:r>
    </w:p>
    <w:p>
      <w:pPr>
        <w:pStyle w:val="Normal"/>
        <w:rPr>
          <w:u w:val="single"/>
        </w:rPr>
      </w:pPr>
      <w:r>
        <w:rPr>
          <w:u w:val="single"/>
        </w:rPr>
        <w:t>Remarques :</w:t>
      </w:r>
    </w:p>
    <w:p>
      <w:pPr>
        <w:pStyle w:val="Normal"/>
        <w:rPr/>
      </w:pPr>
      <w:r>
        <w:rPr/>
      </w:r>
    </w:p>
    <w:tbl>
      <w:tblPr>
        <w:tblStyle w:val="TableNormal"/>
        <w:tblW w:w="9781" w:type="dxa"/>
        <w:jc w:val="center"/>
        <w:tblInd w:w="0" w:type="dxa"/>
        <w:tblLayout w:type="fixed"/>
        <w:tblCellMar>
          <w:top w:w="0" w:type="dxa"/>
          <w:left w:w="5" w:type="dxa"/>
          <w:bottom w:w="0" w:type="dxa"/>
          <w:right w:w="5" w:type="dxa"/>
        </w:tblCellMar>
        <w:tblLook w:val="01e0"/>
      </w:tblPr>
      <w:tblGrid>
        <w:gridCol w:w="3970"/>
        <w:gridCol w:w="1702"/>
        <w:gridCol w:w="4109"/>
      </w:tblGrid>
      <w:tr>
        <w:trPr>
          <w:trHeight w:val="333" w:hRule="atLeast"/>
        </w:trPr>
        <w:tc>
          <w:tcPr>
            <w:tcW w:w="9781" w:type="dxa"/>
            <w:gridSpan w:val="3"/>
            <w:tcBorders>
              <w:top w:val="single" w:sz="4" w:space="0" w:color="000000"/>
              <w:left w:val="single" w:sz="4" w:space="0" w:color="000000"/>
              <w:bottom w:val="single" w:sz="4" w:space="0" w:color="000000"/>
              <w:right w:val="single" w:sz="4" w:space="0" w:color="000000"/>
            </w:tcBorders>
            <w:shd w:color="auto" w:fill="2E3849" w:themeFill="background1" w:themeFillShade="f2" w:val="clear"/>
          </w:tcPr>
          <w:p>
            <w:pPr>
              <w:pStyle w:val="Normal"/>
              <w:widowControl w:val="false"/>
              <w:spacing w:before="0" w:after="0"/>
              <w:jc w:val="center"/>
              <w:rPr>
                <w:rFonts w:cs="Open Sans" w:cstheme="minorHAnsi"/>
              </w:rPr>
            </w:pPr>
            <w:r>
              <w:rPr>
                <w:rFonts w:cs="Open Sans" w:cstheme="minorHAnsi"/>
                <w:kern w:val="0"/>
                <w:lang w:eastAsia="en-US" w:bidi="ar-SA"/>
              </w:rPr>
              <w:t>Signature de l’entreprise (Titulaire du marché de détection géoréférencée)</w:t>
            </w:r>
          </w:p>
          <w:p>
            <w:pPr>
              <w:pStyle w:val="Normal"/>
              <w:widowControl w:val="false"/>
              <w:spacing w:before="0" w:after="0"/>
              <w:rPr>
                <w:rFonts w:cs="Open Sans" w:cstheme="minorHAnsi"/>
                <w:b/>
                <w:b/>
              </w:rPr>
            </w:pPr>
            <w:r>
              <w:rPr>
                <w:rFonts w:cs="Open Sans" w:cstheme="minorHAnsi"/>
                <w:b/>
                <w:kern w:val="0"/>
                <w:lang w:eastAsia="en-US" w:bidi="ar-SA"/>
              </w:rPr>
            </w:r>
          </w:p>
        </w:tc>
      </w:tr>
      <w:tr>
        <w:trPr>
          <w:trHeight w:val="297" w:hRule="atLeast"/>
        </w:trPr>
        <w:tc>
          <w:tcPr>
            <w:tcW w:w="39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Nom,Prénomdel’opérateur</w:t>
            </w:r>
          </w:p>
        </w:tc>
        <w:tc>
          <w:tcPr>
            <w:tcW w:w="170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Date</w:t>
            </w:r>
          </w:p>
        </w:tc>
        <w:tc>
          <w:tcPr>
            <w:tcW w:w="410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Cachet et Signature</w:t>
            </w:r>
          </w:p>
        </w:tc>
      </w:tr>
      <w:tr>
        <w:trPr>
          <w:trHeight w:val="2147" w:hRule="atLeast"/>
        </w:trPr>
        <w:tc>
          <w:tcPr>
            <w:tcW w:w="39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MALATIER Adrien</w:t>
            </w:r>
          </w:p>
          <w:p>
            <w:pPr>
              <w:pStyle w:val="Normal"/>
              <w:widowControl w:val="false"/>
              <w:spacing w:before="0" w:after="0"/>
              <w:rPr>
                <w:rFonts w:cs="Open Sans" w:cstheme="minorHAnsi"/>
              </w:rPr>
            </w:pPr>
            <w:r>
              <w:rPr>
                <w:rFonts w:cs="Open Sans" w:cstheme="minorHAnsi"/>
                <w:kern w:val="0"/>
                <w:lang w:eastAsia="en-US" w:bidi="ar-SA"/>
              </w:rPr>
            </w:r>
          </w:p>
        </w:tc>
        <w:tc>
          <w:tcPr>
            <w:tcW w:w="170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rFonts w:cs="Open Sans" w:cstheme="minorHAnsi"/>
              </w:rPr>
            </w:pPr>
            <w:r>
              <w:rPr>
                <w:rFonts w:cs="Open Sans" w:cstheme="minorHAnsi"/>
                <w:kern w:val="0"/>
                <w:lang w:eastAsia="en-US" w:bidi="ar-SA"/>
              </w:rPr>
              <w:t>25/06/2024</w:t>
            </w:r>
          </w:p>
        </w:tc>
        <w:tc>
          <w:tcPr>
            <w:tcW w:w="410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jc w:val="center"/>
              <w:rPr>
                <w:rFonts w:cs="Open Sans" w:cstheme="minorHAnsi"/>
              </w:rPr>
            </w:pPr>
            <w:r>
              <w:rPr>
                <w:kern w:val="0"/>
                <w:lang w:eastAsia="en-US" w:bidi="ar-SA"/>
              </w:rPr>
              <w:drawing>
                <wp:anchor behindDoc="0" distT="0" distB="0" distL="0" distR="0" simplePos="0" locked="0" layoutInCell="1" allowOverlap="1" relativeHeight="90">
                  <wp:simplePos x="0" y="0"/>
                  <wp:positionH relativeFrom="column">
                    <wp:posOffset>401320</wp:posOffset>
                  </wp:positionH>
                  <wp:positionV relativeFrom="paragraph">
                    <wp:posOffset>508635</wp:posOffset>
                  </wp:positionV>
                  <wp:extent cx="1751330" cy="760095"/>
                  <wp:effectExtent l="0" t="0" r="0" b="0"/>
                  <wp:wrapNone/>
                  <wp:docPr id="17" name="Image 1" descr="Une image contenant texte,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 descr="Une image contenant texte, Police, blanc&#10;&#10;Description générée automatiquement"/>
                          <pic:cNvPicPr>
                            <a:picLocks noChangeAspect="1" noChangeArrowheads="1"/>
                          </pic:cNvPicPr>
                        </pic:nvPicPr>
                        <pic:blipFill>
                          <a:blip r:embed="rId16"/>
                          <a:stretch>
                            <a:fillRect/>
                          </a:stretch>
                        </pic:blipFill>
                        <pic:spPr bwMode="auto">
                          <a:xfrm>
                            <a:off x="0" y="0"/>
                            <a:ext cx="1751330" cy="760095"/>
                          </a:xfrm>
                          <a:prstGeom prst="rect">
                            <a:avLst/>
                          </a:prstGeom>
                        </pic:spPr>
                      </pic:pic>
                    </a:graphicData>
                  </a:graphic>
                </wp:anchor>
              </w:drawing>
              <mc:AlternateContent>
                <mc:Choice Requires="wps">
                  <w:drawing>
                    <wp:inline distT="0" distB="0" distL="0" distR="0">
                      <wp:extent cx="1453515" cy="610235"/>
                      <wp:effectExtent l="0" t="0" r="0" b="0"/>
                      <wp:docPr id="18" name=""/>
                      <a:graphic xmlns:a="http://schemas.openxmlformats.org/drawingml/2006/main">
                        <a:graphicData uri="http://schemas.openxmlformats.org/drawingml/2006/picture">
                          <pic:pic xmlns:pic="http://schemas.openxmlformats.org/drawingml/2006/picture">
                            <pic:nvPicPr>
                              <pic:cNvPr id="9" name="" descr=""/>
                              <pic:cNvPicPr/>
                            </pic:nvPicPr>
                            <pic:blipFill>
                              <a:blip r:embed="rId17"/>
                              <a:stretch/>
                            </pic:blipFill>
                            <pic:spPr>
                              <a:xfrm>
                                <a:off x="0" y="0"/>
                                <a:ext cx="1452960" cy="609480"/>
                              </a:xfrm>
                              <a:prstGeom prst="rect">
                                <a:avLst/>
                              </a:prstGeom>
                              <a:ln w="0">
                                <a:noFill/>
                              </a:ln>
                            </pic:spPr>
                          </pic:pic>
                        </a:graphicData>
                      </a:graphic>
                    </wp:inline>
                  </w:drawing>
                </mc:Choice>
                <mc:Fallback>
                  <w:pict>
                    <v:shape id="shape_0" stroked="f" o:allowincell="t" style="position:absolute;margin-left:0pt;margin-top:-48.05pt;width:114.35pt;height:47.95pt;mso-wrap-style:none;v-text-anchor:middle;mso-position-vertical:top" type="_x0000_t75">
                      <v:imagedata r:id="rId17" o:detectmouseclick="t"/>
                      <v:stroke color="#3465a4" joinstyle="round" endcap="flat"/>
                      <w10:wrap type="none"/>
                    </v:shape>
                  </w:pict>
                </mc:Fallback>
              </mc:AlternateContent>
            </w:r>
          </w:p>
        </w:tc>
      </w:tr>
    </w:tbl>
    <w:p>
      <w:pPr>
        <w:pStyle w:val="Normal"/>
        <w:spacing w:lineRule="auto" w:line="240"/>
        <w:jc w:val="left"/>
        <w:rPr/>
      </w:pPr>
      <w:r>
        <w:rPr/>
      </w:r>
      <w:r>
        <w:br w:type="page"/>
      </w:r>
    </w:p>
    <w:p>
      <w:pPr>
        <w:pStyle w:val="Titre1GEOFIT"/>
        <w:numPr>
          <w:ilvl w:val="0"/>
          <w:numId w:val="3"/>
        </w:numPr>
        <w:ind w:left="567" w:hanging="567"/>
        <w:rPr/>
      </w:pPr>
      <w:bookmarkStart w:id="24" w:name="_Toc163137718"/>
      <w:r>
        <w:rPr/>
        <w:t>CONCLUSION</w:t>
      </w:r>
      <w:bookmarkEnd w:id="24"/>
    </w:p>
    <w:p>
      <w:pPr>
        <w:pStyle w:val="Normal"/>
        <w:rPr/>
      </w:pPr>
      <w:r>
        <w:rPr/>
        <w:t xml:space="preserve">L’absence de DT dans la zone de travaux ne garantit pas l’exhaustivité des réseaux. </w:t>
      </w:r>
    </w:p>
    <w:p>
      <w:pPr>
        <w:pStyle w:val="Normal"/>
        <w:rPr/>
      </w:pPr>
      <w:r>
        <w:rPr/>
      </w:r>
    </w:p>
    <w:p>
      <w:pPr>
        <w:pStyle w:val="Normal"/>
        <w:rPr/>
      </w:pPr>
      <w:r>
        <w:rPr/>
        <w:t>La détection des réseaux enterrés ne dispense pas l’exécutant des travaux de terrassements de prendre ses précautions contre un éventuel dommage aux réseaux en présence. Les règles de sécurité et les procédures (DICT, marquage-piquetage, …) en vigueur sur le sujet doivent être rigoureusement respectées après notre intervention.</w:t>
      </w:r>
    </w:p>
    <w:p>
      <w:pPr>
        <w:pStyle w:val="Normal"/>
        <w:rPr/>
      </w:pPr>
      <w:r>
        <w:rPr/>
      </w:r>
    </w:p>
    <w:p>
      <w:pPr>
        <w:pStyle w:val="Normal"/>
        <w:rPr/>
      </w:pPr>
      <w:r>
        <w:rPr/>
        <w:t>Ce rapport Technique a pour objectif de décrire les observations constatées lors de nos investigations.</w:t>
      </w:r>
    </w:p>
    <w:p>
      <w:pPr>
        <w:pStyle w:val="Normal"/>
        <w:rPr/>
      </w:pPr>
      <w:r>
        <w:rPr/>
        <w:t>Nous vous remercions d’aviser les différentes sociétés mandatées par vos soins dans le cadre de vos activités.</w:t>
      </w:r>
    </w:p>
    <w:p>
      <w:pPr>
        <w:pStyle w:val="Normal"/>
        <w:rPr/>
      </w:pPr>
      <w:r>
        <w:rPr/>
        <w:t>Il est possible toutefois que des réseaux non émetteurs de champ magnétique, des réseaux abandonnés ou inconnus, voire inaccessibles, dans les zones de détection délimitées par nos soins, ne soi</w:t>
      </w:r>
      <w:r>
        <w:rPr/>
        <w:t>en</w:t>
      </w:r>
      <w:r>
        <w:rPr/>
        <w:t>t pas repérés.</w:t>
      </w:r>
    </w:p>
    <w:p>
      <w:pPr>
        <w:pStyle w:val="Normal"/>
        <w:rPr/>
      </w:pPr>
      <w:r>
        <w:rPr/>
        <w:t>En vous remerciant de votre confiance et en espérant avoir répondu vos attentes, veuillez recevoir, Monsieur, Madame, nos salutations distinguées.</w:t>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p>
    <w:p>
      <w:pPr>
        <w:pStyle w:val="Normal"/>
        <w:spacing w:lineRule="auto" w:line="240"/>
        <w:jc w:val="left"/>
        <w:rPr/>
      </w:pPr>
      <w:r>
        <w:rPr/>
      </w:r>
      <w:r>
        <w:br w:type="page"/>
      </w:r>
    </w:p>
    <w:p>
      <w:pPr>
        <w:pStyle w:val="Normal"/>
        <w:spacing w:lineRule="auto" w:line="240"/>
        <w:jc w:val="left"/>
        <w:rPr/>
      </w:pPr>
      <w:r>
        <w:rPr/>
      </w:r>
    </w:p>
    <w:p>
      <w:pPr>
        <w:pStyle w:val="Titre1GEOFIT"/>
        <w:numPr>
          <w:ilvl w:val="0"/>
          <w:numId w:val="3"/>
        </w:numPr>
        <w:ind w:left="567" w:hanging="567"/>
        <w:rPr/>
      </w:pPr>
      <w:bookmarkStart w:id="25" w:name="_Toc163137719"/>
      <w:r>
        <w:rPr/>
        <w:t>Méthodologie</w:t>
      </w:r>
      <w:bookmarkEnd w:id="25"/>
    </w:p>
    <w:p>
      <w:pPr>
        <w:pStyle w:val="Titre2GEOFIT"/>
        <w:numPr>
          <w:ilvl w:val="1"/>
          <w:numId w:val="3"/>
        </w:numPr>
        <w:ind w:left="792" w:hanging="567"/>
        <w:rPr/>
      </w:pPr>
      <w:bookmarkStart w:id="26" w:name="_Toc163137720"/>
      <w:r>
        <w:rPr/>
        <w:t>CONTEXTE G</w:t>
      </w:r>
      <w:bookmarkEnd w:id="26"/>
      <w:r>
        <w:rPr/>
        <w:t>ÉNÉRAL</w:t>
      </w:r>
    </w:p>
    <w:p>
      <w:pPr>
        <w:pStyle w:val="Titre3GEOFIT"/>
        <w:numPr>
          <w:ilvl w:val="2"/>
          <w:numId w:val="3"/>
        </w:numPr>
        <w:ind w:left="792" w:hanging="567"/>
        <w:rPr/>
      </w:pPr>
      <w:bookmarkStart w:id="27" w:name="_Toc163137721"/>
      <w:r>
        <w:rPr/>
        <w:t>Objet de la prestation</w:t>
      </w:r>
      <w:bookmarkEnd w:id="27"/>
    </w:p>
    <w:p>
      <w:pPr>
        <w:pStyle w:val="Normal"/>
        <w:rPr/>
      </w:pPr>
      <w:r>
        <w:rPr/>
        <w:t xml:space="preserve">La prestation a pour objet la détection et le géoréférencement de tous les réseaux enterrés situés dans la zone d’étude par des techniques non-intrusives et non-destructives, en respectant la norme NF-S 070 003 relative à la détection et au géoréférencement de réseaux enterrés. </w:t>
      </w:r>
    </w:p>
    <w:p>
      <w:pPr>
        <w:pStyle w:val="Normal"/>
        <w:rPr/>
      </w:pPr>
      <w:r>
        <w:rPr/>
        <w:t xml:space="preserve">Cette prestation comporte : </w:t>
      </w:r>
    </w:p>
    <w:p>
      <w:pPr>
        <w:pStyle w:val="Normal"/>
        <w:rPr/>
      </w:pPr>
      <w:r>
        <w:rPr/>
      </w:r>
    </w:p>
    <w:p>
      <w:pPr>
        <w:pStyle w:val="Normal"/>
        <w:rPr/>
      </w:pPr>
      <w:r>
        <w:rPr/>
        <w:tab/>
        <w:t xml:space="preserve">La détection de tous les réseaux enterrés présents dans la zone d’études ; </w:t>
      </w:r>
    </w:p>
    <w:p>
      <w:pPr>
        <w:pStyle w:val="Normal"/>
        <w:rPr/>
      </w:pPr>
      <w:r>
        <w:rPr/>
        <w:tab/>
        <w:t xml:space="preserve">Le relevé topographique et le géoréférencement des réseaux détectés ; </w:t>
      </w:r>
    </w:p>
    <w:p>
      <w:pPr>
        <w:pStyle w:val="Normal"/>
        <w:ind w:firstLine="720"/>
        <w:rPr/>
      </w:pPr>
      <w:r>
        <w:rPr/>
        <w:t>La fourniture d’un rapport de synthèse et d’un plan de détection.</w:t>
      </w:r>
    </w:p>
    <w:p>
      <w:pPr>
        <w:pStyle w:val="Titre3GEOFIT"/>
        <w:numPr>
          <w:ilvl w:val="2"/>
          <w:numId w:val="3"/>
        </w:numPr>
        <w:ind w:left="792" w:hanging="567"/>
        <w:rPr/>
      </w:pPr>
      <w:bookmarkStart w:id="28" w:name="_Toc163137722"/>
      <w:r>
        <w:rPr/>
        <w:t>Client</w:t>
      </w:r>
      <w:bookmarkEnd w:id="28"/>
    </w:p>
    <w:p>
      <w:pPr>
        <w:pStyle w:val="Normal"/>
        <w:rPr/>
      </w:pPr>
      <w:r>
        <w:rPr/>
        <w:t>Nous intervenons pour : DREAL Auvergne-</w:t>
      </w:r>
      <w:r>
        <w:rPr/>
        <w:t>Rhône-Alpes.</w:t>
      </w:r>
      <w:r>
        <w:rPr/>
        <w:t xml:space="preserve"> </w:t>
      </w:r>
    </w:p>
    <w:p>
      <w:pPr>
        <w:pStyle w:val="Normal"/>
        <w:rPr/>
      </w:pPr>
      <w:r>
        <w:rPr/>
      </w:r>
    </w:p>
    <w:p>
      <w:pPr>
        <w:pStyle w:val="Titre3GEOFIT"/>
        <w:numPr>
          <w:ilvl w:val="2"/>
          <w:numId w:val="3"/>
        </w:numPr>
        <w:ind w:left="792" w:hanging="567"/>
        <w:rPr/>
      </w:pPr>
      <w:bookmarkStart w:id="29" w:name="_Toc163137723"/>
      <w:r>
        <w:rPr/>
        <w:t>Date d’intervention</w:t>
      </w:r>
      <w:bookmarkEnd w:id="29"/>
    </w:p>
    <w:p>
      <w:pPr>
        <w:pStyle w:val="Normal"/>
        <w:rPr>
          <w:rStyle w:val="SubtleEmphasis"/>
          <w:i w:val="false"/>
          <w:i w:val="false"/>
          <w:iCs w:val="false"/>
          <w:color w:val="auto"/>
        </w:rPr>
      </w:pPr>
      <w:r>
        <w:rPr>
          <w:rStyle w:val="SubtleEmphasis"/>
          <w:i w:val="false"/>
          <w:iCs w:val="false"/>
          <w:color w:val="auto"/>
        </w:rPr>
        <w:t>Notre intervention s’est déroulée le</w:t>
      </w:r>
      <w:r>
        <w:rPr>
          <w:rStyle w:val="SubtleEmphasis"/>
          <w:i w:val="false"/>
          <w:iCs w:val="false"/>
          <w:color w:val="auto"/>
        </w:rPr>
        <w:t>s</w:t>
      </w:r>
      <w:r>
        <w:rPr>
          <w:rStyle w:val="SubtleEmphasis"/>
          <w:i w:val="false"/>
          <w:iCs w:val="false"/>
          <w:color w:val="auto"/>
        </w:rPr>
        <w:t xml:space="preserve"> 28 et 29 /05/2024 (secteur Le Pirou)  ainsi que le 11/06/2024 (secteur La Bessaire)  </w:t>
      </w:r>
      <w:r>
        <w:rPr>
          <w:rStyle w:val="SubtleEmphasis"/>
          <w:i w:val="false"/>
          <w:iCs w:val="false"/>
          <w:color w:val="auto"/>
        </w:rPr>
        <w:t xml:space="preserve">au </w:t>
      </w:r>
      <w:r>
        <w:rPr>
          <w:rStyle w:val="SubtleEmphasis"/>
          <w:i w:val="false"/>
          <w:iCs w:val="false"/>
          <w:color w:val="auto"/>
        </w:rPr>
        <w:t>niveau de la zone d’emprise et avait pour but la détection et le géoréférencement les réseaux suivants : (zone déterminée avec le client) :</w:t>
      </w:r>
    </w:p>
    <w:p>
      <w:pPr>
        <w:pStyle w:val="Normal"/>
        <w:rPr>
          <w:rStyle w:val="SubtleEmphasis"/>
          <w:i w:val="false"/>
          <w:i w:val="false"/>
          <w:iCs w:val="false"/>
          <w:color w:val="auto"/>
        </w:rPr>
      </w:pPr>
      <w:r>
        <w:rPr>
          <w:i w:val="false"/>
          <w:iCs w:val="false"/>
          <w:color w:val="auto"/>
        </w:rPr>
      </w:r>
    </w:p>
    <w:p>
      <w:pPr>
        <w:pStyle w:val="Normal"/>
        <w:rPr>
          <w:rStyle w:val="SubtleEmphasis"/>
          <w:i w:val="false"/>
          <w:i w:val="false"/>
          <w:iCs w:val="false"/>
          <w:color w:val="auto"/>
        </w:rPr>
      </w:pPr>
      <w:r>
        <w:rPr>
          <w:rStyle w:val="SubtleEmphasis"/>
          <w:i w:val="false"/>
          <w:iCs w:val="false"/>
          <w:color w:val="auto"/>
        </w:rPr>
        <w:t>-</w:t>
        <w:tab/>
        <w:t>Réseau Assainissement et eaux pluviales</w:t>
      </w:r>
    </w:p>
    <w:p>
      <w:pPr>
        <w:pStyle w:val="Normal"/>
        <w:rPr>
          <w:rStyle w:val="SubtleEmphasis"/>
          <w:i w:val="false"/>
          <w:i w:val="false"/>
          <w:iCs w:val="false"/>
          <w:color w:val="auto"/>
        </w:rPr>
      </w:pPr>
      <w:r>
        <w:rPr>
          <w:rStyle w:val="SubtleEmphasis"/>
          <w:i w:val="false"/>
          <w:iCs w:val="false"/>
          <w:color w:val="auto"/>
        </w:rPr>
        <w:t>-</w:t>
        <w:tab/>
        <w:t>Réseau Télécommunication</w:t>
      </w:r>
    </w:p>
    <w:p>
      <w:pPr>
        <w:pStyle w:val="Normal"/>
        <w:rPr>
          <w:rStyle w:val="SubtleEmphasis"/>
          <w:i w:val="false"/>
          <w:i w:val="false"/>
          <w:iCs w:val="false"/>
          <w:color w:val="auto"/>
        </w:rPr>
      </w:pPr>
      <w:r>
        <w:rPr>
          <w:rStyle w:val="SubtleEmphasis"/>
          <w:i w:val="false"/>
          <w:iCs w:val="false"/>
          <w:color w:val="auto"/>
        </w:rPr>
        <w:t>-</w:t>
        <w:tab/>
        <w:t>Réseau Electrique (alimentation PMV)</w:t>
      </w:r>
    </w:p>
    <w:p>
      <w:pPr>
        <w:pStyle w:val="Normal"/>
        <w:rPr>
          <w:rStyle w:val="SubtleEmphasis"/>
          <w:i w:val="false"/>
          <w:i w:val="false"/>
          <w:iCs w:val="false"/>
          <w:color w:val="auto"/>
        </w:rPr>
      </w:pPr>
      <w:r>
        <w:rPr>
          <w:rStyle w:val="SubtleEmphasis"/>
          <w:i w:val="false"/>
          <w:iCs w:val="false"/>
          <w:color w:val="auto"/>
        </w:rPr>
        <w:t>-</w:t>
        <w:tab/>
        <w:t>Fourreaux en attente.</w:t>
      </w:r>
    </w:p>
    <w:p>
      <w:pPr>
        <w:pStyle w:val="Titre3GEOFIT"/>
        <w:numPr>
          <w:ilvl w:val="2"/>
          <w:numId w:val="3"/>
        </w:numPr>
        <w:rPr/>
      </w:pPr>
      <w:bookmarkStart w:id="30" w:name="_Toc163137724"/>
      <w:r>
        <w:rPr>
          <w:rStyle w:val="SubtleEmphasis"/>
          <w:b/>
          <w:bCs/>
          <w:i w:val="false"/>
          <w:iCs w:val="false"/>
          <w:color w:val="30C1BF"/>
        </w:rPr>
        <w:t>Localisation de la zone d’études</w:t>
      </w:r>
      <w:bookmarkEnd w:id="30"/>
    </w:p>
    <w:p>
      <w:pPr>
        <w:pStyle w:val="Normal"/>
        <w:rPr/>
      </w:pPr>
      <w:r>
        <w:rPr/>
        <w:t>La zone d’étude se situe sur l’A 75 sur le secteur Le Pirou sens N/S et S/N et La Bessaire sens N/S</w:t>
      </w:r>
    </w:p>
    <w:p>
      <w:pPr>
        <w:pStyle w:val="Normal"/>
        <w:rPr/>
      </w:pPr>
      <w:r>
        <w:rPr/>
        <w:drawing>
          <wp:anchor behindDoc="1" distT="0" distB="0" distL="0" distR="0" simplePos="0" locked="0" layoutInCell="0" allowOverlap="1" relativeHeight="10">
            <wp:simplePos x="0" y="0"/>
            <wp:positionH relativeFrom="column">
              <wp:posOffset>635</wp:posOffset>
            </wp:positionH>
            <wp:positionV relativeFrom="paragraph">
              <wp:posOffset>139700</wp:posOffset>
            </wp:positionV>
            <wp:extent cx="6123940" cy="4288155"/>
            <wp:effectExtent l="0" t="0" r="0" b="0"/>
            <wp:wrapNone/>
            <wp:docPr id="19" name="Image 11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122" descr=""/>
                    <pic:cNvPicPr>
                      <a:picLocks noChangeAspect="1" noChangeArrowheads="1"/>
                    </pic:cNvPicPr>
                  </pic:nvPicPr>
                  <pic:blipFill>
                    <a:blip r:embed="rId18"/>
                    <a:stretch>
                      <a:fillRect/>
                    </a:stretch>
                  </pic:blipFill>
                  <pic:spPr bwMode="auto">
                    <a:xfrm>
                      <a:off x="0" y="0"/>
                      <a:ext cx="6123940" cy="4288155"/>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mc:AlternateContent>
          <mc:Choice Requires="wps">
            <w:drawing>
              <wp:anchor behindDoc="0" distT="0" distB="0" distL="114300" distR="114300" simplePos="0" locked="0" layoutInCell="0" allowOverlap="1" relativeHeight="92">
                <wp:simplePos x="0" y="0"/>
                <wp:positionH relativeFrom="column">
                  <wp:posOffset>2861310</wp:posOffset>
                </wp:positionH>
                <wp:positionV relativeFrom="paragraph">
                  <wp:posOffset>88265</wp:posOffset>
                </wp:positionV>
                <wp:extent cx="394335" cy="280035"/>
                <wp:effectExtent l="0" t="0" r="0" b="0"/>
                <wp:wrapNone/>
                <wp:docPr id="20" name=""/>
                <a:graphic xmlns:a="http://schemas.openxmlformats.org/drawingml/2006/main">
                  <a:graphicData uri="http://schemas.microsoft.com/office/word/2010/wordprocessingShape">
                    <wps:wsp>
                      <wps:cNvSpPr/>
                      <wps:spPr>
                        <a:xfrm>
                          <a:off x="0" y="0"/>
                          <a:ext cx="393840" cy="279360"/>
                        </a:xfrm>
                        <a:prstGeom prst="ellipse">
                          <a:avLst/>
                        </a:prstGeom>
                        <a:noFill/>
                        <a:ln w="0">
                          <a:solidFill>
                            <a:srgbClr val="ff0000"/>
                          </a:solidFill>
                        </a:ln>
                      </wps:spPr>
                      <wps:bodyPr/>
                    </wps:wsp>
                  </a:graphicData>
                </a:graphic>
              </wp:anchor>
            </w:drawing>
          </mc:Choice>
          <mc:Fallback>
            <w:pict>
              <v:oval id="shape_0" stroked="t" o:allowincell="f" style="position:absolute;margin-left:225.3pt;margin-top:6.95pt;width:30.95pt;height:21.95pt;mso-wrap-style:none;v-text-anchor:middle">
                <v:fill o:detectmouseclick="t" on="false"/>
                <v:stroke color="red" joinstyle="round" endcap="flat"/>
                <w10:wrap type="none"/>
              </v:oval>
            </w:pict>
          </mc:Fallback>
        </mc:AlternateContent>
      </w:r>
    </w:p>
    <w:p>
      <w:pPr>
        <w:pStyle w:val="Normal"/>
        <w:rPr/>
      </w:pPr>
      <w:r>
        <w:rPr/>
      </w:r>
    </w:p>
    <w:p>
      <w:pPr>
        <w:pStyle w:val="Normal"/>
        <w:rPr/>
      </w:pPr>
      <w:r>
        <w:rPr/>
        <mc:AlternateContent>
          <mc:Choice Requires="wps">
            <w:drawing>
              <wp:anchor behindDoc="0" distT="0" distB="0" distL="114300" distR="114300" simplePos="0" locked="0" layoutInCell="0" allowOverlap="1" relativeHeight="91">
                <wp:simplePos x="0" y="0"/>
                <wp:positionH relativeFrom="column">
                  <wp:posOffset>2995295</wp:posOffset>
                </wp:positionH>
                <wp:positionV relativeFrom="paragraph">
                  <wp:posOffset>12065</wp:posOffset>
                </wp:positionV>
                <wp:extent cx="394335" cy="280035"/>
                <wp:effectExtent l="0" t="0" r="0" b="0"/>
                <wp:wrapNone/>
                <wp:docPr id="21" name=""/>
                <a:graphic xmlns:a="http://schemas.openxmlformats.org/drawingml/2006/main">
                  <a:graphicData uri="http://schemas.microsoft.com/office/word/2010/wordprocessingShape">
                    <wps:wsp>
                      <wps:cNvSpPr/>
                      <wps:spPr>
                        <a:xfrm>
                          <a:off x="0" y="0"/>
                          <a:ext cx="393840" cy="279360"/>
                        </a:xfrm>
                        <a:prstGeom prst="ellipse">
                          <a:avLst/>
                        </a:prstGeom>
                        <a:noFill/>
                        <a:ln w="0">
                          <a:solidFill>
                            <a:srgbClr val="ff0000"/>
                          </a:solidFill>
                        </a:ln>
                      </wps:spPr>
                      <wps:bodyPr/>
                    </wps:wsp>
                  </a:graphicData>
                </a:graphic>
              </wp:anchor>
            </w:drawing>
          </mc:Choice>
          <mc:Fallback>
            <w:pict>
              <v:oval id="shape_0" stroked="t" o:allowincell="f" style="position:absolute;margin-left:235.85pt;margin-top:0.95pt;width:30.95pt;height:21.95pt;mso-wrap-style:none;v-text-anchor:middle">
                <v:fill o:detectmouseclick="t" on="false"/>
                <v:stroke color="red" joinstyle="round" endcap="flat"/>
                <w10:wrap type="none"/>
              </v:oval>
            </w:pict>
          </mc:Fallback>
        </mc:AlternateConten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Titre3GEOFIT"/>
        <w:ind w:left="792" w:hanging="567"/>
        <w:rPr>
          <w:rStyle w:val="SubtleEmphasis"/>
          <w:i w:val="false"/>
          <w:i w:val="false"/>
          <w:iCs w:val="false"/>
          <w:color w:val="30C1BF" w:themeColor="accent6" w:themeShade="bf"/>
        </w:rPr>
      </w:pPr>
      <w:r>
        <w:rPr/>
      </w:r>
    </w:p>
    <w:p>
      <w:pPr>
        <w:pStyle w:val="Titre3GEOFIT"/>
        <w:numPr>
          <w:ilvl w:val="2"/>
          <w:numId w:val="3"/>
        </w:numPr>
        <w:rPr/>
      </w:pPr>
      <w:r>
        <w:rPr>
          <w:rStyle w:val="SubtleEmphasis"/>
          <w:b/>
          <w:bCs/>
          <w:i w:val="false"/>
          <w:iCs w:val="false"/>
          <w:color w:val="30C1BF"/>
        </w:rPr>
        <w:t>I</w:t>
      </w:r>
      <w:bookmarkStart w:id="31" w:name="_Toc163137725"/>
      <w:r>
        <w:rPr>
          <w:rStyle w:val="SubtleEmphasis"/>
          <w:b/>
          <w:bCs/>
          <w:i w:val="false"/>
          <w:iCs w:val="false"/>
          <w:color w:val="30C1BF"/>
        </w:rPr>
        <w:t>ntervenant sur la prestation</w:t>
      </w:r>
      <w:bookmarkStart w:id="32" w:name="_MON_1742209893"/>
      <w:bookmarkEnd w:id="31"/>
      <w:bookmarkEnd w:id="32"/>
    </w:p>
    <w:p>
      <w:pPr>
        <w:pStyle w:val="Normal"/>
        <w:rPr/>
      </w:pPr>
      <w:r>
        <w:rPr/>
        <w:drawing>
          <wp:anchor behindDoc="0" distT="0" distB="0" distL="0" distR="0" simplePos="0" locked="0" layoutInCell="0" allowOverlap="1" relativeHeight="97">
            <wp:simplePos x="0" y="0"/>
            <wp:positionH relativeFrom="column">
              <wp:posOffset>806450</wp:posOffset>
            </wp:positionH>
            <wp:positionV relativeFrom="paragraph">
              <wp:posOffset>-149225</wp:posOffset>
            </wp:positionV>
            <wp:extent cx="4123690" cy="1708785"/>
            <wp:effectExtent l="0" t="0" r="0" b="0"/>
            <wp:wrapSquare wrapText="largest"/>
            <wp:docPr id="22" name="Imag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 descr=""/>
                    <pic:cNvPicPr>
                      <a:picLocks noChangeAspect="1" noChangeArrowheads="1"/>
                    </pic:cNvPicPr>
                  </pic:nvPicPr>
                  <pic:blipFill>
                    <a:blip r:embed="rId19"/>
                    <a:stretch>
                      <a:fillRect/>
                    </a:stretch>
                  </pic:blipFill>
                  <pic:spPr bwMode="auto">
                    <a:xfrm>
                      <a:off x="0" y="0"/>
                      <a:ext cx="4123690" cy="1708785"/>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Les fiches de contrôle périodiques des matériels de détection et de référencement utilisés pour la prestation sont disponibles sur simple demande</w:t>
      </w:r>
    </w:p>
    <w:p>
      <w:pPr>
        <w:pStyle w:val="Normal"/>
        <w:rPr/>
      </w:pPr>
      <w:r>
        <w:rPr/>
      </w:r>
    </w:p>
    <w:p>
      <w:pPr>
        <w:pStyle w:val="Titre2GEOFIT"/>
        <w:numPr>
          <w:ilvl w:val="1"/>
          <w:numId w:val="3"/>
        </w:numPr>
        <w:ind w:left="792" w:hanging="567"/>
        <w:rPr/>
      </w:pPr>
      <w:bookmarkStart w:id="33" w:name="_Toc163137726"/>
      <w:r>
        <w:rPr/>
        <w:t>CONTEXTE L</w:t>
      </w:r>
      <w:bookmarkEnd w:id="33"/>
      <w:r>
        <w:rPr/>
        <w:t>ÉGISLATIF</w:t>
      </w:r>
    </w:p>
    <w:p>
      <w:pPr>
        <w:pStyle w:val="Titre3GEOFIT"/>
        <w:numPr>
          <w:ilvl w:val="2"/>
          <w:numId w:val="3"/>
        </w:numPr>
        <w:ind w:left="792" w:hanging="567"/>
        <w:rPr/>
      </w:pPr>
      <w:bookmarkStart w:id="34" w:name="_Toc163137727"/>
      <w:r>
        <w:rPr/>
        <w:t>Application de la réforme « DT‐DICT »</w:t>
      </w:r>
      <w:bookmarkEnd w:id="34"/>
    </w:p>
    <w:p>
      <w:pPr>
        <w:pStyle w:val="Normal"/>
        <w:rPr/>
      </w:pPr>
      <w:r>
        <w:rPr/>
        <w:t xml:space="preserve">La réforme dite « DT/DICT » (Déclaration de projet de Travaux – Déclaration d’Intention de Commencement de Travaux, décret 2011-1241) a pour but de préserver l’intégrité des biens et des personnes lors de travaux à proximité de réseaux. Elle impose au donneur d’ordre des travaux de réaliser des investigations complémentaires par un prestataire certifié lors de la présence de réseaux sensibles placés en classe de précision B ou C dans l’emprise de ses travaux en entité urbaine. </w:t>
      </w:r>
    </w:p>
    <w:p>
      <w:pPr>
        <w:pStyle w:val="Normal"/>
        <w:rPr/>
      </w:pPr>
      <w:r>
        <w:rPr/>
      </w:r>
    </w:p>
    <w:p>
      <w:pPr>
        <w:pStyle w:val="Normal"/>
        <w:rPr/>
      </w:pPr>
      <w:r>
        <w:rPr/>
        <w:t xml:space="preserve">GEOFIT réalise les détections, géoréférencements de réseaux et investigations complémentaires par des méthodes non intrusives et non destructives pour placer les réseaux sensibles (mais aussi tous les autres réseaux) en classe de précision A*. </w:t>
      </w:r>
    </w:p>
    <w:p>
      <w:pPr>
        <w:pStyle w:val="Normal"/>
        <w:rPr/>
      </w:pPr>
      <w:r>
        <w:rPr/>
      </w:r>
    </w:p>
    <w:p>
      <w:pPr>
        <w:pStyle w:val="Normal"/>
        <w:rPr>
          <w:i/>
          <w:i/>
          <w:iCs/>
        </w:rPr>
      </w:pPr>
      <w:r>
        <w:rPr>
          <w:i/>
          <w:iCs/>
        </w:rPr>
        <w:t xml:space="preserve">* un ouvrage ou tronçon d'ouvrage est rangé dans la classe A si l'incertitude maximale de localisation indiquée par son exploitant est inférieure ou égale à 40 cm s'il est rigide, ou à 50 cm s'il est flexible. </w:t>
      </w:r>
    </w:p>
    <w:p>
      <w:pPr>
        <w:pStyle w:val="Normal"/>
        <w:rPr/>
      </w:pPr>
      <w:r>
        <w:rPr/>
      </w:r>
    </w:p>
    <w:p>
      <w:pPr>
        <w:pStyle w:val="Normal"/>
        <w:rPr/>
      </w:pPr>
      <w:r>
        <w:rPr/>
        <w:t xml:space="preserve">Nous vous rappelons en outre les classes de précision en positionnement des réseaux (hors branchements) : </w:t>
      </w:r>
    </w:p>
    <w:p>
      <w:pPr>
        <w:pStyle w:val="Normal"/>
        <w:rPr/>
      </w:pPr>
      <w:r>
        <w:rPr/>
      </w:r>
    </w:p>
    <w:p>
      <w:pPr>
        <w:pStyle w:val="Normal"/>
        <w:rPr/>
      </w:pPr>
      <w:r>
        <w:rPr/>
      </w:r>
    </w:p>
    <w:p>
      <w:pPr>
        <w:pStyle w:val="Normal"/>
        <w:jc w:val="center"/>
        <w:rPr/>
      </w:pPr>
      <w:r>
        <w:rPr/>
        <w:drawing>
          <wp:inline distT="0" distB="0" distL="0" distR="0">
            <wp:extent cx="4152265" cy="1695450"/>
            <wp:effectExtent l="0" t="0" r="0" b="0"/>
            <wp:docPr id="23" name="Imag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 descr=""/>
                    <pic:cNvPicPr>
                      <a:picLocks noChangeAspect="1" noChangeArrowheads="1"/>
                    </pic:cNvPicPr>
                  </pic:nvPicPr>
                  <pic:blipFill>
                    <a:blip r:embed="rId20"/>
                    <a:stretch>
                      <a:fillRect/>
                    </a:stretch>
                  </pic:blipFill>
                  <pic:spPr bwMode="auto">
                    <a:xfrm>
                      <a:off x="0" y="0"/>
                      <a:ext cx="4152265" cy="169545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t>La réforme DT</w:t>
      </w:r>
      <w:r>
        <w:rPr>
          <w:rFonts w:cs="Cambria Math" w:ascii="Cambria Math" w:hAnsi="Cambria Math"/>
        </w:rPr>
        <w:t>‐</w:t>
      </w:r>
      <w:r>
        <w:rPr/>
        <w:t>DICT est expliquée d’après le schéma suivant (source : www.dict.fr) :</w:t>
      </w:r>
      <w:bookmarkStart w:id="35" w:name="_Hlk157595741"/>
      <w:bookmarkEnd w:id="35"/>
    </w:p>
    <w:p>
      <w:pPr>
        <w:pStyle w:val="Normal"/>
        <w:spacing w:lineRule="auto" w:line="259" w:before="0" w:after="21"/>
        <w:ind w:right="445" w:hanging="0"/>
        <w:rPr/>
      </w:pPr>
      <w:r>
        <w:rPr/>
        <w:t xml:space="preserve">Nous agissons dans tous les cas en vertu de la législation et réglementation en vigueur (Annexe 1). </w:t>
      </w:r>
    </w:p>
    <w:p>
      <w:pPr>
        <w:pStyle w:val="Normal"/>
        <w:spacing w:lineRule="auto" w:line="259" w:before="0" w:after="21"/>
        <w:ind w:right="445" w:hanging="0"/>
        <w:rPr/>
      </w:pPr>
      <w:r>
        <w:rPr/>
      </w:r>
    </w:p>
    <w:p>
      <w:pPr>
        <w:pStyle w:val="Normal"/>
        <w:spacing w:lineRule="auto" w:line="259" w:before="0" w:after="21"/>
        <w:ind w:right="445" w:hanging="0"/>
        <w:rPr/>
      </w:pPr>
      <w:r>
        <w:rPr/>
        <w:drawing>
          <wp:inline distT="0" distB="0" distL="0" distR="0">
            <wp:extent cx="5410200" cy="6438900"/>
            <wp:effectExtent l="0" t="0" r="0" b="0"/>
            <wp:docPr id="24"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descr=""/>
                    <pic:cNvPicPr>
                      <a:picLocks noChangeAspect="1" noChangeArrowheads="1"/>
                    </pic:cNvPicPr>
                  </pic:nvPicPr>
                  <pic:blipFill>
                    <a:blip r:embed="rId21"/>
                    <a:stretch>
                      <a:fillRect/>
                    </a:stretch>
                  </pic:blipFill>
                  <pic:spPr bwMode="auto">
                    <a:xfrm>
                      <a:off x="0" y="0"/>
                      <a:ext cx="5410200" cy="6438900"/>
                    </a:xfrm>
                    <a:prstGeom prst="rect">
                      <a:avLst/>
                    </a:prstGeom>
                  </pic:spPr>
                </pic:pic>
              </a:graphicData>
            </a:graphic>
          </wp:inline>
        </w:drawing>
      </w:r>
    </w:p>
    <w:p>
      <w:pPr>
        <w:pStyle w:val="Normal"/>
        <w:spacing w:lineRule="auto" w:line="259" w:before="0" w:after="21"/>
        <w:ind w:right="445" w:hanging="0"/>
        <w:rPr/>
      </w:pPr>
      <w:r>
        <w:rPr/>
      </w:r>
    </w:p>
    <w:p>
      <w:pPr>
        <w:pStyle w:val="Normal"/>
        <w:spacing w:lineRule="auto" w:line="240"/>
        <w:jc w:val="left"/>
        <w:rPr/>
      </w:pPr>
      <w:bookmarkStart w:id="36" w:name="_Toc163137728"/>
      <w:r>
        <w:rPr/>
        <w:t>Sensibilité des réseaux</w:t>
      </w:r>
      <w:bookmarkEnd w:id="36"/>
    </w:p>
    <w:p>
      <w:pPr>
        <w:pStyle w:val="Normal"/>
        <w:rPr/>
      </w:pPr>
      <w:r>
        <w:rPr/>
      </w:r>
    </w:p>
    <w:p>
      <w:pPr>
        <w:pStyle w:val="Normal"/>
        <w:rPr/>
      </w:pPr>
      <w:r>
        <w:rPr/>
        <w:t xml:space="preserve">Les réseaux suivants sont considérés comme sensibles : </w:t>
      </w:r>
    </w:p>
    <w:p>
      <w:pPr>
        <w:pStyle w:val="Normal"/>
        <w:rPr/>
      </w:pPr>
      <w:r>
        <w:rPr/>
      </w:r>
    </w:p>
    <w:p>
      <w:pPr>
        <w:pStyle w:val="ListParagraph"/>
        <w:numPr>
          <w:ilvl w:val="0"/>
          <w:numId w:val="5"/>
        </w:numPr>
        <w:rPr/>
      </w:pPr>
      <w:r>
        <w:rPr/>
        <w:t xml:space="preserve">Les réseaux miniers ou de transport contenant des hydrocarbures liquides ou liquéfiés </w:t>
      </w:r>
    </w:p>
    <w:p>
      <w:pPr>
        <w:pStyle w:val="ListParagraph"/>
        <w:numPr>
          <w:ilvl w:val="0"/>
          <w:numId w:val="5"/>
        </w:numPr>
        <w:rPr/>
      </w:pPr>
      <w:r>
        <w:rPr/>
        <w:t xml:space="preserve">Les réseaux miniers ou de transport contenant des produits chimiques </w:t>
      </w:r>
    </w:p>
    <w:p>
      <w:pPr>
        <w:pStyle w:val="ListParagraph"/>
        <w:numPr>
          <w:ilvl w:val="0"/>
          <w:numId w:val="5"/>
        </w:numPr>
        <w:rPr/>
      </w:pPr>
      <w:r>
        <w:rPr/>
        <w:t xml:space="preserve">Les réseaux miniers ou de transport contenant des gaz combustibles, et ouvrages de distribution de gaz combustibles </w:t>
      </w:r>
    </w:p>
    <w:p>
      <w:pPr>
        <w:pStyle w:val="ListParagraph"/>
        <w:numPr>
          <w:ilvl w:val="0"/>
          <w:numId w:val="5"/>
        </w:numPr>
        <w:rPr/>
      </w:pPr>
      <w:r>
        <w:rPr/>
        <w:t>Les lignes électriques et réseaux d’éclairage public mentionnés à l’Article R. 4534</w:t>
      </w:r>
      <w:r>
        <w:rPr>
          <w:rFonts w:cs="Cambria Math" w:ascii="Cambria Math" w:hAnsi="Cambria Math"/>
        </w:rPr>
        <w:t>‐</w:t>
      </w:r>
      <w:r>
        <w:rPr/>
        <w:t xml:space="preserve"> 107 du code du travail </w:t>
      </w:r>
    </w:p>
    <w:p>
      <w:pPr>
        <w:pStyle w:val="ListParagraph"/>
        <w:numPr>
          <w:ilvl w:val="0"/>
          <w:numId w:val="5"/>
        </w:numPr>
        <w:rPr/>
      </w:pPr>
      <w:r>
        <w:rPr/>
        <w:t>Les canalisations de transport et de distribution de vapeur d’eau, d’eau surchauffée, d’eau chaude, d’eau glacée et de tout fluide caloporteur ou frigorigène, et tuyauteries rattachées en raison de leur connexité à des installations classées pour la protection de l’environnement en application de l’Article R. 512</w:t>
      </w:r>
      <w:r>
        <w:rPr>
          <w:rFonts w:cs="Cambria Math" w:ascii="Cambria Math" w:hAnsi="Cambria Math"/>
        </w:rPr>
        <w:t>‐</w:t>
      </w:r>
      <w:r>
        <w:rPr/>
        <w:t xml:space="preserve">32 du code de l’environnement </w:t>
      </w:r>
    </w:p>
    <w:p>
      <w:pPr>
        <w:pStyle w:val="ListParagraph"/>
        <w:numPr>
          <w:ilvl w:val="0"/>
          <w:numId w:val="5"/>
        </w:numPr>
        <w:rPr/>
      </w:pPr>
      <w:r>
        <w:rPr/>
        <w:t xml:space="preserve">Les réseaux souterrains destinés à la circulation de véhicules de transport public ferroviaire ou guidé. </w:t>
      </w:r>
    </w:p>
    <w:p>
      <w:pPr>
        <w:pStyle w:val="Normal"/>
        <w:rPr/>
      </w:pPr>
      <w:r>
        <w:rPr/>
      </w:r>
    </w:p>
    <w:p>
      <w:pPr>
        <w:pStyle w:val="Normal"/>
        <w:rPr/>
      </w:pPr>
      <w:r>
        <w:rPr/>
        <w:t xml:space="preserve">Sont considérés comme des réseaux non sensibles : </w:t>
      </w:r>
    </w:p>
    <w:p>
      <w:pPr>
        <w:pStyle w:val="Normal"/>
        <w:rPr/>
      </w:pPr>
      <w:r>
        <w:rPr/>
      </w:r>
    </w:p>
    <w:p>
      <w:pPr>
        <w:pStyle w:val="ListParagraph"/>
        <w:numPr>
          <w:ilvl w:val="0"/>
          <w:numId w:val="6"/>
        </w:numPr>
        <w:rPr/>
      </w:pPr>
      <w:r>
        <w:rPr/>
        <w:t>Les installations de communications électroniques, lignes électriques et réseaux d’éclairage public autres que ceux mentionnés à l’Article R. 4534</w:t>
      </w:r>
      <w:r>
        <w:rPr>
          <w:rFonts w:cs="Cambria Math" w:ascii="Cambria Math" w:hAnsi="Cambria Math"/>
        </w:rPr>
        <w:t>‐</w:t>
      </w:r>
      <w:r>
        <w:rPr/>
        <w:t xml:space="preserve">107 du code du travail </w:t>
      </w:r>
    </w:p>
    <w:p>
      <w:pPr>
        <w:pStyle w:val="ListParagraph"/>
        <w:numPr>
          <w:ilvl w:val="0"/>
          <w:numId w:val="6"/>
        </w:numPr>
        <w:rPr/>
      </w:pPr>
      <w:r>
        <w:rPr/>
        <w:t xml:space="preserve">Les réseaux de prélèvement et de distribution d'eau destinée à la consommation humaine en pression ou à écoulement libre </w:t>
      </w:r>
    </w:p>
    <w:p>
      <w:pPr>
        <w:pStyle w:val="ListParagraph"/>
        <w:numPr>
          <w:ilvl w:val="0"/>
          <w:numId w:val="6"/>
        </w:numPr>
        <w:rPr/>
      </w:pPr>
      <w:r>
        <w:rPr/>
        <w:t xml:space="preserve">Les réseaux   d’assainissement, contenant   des eaux   usées   domestiques ou industrielles ou des eaux pluviales </w:t>
      </w:r>
    </w:p>
    <w:p>
      <w:pPr>
        <w:pStyle w:val="ListParagraph"/>
        <w:numPr>
          <w:ilvl w:val="0"/>
          <w:numId w:val="6"/>
        </w:numPr>
        <w:rPr/>
      </w:pPr>
      <w:r>
        <w:rPr/>
        <w:t xml:space="preserve">Les ouvrages de voirie. </w:t>
      </w:r>
    </w:p>
    <w:p>
      <w:pPr>
        <w:pStyle w:val="Normal"/>
        <w:rPr/>
      </w:pPr>
      <w:r>
        <w:rPr/>
      </w:r>
    </w:p>
    <w:p>
      <w:pPr>
        <w:pStyle w:val="Normal"/>
        <w:rPr/>
      </w:pPr>
      <w:r>
        <w:rPr/>
      </w:r>
    </w:p>
    <w:p>
      <w:pPr>
        <w:pStyle w:val="Normal"/>
        <w:rPr/>
      </w:pPr>
      <w:r>
        <w:rPr/>
        <w:t>Toutefois, c’est l’exploitant de réseau qui définit son réseau comme sensible ou non, en fonction des dangers et contraintes que peuvent engendrer l’endommagement de ce dernier.</w:t>
      </w:r>
    </w:p>
    <w:p>
      <w:pPr>
        <w:pStyle w:val="Normal"/>
        <w:rPr/>
      </w:pPr>
      <w:r>
        <w:rPr/>
      </w:r>
    </w:p>
    <w:p>
      <w:pPr>
        <w:pStyle w:val="Titre3GEOFIT"/>
        <w:numPr>
          <w:ilvl w:val="2"/>
          <w:numId w:val="3"/>
        </w:numPr>
        <w:ind w:left="792" w:hanging="567"/>
        <w:rPr/>
      </w:pPr>
      <w:bookmarkStart w:id="37" w:name="_Toc163137729"/>
      <w:r>
        <w:rPr/>
        <w:t>Démarches auprès du guichet unique</w:t>
      </w:r>
      <w:bookmarkEnd w:id="37"/>
    </w:p>
    <w:p>
      <w:pPr>
        <w:pStyle w:val="Normal"/>
        <w:rPr/>
      </w:pPr>
      <w:r>
        <w:rPr/>
        <w:t xml:space="preserve">Afin de récolter les différentes informations liées aux réseaux des exploitants concernés, le Maître d’Ouvrage se doit de réaliser une DT auprès du guichet unique. </w:t>
      </w:r>
    </w:p>
    <w:p>
      <w:pPr>
        <w:pStyle w:val="Normal"/>
        <w:rPr/>
      </w:pPr>
      <w:r>
        <w:rPr/>
      </w:r>
    </w:p>
    <w:p>
      <w:pPr>
        <w:pStyle w:val="Normal"/>
        <w:rPr/>
      </w:pPr>
      <w:r>
        <w:rPr/>
        <w:t xml:space="preserve">Les exploitants de réseaux concernés (présents dans l’emprise) lui communiquent alors leurs plans relatifs, en indiquant la classe de précision de leur réseau et le degré de sensibilité. </w:t>
      </w:r>
    </w:p>
    <w:p>
      <w:pPr>
        <w:pStyle w:val="Normal"/>
        <w:rPr/>
      </w:pPr>
      <w:r>
        <w:rPr/>
      </w:r>
    </w:p>
    <w:p>
      <w:pPr>
        <w:pStyle w:val="Normal"/>
        <w:rPr/>
      </w:pPr>
      <w:r>
        <w:rPr/>
        <w:t xml:space="preserve">Par défaut, un plan sans classe de précision et/ou non rattaché à un système de coordonnées connu est considéré en classe C. De même un réseau sans degré de sensibilité précisé est considéré par défaut comme sensible. </w:t>
      </w:r>
    </w:p>
    <w:p>
      <w:pPr>
        <w:pStyle w:val="Normal"/>
        <w:rPr/>
      </w:pPr>
      <w:r>
        <w:rPr/>
      </w:r>
    </w:p>
    <w:p>
      <w:pPr>
        <w:pStyle w:val="Normal"/>
        <w:rPr/>
      </w:pPr>
      <w:r>
        <w:rPr/>
        <w:t xml:space="preserve">Notons que l’exploitant de réseau, dès lors qu’il a réceptionné la DT, a un délai de 9 jours (fériés non compris) pour transmettre ses documents en version dématérialisée et 15 jours (fériés non compris) en version non-dématérialisée. Il doit fournir à ce titre un récépissé de DT. </w:t>
      </w:r>
    </w:p>
    <w:p>
      <w:pPr>
        <w:pStyle w:val="Normal"/>
        <w:rPr/>
      </w:pPr>
      <w:r>
        <w:rPr/>
      </w:r>
    </w:p>
    <w:p>
      <w:pPr>
        <w:pStyle w:val="Normal"/>
        <w:rPr/>
      </w:pPr>
      <w:r>
        <w:rPr/>
        <w:t xml:space="preserve">Au-delà de ces délais, des relances sont effectuées. Si le concessionnaire de réseau ne se manifeste toujours pas, son réseau est placé par défaut en classe de précision C. </w:t>
      </w:r>
    </w:p>
    <w:p>
      <w:pPr>
        <w:pStyle w:val="Normal"/>
        <w:rPr/>
      </w:pPr>
      <w:r>
        <w:rPr/>
      </w:r>
    </w:p>
    <w:p>
      <w:pPr>
        <w:pStyle w:val="Normal"/>
        <w:rPr/>
      </w:pPr>
      <w:r>
        <w:rPr/>
        <w:t xml:space="preserve">Les plans et récépissés, qui nous sont communiqués, font l’objet d’un traitement et d’un archivage par nos soins. </w:t>
      </w:r>
    </w:p>
    <w:p>
      <w:pPr>
        <w:pStyle w:val="Normal"/>
        <w:rPr/>
      </w:pPr>
      <w:r>
        <w:rPr/>
      </w:r>
    </w:p>
    <w:p>
      <w:pPr>
        <w:pStyle w:val="Normal"/>
        <w:rPr/>
      </w:pPr>
      <w:r>
        <w:rPr/>
        <w:t>L’exploitant, sans intervention de notre part, engage sa responsabilité quant aux documents fournis et placés en classe A.</w:t>
      </w:r>
    </w:p>
    <w:p>
      <w:pPr>
        <w:pStyle w:val="Normal"/>
        <w:rPr/>
      </w:pPr>
      <w:r>
        <w:rPr/>
      </w:r>
    </w:p>
    <w:p>
      <w:pPr>
        <w:pStyle w:val="Titre2GEOFIT"/>
        <w:numPr>
          <w:ilvl w:val="1"/>
          <w:numId w:val="3"/>
        </w:numPr>
        <w:ind w:left="792" w:hanging="567"/>
        <w:rPr/>
      </w:pPr>
      <w:r>
        <w:br w:type="column"/>
      </w:r>
      <w:bookmarkStart w:id="38" w:name="_Toc163137730"/>
      <w:r>
        <w:rPr/>
        <w:t>PHASE P</w:t>
      </w:r>
      <w:bookmarkEnd w:id="38"/>
      <w:r>
        <w:rPr/>
        <w:t>RÉPARATOIRE</w:t>
      </w:r>
    </w:p>
    <w:p>
      <w:pPr>
        <w:pStyle w:val="Titre3GEOFIT"/>
        <w:numPr>
          <w:ilvl w:val="2"/>
          <w:numId w:val="3"/>
        </w:numPr>
        <w:ind w:left="792" w:hanging="567"/>
        <w:rPr/>
      </w:pPr>
      <w:bookmarkStart w:id="39" w:name="_Toc163137731"/>
      <w:r>
        <w:rPr/>
        <w:t>Données récoltées</w:t>
      </w:r>
      <w:bookmarkEnd w:id="39"/>
    </w:p>
    <w:p>
      <w:pPr>
        <w:pStyle w:val="Normal"/>
        <w:rPr/>
      </w:pPr>
      <w:r>
        <w:rPr/>
        <w:t>L’ensemble des plans et des documents qui nous ont été communiqués sont analysés, pour vérifier s’il ne manque pas de données essentielles et obligatoires à notre intervention (mauvaise emprise, repères faussés ou obsolètes, réseau manquant, …) ou à tou</w:t>
      </w:r>
      <w:r>
        <w:rPr/>
        <w:t>s</w:t>
      </w:r>
      <w:r>
        <w:rPr/>
        <w:t xml:space="preserve"> travaux réalisés à proximité de l’ouvrage de l’exploitant.</w:t>
      </w:r>
    </w:p>
    <w:p>
      <w:pPr>
        <w:pStyle w:val="Titre3GEOFIT"/>
        <w:numPr>
          <w:ilvl w:val="2"/>
          <w:numId w:val="3"/>
        </w:numPr>
        <w:ind w:left="792" w:hanging="567"/>
        <w:rPr/>
      </w:pPr>
      <w:bookmarkStart w:id="40" w:name="_Toc163137732"/>
      <w:r>
        <w:rPr/>
        <w:t>Analyse des risques</w:t>
      </w:r>
      <w:bookmarkEnd w:id="40"/>
    </w:p>
    <w:p>
      <w:pPr>
        <w:pStyle w:val="Normal"/>
        <w:rPr/>
      </w:pPr>
      <w:r>
        <w:rPr/>
        <w:t xml:space="preserve">Nous effectuons une analyse de tous les risques susceptibles de survenir et destinée entre autres aux personnels intervenants. La sécurisation du chantier doit permettre la protection des tiers (piétons, cyclistes, circulation générale, …) et le maintien des accès aux propriétés riveraines de toute nature. </w:t>
      </w:r>
    </w:p>
    <w:p>
      <w:pPr>
        <w:pStyle w:val="Normal"/>
        <w:rPr/>
      </w:pPr>
      <w:r>
        <w:rPr/>
        <w:t xml:space="preserve">Nous choisissons les méthodes et matériels adaptés, en relation avec nos procédures internes et les résultats de nos analyses préalables. </w:t>
      </w:r>
    </w:p>
    <w:p>
      <w:pPr>
        <w:pStyle w:val="Normal"/>
        <w:rPr/>
      </w:pPr>
      <w:r>
        <w:rPr/>
      </w:r>
    </w:p>
    <w:p>
      <w:pPr>
        <w:pStyle w:val="Normal"/>
        <w:rPr/>
      </w:pPr>
      <w:r>
        <w:rPr/>
        <w:t xml:space="preserve">En fonction de la configuration des lieux, nous décidons la mise en place des panneaux et signalisation nécessaires sur le travail en voirie. Nous nous basons sur les préconisations de la huitième partie de l’instruction interministérielle sur la signalisation routière (arrêté du 6 novembre 1992 relatif à l'approbation de modifications de l'instruction interministérielle sur la signalisation routière - journal officiel du 30 Janvier 1993). </w:t>
      </w:r>
    </w:p>
    <w:p>
      <w:pPr>
        <w:pStyle w:val="Normal"/>
        <w:rPr/>
      </w:pPr>
      <w:r>
        <w:rPr/>
      </w:r>
    </w:p>
    <w:p>
      <w:pPr>
        <w:pStyle w:val="Normal"/>
        <w:rPr/>
      </w:pPr>
      <w:r>
        <w:rPr/>
        <w:t>Nous préparons à ce stade une fiche de suivi de chantier destinée aux intervenants sur site, ainsi que l’inventaire des documents obligatoires en possession</w:t>
      </w:r>
    </w:p>
    <w:p>
      <w:pPr>
        <w:pStyle w:val="Titre3GEOFIT"/>
        <w:numPr>
          <w:ilvl w:val="2"/>
          <w:numId w:val="3"/>
        </w:numPr>
        <w:ind w:left="792" w:hanging="567"/>
        <w:rPr/>
      </w:pPr>
      <w:bookmarkStart w:id="41" w:name="_Toc163137733"/>
      <w:r>
        <w:rPr/>
        <w:t>Repérage du site</w:t>
      </w:r>
      <w:bookmarkEnd w:id="41"/>
    </w:p>
    <w:p>
      <w:pPr>
        <w:pStyle w:val="Normal"/>
        <w:rPr/>
      </w:pPr>
      <w:r>
        <w:rPr/>
        <w:t xml:space="preserve">Le repérage du site est une étape primordiale dans la détection des réseaux enterrés. Elle est effectuée avant toute investigation. Elle permet de : </w:t>
      </w:r>
    </w:p>
    <w:p>
      <w:pPr>
        <w:pStyle w:val="Normal"/>
        <w:rPr/>
      </w:pPr>
      <w:r>
        <w:rPr/>
      </w:r>
    </w:p>
    <w:p>
      <w:pPr>
        <w:pStyle w:val="ListParagraph"/>
        <w:numPr>
          <w:ilvl w:val="0"/>
          <w:numId w:val="7"/>
        </w:numPr>
        <w:rPr/>
      </w:pPr>
      <w:r>
        <w:rPr/>
        <w:t xml:space="preserve">Délimiter précisément la zone d’études ; </w:t>
      </w:r>
    </w:p>
    <w:p>
      <w:pPr>
        <w:pStyle w:val="ListParagraph"/>
        <w:numPr>
          <w:ilvl w:val="0"/>
          <w:numId w:val="7"/>
        </w:numPr>
        <w:rPr/>
      </w:pPr>
      <w:r>
        <w:rPr/>
        <w:t xml:space="preserve">Vérifier la cohérence entre les affleurants (les coffrets de branchements, les candélabres, lampadaires, les regards de visite, les armoires, …) et les plans des exploitants ; </w:t>
      </w:r>
    </w:p>
    <w:p>
      <w:pPr>
        <w:pStyle w:val="ListParagraph"/>
        <w:numPr>
          <w:ilvl w:val="0"/>
          <w:numId w:val="7"/>
        </w:numPr>
        <w:rPr/>
      </w:pPr>
      <w:r>
        <w:rPr/>
        <w:t>Réaliser l’inventaire des réseaux présents dans la zone, afin de définir les techniques à utiliser, la qualité des sols, les encombrements, ….</w:t>
      </w:r>
      <w:bookmarkStart w:id="42" w:name="_Toc155957152"/>
      <w:bookmarkEnd w:id="42"/>
    </w:p>
    <w:p>
      <w:pPr>
        <w:pStyle w:val="Titre2GEOFIT"/>
        <w:numPr>
          <w:ilvl w:val="1"/>
          <w:numId w:val="3"/>
        </w:numPr>
        <w:ind w:left="1077" w:hanging="737"/>
        <w:rPr/>
      </w:pPr>
      <w:r>
        <w:br w:type="column"/>
      </w:r>
      <w:bookmarkStart w:id="43" w:name="_Toc163137734"/>
      <w:r>
        <w:rPr/>
        <w:t>TECHNIQUES E</w:t>
      </w:r>
      <w:bookmarkEnd w:id="43"/>
      <w:r>
        <w:rPr/>
        <w:t>MPLOYÉES</w:t>
      </w:r>
    </w:p>
    <w:p>
      <w:pPr>
        <w:pStyle w:val="Titre3GEOFIT"/>
        <w:numPr>
          <w:ilvl w:val="2"/>
          <w:numId w:val="3"/>
        </w:numPr>
        <w:ind w:left="792" w:hanging="567"/>
        <w:rPr/>
      </w:pPr>
      <w:bookmarkStart w:id="44" w:name="_Toc163137735"/>
      <w:r>
        <w:rPr/>
        <w:t>Détection des réseaux enterrés</w:t>
      </w:r>
      <w:bookmarkEnd w:id="44"/>
    </w:p>
    <w:p>
      <w:pPr>
        <w:pStyle w:val="Normal"/>
        <w:rPr/>
      </w:pPr>
      <w:r>
        <w:rPr/>
        <w:t xml:space="preserve">Le choix d’une ou plusieurs technique(s) utilisable(s) est fait en fonction de la nature des réseaux et de l’environnement. Associé à ce choix de techniques, la détection des réseaux enterrés nécessite une bonne organisation : elle doit être réalisée en suivant des étapes bien précises, afin de garantir la classe de précision A. </w:t>
      </w:r>
    </w:p>
    <w:p>
      <w:pPr>
        <w:pStyle w:val="Normal"/>
        <w:rPr/>
      </w:pPr>
      <w:r>
        <w:rPr/>
        <w:t>Notons qu’un tracé au sol des réseaux est nécessaire. Il résulte de la détection et est opéré en simultané.</w:t>
      </w:r>
    </w:p>
    <w:p>
      <w:pPr>
        <w:pStyle w:val="Titre4GEOFIT"/>
        <w:numPr>
          <w:ilvl w:val="3"/>
          <w:numId w:val="3"/>
        </w:numPr>
        <w:ind w:left="2098" w:hanging="1077"/>
        <w:rPr/>
      </w:pPr>
      <w:bookmarkStart w:id="45" w:name="_Toc163137736"/>
      <w:r>
        <w:rPr/>
        <w:t>Investigation des affleurants</w:t>
      </w:r>
      <w:bookmarkEnd w:id="45"/>
    </w:p>
    <w:p>
      <w:pPr>
        <w:pStyle w:val="Normal"/>
        <w:ind w:right="423" w:hanging="0"/>
        <w:rPr/>
      </w:pPr>
      <w:r>
        <w:rPr/>
        <w:t xml:space="preserve">Notre intervention sur le terrain commence par l’investigation des affleurants, afin de : </w:t>
      </w:r>
    </w:p>
    <w:p>
      <w:pPr>
        <w:pStyle w:val="Normal"/>
        <w:spacing w:lineRule="auto" w:line="259" w:before="0" w:after="18"/>
        <w:rPr/>
      </w:pPr>
      <w:r>
        <w:rPr/>
      </w:r>
    </w:p>
    <w:p>
      <w:pPr>
        <w:pStyle w:val="Normal"/>
        <w:widowControl/>
        <w:numPr>
          <w:ilvl w:val="0"/>
          <w:numId w:val="8"/>
        </w:numPr>
        <w:spacing w:lineRule="auto" w:line="271" w:before="0" w:after="111"/>
        <w:ind w:left="1296" w:right="421" w:hanging="358"/>
        <w:rPr/>
      </w:pPr>
      <w:r>
        <w:rPr>
          <w:rFonts w:cs="Calibri"/>
        </w:rPr>
        <w:t xml:space="preserve">Déterminer les profondeurs des génératrices supérieures ; </w:t>
      </w:r>
    </w:p>
    <w:p>
      <w:pPr>
        <w:pStyle w:val="Normal"/>
        <w:widowControl/>
        <w:numPr>
          <w:ilvl w:val="0"/>
          <w:numId w:val="8"/>
        </w:numPr>
        <w:spacing w:lineRule="auto" w:line="271" w:before="0" w:after="108"/>
        <w:ind w:left="1296" w:right="421" w:hanging="358"/>
        <w:rPr/>
      </w:pPr>
      <w:r>
        <w:rPr>
          <w:rFonts w:cs="Calibri"/>
        </w:rPr>
        <w:t xml:space="preserve">Déterminer pour le réseau en question son type, </w:t>
      </w:r>
    </w:p>
    <w:p>
      <w:pPr>
        <w:pStyle w:val="Normal"/>
        <w:widowControl/>
        <w:numPr>
          <w:ilvl w:val="0"/>
          <w:numId w:val="8"/>
        </w:numPr>
        <w:spacing w:lineRule="auto" w:line="271" w:before="0" w:after="86"/>
        <w:ind w:left="1296" w:right="421" w:hanging="358"/>
        <w:rPr/>
      </w:pPr>
      <w:r>
        <w:rPr>
          <w:rFonts w:cs="Calibri"/>
        </w:rPr>
        <w:t xml:space="preserve">Comprendre le cheminement des réseaux. </w:t>
      </w:r>
    </w:p>
    <w:p>
      <w:pPr>
        <w:pStyle w:val="Normal"/>
        <w:widowControl/>
        <w:numPr>
          <w:ilvl w:val="0"/>
          <w:numId w:val="8"/>
        </w:numPr>
        <w:spacing w:lineRule="auto" w:line="271" w:before="0" w:after="86"/>
        <w:ind w:left="1296" w:right="421" w:hanging="358"/>
        <w:rPr/>
      </w:pPr>
      <w:r>
        <w:rPr/>
        <w:t>Ouverture des coffrets de branchement, regards de visite</w:t>
      </w:r>
    </w:p>
    <w:p>
      <w:pPr>
        <w:pStyle w:val="Normal"/>
        <w:rPr/>
      </w:pPr>
      <w:r>
        <w:rPr/>
      </w:r>
    </w:p>
    <w:p>
      <w:pPr>
        <w:pStyle w:val="Normal"/>
        <w:jc w:val="center"/>
        <w:rPr/>
      </w:pPr>
      <w:r>
        <w:rPr/>
        <w:drawing>
          <wp:inline distT="0" distB="0" distL="0" distR="0">
            <wp:extent cx="5762625" cy="2257425"/>
            <wp:effectExtent l="0" t="0" r="0" b="0"/>
            <wp:docPr id="25" name="Imag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5" descr=""/>
                    <pic:cNvPicPr>
                      <a:picLocks noChangeAspect="1" noChangeArrowheads="1"/>
                    </pic:cNvPicPr>
                  </pic:nvPicPr>
                  <pic:blipFill>
                    <a:blip r:embed="rId22"/>
                    <a:stretch>
                      <a:fillRect/>
                    </a:stretch>
                  </pic:blipFill>
                  <pic:spPr bwMode="auto">
                    <a:xfrm>
                      <a:off x="0" y="0"/>
                      <a:ext cx="5762625" cy="2257425"/>
                    </a:xfrm>
                    <a:prstGeom prst="rect">
                      <a:avLst/>
                    </a:prstGeom>
                  </pic:spPr>
                </pic:pic>
              </a:graphicData>
            </a:graphic>
          </wp:inline>
        </w:drawing>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Titre4GEOFIT"/>
        <w:numPr>
          <w:ilvl w:val="3"/>
          <w:numId w:val="3"/>
        </w:numPr>
        <w:ind w:left="2098" w:hanging="1077"/>
        <w:rPr/>
      </w:pPr>
      <w:bookmarkStart w:id="46" w:name="_Toc163137737"/>
      <w:r>
        <w:rPr/>
        <w:t>Utilisation des détecteurs électromagnétiques</w:t>
      </w:r>
      <w:bookmarkEnd w:id="46"/>
    </w:p>
    <w:p>
      <w:pPr>
        <w:pStyle w:val="Normal"/>
        <w:rPr/>
      </w:pPr>
      <w:r>
        <w:rPr/>
        <w:t>Les détecteurs électromagnétiques (ou électro-inductifs) sont composés de deux appareils distincts : un émetteur et un récepteur de signaux électromagnétiques. Plusieurs combinaisons des modes d’utilisations de ces derniers sont possibles, permettant le repérage des réseaux en matériaux conducteurs.</w:t>
      </w:r>
    </w:p>
    <w:p>
      <w:pPr>
        <w:pStyle w:val="Normal"/>
        <w:rPr/>
      </w:pPr>
      <w:r>
        <w:rPr/>
      </w:r>
    </w:p>
    <w:p>
      <w:pPr>
        <w:pStyle w:val="Normal"/>
        <w:rPr/>
      </w:pPr>
      <w:r>
        <w:rPr/>
        <w:drawing>
          <wp:inline distT="0" distB="0" distL="0" distR="0">
            <wp:extent cx="5762625" cy="2571750"/>
            <wp:effectExtent l="0" t="0" r="0" b="0"/>
            <wp:docPr id="26" name="Imag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6" descr=""/>
                    <pic:cNvPicPr>
                      <a:picLocks noChangeAspect="1" noChangeArrowheads="1"/>
                    </pic:cNvPicPr>
                  </pic:nvPicPr>
                  <pic:blipFill>
                    <a:blip r:embed="rId23"/>
                    <a:stretch>
                      <a:fillRect/>
                    </a:stretch>
                  </pic:blipFill>
                  <pic:spPr bwMode="auto">
                    <a:xfrm>
                      <a:off x="0" y="0"/>
                      <a:ext cx="5762625" cy="2571750"/>
                    </a:xfrm>
                    <a:prstGeom prst="rect">
                      <a:avLst/>
                    </a:prstGeom>
                  </pic:spPr>
                </pic:pic>
              </a:graphicData>
            </a:graphic>
          </wp:inline>
        </w:drawing>
      </w:r>
    </w:p>
    <w:p>
      <w:pPr>
        <w:pStyle w:val="Normal"/>
        <w:rPr/>
      </w:pPr>
      <w:r>
        <w:rPr/>
      </w:r>
    </w:p>
    <w:p>
      <w:pPr>
        <w:pStyle w:val="Normal"/>
        <w:rPr/>
      </w:pPr>
      <w:r>
        <w:rPr/>
        <w:t xml:space="preserve">La détection commence par le repérage du signal électromagnétique généré spontanément par les réseaux à localiser (exemple : réseaux d’électricité à 50 Hz). </w:t>
      </w:r>
    </w:p>
    <w:p>
      <w:pPr>
        <w:pStyle w:val="Normal"/>
        <w:rPr/>
      </w:pPr>
      <w:r>
        <w:rPr/>
        <w:t>En partant d’un affleurant bien précis (coffret de branchements, remontées souterraines- aériennes, …) et en se basant sur les plans des exploitants, le repérage consiste à suivre le signal capté par le récepteur.</w:t>
      </w:r>
    </w:p>
    <w:p>
      <w:pPr>
        <w:pStyle w:val="Normal"/>
        <w:rPr/>
      </w:pPr>
      <w:r>
        <w:rPr/>
      </w:r>
    </w:p>
    <w:p>
      <w:pPr>
        <w:pStyle w:val="Normal"/>
        <w:rPr>
          <w:u w:val="single"/>
        </w:rPr>
      </w:pPr>
      <w:r>
        <w:rPr>
          <w:u w:val="single"/>
        </w:rPr>
        <w:t xml:space="preserve">Modes actifs </w:t>
      </w:r>
    </w:p>
    <w:p>
      <w:pPr>
        <w:pStyle w:val="Normal"/>
        <w:rPr/>
      </w:pPr>
      <w:r>
        <w:rPr/>
      </w:r>
    </w:p>
    <w:p>
      <w:pPr>
        <w:pStyle w:val="Normal"/>
        <w:rPr/>
      </w:pPr>
      <w:r>
        <w:rPr/>
        <w:t xml:space="preserve">Les modes actifs permettent le repérage des réseaux enterrés qui n’émettent pas spontanément un signal électromagnétique ou qui émettent de manière perturbée, comme par exemple : </w:t>
      </w:r>
    </w:p>
    <w:p>
      <w:pPr>
        <w:pStyle w:val="Normal"/>
        <w:rPr/>
      </w:pPr>
      <w:r>
        <w:rPr/>
      </w:r>
    </w:p>
    <w:p>
      <w:pPr>
        <w:pStyle w:val="ListParagraph"/>
        <w:numPr>
          <w:ilvl w:val="0"/>
          <w:numId w:val="9"/>
        </w:numPr>
        <w:rPr/>
      </w:pPr>
      <w:r>
        <w:rPr/>
        <w:t>Les lignes électriques ne débitant pas de courant ou un courant trop faible pour être détecté en modes passifs (par exemple réseaux d’éclairage public en journée</w:t>
      </w:r>
    </w:p>
    <w:p>
      <w:pPr>
        <w:pStyle w:val="ListParagraph"/>
        <w:numPr>
          <w:ilvl w:val="0"/>
          <w:numId w:val="9"/>
        </w:numPr>
        <w:rPr/>
      </w:pPr>
      <w:r>
        <w:rPr/>
        <w:t xml:space="preserve">Les branchements électriques particuliers, la signalisation routière, la basse tension…) ; </w:t>
      </w:r>
    </w:p>
    <w:p>
      <w:pPr>
        <w:pStyle w:val="ListParagraph"/>
        <w:numPr>
          <w:ilvl w:val="0"/>
          <w:numId w:val="9"/>
        </w:numPr>
        <w:rPr/>
      </w:pPr>
      <w:r>
        <w:rPr/>
        <w:t xml:space="preserve">Les réseaux de distribution ou de transport de fluides constitués de matériaux conducteurs (eau, gaz, …) ; </w:t>
      </w:r>
    </w:p>
    <w:p>
      <w:pPr>
        <w:pStyle w:val="ListParagraph"/>
        <w:numPr>
          <w:ilvl w:val="0"/>
          <w:numId w:val="9"/>
        </w:numPr>
        <w:rPr/>
      </w:pPr>
      <w:r>
        <w:rPr/>
        <w:t xml:space="preserve">Les réseaux conducteurs perturbés, …. </w:t>
      </w:r>
    </w:p>
    <w:p>
      <w:pPr>
        <w:pStyle w:val="Normal"/>
        <w:rPr/>
      </w:pPr>
      <w:r>
        <w:rPr/>
      </w:r>
    </w:p>
    <w:p>
      <w:pPr>
        <w:pStyle w:val="Normal"/>
        <w:rPr/>
      </w:pPr>
      <w:r>
        <w:rPr/>
        <w:t xml:space="preserve">Le signal électromagnétique est généré dans le réseau, sous le contrôle de l’opérateur, via un émetteur. Le récepteur récupère le signal en surface et permet le tracé du réseau en trois dimensions. </w:t>
      </w:r>
    </w:p>
    <w:p>
      <w:pPr>
        <w:pStyle w:val="Normal"/>
        <w:rPr/>
      </w:pPr>
      <w:r>
        <w:rPr/>
      </w:r>
    </w:p>
    <w:p>
      <w:pPr>
        <w:pStyle w:val="Normal"/>
        <w:rPr/>
      </w:pPr>
      <w:r>
        <w:rPr/>
      </w:r>
    </w:p>
    <w:p>
      <w:pPr>
        <w:pStyle w:val="Normal"/>
        <w:jc w:val="center"/>
        <w:rPr/>
      </w:pPr>
      <w:r>
        <w:rPr/>
        <w:drawing>
          <wp:inline distT="0" distB="0" distL="0" distR="0">
            <wp:extent cx="6104890" cy="2009775"/>
            <wp:effectExtent l="0" t="0" r="0" b="0"/>
            <wp:docPr id="27" name="Imag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7" descr=""/>
                    <pic:cNvPicPr>
                      <a:picLocks noChangeAspect="1" noChangeArrowheads="1"/>
                    </pic:cNvPicPr>
                  </pic:nvPicPr>
                  <pic:blipFill>
                    <a:blip r:embed="rId24"/>
                    <a:stretch>
                      <a:fillRect/>
                    </a:stretch>
                  </pic:blipFill>
                  <pic:spPr bwMode="auto">
                    <a:xfrm>
                      <a:off x="0" y="0"/>
                      <a:ext cx="6104890" cy="2009775"/>
                    </a:xfrm>
                    <a:prstGeom prst="rect">
                      <a:avLst/>
                    </a:prstGeom>
                  </pic:spPr>
                </pic:pic>
              </a:graphicData>
            </a:graphic>
          </wp:inline>
        </w:drawing>
      </w:r>
    </w:p>
    <w:p>
      <w:pPr>
        <w:pStyle w:val="Normal"/>
        <w:jc w:val="center"/>
        <w:rPr/>
      </w:pPr>
      <w:r>
        <w:rPr/>
      </w:r>
    </w:p>
    <w:p>
      <w:pPr>
        <w:pStyle w:val="Titre4GEOFIT"/>
        <w:numPr>
          <w:ilvl w:val="3"/>
          <w:numId w:val="3"/>
        </w:numPr>
        <w:ind w:left="2098" w:hanging="1077"/>
        <w:rPr/>
      </w:pPr>
      <w:bookmarkStart w:id="47" w:name="_Toc163137738"/>
      <w:r>
        <w:rPr/>
        <w:t>Utilisation du géoradar</w:t>
      </w:r>
      <w:bookmarkEnd w:id="47"/>
    </w:p>
    <w:p>
      <w:pPr>
        <w:pStyle w:val="Normal"/>
        <w:rPr/>
      </w:pPr>
      <w:bookmarkStart w:id="48" w:name="_Hlk157597029"/>
      <w:r>
        <w:rPr/>
        <w:t xml:space="preserve">L’utilisation du géoradar est une méthode d’investigation géophysique non destructive permettant de détecter tous les réseaux enterrés (conducteurs ou non). </w:t>
      </w:r>
    </w:p>
    <w:p>
      <w:pPr>
        <w:pStyle w:val="Normal"/>
        <w:rPr/>
      </w:pPr>
      <w:bookmarkStart w:id="49" w:name="_Hlk157597029"/>
      <w:r>
        <w:rPr/>
        <w:t>Cet appareillage permet de sonder le sous-sol sur de grandes distances, rapidement, sans endommagement du milieu environnant</w:t>
      </w:r>
      <w:bookmarkEnd w:id="49"/>
      <w:r>
        <w:rPr/>
        <w:t>.</w:t>
      </w:r>
    </w:p>
    <w:p>
      <w:pPr>
        <w:pStyle w:val="Normal"/>
        <w:rPr/>
      </w:pPr>
      <w:r>
        <w:rPr/>
      </w:r>
    </w:p>
    <w:p>
      <w:pPr>
        <w:pStyle w:val="Normal"/>
        <w:rPr/>
      </w:pPr>
      <w:r>
        <w:rPr/>
        <w:drawing>
          <wp:anchor behindDoc="0" distT="0" distB="0" distL="0" distR="0" simplePos="0" locked="0" layoutInCell="0" allowOverlap="1" relativeHeight="81">
            <wp:simplePos x="0" y="0"/>
            <wp:positionH relativeFrom="column">
              <wp:posOffset>1861185</wp:posOffset>
            </wp:positionH>
            <wp:positionV relativeFrom="paragraph">
              <wp:posOffset>77470</wp:posOffset>
            </wp:positionV>
            <wp:extent cx="5581650" cy="3114675"/>
            <wp:effectExtent l="0" t="0" r="0" b="0"/>
            <wp:wrapNone/>
            <wp:docPr id="28" name="Imag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8" descr=""/>
                    <pic:cNvPicPr>
                      <a:picLocks noChangeAspect="1" noChangeArrowheads="1"/>
                    </pic:cNvPicPr>
                  </pic:nvPicPr>
                  <pic:blipFill>
                    <a:blip r:embed="rId25"/>
                    <a:stretch>
                      <a:fillRect/>
                    </a:stretch>
                  </pic:blipFill>
                  <pic:spPr bwMode="auto">
                    <a:xfrm>
                      <a:off x="0" y="0"/>
                      <a:ext cx="5581650" cy="3114675"/>
                    </a:xfrm>
                    <a:prstGeom prst="rect">
                      <a:avLst/>
                    </a:prstGeom>
                  </pic:spPr>
                </pic:pic>
              </a:graphicData>
            </a:graphic>
          </wp:anchor>
        </w:drawing>
      </w:r>
    </w:p>
    <w:p>
      <w:pPr>
        <w:pStyle w:val="Normal"/>
        <w:jc w:val="right"/>
        <w:rPr/>
      </w:pPr>
      <w:r>
        <w:rPr/>
      </w:r>
    </w:p>
    <w:p>
      <w:pPr>
        <w:pStyle w:val="Normal"/>
        <w:jc w:val="center"/>
        <w:rPr/>
      </w:pPr>
      <w:r>
        <w:rPr/>
      </w:r>
    </w:p>
    <w:p>
      <w:pPr>
        <w:pStyle w:val="Normal"/>
        <w:ind w:left="360" w:hanging="0"/>
        <w:rPr/>
      </w:pPr>
      <w:r>
        <w:rPr/>
      </w:r>
    </w:p>
    <w:p>
      <w:pPr>
        <w:pStyle w:val="ListParagraph"/>
        <w:ind w:left="720" w:hanging="0"/>
        <w:rPr/>
      </w:pPr>
      <w:r>
        <w:rPr/>
      </w:r>
    </w:p>
    <w:p>
      <w:pPr>
        <w:pStyle w:val="ListParagraph"/>
        <w:ind w:left="720" w:hanging="0"/>
        <w:rPr/>
      </w:pPr>
      <w:r>
        <w:rPr/>
      </w:r>
    </w:p>
    <w:p>
      <w:pPr>
        <w:pStyle w:val="ListParagraph"/>
        <w:ind w:left="720" w:hanging="0"/>
        <w:rPr/>
      </w:pPr>
      <w:r>
        <w:rPr/>
      </w:r>
    </w:p>
    <w:p>
      <w:pPr>
        <w:pStyle w:val="ListParagraph"/>
        <w:ind w:left="720" w:hanging="0"/>
        <w:rPr/>
      </w:pPr>
      <w:r>
        <w:rPr/>
      </w:r>
    </w:p>
    <w:p>
      <w:pPr>
        <w:pStyle w:val="ListParagraph"/>
        <w:ind w:left="720" w:hanging="0"/>
        <w:rPr/>
      </w:pPr>
      <w:r>
        <w:rPr/>
      </w:r>
    </w:p>
    <w:p>
      <w:pPr>
        <w:pStyle w:val="ListParagraph"/>
        <w:ind w:left="720" w:hanging="0"/>
        <w:rPr/>
      </w:pPr>
      <w:r>
        <w:rPr/>
      </w:r>
    </w:p>
    <w:p>
      <w:pPr>
        <w:pStyle w:val="ListParagraph"/>
        <w:ind w:left="720" w:hanging="0"/>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 xml:space="preserve">Cette méthode est basée sur la propagation des ondes électromagnétiques dans le sous-sol, avec un fonctionnement similaire à un sonar de bateau. </w:t>
      </w:r>
    </w:p>
    <w:p>
      <w:pPr>
        <w:pStyle w:val="Normal"/>
        <w:rPr/>
      </w:pPr>
      <w:r>
        <w:rPr/>
      </w:r>
    </w:p>
    <w:p>
      <w:pPr>
        <w:pStyle w:val="Normal"/>
        <w:rPr/>
      </w:pPr>
      <w:r>
        <w:rPr/>
      </w:r>
    </w:p>
    <w:p>
      <w:pPr>
        <w:pStyle w:val="Normal"/>
        <w:rPr/>
      </w:pPr>
      <w:r>
        <w:rPr/>
        <w:drawing>
          <wp:anchor behindDoc="0" distT="0" distB="0" distL="0" distR="0" simplePos="0" locked="0" layoutInCell="0" allowOverlap="1" relativeHeight="82">
            <wp:simplePos x="0" y="0"/>
            <wp:positionH relativeFrom="column">
              <wp:posOffset>1936115</wp:posOffset>
            </wp:positionH>
            <wp:positionV relativeFrom="paragraph">
              <wp:posOffset>81280</wp:posOffset>
            </wp:positionV>
            <wp:extent cx="4903470" cy="2228850"/>
            <wp:effectExtent l="0" t="0" r="0" b="0"/>
            <wp:wrapTopAndBottom/>
            <wp:docPr id="29" name="Imag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9" descr=""/>
                    <pic:cNvPicPr>
                      <a:picLocks noChangeAspect="1" noChangeArrowheads="1"/>
                    </pic:cNvPicPr>
                  </pic:nvPicPr>
                  <pic:blipFill>
                    <a:blip r:embed="rId26"/>
                    <a:stretch>
                      <a:fillRect/>
                    </a:stretch>
                  </pic:blipFill>
                  <pic:spPr bwMode="auto">
                    <a:xfrm>
                      <a:off x="0" y="0"/>
                      <a:ext cx="4903470" cy="2228850"/>
                    </a:xfrm>
                    <a:prstGeom prst="rect">
                      <a:avLst/>
                    </a:prstGeom>
                  </pic:spPr>
                </pic:pic>
              </a:graphicData>
            </a:graphic>
          </wp:anchor>
        </w:drawing>
      </w:r>
    </w:p>
    <w:p>
      <w:pPr>
        <w:pStyle w:val="Normal"/>
        <w:rPr/>
      </w:pPr>
      <w:r>
        <w:rPr/>
        <w:t>Le radargramme, visuel obtenu par le passage du géoradar, nous donne une coupe du sol. L’axe X correspond à la distance du linéaire réalisé et l’axe Z correspond à la profondeur.</w:t>
      </w:r>
    </w:p>
    <w:p>
      <w:pPr>
        <w:pStyle w:val="Normal"/>
        <w:rPr/>
      </w:pPr>
      <w:r>
        <w:rPr/>
        <w:drawing>
          <wp:anchor behindDoc="0" distT="0" distB="0" distL="0" distR="0" simplePos="0" locked="0" layoutInCell="0" allowOverlap="1" relativeHeight="83">
            <wp:simplePos x="0" y="0"/>
            <wp:positionH relativeFrom="column">
              <wp:posOffset>1318260</wp:posOffset>
            </wp:positionH>
            <wp:positionV relativeFrom="paragraph">
              <wp:posOffset>191770</wp:posOffset>
            </wp:positionV>
            <wp:extent cx="5762625" cy="2800350"/>
            <wp:effectExtent l="0" t="0" r="0" b="0"/>
            <wp:wrapTopAndBottom/>
            <wp:docPr id="30" name="Imag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10" descr=""/>
                    <pic:cNvPicPr>
                      <a:picLocks noChangeAspect="1" noChangeArrowheads="1"/>
                    </pic:cNvPicPr>
                  </pic:nvPicPr>
                  <pic:blipFill>
                    <a:blip r:embed="rId27"/>
                    <a:stretch>
                      <a:fillRect/>
                    </a:stretch>
                  </pic:blipFill>
                  <pic:spPr bwMode="auto">
                    <a:xfrm>
                      <a:off x="0" y="0"/>
                      <a:ext cx="5762625" cy="2800350"/>
                    </a:xfrm>
                    <a:prstGeom prst="rect">
                      <a:avLst/>
                    </a:prstGeom>
                  </pic:spPr>
                </pic:pic>
              </a:graphicData>
            </a:graphic>
          </wp:anchor>
        </w:drawing>
      </w:r>
    </w:p>
    <w:p>
      <w:pPr>
        <w:pStyle w:val="Normal"/>
        <w:rPr/>
      </w:pPr>
      <w:r>
        <w:rPr/>
      </w:r>
    </w:p>
    <w:p>
      <w:pPr>
        <w:pStyle w:val="Normal"/>
        <w:rPr/>
      </w:pPr>
      <w:r>
        <w:rPr/>
        <w:t xml:space="preserve">L’interprétation des radargrammes permet de déterminer avec précision la position altimétrique et planimétrique de tout réseau.  </w:t>
      </w:r>
    </w:p>
    <w:p>
      <w:pPr>
        <w:pStyle w:val="Normal"/>
        <w:rPr/>
      </w:pPr>
      <w:r>
        <w:rPr/>
        <w:t>Ajoutons que l’utilisation du géoradar est réalisée à deux stades de nos investigations : lors de la détection et lors de la phase de vérification.</w:t>
      </w:r>
    </w:p>
    <w:p>
      <w:pPr>
        <w:pStyle w:val="Normal"/>
        <w:rPr/>
      </w:pPr>
      <w:r>
        <w:rPr/>
      </w:r>
    </w:p>
    <w:p>
      <w:pPr>
        <w:pStyle w:val="Normal"/>
        <w:rPr/>
      </w:pPr>
      <w:r>
        <w:rPr/>
        <w:t xml:space="preserve">Cette dernière phase est essentielle dans la détection des réseaux enterrés. Elle permet de : </w:t>
      </w:r>
    </w:p>
    <w:p>
      <w:pPr>
        <w:pStyle w:val="Normal"/>
        <w:rPr/>
      </w:pPr>
      <w:r>
        <w:rPr/>
      </w:r>
    </w:p>
    <w:p>
      <w:pPr>
        <w:pStyle w:val="ListParagraph"/>
        <w:numPr>
          <w:ilvl w:val="0"/>
          <w:numId w:val="10"/>
        </w:numPr>
        <w:rPr/>
      </w:pPr>
      <w:r>
        <w:rPr/>
        <w:t xml:space="preserve">Vérifier, par l’utilisation du géoradar, les résultats obtenus avec les détecteurs électromagnétiques. Cette technique nous permet de corriger les erreurs liées aux perturbations électromagnétiques. Ainsi, nous confirmons les marquages précédemment effectués ; </w:t>
      </w:r>
    </w:p>
    <w:p>
      <w:pPr>
        <w:pStyle w:val="ListParagraph"/>
        <w:numPr>
          <w:ilvl w:val="0"/>
          <w:numId w:val="10"/>
        </w:numPr>
        <w:rPr/>
      </w:pPr>
      <w:r>
        <w:rPr/>
        <w:t xml:space="preserve">Vérifier que tous les réseaux qui nous intéressent et qui sont signalés sur les plans des concessionnaires ont été détectés ; </w:t>
      </w:r>
    </w:p>
    <w:p>
      <w:pPr>
        <w:pStyle w:val="ListParagraph"/>
        <w:numPr>
          <w:ilvl w:val="0"/>
          <w:numId w:val="10"/>
        </w:numPr>
        <w:rPr/>
      </w:pPr>
      <w:r>
        <w:rPr/>
        <w:t xml:space="preserve">Mettre en évidence les réseaux abandonnés ; </w:t>
      </w:r>
    </w:p>
    <w:p>
      <w:pPr>
        <w:pStyle w:val="ListParagraph"/>
        <w:numPr>
          <w:ilvl w:val="0"/>
          <w:numId w:val="10"/>
        </w:numPr>
        <w:rPr/>
      </w:pPr>
      <w:r>
        <w:rPr/>
        <w:t xml:space="preserve">Révéler les réseaux non signalés sur les plans concessionnaires ; </w:t>
      </w:r>
    </w:p>
    <w:p>
      <w:pPr>
        <w:pStyle w:val="ListParagraph"/>
        <w:numPr>
          <w:ilvl w:val="0"/>
          <w:numId w:val="10"/>
        </w:numPr>
        <w:rPr/>
      </w:pPr>
      <w:r>
        <w:rPr/>
        <w:t>Mettre en avant les incohérences de tracés vis</w:t>
      </w:r>
      <w:r>
        <w:rPr>
          <w:rFonts w:cs="Cambria Math" w:ascii="Cambria Math" w:hAnsi="Cambria Math"/>
        </w:rPr>
        <w:t>‐</w:t>
      </w:r>
      <w:r>
        <w:rPr/>
        <w:t>à</w:t>
      </w:r>
      <w:r>
        <w:rPr>
          <w:rFonts w:cs="Cambria Math" w:ascii="Cambria Math" w:hAnsi="Cambria Math"/>
        </w:rPr>
        <w:t>‐</w:t>
      </w:r>
      <w:r>
        <w:rPr/>
        <w:t xml:space="preserve">vis des informations fournies ; </w:t>
      </w:r>
    </w:p>
    <w:p>
      <w:pPr>
        <w:pStyle w:val="ListParagraph"/>
        <w:numPr>
          <w:ilvl w:val="0"/>
          <w:numId w:val="10"/>
        </w:numPr>
        <w:rPr/>
      </w:pPr>
      <w:r>
        <w:rPr/>
        <w:t>Conforter et justifier notre phase de détection concernant les réseaux déclarés mais non investigables ou absents.</w:t>
      </w:r>
    </w:p>
    <w:p>
      <w:pPr>
        <w:pStyle w:val="Normal"/>
        <w:rPr/>
      </w:pPr>
      <w:r>
        <w:rPr/>
      </w:r>
    </w:p>
    <w:p>
      <w:pPr>
        <w:pStyle w:val="Normal"/>
        <w:rPr/>
      </w:pPr>
      <w:r>
        <w:rPr/>
      </w:r>
    </w:p>
    <w:p>
      <w:pPr>
        <w:pStyle w:val="Normal"/>
        <w:rPr/>
      </w:pPr>
      <w:r>
        <w:rPr/>
        <w:drawing>
          <wp:inline distT="0" distB="0" distL="0" distR="0">
            <wp:extent cx="6122670" cy="4631055"/>
            <wp:effectExtent l="0" t="0" r="0" b="0"/>
            <wp:docPr id="31"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2" descr=""/>
                    <pic:cNvPicPr>
                      <a:picLocks noChangeAspect="1" noChangeArrowheads="1"/>
                    </pic:cNvPicPr>
                  </pic:nvPicPr>
                  <pic:blipFill>
                    <a:blip r:embed="rId28"/>
                    <a:stretch>
                      <a:fillRect/>
                    </a:stretch>
                  </pic:blipFill>
                  <pic:spPr bwMode="auto">
                    <a:xfrm>
                      <a:off x="0" y="0"/>
                      <a:ext cx="6122670" cy="463105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Titre4GEOFIT"/>
        <w:numPr>
          <w:ilvl w:val="3"/>
          <w:numId w:val="3"/>
        </w:numPr>
        <w:ind w:left="2098" w:hanging="1077"/>
        <w:rPr/>
      </w:pPr>
      <w:bookmarkStart w:id="50" w:name="_Toc163137739"/>
      <w:r>
        <w:rPr/>
        <w:t>Utilisation de la sonde intrusive</w:t>
      </w:r>
      <w:bookmarkEnd w:id="50"/>
    </w:p>
    <w:p>
      <w:pPr>
        <w:pStyle w:val="Normal"/>
        <w:rPr/>
      </w:pPr>
      <w:r>
        <w:rPr/>
        <w:t xml:space="preserve">Lorsque l’emploi du géoradar s’avère infructueux, une sonde intrusive, munie ou non d’une bobine d’émission, est utilisée pour le repérage des réseaux en matériaux non conducteurs. </w:t>
      </w:r>
    </w:p>
    <w:p>
      <w:pPr>
        <w:pStyle w:val="Normal"/>
        <w:rPr/>
      </w:pPr>
      <w:r>
        <w:rPr/>
      </w:r>
    </w:p>
    <w:p>
      <w:pPr>
        <w:pStyle w:val="Normal"/>
        <w:rPr/>
      </w:pPr>
      <w:r>
        <w:rPr/>
        <w:t>La méthode consiste, à partir d’un point de pénétration, à introduire une sonde dans le réseau à tracer (gaine vide). Cette sonde se comporte comme un réseau conducteur (fil métallique).</w:t>
      </w:r>
    </w:p>
    <w:p>
      <w:pPr>
        <w:pStyle w:val="Normal"/>
        <w:rPr/>
      </w:pPr>
      <w:r>
        <w:rPr/>
        <w:t xml:space="preserve">Cette dernière est raccordée directement à l’émetteur électro-inductif, afin de permettre l’émission du signal électromagnétique choisi. Le signal émis par la sonde est capté en surface par le récepteur électro inductif, et permet le tracé du réseau en trois dimensions. </w:t>
      </w:r>
    </w:p>
    <w:p>
      <w:pPr>
        <w:pStyle w:val="Normal"/>
        <w:rPr/>
      </w:pPr>
      <w:r>
        <w:rPr/>
      </w:r>
    </w:p>
    <w:p>
      <w:pPr>
        <w:pStyle w:val="Normal"/>
        <w:rPr/>
      </w:pPr>
      <w:r>
        <w:rPr/>
        <w:t xml:space="preserve">Le signal ne peut pas se faire sur les premiers mètres. </w:t>
      </w:r>
    </w:p>
    <w:p>
      <w:pPr>
        <w:pStyle w:val="Normal"/>
        <w:rPr/>
      </w:pPr>
      <w:r>
        <w:rPr/>
        <w:t>Ce procédé nécessite un accès à l’intérieur du réseau, qui ne doit pas être en charge</w:t>
      </w:r>
    </w:p>
    <w:p>
      <w:pPr>
        <w:pStyle w:val="Normal"/>
        <w:rPr/>
      </w:pPr>
      <w:r>
        <w:rPr/>
      </w:r>
    </w:p>
    <w:p>
      <w:pPr>
        <w:pStyle w:val="Normal"/>
        <w:rPr/>
      </w:pPr>
      <w:r>
        <w:rPr/>
        <w:drawing>
          <wp:anchor behindDoc="0" distT="0" distB="0" distL="0" distR="0" simplePos="0" locked="0" layoutInCell="0" allowOverlap="1" relativeHeight="84">
            <wp:simplePos x="0" y="0"/>
            <wp:positionH relativeFrom="column">
              <wp:posOffset>1537335</wp:posOffset>
            </wp:positionH>
            <wp:positionV relativeFrom="paragraph">
              <wp:posOffset>116205</wp:posOffset>
            </wp:positionV>
            <wp:extent cx="2828290" cy="2000250"/>
            <wp:effectExtent l="0" t="0" r="0" b="0"/>
            <wp:wrapNone/>
            <wp:docPr id="32" name="Imag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2" descr=""/>
                    <pic:cNvPicPr>
                      <a:picLocks noChangeAspect="1" noChangeArrowheads="1"/>
                    </pic:cNvPicPr>
                  </pic:nvPicPr>
                  <pic:blipFill>
                    <a:blip r:embed="rId29"/>
                    <a:stretch>
                      <a:fillRect/>
                    </a:stretch>
                  </pic:blipFill>
                  <pic:spPr bwMode="auto">
                    <a:xfrm>
                      <a:off x="0" y="0"/>
                      <a:ext cx="2828290" cy="200025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Titre3GEOFIT"/>
        <w:numPr>
          <w:ilvl w:val="2"/>
          <w:numId w:val="3"/>
        </w:numPr>
        <w:ind w:left="792" w:hanging="567"/>
        <w:rPr/>
      </w:pPr>
      <w:bookmarkStart w:id="51" w:name="_Toc163137740"/>
      <w:r>
        <w:rPr/>
        <w:t>Marquage‐piquetage et tracé au sol</w:t>
      </w:r>
      <w:bookmarkEnd w:id="51"/>
    </w:p>
    <w:p>
      <w:pPr>
        <w:pStyle w:val="Normal"/>
        <w:rPr/>
      </w:pPr>
      <w:r>
        <w:rPr/>
        <w:t xml:space="preserve">Il convient tout d’abord de distinguer le « marquage-piquetage » du « tracé au sol ». </w:t>
      </w:r>
    </w:p>
    <w:p>
      <w:pPr>
        <w:pStyle w:val="Normal"/>
        <w:rPr/>
      </w:pPr>
      <w:r>
        <w:rPr/>
      </w:r>
    </w:p>
    <w:p>
      <w:pPr>
        <w:pStyle w:val="Normal"/>
        <w:rPr/>
      </w:pPr>
      <w:r>
        <w:rPr/>
        <w:t>Le marquage-piquetage est obligatoire dans le cadre de travaux à proximité des réseaux. Il correspond à la matérialisation au sol de la localisation d’un réseau enterré réalisée sous la responsabilité du responsable de projet avant le démarrage des travaux. Sa réalisation peut être confiée à l’exécutant des travaux.</w:t>
      </w:r>
    </w:p>
    <w:p>
      <w:pPr>
        <w:pStyle w:val="Normal"/>
        <w:rPr/>
      </w:pPr>
      <w:r>
        <w:rPr/>
      </w:r>
    </w:p>
    <w:p>
      <w:pPr>
        <w:pStyle w:val="Normal"/>
        <w:rPr/>
      </w:pPr>
      <w:r>
        <w:rPr/>
        <w:t>Le tracé au sol caractérise la matérialisation au sol du repérage et de l’identification des réseaux effectués par un prestataire en charge de la détection au cours des opérations de localisation ou des investigations complémentaires.</w:t>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0" allowOverlap="1" relativeHeight="85">
            <wp:simplePos x="0" y="0"/>
            <wp:positionH relativeFrom="column">
              <wp:posOffset>1145540</wp:posOffset>
            </wp:positionH>
            <wp:positionV relativeFrom="paragraph">
              <wp:posOffset>119380</wp:posOffset>
            </wp:positionV>
            <wp:extent cx="3733165" cy="2105025"/>
            <wp:effectExtent l="0" t="0" r="0" b="0"/>
            <wp:wrapTopAndBottom/>
            <wp:docPr id="33" name="Imag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3" descr=""/>
                    <pic:cNvPicPr>
                      <a:picLocks noChangeAspect="1" noChangeArrowheads="1"/>
                    </pic:cNvPicPr>
                  </pic:nvPicPr>
                  <pic:blipFill>
                    <a:blip r:embed="rId30"/>
                    <a:stretch>
                      <a:fillRect/>
                    </a:stretch>
                  </pic:blipFill>
                  <pic:spPr bwMode="auto">
                    <a:xfrm>
                      <a:off x="0" y="0"/>
                      <a:ext cx="3733165" cy="2105025"/>
                    </a:xfrm>
                    <a:prstGeom prst="rect">
                      <a:avLst/>
                    </a:prstGeom>
                  </pic:spPr>
                </pic:pic>
              </a:graphicData>
            </a:graphic>
          </wp:anchor>
        </w:drawing>
      </w:r>
    </w:p>
    <w:p>
      <w:pPr>
        <w:pStyle w:val="Normal"/>
        <w:rPr/>
      </w:pPr>
      <w:r>
        <w:rPr/>
        <w:t xml:space="preserve">GEOFIT effectue donc un tracé au sol et ne saurait être tenu responsable du maintien ou de la modification ultérieure de ses marques pour une utilisation en tant que marquage-piquetage obligatoire. </w:t>
      </w:r>
    </w:p>
    <w:p>
      <w:pPr>
        <w:pStyle w:val="Normal"/>
        <w:rPr/>
      </w:pPr>
      <w:r>
        <w:rPr/>
        <w:t xml:space="preserve">Ainsi, si des travaux sont prévus, nous vous conseillons de veiller au maintien en l’état des marques (et piquetages), ou, le cas échéant si des marques s’avèrent illisibles, quels que soient les motifs, de se reporter au plan de détection qui fait foi. </w:t>
      </w:r>
    </w:p>
    <w:p>
      <w:pPr>
        <w:pStyle w:val="Normal"/>
        <w:rPr/>
      </w:pPr>
      <w:r>
        <w:rPr/>
        <w:t xml:space="preserve">Le tracé au sol permet de retranscrire, aux positionnements déterminés, les renseignements recueillis lors de la détection des réseaux (position, profondeur de la génératrice supérieure, nature du réseau, orientation, zones d’emprise, …). </w:t>
      </w:r>
    </w:p>
    <w:p>
      <w:pPr>
        <w:pStyle w:val="Normal"/>
        <w:rPr/>
      </w:pPr>
      <w:r>
        <w:rPr/>
        <w:t xml:space="preserve">Ils sont réalisés généralement à l’aide des bombes de peinture à faible durée de tenue (SOPPEC construction TP). </w:t>
      </w:r>
    </w:p>
    <w:p>
      <w:pPr>
        <w:pStyle w:val="Normal"/>
        <w:rPr/>
      </w:pPr>
      <w:r>
        <w:rPr/>
        <w:t>Les codes couleurs utilisées pour le tracé au sol et marquage-piquetage sont définis selon la norme NF P 98-332.</w:t>
      </w:r>
    </w:p>
    <w:p>
      <w:pPr>
        <w:pStyle w:val="Normal"/>
        <w:rPr/>
      </w:pPr>
      <w:r>
        <w:rPr/>
        <w:drawing>
          <wp:anchor behindDoc="0" distT="0" distB="0" distL="0" distR="0" simplePos="0" locked="0" layoutInCell="0" allowOverlap="1" relativeHeight="86">
            <wp:simplePos x="0" y="0"/>
            <wp:positionH relativeFrom="column">
              <wp:posOffset>428625</wp:posOffset>
            </wp:positionH>
            <wp:positionV relativeFrom="paragraph">
              <wp:posOffset>67310</wp:posOffset>
            </wp:positionV>
            <wp:extent cx="5762625" cy="3981450"/>
            <wp:effectExtent l="0" t="0" r="0" b="0"/>
            <wp:wrapTopAndBottom/>
            <wp:docPr id="34" name="Imag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14" descr=""/>
                    <pic:cNvPicPr>
                      <a:picLocks noChangeAspect="1" noChangeArrowheads="1"/>
                    </pic:cNvPicPr>
                  </pic:nvPicPr>
                  <pic:blipFill>
                    <a:blip r:embed="rId31"/>
                    <a:stretch>
                      <a:fillRect/>
                    </a:stretch>
                  </pic:blipFill>
                  <pic:spPr bwMode="auto">
                    <a:xfrm>
                      <a:off x="0" y="0"/>
                      <a:ext cx="5762625" cy="3981450"/>
                    </a:xfrm>
                    <a:prstGeom prst="rect">
                      <a:avLst/>
                    </a:prstGeom>
                  </pic:spPr>
                </pic:pic>
              </a:graphicData>
            </a:graphic>
          </wp:anchor>
        </w:drawing>
      </w:r>
    </w:p>
    <w:p>
      <w:pPr>
        <w:pStyle w:val="Normal"/>
        <w:rPr/>
      </w:pPr>
      <w:r>
        <w:rPr/>
        <w:t xml:space="preserve">Des zones d’emprise multi-réseaux et des zones d’incertitudes, ne représentant pas des tracés de réseaux, seront matérialisées en rose ou en noir sur le terrain, si besoin. </w:t>
      </w:r>
    </w:p>
    <w:p>
      <w:pPr>
        <w:pStyle w:val="Normal"/>
        <w:rPr/>
      </w:pPr>
      <w:r>
        <w:rPr/>
        <w:t>Les profondeurs marquées au sol sont celles de la génératrice supérieure du réseau, notées en mètre. Le tableau ci-après récapitule les unités utilisées pour les marquages.</w:t>
      </w:r>
    </w:p>
    <w:p>
      <w:pPr>
        <w:pStyle w:val="Normal"/>
        <w:rPr/>
      </w:pPr>
      <w:r>
        <w:rPr/>
      </w:r>
    </w:p>
    <w:p>
      <w:pPr>
        <w:pStyle w:val="Normal"/>
        <w:rPr/>
      </w:pPr>
      <w:r>
        <w:rPr/>
        <w:drawing>
          <wp:anchor behindDoc="0" distT="0" distB="0" distL="0" distR="0" simplePos="0" locked="0" layoutInCell="0" allowOverlap="1" relativeHeight="87">
            <wp:simplePos x="0" y="0"/>
            <wp:positionH relativeFrom="margin">
              <wp:align>center</wp:align>
            </wp:positionH>
            <wp:positionV relativeFrom="paragraph">
              <wp:posOffset>114935</wp:posOffset>
            </wp:positionV>
            <wp:extent cx="2524125" cy="1628775"/>
            <wp:effectExtent l="0" t="0" r="0" b="0"/>
            <wp:wrapNone/>
            <wp:docPr id="35" name="Imag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15" descr=""/>
                    <pic:cNvPicPr>
                      <a:picLocks noChangeAspect="1" noChangeArrowheads="1"/>
                    </pic:cNvPicPr>
                  </pic:nvPicPr>
                  <pic:blipFill>
                    <a:blip r:embed="rId32"/>
                    <a:stretch>
                      <a:fillRect/>
                    </a:stretch>
                  </pic:blipFill>
                  <pic:spPr bwMode="auto">
                    <a:xfrm>
                      <a:off x="0" y="0"/>
                      <a:ext cx="2524125" cy="1628775"/>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Il est convenu que les profondeurs sont indiquées par rapport à un terrain naturel égal à zéro. Les diamètres notés sont les diamètres nominaux, ils dépendent de la nature des conduites et gaines.</w:t>
      </w:r>
    </w:p>
    <w:p>
      <w:pPr>
        <w:pStyle w:val="Normal"/>
        <w:rPr/>
      </w:pPr>
      <w:r>
        <w:rPr/>
      </w:r>
    </w:p>
    <w:p>
      <w:pPr>
        <w:pStyle w:val="Normal"/>
        <w:rPr/>
      </w:pPr>
      <w:r>
        <w:rPr/>
        <w:t xml:space="preserve">GEOFIT réalise les marquages avec une fréquence rapprochée, soit autant que nécessaire (conformément à la norme NF S 70 003 2). Certaines singularités du réseau investigué seront tracées en continu. </w:t>
      </w:r>
    </w:p>
    <w:p>
      <w:pPr>
        <w:pStyle w:val="Normal"/>
        <w:rPr/>
      </w:pPr>
      <w:r>
        <w:rPr/>
        <w:t xml:space="preserve">Dans le cas d'un ouvrage rectiligne, la distance entre 2 points de mesures sera au maximum égale à 10 mètres, bien que : </w:t>
      </w:r>
    </w:p>
    <w:p>
      <w:pPr>
        <w:pStyle w:val="ListParagraph"/>
        <w:numPr>
          <w:ilvl w:val="0"/>
          <w:numId w:val="11"/>
        </w:numPr>
        <w:rPr/>
      </w:pPr>
      <w:r>
        <w:rPr/>
        <w:t xml:space="preserve">Cette distance sera diminuée en cas de courbe et selon la technologie employée de sorte à garantir la localisation du tronçon concerné dans la classe de précision A. </w:t>
      </w:r>
    </w:p>
    <w:p>
      <w:pPr>
        <w:pStyle w:val="ListParagraph"/>
        <w:numPr>
          <w:ilvl w:val="0"/>
          <w:numId w:val="11"/>
        </w:numPr>
        <w:rPr/>
      </w:pPr>
      <w:r>
        <w:rPr/>
        <w:t xml:space="preserve">Tous les points singuliers de type branchements, coudes, et autres changements de direction ou de dénivelé seront relevés. </w:t>
      </w:r>
    </w:p>
    <w:p>
      <w:pPr>
        <w:pStyle w:val="ListParagraph"/>
        <w:numPr>
          <w:ilvl w:val="0"/>
          <w:numId w:val="11"/>
        </w:numPr>
        <w:rPr/>
      </w:pPr>
      <w:r>
        <w:rPr/>
        <w:t>Pour les ouvrages et branchements non cartographiés, le relevé sera effectué tous les 2 mètres au minimum, ainsi que tous les changements de direction.</w:t>
      </w:r>
    </w:p>
    <w:p>
      <w:pPr>
        <w:pStyle w:val="Titre3GEOFIT"/>
        <w:numPr>
          <w:ilvl w:val="2"/>
          <w:numId w:val="3"/>
        </w:numPr>
        <w:ind w:left="792" w:hanging="567"/>
        <w:rPr/>
      </w:pPr>
      <w:r>
        <w:rPr/>
        <w:t>L</w:t>
      </w:r>
      <w:bookmarkStart w:id="52" w:name="_Toc163137741"/>
      <w:r>
        <w:rPr/>
        <w:t>evés topographiques</w:t>
      </w:r>
      <w:bookmarkEnd w:id="52"/>
    </w:p>
    <w:p>
      <w:pPr>
        <w:pStyle w:val="Titre4GEOFIT"/>
        <w:numPr>
          <w:ilvl w:val="3"/>
          <w:numId w:val="3"/>
        </w:numPr>
        <w:ind w:left="2098" w:hanging="1077"/>
        <w:rPr/>
      </w:pPr>
      <w:bookmarkStart w:id="53" w:name="_Toc163137742"/>
      <w:r>
        <w:rPr/>
        <w:t>Levés topographiques</w:t>
      </w:r>
      <w:bookmarkEnd w:id="53"/>
    </w:p>
    <w:p>
      <w:pPr>
        <w:pStyle w:val="Normal"/>
        <w:rPr/>
      </w:pPr>
      <w:r>
        <w:rPr/>
        <w:t>Les relevés de réseaux détectés et les rendus sur plan sont réalisés dans le respect à la fois de la norme NF-S-70-003-3, ainsi que d’une éventuelle charte graphique client (sur demande). En tant que géomètres-rédacteurs, nous endossons la responsabilité des relevés géoréférencés.</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0" allowOverlap="1" relativeHeight="88">
            <wp:simplePos x="0" y="0"/>
            <wp:positionH relativeFrom="column">
              <wp:posOffset>230505</wp:posOffset>
            </wp:positionH>
            <wp:positionV relativeFrom="paragraph">
              <wp:posOffset>34290</wp:posOffset>
            </wp:positionV>
            <wp:extent cx="5762625" cy="2743200"/>
            <wp:effectExtent l="0" t="0" r="0" b="0"/>
            <wp:wrapNone/>
            <wp:docPr id="36" name="Imag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16" descr=""/>
                    <pic:cNvPicPr>
                      <a:picLocks noChangeAspect="1" noChangeArrowheads="1"/>
                    </pic:cNvPicPr>
                  </pic:nvPicPr>
                  <pic:blipFill>
                    <a:blip r:embed="rId33"/>
                    <a:stretch>
                      <a:fillRect/>
                    </a:stretch>
                  </pic:blipFill>
                  <pic:spPr bwMode="auto">
                    <a:xfrm>
                      <a:off x="0" y="0"/>
                      <a:ext cx="5762625" cy="274320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 xml:space="preserve">Dans le but de supprimer les erreurs liées à des marquages rendus peu lisibles, les relevés de réseaux détectés sont réalisés par notre géomètre directement après la phase de vérification du technicien de détection. </w:t>
      </w:r>
    </w:p>
    <w:p>
      <w:pPr>
        <w:pStyle w:val="Normal"/>
        <w:rPr/>
      </w:pPr>
      <w:r>
        <w:rPr/>
        <w:t xml:space="preserve">Cette rapide exécution permet également au géomètre et au technicien de détection de mettre en relation leurs données respectives sur place et ainsi de se prémunir d’éventuelles incohérences. </w:t>
      </w:r>
    </w:p>
    <w:p>
      <w:pPr>
        <w:pStyle w:val="Normal"/>
        <w:rPr/>
      </w:pPr>
      <w:r>
        <w:rPr/>
        <w:t>Nous effectuons dans un premier temps le recalage en coordonnées (définies par le client), puis le relevé des marquages, affleurants et émergences.</w:t>
      </w:r>
    </w:p>
    <w:p>
      <w:pPr>
        <w:pStyle w:val="Titre4GEOFIT"/>
        <w:numPr>
          <w:ilvl w:val="3"/>
          <w:numId w:val="3"/>
        </w:numPr>
        <w:ind w:left="2098" w:hanging="1077"/>
        <w:rPr/>
      </w:pPr>
      <w:bookmarkStart w:id="54" w:name="_Toc163137743"/>
      <w:r>
        <w:rPr/>
        <w:t>Le recalage</w:t>
      </w:r>
      <w:bookmarkEnd w:id="54"/>
    </w:p>
    <w:p>
      <w:pPr>
        <w:pStyle w:val="Normal"/>
        <w:rPr/>
      </w:pPr>
      <w:r>
        <w:rPr/>
        <w:t>Chaque marquage est défini en coordonnées planimétriques CC45 (dans le référentiel RGF 93) et rattaché au système de Nivellement Général Français NGF IGN 69, conformément à la norme en vigueur.</w:t>
      </w:r>
    </w:p>
    <w:p>
      <w:pPr>
        <w:pStyle w:val="Titre4GEOFIT"/>
        <w:numPr>
          <w:ilvl w:val="3"/>
          <w:numId w:val="3"/>
        </w:numPr>
        <w:ind w:left="2098" w:hanging="1077"/>
        <w:rPr/>
      </w:pPr>
      <w:bookmarkStart w:id="55" w:name="_Toc163137744"/>
      <w:r>
        <w:rPr/>
        <w:t>Relevé des tracés de réseaux</w:t>
      </w:r>
      <w:bookmarkEnd w:id="55"/>
    </w:p>
    <w:p>
      <w:pPr>
        <w:pStyle w:val="Normal"/>
        <w:rPr>
          <w:u w:val="single"/>
        </w:rPr>
      </w:pPr>
      <w:r>
        <w:rPr>
          <w:u w:val="single"/>
        </w:rPr>
        <w:t>Technologie utilisée</w:t>
      </w:r>
    </w:p>
    <w:p>
      <w:pPr>
        <w:pStyle w:val="Normal"/>
        <w:rPr/>
      </w:pPr>
      <w:r>
        <w:rPr/>
      </w:r>
    </w:p>
    <w:p>
      <w:pPr>
        <w:pStyle w:val="Normal"/>
        <w:rPr/>
      </w:pPr>
      <w:r>
        <w:rPr/>
        <w:t xml:space="preserve">Afin de faire le géoréférencement du marquage, nous utilisons le système GPS ou la station totale robotisée dans les zones d’ombres du GPS. </w:t>
      </w:r>
    </w:p>
    <w:p>
      <w:pPr>
        <w:pStyle w:val="Normal"/>
        <w:rPr/>
      </w:pPr>
      <w:r>
        <w:rPr/>
      </w:r>
    </w:p>
    <w:p>
      <w:pPr>
        <w:pStyle w:val="Normal"/>
        <w:rPr/>
      </w:pPr>
      <w:r>
        <w:rPr/>
        <w:t>Notre matériel (GPS/Station totale) est couplé à une tablette tactile équipée du logiciel Autocad et son applicatif Land2Map, nous permettant de dessiner en temps réel sur le terrain.</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0" allowOverlap="1" relativeHeight="89">
            <wp:simplePos x="0" y="0"/>
            <wp:positionH relativeFrom="column">
              <wp:posOffset>1622425</wp:posOffset>
            </wp:positionH>
            <wp:positionV relativeFrom="paragraph">
              <wp:posOffset>41275</wp:posOffset>
            </wp:positionV>
            <wp:extent cx="2352675" cy="1743075"/>
            <wp:effectExtent l="0" t="0" r="0" b="0"/>
            <wp:wrapNone/>
            <wp:docPr id="37" name="Imag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17" descr=""/>
                    <pic:cNvPicPr>
                      <a:picLocks noChangeAspect="1" noChangeArrowheads="1"/>
                    </pic:cNvPicPr>
                  </pic:nvPicPr>
                  <pic:blipFill>
                    <a:blip r:embed="rId34"/>
                    <a:stretch>
                      <a:fillRect/>
                    </a:stretch>
                  </pic:blipFill>
                  <pic:spPr bwMode="auto">
                    <a:xfrm>
                      <a:off x="0" y="0"/>
                      <a:ext cx="2352675" cy="1743075"/>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 xml:space="preserve">Ce système très intuitif nous permet de vérifier la concordance entre les tracés des marquages et les tracés définis sur les plans fournis par les exploitants, afin d’éviter toute incohérence, oubli ou erreur de relevé. </w:t>
      </w:r>
    </w:p>
    <w:p>
      <w:pPr>
        <w:pStyle w:val="Normal"/>
        <w:rPr/>
      </w:pPr>
      <w:r>
        <w:rPr/>
        <w:t xml:space="preserve">Précision  </w:t>
      </w:r>
    </w:p>
    <w:p>
      <w:pPr>
        <w:pStyle w:val="Normal"/>
        <w:rPr/>
      </w:pPr>
      <w:r>
        <w:rPr/>
        <w:t xml:space="preserve">Chaque marquage est mesuré en trois dimensions (x, y, z) </w:t>
      </w:r>
    </w:p>
    <w:p>
      <w:pPr>
        <w:pStyle w:val="Normal"/>
        <w:rPr/>
      </w:pPr>
      <w:r>
        <w:rPr/>
        <w:t xml:space="preserve">-Station totale : ±0.5cm </w:t>
      </w:r>
    </w:p>
    <w:p>
      <w:pPr>
        <w:pStyle w:val="Normal"/>
        <w:rPr/>
      </w:pPr>
      <w:r>
        <w:rPr/>
        <w:t xml:space="preserve">-GPS : ±2cm  </w:t>
      </w:r>
    </w:p>
    <w:p>
      <w:pPr>
        <w:pStyle w:val="Normal"/>
        <w:rPr/>
      </w:pPr>
      <w:r>
        <w:rPr/>
      </w:r>
    </w:p>
    <w:p>
      <w:pPr>
        <w:pStyle w:val="Normal"/>
        <w:rPr/>
      </w:pPr>
      <w:r>
        <w:rPr/>
        <w:t>Nous estimons que l’imprécision du géoréférencement résultant des écarts de recalage et de mesure des marquages n’excède jamais 3 cm en planimétrie et 4 cm en altimétrie,</w:t>
      </w:r>
    </w:p>
    <w:p>
      <w:pPr>
        <w:pStyle w:val="Normal"/>
        <w:rPr/>
      </w:pPr>
      <w:r>
        <w:rPr/>
      </w:r>
    </w:p>
    <w:p>
      <w:pPr>
        <w:pStyle w:val="Normal"/>
        <w:rPr/>
      </w:pPr>
      <w:r>
        <w:rPr/>
        <w:t xml:space="preserve">Conformément à la norme NF-S-70-003-3, qui tolère des écarts supérieurs (10cm en planimétrie et 11cm en altimétrie). </w:t>
      </w:r>
    </w:p>
    <w:p>
      <w:pPr>
        <w:pStyle w:val="Normal"/>
        <w:rPr>
          <w:b/>
          <w:b/>
          <w:bCs/>
        </w:rPr>
      </w:pPr>
      <w:r>
        <w:rPr>
          <w:b/>
          <w:bCs/>
        </w:rPr>
        <w:t>Le nombre de points de mesure permet dans tous les cas de garantir la position du réseau dans la classe de précision A.</w:t>
      </w:r>
    </w:p>
    <w:p>
      <w:pPr>
        <w:pStyle w:val="Titre4GEOFIT"/>
        <w:numPr>
          <w:ilvl w:val="3"/>
          <w:numId w:val="3"/>
        </w:numPr>
        <w:ind w:left="2098" w:hanging="1077"/>
        <w:rPr/>
      </w:pPr>
      <w:bookmarkStart w:id="56" w:name="_Toc163137745"/>
      <w:r>
        <w:rPr/>
        <w:t>Édition du plan de détection</w:t>
      </w:r>
      <w:bookmarkEnd w:id="56"/>
    </w:p>
    <w:p>
      <w:pPr>
        <w:pStyle w:val="Normal"/>
        <w:rPr/>
      </w:pPr>
      <w:r>
        <w:rPr/>
        <w:t xml:space="preserve">Ce présent rapport et le plan de détection des réseaux forment un ensemble indissociable. </w:t>
      </w:r>
    </w:p>
    <w:p>
      <w:pPr>
        <w:pStyle w:val="Normal"/>
        <w:rPr/>
      </w:pPr>
      <w:r>
        <w:rPr/>
        <w:t xml:space="preserve">Sur la mise en page de chacun de nos plans sont indiqués l'ensemble des données liées à la </w:t>
      </w:r>
    </w:p>
    <w:p>
      <w:pPr>
        <w:pStyle w:val="Normal"/>
        <w:rPr/>
      </w:pPr>
      <w:r>
        <w:rPr/>
        <w:t xml:space="preserve">Détection en application de la norme NF-S 070 003-3. </w:t>
      </w:r>
    </w:p>
    <w:p>
      <w:pPr>
        <w:pStyle w:val="Normal"/>
        <w:rPr/>
      </w:pPr>
      <w:r>
        <w:rPr/>
      </w:r>
    </w:p>
    <w:p>
      <w:pPr>
        <w:pStyle w:val="Normal"/>
        <w:rPr>
          <w:u w:val="single"/>
        </w:rPr>
      </w:pPr>
      <w:r>
        <w:rPr>
          <w:u w:val="single"/>
        </w:rPr>
        <w:t xml:space="preserve">Méthodologie  </w:t>
      </w:r>
    </w:p>
    <w:p>
      <w:pPr>
        <w:pStyle w:val="Normal"/>
        <w:rPr/>
      </w:pPr>
      <w:r>
        <w:rPr/>
      </w:r>
    </w:p>
    <w:p>
      <w:pPr>
        <w:pStyle w:val="Normal"/>
        <w:rPr/>
      </w:pPr>
      <w:r>
        <w:rPr/>
        <w:t xml:space="preserve">Nous utilisons les présentations (espace papier) Autocad. </w:t>
      </w:r>
    </w:p>
    <w:p>
      <w:pPr>
        <w:pStyle w:val="Normal"/>
        <w:rPr/>
      </w:pPr>
      <w:r>
        <w:rPr/>
        <w:t xml:space="preserve">Chaque couche de réseaux correspond à un concessionnaire. </w:t>
      </w:r>
    </w:p>
    <w:p>
      <w:pPr>
        <w:pStyle w:val="Normal"/>
        <w:rPr/>
      </w:pPr>
      <w:r>
        <w:rPr/>
      </w:r>
    </w:p>
    <w:p>
      <w:pPr>
        <w:pStyle w:val="Normal"/>
        <w:rPr/>
      </w:pPr>
      <w:r>
        <w:rPr/>
        <w:t xml:space="preserve">Les données du relevé sont recalées sur le plan topographique simplifié du site. </w:t>
      </w:r>
    </w:p>
    <w:p>
      <w:pPr>
        <w:pStyle w:val="Normal"/>
        <w:rPr/>
      </w:pPr>
      <w:r>
        <w:rPr/>
      </w:r>
    </w:p>
    <w:p>
      <w:pPr>
        <w:pStyle w:val="Normal"/>
        <w:rPr/>
      </w:pPr>
      <w:r>
        <w:rPr/>
        <w:t xml:space="preserve">Les réseaux sont représentés par leurs linéaires associés. Les altitudes N.G.F. des génératrices supérieures sont dessinées dans la couleur associée au réseau (charte graphique client) </w:t>
      </w:r>
    </w:p>
    <w:p>
      <w:pPr>
        <w:pStyle w:val="Normal"/>
        <w:rPr/>
      </w:pPr>
      <w:r>
        <w:rPr/>
      </w:r>
    </w:p>
    <w:p>
      <w:pPr>
        <w:pStyle w:val="Normal"/>
        <w:rPr/>
      </w:pPr>
      <w:r>
        <w:rPr/>
        <w:t>Les épaisseurs et styles de traits (Autocad) de linéaire correspondent aux différentes classes de précisions.</w:t>
      </w:r>
    </w:p>
    <w:p>
      <w:pPr>
        <w:pStyle w:val="Normal"/>
        <w:rPr/>
      </w:pPr>
      <w:r>
        <w:rPr/>
      </w:r>
    </w:p>
    <w:p>
      <w:pPr>
        <w:pStyle w:val="Normal"/>
        <w:rPr/>
      </w:pPr>
      <w:r>
        <w:rPr/>
        <w:drawing>
          <wp:inline distT="0" distB="0" distL="0" distR="0">
            <wp:extent cx="5762625" cy="2124075"/>
            <wp:effectExtent l="0" t="0" r="0" b="0"/>
            <wp:docPr id="38" name="Imag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18" descr=""/>
                    <pic:cNvPicPr>
                      <a:picLocks noChangeAspect="1" noChangeArrowheads="1"/>
                    </pic:cNvPicPr>
                  </pic:nvPicPr>
                  <pic:blipFill>
                    <a:blip r:embed="rId35"/>
                    <a:stretch>
                      <a:fillRect/>
                    </a:stretch>
                  </pic:blipFill>
                  <pic:spPr bwMode="auto">
                    <a:xfrm>
                      <a:off x="0" y="0"/>
                      <a:ext cx="5762625" cy="2124075"/>
                    </a:xfrm>
                    <a:prstGeom prst="rect">
                      <a:avLst/>
                    </a:prstGeom>
                  </pic:spPr>
                </pic:pic>
              </a:graphicData>
            </a:graphic>
          </wp:inline>
        </w:drawing>
      </w:r>
    </w:p>
    <w:p>
      <w:pPr>
        <w:pStyle w:val="Normal"/>
        <w:rPr/>
      </w:pPr>
      <w:r>
        <w:rPr/>
      </w:r>
    </w:p>
    <w:p>
      <w:pPr>
        <w:pStyle w:val="Normal"/>
        <w:rPr/>
      </w:pPr>
      <w:r>
        <w:rPr/>
        <w:t xml:space="preserve">En fonction des difficultés rencontrées lors de la détection, des zones d’emprise multi- réseaux et d’incertitude sont susceptibles d’être définies. </w:t>
      </w:r>
    </w:p>
    <w:p>
      <w:pPr>
        <w:pStyle w:val="Normal"/>
        <w:rPr/>
      </w:pPr>
      <w:r>
        <w:rPr/>
      </w:r>
    </w:p>
    <w:p>
      <w:pPr>
        <w:pStyle w:val="Normal"/>
        <w:rPr/>
      </w:pPr>
      <w:r>
        <w:rPr/>
        <w:t>Nous rajoutons sur le plan les éventuels réseaux sensibles non détectés, mais existants sur les plans de l’exploitant dans la classe de précision définie par lui-même</w:t>
      </w:r>
    </w:p>
    <w:p>
      <w:pPr>
        <w:pStyle w:val="Normal"/>
        <w:rPr/>
      </w:pPr>
      <w:r>
        <w:rPr/>
      </w:r>
    </w:p>
    <w:p>
      <w:pPr>
        <w:pStyle w:val="Normal"/>
        <w:rPr/>
      </w:pPr>
      <w:r>
        <w:rPr/>
      </w:r>
    </w:p>
    <w:p>
      <w:pPr>
        <w:pStyle w:val="Normal"/>
        <w:rPr/>
      </w:pPr>
      <w:r>
        <w:rPr/>
      </w:r>
    </w:p>
    <w:p>
      <w:pPr>
        <w:pStyle w:val="Normal"/>
        <w:spacing w:lineRule="auto" w:line="240"/>
        <w:jc w:val="left"/>
        <w:rPr/>
      </w:pPr>
      <w:r>
        <w:rPr/>
      </w:r>
      <w:r>
        <w:br w:type="page"/>
      </w:r>
    </w:p>
    <w:p>
      <w:pPr>
        <w:pStyle w:val="Titre1GEOFIT"/>
        <w:numPr>
          <w:ilvl w:val="0"/>
          <w:numId w:val="3"/>
        </w:numPr>
        <w:ind w:left="567" w:hanging="567"/>
        <w:rPr/>
      </w:pPr>
      <w:bookmarkStart w:id="57" w:name="_Toc163137746"/>
      <w:r>
        <w:rPr/>
        <w:t>ANNEXES</w:t>
      </w:r>
      <w:bookmarkEnd w:id="57"/>
    </w:p>
    <w:p>
      <w:pPr>
        <w:pStyle w:val="Titre2GEOFIT"/>
        <w:numPr>
          <w:ilvl w:val="1"/>
          <w:numId w:val="3"/>
        </w:numPr>
        <w:ind w:left="792" w:hanging="567"/>
        <w:rPr/>
      </w:pPr>
      <w:bookmarkStart w:id="58" w:name="_Toc163137747"/>
      <w:r>
        <w:rPr/>
        <w:t>ANNEXE 1 : RÉALIMENTATION EN VIGUEUR DANS LE CADRE DE NOS MISSIONS DE DÉTECTION ET DE GÉORÉFÉRENCEMENT DE R</w:t>
      </w:r>
      <w:bookmarkEnd w:id="58"/>
      <w:r>
        <w:rPr/>
        <w:t>ÉSEAUX</w:t>
      </w:r>
    </w:p>
    <w:p>
      <w:pPr>
        <w:pStyle w:val="ListParagraph"/>
        <w:numPr>
          <w:ilvl w:val="0"/>
          <w:numId w:val="12"/>
        </w:numPr>
        <w:rPr/>
      </w:pPr>
      <w:r>
        <w:rPr/>
        <w:t>Décret n° 2011</w:t>
      </w:r>
      <w:r>
        <w:rPr>
          <w:rFonts w:cs="Cambria Math" w:ascii="Cambria Math" w:hAnsi="Cambria Math"/>
        </w:rPr>
        <w:t>‐</w:t>
      </w:r>
      <w:r>
        <w:rPr/>
        <w:t>1241 du 5 octobre 2011 relatif à l'exécution de travaux à proximité de certains ouvrages souterrains, aériens ou subaquatiques de transport ou de distribution.</w:t>
      </w:r>
    </w:p>
    <w:p>
      <w:pPr>
        <w:pStyle w:val="ListParagraph"/>
        <w:numPr>
          <w:ilvl w:val="0"/>
          <w:numId w:val="12"/>
        </w:numPr>
        <w:rPr/>
      </w:pPr>
      <w:r>
        <w:rPr/>
        <w:t>Décret n°2014</w:t>
      </w:r>
      <w:r>
        <w:rPr>
          <w:rFonts w:cs="Cambria Math" w:ascii="Cambria Math" w:hAnsi="Cambria Math"/>
        </w:rPr>
        <w:t>‐</w:t>
      </w:r>
      <w:r>
        <w:rPr/>
        <w:t>627 du 17 juin 2014 relatif aux travaux effectués à proximité des réseaux de transport et de distribution.</w:t>
      </w:r>
    </w:p>
    <w:p>
      <w:pPr>
        <w:pStyle w:val="ListParagraph"/>
        <w:numPr>
          <w:ilvl w:val="0"/>
          <w:numId w:val="12"/>
        </w:numPr>
        <w:rPr/>
      </w:pPr>
      <w:r>
        <w:rPr/>
        <w:t>Article 219 de la loi Grenelle 2 n°2010</w:t>
      </w:r>
      <w:r>
        <w:rPr>
          <w:rFonts w:cs="Cambria Math" w:ascii="Cambria Math" w:hAnsi="Cambria Math"/>
        </w:rPr>
        <w:t>‐</w:t>
      </w:r>
      <w:r>
        <w:rPr/>
        <w:t>788 du 12 juillet 2010.</w:t>
      </w:r>
    </w:p>
    <w:p>
      <w:pPr>
        <w:pStyle w:val="ListParagraph"/>
        <w:numPr>
          <w:ilvl w:val="0"/>
          <w:numId w:val="12"/>
        </w:numPr>
        <w:rPr/>
      </w:pPr>
      <w:r>
        <w:rPr/>
        <w:t>Articles L. 554</w:t>
      </w:r>
      <w:r>
        <w:rPr>
          <w:rFonts w:cs="Cambria Math" w:ascii="Cambria Math" w:hAnsi="Cambria Math"/>
        </w:rPr>
        <w:t>‐</w:t>
      </w:r>
      <w:r>
        <w:rPr/>
        <w:t>1 à L. 554</w:t>
      </w:r>
      <w:r>
        <w:rPr>
          <w:rFonts w:cs="Cambria Math" w:ascii="Cambria Math" w:hAnsi="Cambria Math"/>
        </w:rPr>
        <w:t>‐</w:t>
      </w:r>
      <w:r>
        <w:rPr/>
        <w:t>5 du code de l’environnement.</w:t>
      </w:r>
    </w:p>
    <w:p>
      <w:pPr>
        <w:pStyle w:val="ListParagraph"/>
        <w:numPr>
          <w:ilvl w:val="0"/>
          <w:numId w:val="12"/>
        </w:numPr>
        <w:rPr/>
      </w:pPr>
      <w:r>
        <w:rPr/>
        <w:t>Articles R. 554</w:t>
      </w:r>
      <w:r>
        <w:rPr>
          <w:rFonts w:cs="Cambria Math" w:ascii="Cambria Math" w:hAnsi="Cambria Math"/>
        </w:rPr>
        <w:t>‐</w:t>
      </w:r>
      <w:r>
        <w:rPr/>
        <w:t>1 à R. 554</w:t>
      </w:r>
      <w:r>
        <w:rPr>
          <w:rFonts w:cs="Cambria Math" w:ascii="Cambria Math" w:hAnsi="Cambria Math"/>
        </w:rPr>
        <w:t>‐</w:t>
      </w:r>
      <w:r>
        <w:rPr/>
        <w:t>38 du code de l’environnement.</w:t>
      </w:r>
    </w:p>
    <w:p>
      <w:pPr>
        <w:pStyle w:val="ListParagraph"/>
        <w:numPr>
          <w:ilvl w:val="0"/>
          <w:numId w:val="12"/>
        </w:numPr>
        <w:rPr/>
      </w:pPr>
      <w:r>
        <w:rPr/>
        <w:t>Arrêté du 15 février 2012 pris en application du chapitre IV du titre V du livre V du code de l'environnement relatif à l'exécution de travaux à proximité de certains ouvrages souterrains, aériens ou subaquatiques de transport ou de distribution (JORF n° 0045 du 22 février 2012).</w:t>
      </w:r>
    </w:p>
    <w:p>
      <w:pPr>
        <w:pStyle w:val="ListParagraph"/>
        <w:numPr>
          <w:ilvl w:val="0"/>
          <w:numId w:val="12"/>
        </w:numPr>
        <w:rPr/>
      </w:pPr>
      <w:r>
        <w:rPr/>
        <w:t>Arrêté du 28 juin 2012 pris en application de l’arrêté du 15 février 2012 d’application du code de l’environnement relatif à l’exécution de travaux à proximité de certains ouvrages souterrains, aériens ou subaquatiques de transport ou de distribution.</w:t>
      </w:r>
    </w:p>
    <w:p>
      <w:pPr>
        <w:pStyle w:val="ListParagraph"/>
        <w:numPr>
          <w:ilvl w:val="0"/>
          <w:numId w:val="12"/>
        </w:numPr>
        <w:rPr/>
      </w:pPr>
      <w:r>
        <w:rPr/>
        <w:t>Arrêté du 30 juin 2012 portant approbation de prescriptions techniques prévues à l’article R. 554</w:t>
      </w:r>
      <w:r>
        <w:rPr>
          <w:rFonts w:cs="Cambria Math" w:ascii="Cambria Math" w:hAnsi="Cambria Math"/>
        </w:rPr>
        <w:t>‐</w:t>
      </w:r>
      <w:r>
        <w:rPr/>
        <w:t>29 du code de l’environnement.</w:t>
      </w:r>
    </w:p>
    <w:p>
      <w:pPr>
        <w:pStyle w:val="ListParagraph"/>
        <w:numPr>
          <w:ilvl w:val="0"/>
          <w:numId w:val="12"/>
        </w:numPr>
        <w:rPr/>
      </w:pPr>
      <w:r>
        <w:rPr/>
        <w:t>Arrêté du 19 juin 2014 pris en application du IV de l’article 3 de l’arrêté du 15 février 2012 modifié relatif à l’exécution de travaux à proximité de certains ouvrages souterrains, aériens ou subaquatiques de transport ou de distribution.</w:t>
      </w:r>
    </w:p>
    <w:p>
      <w:pPr>
        <w:pStyle w:val="ListParagraph"/>
        <w:numPr>
          <w:ilvl w:val="0"/>
          <w:numId w:val="12"/>
        </w:numPr>
        <w:rPr/>
      </w:pPr>
      <w:r>
        <w:rPr/>
        <w:t>Arrêté du 18 juin 2014 modifiant divers arrêtés relatifs à l’exécution de travaux à proximité des réseaux de transport et de distribution et au téléservice « reseaux</w:t>
      </w:r>
      <w:r>
        <w:rPr>
          <w:rFonts w:cs="Cambria Math" w:ascii="Cambria Math" w:hAnsi="Cambria Math"/>
        </w:rPr>
        <w:t>‐</w:t>
      </w:r>
      <w:r>
        <w:rPr/>
        <w:t>et</w:t>
      </w:r>
      <w:r>
        <w:rPr>
          <w:rFonts w:cs="Cambria Math" w:ascii="Cambria Math" w:hAnsi="Cambria Math"/>
        </w:rPr>
        <w:t>‐</w:t>
      </w:r>
      <w:r>
        <w:rPr/>
        <w:t>canalisations.gouv.fr ».</w:t>
      </w:r>
    </w:p>
    <w:p>
      <w:pPr>
        <w:pStyle w:val="ListParagraph"/>
        <w:numPr>
          <w:ilvl w:val="0"/>
          <w:numId w:val="12"/>
        </w:numPr>
        <w:rPr/>
      </w:pPr>
      <w:r>
        <w:rPr/>
        <w:t>Arrêté du 19 février 2013, encadrant la certification des prestataires en géoréférencement et en détection des réseaux et mettant à jour des fonctionnalités du téléservice "réseaux</w:t>
      </w:r>
      <w:r>
        <w:rPr>
          <w:rFonts w:cs="Cambria Math" w:ascii="Cambria Math" w:hAnsi="Cambria Math"/>
        </w:rPr>
        <w:t>‐</w:t>
      </w:r>
      <w:r>
        <w:rPr/>
        <w:t>et</w:t>
      </w:r>
      <w:r>
        <w:rPr>
          <w:rFonts w:cs="Cambria Math" w:ascii="Cambria Math" w:hAnsi="Cambria Math"/>
        </w:rPr>
        <w:t>‐</w:t>
      </w:r>
      <w:r>
        <w:rPr/>
        <w:t>canalisations.gouv.fr ».</w:t>
      </w:r>
    </w:p>
    <w:p>
      <w:pPr>
        <w:pStyle w:val="ListParagraph"/>
        <w:numPr>
          <w:ilvl w:val="0"/>
          <w:numId w:val="12"/>
        </w:numPr>
        <w:rPr/>
      </w:pPr>
      <w:r>
        <w:rPr/>
        <w:t>Arrêté du 22 décembre 2010 modifié fixant les modalités de fonctionnement du guichet unique prévu.</w:t>
      </w:r>
    </w:p>
    <w:p>
      <w:pPr>
        <w:pStyle w:val="ListParagraph"/>
        <w:numPr>
          <w:ilvl w:val="0"/>
          <w:numId w:val="12"/>
        </w:numPr>
        <w:rPr/>
      </w:pPr>
      <w:r>
        <w:rPr/>
        <w:t>À l'article L. 554</w:t>
      </w:r>
      <w:r>
        <w:rPr>
          <w:rFonts w:cs="Cambria Math" w:ascii="Cambria Math" w:hAnsi="Cambria Math"/>
        </w:rPr>
        <w:t>‐</w:t>
      </w:r>
      <w:r>
        <w:rPr/>
        <w:t>2 du code de l'environnement (JORF n° 0048 du 26 février 2011) – décret du 20 décembre 2010.</w:t>
      </w:r>
    </w:p>
    <w:p>
      <w:pPr>
        <w:pStyle w:val="Normal"/>
        <w:rPr/>
      </w:pPr>
      <w:r>
        <w:rPr/>
      </w:r>
    </w:p>
    <w:p>
      <w:pPr>
        <w:pStyle w:val="ListParagraph"/>
        <w:numPr>
          <w:ilvl w:val="0"/>
          <w:numId w:val="12"/>
        </w:numPr>
        <w:rPr/>
      </w:pPr>
      <w:r>
        <w:rPr/>
        <w:t>Arrêté du 23 décembre 2010 relatif aux obligations des exploitants d'ouvrages et des prestataires d'aide envers le téléservice « reseaux</w:t>
      </w:r>
      <w:r>
        <w:rPr>
          <w:rFonts w:cs="Cambria Math" w:ascii="Cambria Math" w:hAnsi="Cambria Math"/>
        </w:rPr>
        <w:t>‐</w:t>
      </w:r>
      <w:r>
        <w:rPr/>
        <w:t>et</w:t>
      </w:r>
      <w:r>
        <w:rPr>
          <w:rFonts w:cs="Cambria Math" w:ascii="Cambria Math" w:hAnsi="Cambria Math"/>
        </w:rPr>
        <w:t>‐</w:t>
      </w:r>
      <w:r>
        <w:rPr/>
        <w:t>canalisations.gouv.fr » (JORF n° 0301 du 29 décembre 2010).</w:t>
      </w:r>
    </w:p>
    <w:p>
      <w:pPr>
        <w:pStyle w:val="ListParagraph"/>
        <w:numPr>
          <w:ilvl w:val="0"/>
          <w:numId w:val="12"/>
        </w:numPr>
        <w:rPr/>
      </w:pPr>
      <w:r>
        <w:rPr/>
        <w:t>Décret 2012</w:t>
      </w:r>
      <w:r>
        <w:rPr>
          <w:rFonts w:cs="Cambria Math" w:ascii="Cambria Math" w:hAnsi="Cambria Math"/>
        </w:rPr>
        <w:t>‐</w:t>
      </w:r>
      <w:r>
        <w:rPr/>
        <w:t>970 du 20 aout 2012 relatif aux travaux effectués à proximité des réseaux de transport et de distribution</w:t>
      </w:r>
    </w:p>
    <w:p>
      <w:pPr>
        <w:pStyle w:val="ListParagraph"/>
        <w:numPr>
          <w:ilvl w:val="0"/>
          <w:numId w:val="27"/>
        </w:numPr>
        <w:rPr/>
      </w:pPr>
      <w:r>
        <w:rPr/>
        <w:t>Articles R. 4534</w:t>
      </w:r>
      <w:r>
        <w:rPr>
          <w:rFonts w:cs="Cambria Math" w:ascii="Cambria Math" w:hAnsi="Cambria Math"/>
        </w:rPr>
        <w:t>‐</w:t>
      </w:r>
      <w:r>
        <w:rPr/>
        <w:t>107 à R. 4534</w:t>
      </w:r>
      <w:r>
        <w:rPr>
          <w:rFonts w:cs="Cambria Math" w:ascii="Cambria Math" w:hAnsi="Cambria Math"/>
        </w:rPr>
        <w:t>‐</w:t>
      </w:r>
      <w:r>
        <w:rPr/>
        <w:t>125 du code du travail.</w:t>
      </w:r>
    </w:p>
    <w:p>
      <w:pPr>
        <w:pStyle w:val="ListParagraph"/>
        <w:numPr>
          <w:ilvl w:val="0"/>
          <w:numId w:val="26"/>
        </w:numPr>
        <w:rPr/>
      </w:pPr>
      <w:r>
        <w:rPr/>
        <w:t>Article R. 512</w:t>
      </w:r>
      <w:r>
        <w:rPr>
          <w:rFonts w:cs="Cambria Math" w:ascii="Cambria Math" w:hAnsi="Cambria Math"/>
        </w:rPr>
        <w:t>‐</w:t>
      </w:r>
      <w:r>
        <w:rPr/>
        <w:t>32 du code du travail.</w:t>
      </w:r>
    </w:p>
    <w:p>
      <w:pPr>
        <w:pStyle w:val="ListParagraph"/>
        <w:numPr>
          <w:ilvl w:val="0"/>
          <w:numId w:val="25"/>
        </w:numPr>
        <w:rPr/>
      </w:pPr>
      <w:r>
        <w:rPr/>
        <w:t>Article R. 4534</w:t>
      </w:r>
      <w:r>
        <w:rPr>
          <w:rFonts w:cs="Cambria Math" w:ascii="Cambria Math" w:hAnsi="Cambria Math"/>
        </w:rPr>
        <w:t>‐</w:t>
      </w:r>
      <w:r>
        <w:rPr/>
        <w:t>107 du code du travail.</w:t>
      </w:r>
    </w:p>
    <w:p>
      <w:pPr>
        <w:pStyle w:val="ListParagraph"/>
        <w:numPr>
          <w:ilvl w:val="0"/>
          <w:numId w:val="24"/>
        </w:numPr>
        <w:rPr/>
      </w:pPr>
      <w:r>
        <w:rPr/>
        <w:t>Article L. 211</w:t>
      </w:r>
      <w:r>
        <w:rPr>
          <w:rFonts w:cs="Cambria Math" w:ascii="Cambria Math" w:hAnsi="Cambria Math"/>
        </w:rPr>
        <w:t>‐</w:t>
      </w:r>
      <w:r>
        <w:rPr/>
        <w:t>4 du code général de la propriété des personnes publiques.</w:t>
      </w:r>
    </w:p>
    <w:p>
      <w:pPr>
        <w:pStyle w:val="ListParagraph"/>
        <w:numPr>
          <w:ilvl w:val="0"/>
          <w:numId w:val="23"/>
        </w:numPr>
        <w:rPr/>
      </w:pPr>
      <w:r>
        <w:rPr/>
        <w:t>Article L. 141</w:t>
      </w:r>
      <w:r>
        <w:rPr>
          <w:rFonts w:cs="Cambria Math" w:ascii="Cambria Math" w:hAnsi="Cambria Math"/>
        </w:rPr>
        <w:t>‐</w:t>
      </w:r>
      <w:r>
        <w:rPr/>
        <w:t>11 du code de la voirie routière.</w:t>
      </w:r>
    </w:p>
    <w:p>
      <w:pPr>
        <w:pStyle w:val="ListParagraph"/>
        <w:numPr>
          <w:ilvl w:val="0"/>
          <w:numId w:val="22"/>
        </w:numPr>
        <w:rPr/>
      </w:pPr>
      <w:r>
        <w:rPr/>
        <w:t>Articles R. 4534</w:t>
      </w:r>
      <w:r>
        <w:rPr>
          <w:rFonts w:cs="Cambria Math" w:ascii="Cambria Math" w:hAnsi="Cambria Math"/>
        </w:rPr>
        <w:t>‐</w:t>
      </w:r>
      <w:r>
        <w:rPr/>
        <w:t>108 à R. 4534</w:t>
      </w:r>
      <w:r>
        <w:rPr>
          <w:rFonts w:cs="Cambria Math" w:ascii="Cambria Math" w:hAnsi="Cambria Math"/>
        </w:rPr>
        <w:t>‐</w:t>
      </w:r>
      <w:r>
        <w:rPr/>
        <w:t>110 du code du travail.</w:t>
      </w:r>
    </w:p>
    <w:p>
      <w:pPr>
        <w:pStyle w:val="ListParagraph"/>
        <w:numPr>
          <w:ilvl w:val="0"/>
          <w:numId w:val="21"/>
        </w:numPr>
        <w:rPr/>
      </w:pPr>
      <w:r>
        <w:rPr/>
        <w:t>Décret 92</w:t>
      </w:r>
      <w:r>
        <w:rPr>
          <w:rFonts w:cs="Cambria Math" w:ascii="Cambria Math" w:hAnsi="Cambria Math"/>
        </w:rPr>
        <w:t>‐</w:t>
      </w:r>
      <w:r>
        <w:rPr/>
        <w:t>158 du 20 février 1992 complétant le code du travail et fixant les prescriptions particulières d'hygiène et de sécurité applicables aux travaux effectués dans un établissement par une entreprise extérieure</w:t>
      </w:r>
    </w:p>
    <w:p>
      <w:pPr>
        <w:pStyle w:val="ListParagraph"/>
        <w:numPr>
          <w:ilvl w:val="0"/>
          <w:numId w:val="20"/>
        </w:numPr>
        <w:rPr/>
      </w:pPr>
      <w:r>
        <w:rPr/>
        <w:t>Loi 93</w:t>
      </w:r>
      <w:r>
        <w:rPr>
          <w:rFonts w:cs="Cambria Math" w:ascii="Cambria Math" w:hAnsi="Cambria Math"/>
        </w:rPr>
        <w:t>‐</w:t>
      </w:r>
      <w:r>
        <w:rPr/>
        <w:t>1418 du 31 décembre 1993 modifiant les dispositions du code du travail applicables aux opérations de bâtiment et de génie civil en vue d’assurer la sécurité et de protéger la santé des travailleurs et portant transposition de la directive du Conseil des communautés européennes n° 92</w:t>
      </w:r>
      <w:r>
        <w:rPr>
          <w:rFonts w:cs="Cambria Math" w:ascii="Cambria Math" w:hAnsi="Cambria Math"/>
        </w:rPr>
        <w:t>‐</w:t>
      </w:r>
      <w:r>
        <w:rPr/>
        <w:t>57 en date du 24 juin 1992.</w:t>
      </w:r>
    </w:p>
    <w:p>
      <w:pPr>
        <w:pStyle w:val="ListParagraph"/>
        <w:numPr>
          <w:ilvl w:val="0"/>
          <w:numId w:val="19"/>
        </w:numPr>
        <w:rPr/>
      </w:pPr>
      <w:r>
        <w:rPr/>
        <w:t>Décret 94</w:t>
      </w:r>
      <w:r>
        <w:rPr>
          <w:rFonts w:cs="Cambria Math" w:ascii="Cambria Math" w:hAnsi="Cambria Math"/>
        </w:rPr>
        <w:t>‐</w:t>
      </w:r>
      <w:r>
        <w:rPr/>
        <w:t>1159 du 26 décembre 1994 relatif à l’intégration de la sécurité et à l’organisation de la coordination en matière de sécurité et de protection de la santé lors des opérations de bâtiment ou de génie civil et modifiant le code du travail.</w:t>
      </w:r>
    </w:p>
    <w:p>
      <w:pPr>
        <w:pStyle w:val="ListParagraph"/>
        <w:numPr>
          <w:ilvl w:val="0"/>
          <w:numId w:val="18"/>
        </w:numPr>
        <w:rPr/>
      </w:pPr>
      <w:r>
        <w:rPr/>
        <w:t>Articles R. 4534</w:t>
      </w:r>
      <w:r>
        <w:rPr>
          <w:rFonts w:cs="Cambria Math" w:ascii="Cambria Math" w:hAnsi="Cambria Math"/>
        </w:rPr>
        <w:t>‐</w:t>
      </w:r>
      <w:r>
        <w:rPr/>
        <w:t>111 à R. 4534</w:t>
      </w:r>
      <w:r>
        <w:rPr>
          <w:rFonts w:cs="Cambria Math" w:ascii="Cambria Math" w:hAnsi="Cambria Math"/>
        </w:rPr>
        <w:t>‐</w:t>
      </w:r>
      <w:r>
        <w:rPr/>
        <w:t>123 du code du travail.</w:t>
      </w:r>
    </w:p>
    <w:p>
      <w:pPr>
        <w:pStyle w:val="ListParagraph"/>
        <w:numPr>
          <w:ilvl w:val="0"/>
          <w:numId w:val="17"/>
        </w:numPr>
        <w:rPr/>
      </w:pPr>
      <w:r>
        <w:rPr/>
        <w:t>Articles R. 4534</w:t>
      </w:r>
      <w:r>
        <w:rPr>
          <w:rFonts w:cs="Cambria Math" w:ascii="Cambria Math" w:hAnsi="Cambria Math"/>
        </w:rPr>
        <w:t>‐</w:t>
      </w:r>
      <w:r>
        <w:rPr/>
        <w:t>107 à R. 4534</w:t>
      </w:r>
      <w:r>
        <w:rPr>
          <w:rFonts w:cs="Cambria Math" w:ascii="Cambria Math" w:hAnsi="Cambria Math"/>
        </w:rPr>
        <w:t>‐</w:t>
      </w:r>
      <w:r>
        <w:rPr/>
        <w:t>130 du code du travail.</w:t>
      </w:r>
    </w:p>
    <w:p>
      <w:pPr>
        <w:pStyle w:val="ListParagraph"/>
        <w:numPr>
          <w:ilvl w:val="0"/>
          <w:numId w:val="16"/>
        </w:numPr>
        <w:rPr/>
      </w:pPr>
      <w:r>
        <w:rPr/>
        <w:t>Décret n° 98</w:t>
      </w:r>
      <w:r>
        <w:rPr>
          <w:rFonts w:cs="Cambria Math" w:ascii="Cambria Math" w:hAnsi="Cambria Math"/>
        </w:rPr>
        <w:t>‐</w:t>
      </w:r>
      <w:r>
        <w:rPr/>
        <w:t>1084 du 2 décembre 1998.</w:t>
      </w:r>
    </w:p>
    <w:p>
      <w:pPr>
        <w:pStyle w:val="ListParagraph"/>
        <w:numPr>
          <w:ilvl w:val="0"/>
          <w:numId w:val="16"/>
        </w:numPr>
        <w:rPr/>
      </w:pPr>
      <w:r>
        <w:rPr/>
        <w:t>Article R. 6351</w:t>
      </w:r>
      <w:r>
        <w:rPr>
          <w:rFonts w:cs="Cambria Math" w:ascii="Cambria Math" w:hAnsi="Cambria Math"/>
        </w:rPr>
        <w:t>‐</w:t>
      </w:r>
      <w:r>
        <w:rPr/>
        <w:t>6 du code du travail.</w:t>
      </w:r>
    </w:p>
    <w:p>
      <w:pPr>
        <w:pStyle w:val="ListParagraph"/>
        <w:numPr>
          <w:ilvl w:val="0"/>
          <w:numId w:val="15"/>
        </w:numPr>
        <w:rPr/>
      </w:pPr>
      <w:r>
        <w:rPr/>
        <w:t>Décret n° 91</w:t>
      </w:r>
      <w:r>
        <w:rPr>
          <w:rFonts w:cs="Cambria Math" w:ascii="Cambria Math" w:hAnsi="Cambria Math"/>
        </w:rPr>
        <w:t>‐</w:t>
      </w:r>
      <w:r>
        <w:rPr/>
        <w:t>1147 du 14 octobre 1991 relatif à l'exécution de travaux à proximité de certains ouvrages souterrains, aériens ou subaquatiques de transport ou de distribution (JORF n° 262 du 9 novembre 1991).</w:t>
      </w:r>
    </w:p>
    <w:p>
      <w:pPr>
        <w:pStyle w:val="ListParagraph"/>
        <w:numPr>
          <w:ilvl w:val="0"/>
          <w:numId w:val="14"/>
        </w:numPr>
        <w:rPr/>
      </w:pPr>
      <w:r>
        <w:rPr/>
        <w:t>Avis du 29 juin 2012 du medde relatif à l'analyse de la régularité des déclarations préalables aux travaux</w:t>
      </w:r>
    </w:p>
    <w:p>
      <w:pPr>
        <w:pStyle w:val="ListParagraph"/>
        <w:numPr>
          <w:ilvl w:val="0"/>
          <w:numId w:val="13"/>
        </w:numPr>
        <w:rPr/>
      </w:pPr>
      <w:r>
        <w:rPr/>
        <w:t>Guide technique 2012 relatif aux travaux effectués à proximité des réseaux.</w:t>
        <w:tab/>
        <w:t>Normes NF</w:t>
      </w:r>
      <w:r>
        <w:rPr>
          <w:rFonts w:cs="Cambria Math" w:ascii="Cambria Math" w:hAnsi="Cambria Math"/>
        </w:rPr>
        <w:t>‐</w:t>
      </w:r>
      <w:r>
        <w:rPr/>
        <w:t xml:space="preserve"> S70 003 1, NF</w:t>
      </w:r>
      <w:r>
        <w:rPr>
          <w:rFonts w:cs="Cambria Math" w:ascii="Cambria Math" w:hAnsi="Cambria Math"/>
        </w:rPr>
        <w:t>‐</w:t>
      </w:r>
      <w:r>
        <w:rPr/>
        <w:t xml:space="preserve"> S70 003 2, NF</w:t>
      </w:r>
      <w:r>
        <w:rPr>
          <w:rFonts w:cs="Cambria Math" w:ascii="Cambria Math" w:hAnsi="Cambria Math"/>
        </w:rPr>
        <w:t>‐</w:t>
      </w:r>
      <w:r>
        <w:rPr/>
        <w:t xml:space="preserve"> S70 003 3. </w:t>
      </w:r>
    </w:p>
    <w:p>
      <w:pPr>
        <w:pStyle w:val="Normal"/>
        <w:rPr/>
      </w:pPr>
      <w:r>
        <w:rPr/>
        <w:tab/>
      </w:r>
    </w:p>
    <w:p>
      <w:pPr>
        <w:pStyle w:val="Normal"/>
        <w:rPr/>
      </w:pPr>
      <w:r>
        <w:rPr/>
      </w:r>
    </w:p>
    <w:p>
      <w:pPr>
        <w:pStyle w:val="Normal"/>
        <w:rPr/>
      </w:pPr>
      <w:r>
        <w:rPr/>
      </w:r>
    </w:p>
    <w:p>
      <w:pPr>
        <w:pStyle w:val="Normal"/>
        <w:rPr/>
      </w:pPr>
      <w:r>
        <w:rPr/>
      </w:r>
    </w:p>
    <w:sectPr>
      <w:headerReference w:type="default" r:id="rId36"/>
      <w:headerReference w:type="first" r:id="rId37"/>
      <w:footerReference w:type="default" r:id="rId38"/>
      <w:type w:val="nextPage"/>
      <w:pgSz w:w="11906" w:h="16838"/>
      <w:pgMar w:left="1134" w:right="1134" w:gutter="0" w:header="720" w:top="2552" w:footer="720" w:bottom="1134"/>
      <w:pgNumType w:fmt="decimal"/>
      <w:formProt w:val="false"/>
      <w:titlePg/>
      <w:textDirection w:val="lrTb"/>
      <w:docGrid w:type="default" w:linePitch="272"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Open Sans">
    <w:charset w:val="00"/>
    <w:family w:val="roman"/>
    <w:pitch w:val="variable"/>
  </w:font>
  <w:font w:name="Figtree">
    <w:charset w:val="00"/>
    <w:family w:val="roman"/>
    <w:pitch w:val="variable"/>
  </w:font>
  <w:font w:name="Open Sans Light">
    <w:charset w:val="00"/>
    <w:family w:val="roman"/>
    <w:pitch w:val="variable"/>
  </w:font>
  <w:font w:name="Figtree Medium">
    <w:charset w:val="00"/>
    <w:family w:val="roman"/>
    <w:pitch w:val="variable"/>
  </w:font>
  <w:font w:name="Figtree Bold">
    <w:charset w:val="00"/>
    <w:family w:val="roman"/>
    <w:pitch w:val="variable"/>
  </w:font>
  <w:font w:name="Tahoma">
    <w:charset w:val="00"/>
    <w:family w:val="roman"/>
    <w:pitch w:val="variable"/>
  </w:font>
  <w:font w:name="Liberation Sans">
    <w:altName w:val="Arial"/>
    <w:charset w:val="00"/>
    <w:family w:val="swiss"/>
    <w:pitch w:val="variable"/>
  </w:font>
  <w:font w:name="Gantari Medium">
    <w:charset w:val="00"/>
    <w:family w:val="roman"/>
    <w:pitch w:val="variable"/>
  </w:font>
  <w:font w:name="Calibri">
    <w:charset w:val="00"/>
    <w:family w:val="roman"/>
    <w:pitch w:val="variable"/>
  </w:font>
  <w:font w:name="Cambria Math">
    <w:charset w:val="00"/>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oordonnessigeGEOFIT"/>
      <w:rPr/>
    </w:pPr>
    <w:r>
      <w:rPr/>
      <mc:AlternateContent>
        <mc:Choice Requires="wpg">
          <w:drawing>
            <wp:inline distT="0" distB="0" distL="0" distR="0">
              <wp:extent cx="598170" cy="66040"/>
              <wp:effectExtent l="0" t="0" r="0" b="0"/>
              <wp:docPr id="40" name="Groupe 1347883422"/>
              <a:graphic xmlns:a="http://schemas.openxmlformats.org/drawingml/2006/main">
                <a:graphicData uri="http://schemas.microsoft.com/office/word/2010/wordprocessingGroup">
                  <wpg:wgp>
                    <wpg:cNvGrpSpPr/>
                    <wpg:grpSpPr>
                      <a:xfrm>
                        <a:off x="0" y="0"/>
                        <a:ext cx="597600" cy="65520"/>
                        <a:chOff x="0" y="-65880"/>
                        <a:chExt cx="597600" cy="65520"/>
                      </a:xfrm>
                    </wpg:grpSpPr>
                    <pic:pic xmlns:pic="http://schemas.openxmlformats.org/drawingml/2006/picture">
                      <pic:nvPicPr>
                        <pic:cNvPr id="10" name="Image 2" descr=""/>
                        <pic:cNvPicPr/>
                      </pic:nvPicPr>
                      <pic:blipFill>
                        <a:blip r:embed="rId1"/>
                        <a:stretch/>
                      </pic:blipFill>
                      <pic:spPr>
                        <a:xfrm>
                          <a:off x="0" y="0"/>
                          <a:ext cx="65520" cy="65520"/>
                        </a:xfrm>
                        <a:prstGeom prst="rect">
                          <a:avLst/>
                        </a:prstGeom>
                        <a:ln w="0">
                          <a:noFill/>
                        </a:ln>
                      </pic:spPr>
                    </pic:pic>
                    <pic:pic xmlns:pic="http://schemas.openxmlformats.org/drawingml/2006/picture">
                      <pic:nvPicPr>
                        <pic:cNvPr id="11" name="Image 3" descr=""/>
                        <pic:cNvPicPr/>
                      </pic:nvPicPr>
                      <pic:blipFill>
                        <a:blip r:embed="rId2"/>
                        <a:stretch/>
                      </pic:blipFill>
                      <pic:spPr>
                        <a:xfrm>
                          <a:off x="262080" y="0"/>
                          <a:ext cx="65520" cy="65520"/>
                        </a:xfrm>
                        <a:prstGeom prst="rect">
                          <a:avLst/>
                        </a:prstGeom>
                        <a:ln w="0">
                          <a:noFill/>
                        </a:ln>
                      </pic:spPr>
                    </pic:pic>
                    <pic:pic xmlns:pic="http://schemas.openxmlformats.org/drawingml/2006/picture">
                      <pic:nvPicPr>
                        <pic:cNvPr id="12" name="Image 4" descr=""/>
                        <pic:cNvPicPr/>
                      </pic:nvPicPr>
                      <pic:blipFill>
                        <a:blip r:embed="rId3"/>
                        <a:stretch/>
                      </pic:blipFill>
                      <pic:spPr>
                        <a:xfrm>
                          <a:off x="532080" y="0"/>
                          <a:ext cx="65520" cy="65520"/>
                        </a:xfrm>
                        <a:prstGeom prst="rect">
                          <a:avLst/>
                        </a:prstGeom>
                        <a:ln w="0">
                          <a:noFill/>
                        </a:ln>
                      </pic:spPr>
                    </pic:pic>
                  </wpg:wgp>
                </a:graphicData>
              </a:graphic>
            </wp:inline>
          </w:drawing>
        </mc:Choice>
        <mc:Fallback>
          <w:pict>
            <v:group id="shape_0" alt="Groupe 1347883422" style="position:absolute;margin-left:0pt;margin-top:-5.2pt;width:47.05pt;height:5.15pt" coordorigin="0,-104" coordsize="941,103">
              <v:shape id="shape_0" ID="Image 2" stroked="f" o:allowincell="f" style="position:absolute;left:0;top:-104;width:102;height:102;mso-wrap-style:none;v-text-anchor:middle;mso-position-vertical:top" type="_x0000_t75">
                <v:imagedata r:id="rId1" o:detectmouseclick="t"/>
                <v:stroke color="#3465a4" joinstyle="round" endcap="flat"/>
                <w10:wrap type="none"/>
              </v:shape>
              <v:shape id="shape_0" ID="Image 3" stroked="f" o:allowincell="f" style="position:absolute;left:413;top:-104;width:102;height:102;mso-wrap-style:none;v-text-anchor:middle;mso-position-vertical:top" type="_x0000_t75">
                <v:imagedata r:id="rId2" o:detectmouseclick="t"/>
                <v:stroke color="#3465a4" joinstyle="round" endcap="flat"/>
                <w10:wrap type="none"/>
              </v:shape>
              <v:shape id="shape_0" ID="Image 4" stroked="f" o:allowincell="f" style="position:absolute;left:838;top:-104;width:102;height:102;mso-wrap-style:none;v-text-anchor:middle;mso-position-vertical:top" type="_x0000_t75">
                <v:imagedata r:id="rId1" o:detectmouseclick="t"/>
                <v:stroke color="#3465a4" joinstyle="round" endcap="flat"/>
                <w10:wrap type="none"/>
              </v:shape>
            </v:group>
          </w:pict>
        </mc:Fallback>
      </mc:AlternateContent>
    </w:r>
  </w:p>
  <w:p>
    <w:pPr>
      <w:pStyle w:val="CoordonnessigeGEOFIT"/>
      <w:rPr/>
    </w:pPr>
    <w:r>
      <w:rPr/>
    </w:r>
  </w:p>
  <w:p>
    <w:pPr>
      <w:pStyle w:val="CoordonnessigeGEOFIT"/>
      <w:tabs>
        <w:tab w:val="clear" w:pos="720"/>
        <w:tab w:val="right" w:pos="9639" w:leader="none"/>
      </w:tabs>
      <w:rPr/>
    </w:pPr>
    <w:sdt>
      <w:sdtPr>
        <w:id w:val="320796126"/>
        <w:dataBinding w:prefixMappings="xmlns:ns0='http://purl.org/dc/elements/1.1/' xmlns:ns1='http://schemas.openxmlformats.org/package/2006/metadata/core-properties' " w:xpath="/ns1:coreProperties[1]/ns0:title[1]" w:storeItemID="{6C3C8BC8-F283-45AE-878A-BAB7291924A1}"/>
        <w:alias w:val="Titre "/>
      </w:sdtPr>
      <w:sdtContent>
        <w:r>
          <w:rPr/>
          <w:t>Géo détection des réseaux enterrés -A 75 – LE PIROU / LA BESSAIRE</w:t>
        </w:r>
      </w:sdtContent>
    </w:sdt>
    <w:r>
      <w:rPr/>
      <w:tab/>
      <w:t xml:space="preserve">Page </w:t>
    </w:r>
    <w:r>
      <w:rPr>
        <w:b/>
        <w:bCs/>
      </w:rPr>
      <w:fldChar w:fldCharType="begin"/>
    </w:r>
    <w:r>
      <w:rPr>
        <w:b/>
        <w:bCs/>
      </w:rPr>
      <w:instrText> PAGE \* ARABIC </w:instrText>
    </w:r>
    <w:r>
      <w:rPr>
        <w:b/>
        <w:bCs/>
      </w:rPr>
      <w:fldChar w:fldCharType="separate"/>
    </w:r>
    <w:r>
      <w:rPr>
        <w:b/>
        <w:bCs/>
      </w:rPr>
      <w:t>30</w:t>
    </w:r>
    <w:r>
      <w:rPr>
        <w:b/>
        <w:bCs/>
      </w:rPr>
      <w:fldChar w:fldCharType="end"/>
    </w:r>
    <w:r>
      <w:rPr/>
      <w:t xml:space="preserve"> sur </w:t>
    </w:r>
    <w:r>
      <w:rPr>
        <w:b/>
        <w:bCs/>
      </w:rPr>
      <w:fldChar w:fldCharType="begin"/>
    </w:r>
    <w:r>
      <w:rPr>
        <w:b/>
        <w:bCs/>
      </w:rPr>
      <w:instrText> NUMPAGES \* ARABIC </w:instrText>
    </w:r>
    <w:r>
      <w:rPr>
        <w:b/>
        <w:bCs/>
      </w:rPr>
      <w:fldChar w:fldCharType="separate"/>
    </w:r>
    <w:r>
      <w:rPr>
        <w:b/>
        <w:bCs/>
      </w:rPr>
      <w:t>30</w:t>
    </w:r>
    <w:r>
      <w:rPr>
        <w:b/>
        <w:bCs/>
      </w:rPr>
      <w:fldChar w:fldCharType="end"/>
    </w:r>
  </w:p>
  <w:p>
    <w:pPr>
      <w:pStyle w:val="Normal"/>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Entte"/>
      <w:rPr/>
    </w:pPr>
    <w:r>
      <w:rPr/>
      <w:drawing>
        <wp:inline distT="0" distB="0" distL="0" distR="0">
          <wp:extent cx="1709420" cy="622300"/>
          <wp:effectExtent l="0" t="0" r="0" b="0"/>
          <wp:docPr id="39" name="Image 96447492" descr="Une image contenant Police, Graphiqu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96447492" descr="Une image contenant Police, Graphique, logo, symbole&#10;&#10;Description générée automatiquement"/>
                  <pic:cNvPicPr>
                    <a:picLocks noChangeAspect="1" noChangeArrowheads="1"/>
                  </pic:cNvPicPr>
                </pic:nvPicPr>
                <pic:blipFill>
                  <a:blip r:embed="rId1"/>
                  <a:stretch>
                    <a:fillRect/>
                  </a:stretch>
                </pic:blipFill>
                <pic:spPr bwMode="auto">
                  <a:xfrm>
                    <a:off x="0" y="0"/>
                    <a:ext cx="1709420" cy="622300"/>
                  </a:xfrm>
                  <a:prstGeom prst="rect">
                    <a:avLst/>
                  </a:prstGeom>
                </pic:spPr>
              </pic:pic>
            </a:graphicData>
          </a:graphic>
        </wp:inline>
      </w:drawing>
    </w:r>
  </w:p>
  <w:p>
    <w:pPr>
      <w:pStyle w:val="Normal"/>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Entte"/>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833" w:hanging="360"/>
      </w:pPr>
      <w:rPr>
        <w:rFonts w:ascii="Symbol" w:hAnsi="Symbol" w:cs="Symbol" w:hint="default"/>
      </w:rPr>
    </w:lvl>
    <w:lvl w:ilvl="1">
      <w:start w:val="1"/>
      <w:numFmt w:val="bullet"/>
      <w:lvlText w:val=""/>
      <w:lvlJc w:val="left"/>
      <w:pPr>
        <w:tabs>
          <w:tab w:val="num" w:pos="0"/>
        </w:tabs>
        <w:ind w:left="1553" w:hanging="360"/>
      </w:pPr>
      <w:rPr>
        <w:rFonts w:ascii="Symbol" w:hAnsi="Symbol" w:cs="Symbol" w:hint="default"/>
      </w:rPr>
    </w:lvl>
    <w:lvl w:ilvl="2">
      <w:start w:val="1"/>
      <w:numFmt w:val="bullet"/>
      <w:lvlText w:val=""/>
      <w:lvlJc w:val="left"/>
      <w:pPr>
        <w:tabs>
          <w:tab w:val="num" w:pos="0"/>
        </w:tabs>
        <w:ind w:left="2273" w:hanging="360"/>
      </w:pPr>
      <w:rPr>
        <w:rFonts w:ascii="Symbol" w:hAnsi="Symbol" w:cs="Symbol" w:hint="default"/>
      </w:rPr>
    </w:lvl>
    <w:lvl w:ilvl="3">
      <w:start w:val="1"/>
      <w:numFmt w:val="bullet"/>
      <w:lvlText w:val=""/>
      <w:lvlJc w:val="left"/>
      <w:pPr>
        <w:tabs>
          <w:tab w:val="num" w:pos="0"/>
        </w:tabs>
        <w:ind w:left="2993" w:hanging="360"/>
      </w:pPr>
      <w:rPr>
        <w:rFonts w:ascii="Symbol" w:hAnsi="Symbol" w:cs="Symbol" w:hint="default"/>
      </w:rPr>
    </w:lvl>
    <w:lvl w:ilvl="4">
      <w:start w:val="1"/>
      <w:numFmt w:val="bullet"/>
      <w:lvlText w:val="o"/>
      <w:lvlJc w:val="left"/>
      <w:pPr>
        <w:tabs>
          <w:tab w:val="num" w:pos="0"/>
        </w:tabs>
        <w:ind w:left="3713" w:hanging="360"/>
      </w:pPr>
      <w:rPr>
        <w:rFonts w:ascii="Courier New" w:hAnsi="Courier New" w:cs="Courier New" w:hint="default"/>
      </w:rPr>
    </w:lvl>
    <w:lvl w:ilvl="5">
      <w:start w:val="1"/>
      <w:numFmt w:val="bullet"/>
      <w:lvlText w:val=""/>
      <w:lvlJc w:val="left"/>
      <w:pPr>
        <w:tabs>
          <w:tab w:val="num" w:pos="0"/>
        </w:tabs>
        <w:ind w:left="4433" w:hanging="360"/>
      </w:pPr>
      <w:rPr>
        <w:rFonts w:ascii="Wingdings" w:hAnsi="Wingdings" w:cs="Wingdings" w:hint="default"/>
      </w:rPr>
    </w:lvl>
    <w:lvl w:ilvl="6">
      <w:start w:val="1"/>
      <w:numFmt w:val="bullet"/>
      <w:lvlText w:val=""/>
      <w:lvlJc w:val="left"/>
      <w:pPr>
        <w:tabs>
          <w:tab w:val="num" w:pos="0"/>
        </w:tabs>
        <w:ind w:left="5153" w:hanging="360"/>
      </w:pPr>
      <w:rPr>
        <w:rFonts w:ascii="Symbol" w:hAnsi="Symbol" w:cs="Symbol" w:hint="default"/>
      </w:rPr>
    </w:lvl>
    <w:lvl w:ilvl="7">
      <w:start w:val="1"/>
      <w:numFmt w:val="bullet"/>
      <w:lvlText w:val="o"/>
      <w:lvlJc w:val="left"/>
      <w:pPr>
        <w:tabs>
          <w:tab w:val="num" w:pos="0"/>
        </w:tabs>
        <w:ind w:left="5873" w:hanging="360"/>
      </w:pPr>
      <w:rPr>
        <w:rFonts w:ascii="Courier New" w:hAnsi="Courier New" w:cs="Courier New" w:hint="default"/>
      </w:rPr>
    </w:lvl>
    <w:lvl w:ilvl="8">
      <w:start w:val="1"/>
      <w:numFmt w:val="bullet"/>
      <w:lvlText w:val=""/>
      <w:lvlJc w:val="left"/>
      <w:pPr>
        <w:tabs>
          <w:tab w:val="num" w:pos="0"/>
        </w:tabs>
        <w:ind w:left="6593" w:hanging="360"/>
      </w:pPr>
      <w:rPr>
        <w:rFonts w:ascii="Wingdings" w:hAnsi="Wingdings" w:cs="Wingdings" w:hint="default"/>
      </w:rPr>
    </w:lvl>
  </w:abstractNum>
  <w:abstractNum w:abstractNumId="2">
    <w:lvl w:ilvl="0">
      <w:start w:val="1"/>
      <w:numFmt w:val="bullet"/>
      <w:lvlText w:val=""/>
      <w:lvlJc w:val="left"/>
      <w:pPr>
        <w:tabs>
          <w:tab w:val="num" w:pos="926"/>
        </w:tabs>
        <w:ind w:left="926"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decimal"/>
      <w:lvlText w:val="%1."/>
      <w:lvlJc w:val="left"/>
      <w:pPr>
        <w:tabs>
          <w:tab w:val="num" w:pos="0"/>
        </w:tabs>
        <w:ind w:left="360" w:hanging="360"/>
      </w:pPr>
    </w:lvl>
    <w:lvl w:ilvl="1">
      <w:start w:val="1"/>
      <w:numFmt w:val="decimal"/>
      <w:lvlText w:val="%1.%2."/>
      <w:lvlJc w:val="left"/>
      <w:pPr>
        <w:tabs>
          <w:tab w:val="num" w:pos="0"/>
        </w:tabs>
        <w:ind w:left="432" w:hanging="432"/>
      </w:pPr>
      <w:rPr>
        <w:sz w:val="36"/>
        <w:szCs w:val="36"/>
      </w:rPr>
    </w:lvl>
    <w:lvl w:ilvl="2">
      <w:start w:val="1"/>
      <w:numFmt w:val="decimal"/>
      <w:lvlText w:val="%1.%2.%3."/>
      <w:lvlJc w:val="left"/>
      <w:pPr>
        <w:tabs>
          <w:tab w:val="num" w:pos="0"/>
        </w:tabs>
        <w:ind w:left="1780" w:hanging="504"/>
      </w:pPr>
    </w:lvl>
    <w:lvl w:ilvl="3">
      <w:start w:val="1"/>
      <w:numFmt w:val="decimal"/>
      <w:lvlText w:val="%1.%2.%3.%4."/>
      <w:lvlJc w:val="left"/>
      <w:pPr>
        <w:tabs>
          <w:tab w:val="num" w:pos="0"/>
        </w:tabs>
        <w:ind w:left="2775"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lvl w:ilvl="0">
      <w:start w:val="1"/>
      <w:numFmt w:val="bullet"/>
      <w:lvlText w:val=""/>
      <w:lvlJc w:val="left"/>
      <w:pPr>
        <w:tabs>
          <w:tab w:val="num" w:pos="784"/>
        </w:tabs>
        <w:ind w:left="784"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1296"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1">
      <w:start w:val="1"/>
      <w:numFmt w:val="bullet"/>
      <w:lvlText w:val="o"/>
      <w:lvlJc w:val="left"/>
      <w:pPr>
        <w:tabs>
          <w:tab w:val="num" w:pos="0"/>
        </w:tabs>
        <w:ind w:left="201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2">
      <w:start w:val="1"/>
      <w:numFmt w:val="bullet"/>
      <w:lvlText w:val="▪"/>
      <w:lvlJc w:val="left"/>
      <w:pPr>
        <w:tabs>
          <w:tab w:val="num" w:pos="0"/>
        </w:tabs>
        <w:ind w:left="273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3">
      <w:start w:val="1"/>
      <w:numFmt w:val="bullet"/>
      <w:lvlText w:val="•"/>
      <w:lvlJc w:val="left"/>
      <w:pPr>
        <w:tabs>
          <w:tab w:val="num" w:pos="0"/>
        </w:tabs>
        <w:ind w:left="345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4">
      <w:start w:val="1"/>
      <w:numFmt w:val="bullet"/>
      <w:lvlText w:val="o"/>
      <w:lvlJc w:val="left"/>
      <w:pPr>
        <w:tabs>
          <w:tab w:val="num" w:pos="0"/>
        </w:tabs>
        <w:ind w:left="417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5">
      <w:start w:val="1"/>
      <w:numFmt w:val="bullet"/>
      <w:lvlText w:val="▪"/>
      <w:lvlJc w:val="left"/>
      <w:pPr>
        <w:tabs>
          <w:tab w:val="num" w:pos="0"/>
        </w:tabs>
        <w:ind w:left="489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6">
      <w:start w:val="1"/>
      <w:numFmt w:val="bullet"/>
      <w:lvlText w:val="•"/>
      <w:lvlJc w:val="left"/>
      <w:pPr>
        <w:tabs>
          <w:tab w:val="num" w:pos="0"/>
        </w:tabs>
        <w:ind w:left="561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7">
      <w:start w:val="1"/>
      <w:numFmt w:val="bullet"/>
      <w:lvlText w:val="o"/>
      <w:lvlJc w:val="left"/>
      <w:pPr>
        <w:tabs>
          <w:tab w:val="num" w:pos="0"/>
        </w:tabs>
        <w:ind w:left="633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lvl w:ilvl="8">
      <w:start w:val="1"/>
      <w:numFmt w:val="bullet"/>
      <w:lvlText w:val="▪"/>
      <w:lvlJc w:val="left"/>
      <w:pPr>
        <w:tabs>
          <w:tab w:val="num" w:pos="0"/>
        </w:tabs>
        <w:ind w:left="7058" w:hanging="0"/>
      </w:pPr>
      <w:rPr>
        <w:rFonts w:ascii="Wingdings" w:hAnsi="Wingdings" w:cs="Wingdings" w:hint="default"/>
        <w:dstrike w:val="false"/>
        <w:strike w:val="false"/>
        <w:vertAlign w:val="baseline"/>
        <w:position w:val="0"/>
        <w:sz w:val="22"/>
        <w:sz w:val="22"/>
        <w:i w:val="false"/>
        <w:u w:val="none" w:color="000000"/>
        <w:b w:val="false"/>
        <w:shd w:fill="auto" w:val="clear"/>
        <w:szCs w:val="22"/>
        <w:color w:val="000000"/>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w="http://schemas.openxmlformats.org/wordprocessingml/2006/main">
  <w:zoom w:percent="120"/>
  <w:defaultTabStop w:val="720"/>
  <w:autoHyphenation w:val="true"/>
  <w:compat>
    <w:compatSetting w:name="compatibilityMode" w:uri="http://schemas.microsoft.com/office/word" w:val="12"/>
  </w:compat>
  <w:hyphenationZone w:val="425"/>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Open Sans" w:hAnsi="Open Sans" w:eastAsia="Open Sans" w:cs="" w:asciiTheme="minorHAnsi" w:cstheme="minorBidi" w:eastAsiaTheme="minorHAnsi" w:hAnsiTheme="minorHAnsi"/>
        <w:sz w:val="22"/>
        <w:szCs w:val="22"/>
        <w:lang w:val="en-US" w:eastAsia="en-US" w:bidi="ar-SA"/>
      </w:rPr>
    </w:rPrDefault>
    <w:pPrDefault>
      <w:pPr>
        <w:suppressAutoHyphens w:val="true"/>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lsdException w:name="Table Grid" w:uiPriority="39" w:semiHidden="0" w:unhideWhenUsed="0"/>
    <w:lsdException w:name="Placeholder Text" w:unhideWhenUsed="0"/>
    <w:lsdException w:name="No Spacing" w:uiPriority="1" w:semiHidden="0" w:unhideWhenUsed="0"/>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lsdException w:name="Intense Quote" w:uiPriority="30" w:semiHidden="0" w:unhideWhenUsed="0"/>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lsdException w:name="Intense Emphasis" w:uiPriority="21" w:semiHidden="0" w:unhideWhenUsed="0"/>
    <w:lsdException w:name="Subtle Reference" w:uiPriority="31" w:semiHidden="0" w:unhideWhenUsed="0"/>
    <w:lsdException w:name="Intense Reference" w:uiPriority="32" w:semiHidden="0" w:unhideWhenUsed="0"/>
    <w:lsdException w:name="Book Title" w:uiPriority="33" w:semiHidden="0" w:unhideWhenUsed="0"/>
    <w:lsdException w:name="Bibliography" w:uiPriority="37"/>
    <w:lsdException w:name="TOC Heading" w:uiPriority="39" w:qFormat="1"/>
  </w:latentStyles>
  <w:style w:type="paragraph" w:styleId="Normal" w:default="1">
    <w:name w:val="Normal"/>
    <w:qFormat/>
    <w:rsid w:val="00b904d1"/>
    <w:pPr>
      <w:widowControl w:val="false"/>
      <w:bidi w:val="0"/>
      <w:spacing w:lineRule="auto" w:line="276" w:before="0" w:after="0"/>
      <w:jc w:val="both"/>
    </w:pPr>
    <w:rPr>
      <w:rFonts w:ascii="Open Sans" w:hAnsi="Open Sans" w:eastAsia="Open Sans" w:cs="Open Sans" w:asciiTheme="minorHAnsi" w:eastAsiaTheme="minorHAnsi" w:hAnsiTheme="minorHAnsi"/>
      <w:color w:val="auto"/>
      <w:kern w:val="0"/>
      <w:sz w:val="20"/>
      <w:szCs w:val="20"/>
      <w:lang w:val="fr-FR" w:eastAsia="en-US" w:bidi="ar-SA"/>
    </w:rPr>
  </w:style>
  <w:style w:type="paragraph" w:styleId="Titre1">
    <w:name w:val="Heading 1"/>
    <w:basedOn w:val="Normal"/>
    <w:link w:val="Titre1Car"/>
    <w:uiPriority w:val="9"/>
    <w:qFormat/>
    <w:rsid w:val="00b4370e"/>
    <w:pPr>
      <w:spacing w:before="95" w:after="0"/>
      <w:ind w:left="5783" w:hanging="0"/>
      <w:outlineLvl w:val="0"/>
    </w:pPr>
    <w:rPr>
      <w:rFonts w:ascii="Figtree" w:hAnsi="Figtree" w:eastAsia="Figtree" w:cs="Figtree"/>
      <w:b/>
      <w:bCs/>
    </w:rPr>
  </w:style>
  <w:style w:type="paragraph" w:styleId="Titre2">
    <w:name w:val="Heading 2"/>
    <w:basedOn w:val="Normal"/>
    <w:next w:val="Normal"/>
    <w:link w:val="Titre2Car"/>
    <w:uiPriority w:val="9"/>
    <w:semiHidden/>
    <w:unhideWhenUsed/>
    <w:qFormat/>
    <w:rsid w:val="00101f1c"/>
    <w:pPr>
      <w:keepNext w:val="true"/>
      <w:keepLines/>
      <w:spacing w:before="40" w:after="0"/>
      <w:outlineLvl w:val="1"/>
    </w:pPr>
    <w:rPr>
      <w:rFonts w:ascii="Figtree" w:hAnsi="Figtree" w:eastAsia="" w:cs="" w:asciiTheme="majorHAnsi" w:cstheme="majorBidi" w:eastAsiaTheme="majorEastAsia" w:hAnsiTheme="majorHAnsi"/>
      <w:color w:val="1B4BEA" w:themeColor="accent1" w:themeShade="bf"/>
      <w:sz w:val="26"/>
      <w:szCs w:val="26"/>
    </w:rPr>
  </w:style>
  <w:style w:type="paragraph" w:styleId="Titre3">
    <w:name w:val="Heading 3"/>
    <w:basedOn w:val="Normal"/>
    <w:next w:val="Normal"/>
    <w:link w:val="Titre3Car"/>
    <w:uiPriority w:val="9"/>
    <w:semiHidden/>
    <w:unhideWhenUsed/>
    <w:qFormat/>
    <w:rsid w:val="008e5833"/>
    <w:pPr>
      <w:keepNext w:val="true"/>
      <w:keepLines/>
      <w:spacing w:before="40" w:after="0"/>
      <w:outlineLvl w:val="2"/>
    </w:pPr>
    <w:rPr>
      <w:rFonts w:ascii="Figtree" w:hAnsi="Figtree" w:eastAsia="" w:cs="" w:asciiTheme="majorHAnsi" w:cstheme="majorBidi" w:eastAsiaTheme="majorEastAsia" w:hAnsiTheme="majorHAnsi"/>
      <w:color w:val="0E30A0" w:themeColor="accent1" w:themeShade="7f"/>
      <w:sz w:val="24"/>
      <w:szCs w:val="24"/>
    </w:rPr>
  </w:style>
  <w:style w:type="paragraph" w:styleId="Titre4">
    <w:name w:val="Heading 4"/>
    <w:basedOn w:val="Normal"/>
    <w:next w:val="Normal"/>
    <w:link w:val="Titre4Car"/>
    <w:uiPriority w:val="9"/>
    <w:semiHidden/>
    <w:unhideWhenUsed/>
    <w:qFormat/>
    <w:rsid w:val="00861c17"/>
    <w:pPr>
      <w:keepNext w:val="true"/>
      <w:keepLines/>
      <w:spacing w:before="40" w:after="0"/>
      <w:outlineLvl w:val="3"/>
    </w:pPr>
    <w:rPr>
      <w:rFonts w:ascii="Figtree" w:hAnsi="Figtree" w:eastAsia="" w:cs="" w:asciiTheme="majorHAnsi" w:cstheme="majorBidi" w:eastAsiaTheme="majorEastAsia" w:hAnsiTheme="majorHAnsi"/>
      <w:i/>
      <w:iCs/>
      <w:color w:val="1B4BEA" w:themeColor="accent1" w:themeShade="bf"/>
    </w:rPr>
  </w:style>
  <w:style w:type="character" w:styleId="DefaultParagraphFont" w:default="1">
    <w:name w:val="Default Paragraph Font"/>
    <w:uiPriority w:val="1"/>
    <w:semiHidden/>
    <w:unhideWhenUsed/>
    <w:qFormat/>
    <w:rPr/>
  </w:style>
  <w:style w:type="character" w:styleId="EntteCar" w:customStyle="1">
    <w:name w:val="En-tête Car"/>
    <w:basedOn w:val="DefaultParagraphFont"/>
    <w:link w:val="En-tte"/>
    <w:uiPriority w:val="99"/>
    <w:qFormat/>
    <w:rsid w:val="002571b2"/>
    <w:rPr>
      <w:rFonts w:ascii="Open Sans" w:hAnsi="Open Sans" w:eastAsia="Open Sans" w:cs="Open Sans"/>
      <w:lang w:val="fr-FR"/>
    </w:rPr>
  </w:style>
  <w:style w:type="character" w:styleId="PieddepageCar" w:customStyle="1">
    <w:name w:val="Pied de page Car"/>
    <w:basedOn w:val="DefaultParagraphFont"/>
    <w:link w:val="Pieddepage"/>
    <w:uiPriority w:val="99"/>
    <w:qFormat/>
    <w:rsid w:val="002571b2"/>
    <w:rPr>
      <w:rFonts w:ascii="Open Sans" w:hAnsi="Open Sans" w:eastAsia="Open Sans" w:cs="Open Sans"/>
      <w:lang w:val="fr-FR"/>
    </w:rPr>
  </w:style>
  <w:style w:type="character" w:styleId="LienInternet">
    <w:name w:val="Lien Internet"/>
    <w:basedOn w:val="DefaultParagraphFont"/>
    <w:uiPriority w:val="99"/>
    <w:unhideWhenUsed/>
    <w:rsid w:val="002571b2"/>
    <w:rPr>
      <w:color w:val="313C4E" w:themeColor="hyperlink"/>
      <w:u w:val="single"/>
    </w:rPr>
  </w:style>
  <w:style w:type="character" w:styleId="UnresolvedMention" w:customStyle="1">
    <w:name w:val="Unresolved Mention"/>
    <w:basedOn w:val="DefaultParagraphFont"/>
    <w:uiPriority w:val="99"/>
    <w:semiHidden/>
    <w:unhideWhenUsed/>
    <w:qFormat/>
    <w:rsid w:val="002571b2"/>
    <w:rPr>
      <w:color w:val="605E5C"/>
      <w:shd w:fill="E1DFDD" w:val="clear"/>
    </w:rPr>
  </w:style>
  <w:style w:type="character" w:styleId="PieddepageCar1" w:customStyle="1">
    <w:name w:val="pied-de-page Car"/>
    <w:basedOn w:val="DefaultParagraphFont"/>
    <w:link w:val="pied-de-page"/>
    <w:qFormat/>
    <w:rsid w:val="00921910"/>
    <w:rPr>
      <w:rFonts w:ascii="Open Sans Light" w:hAnsi="Open Sans Light" w:eastAsia="Open Sans" w:cs="Open Sans"/>
      <w:color w:val="4B5364"/>
      <w:spacing w:val="-5"/>
      <w:sz w:val="16"/>
      <w:lang w:val="fr-FR"/>
    </w:rPr>
  </w:style>
  <w:style w:type="character" w:styleId="CoordonnessigeGEOFITCar" w:customStyle="1">
    <w:name w:val="Coordonnées siège GEOFIT Car"/>
    <w:basedOn w:val="DefaultParagraphFont"/>
    <w:link w:val="CoordonnessigeGEOFIT"/>
    <w:qFormat/>
    <w:rsid w:val="00a8359b"/>
    <w:rPr>
      <w:rFonts w:ascii="Open Sans" w:hAnsi="Open Sans" w:eastAsia="Open Sans" w:cs="Open Sans"/>
      <w:color w:val="4B5364"/>
      <w:sz w:val="14"/>
      <w:szCs w:val="20"/>
      <w:lang w:val="fr-FR"/>
    </w:rPr>
  </w:style>
  <w:style w:type="character" w:styleId="TitreCar" w:customStyle="1">
    <w:name w:val="Titre Car"/>
    <w:basedOn w:val="DefaultParagraphFont"/>
    <w:link w:val="Titre"/>
    <w:uiPriority w:val="10"/>
    <w:qFormat/>
    <w:rsid w:val="00ed55e1"/>
    <w:rPr>
      <w:rFonts w:ascii="Figtree" w:hAnsi="Figtree" w:eastAsia="" w:cs="" w:asciiTheme="majorHAnsi" w:cstheme="majorBidi" w:eastAsiaTheme="majorEastAsia" w:hAnsiTheme="majorHAnsi"/>
      <w:spacing w:val="-10"/>
      <w:kern w:val="2"/>
      <w:sz w:val="56"/>
      <w:szCs w:val="56"/>
      <w:lang w:val="fr-FR"/>
    </w:rPr>
  </w:style>
  <w:style w:type="character" w:styleId="SoustitreCar" w:customStyle="1">
    <w:name w:val="Sous-titre Car"/>
    <w:basedOn w:val="DefaultParagraphFont"/>
    <w:link w:val="Sous-titre"/>
    <w:uiPriority w:val="11"/>
    <w:qFormat/>
    <w:rsid w:val="00fd4d9d"/>
    <w:rPr>
      <w:rFonts w:ascii="Open Sans" w:hAnsi="Open Sans" w:eastAsia="" w:eastAsiaTheme="minorEastAsia"/>
      <w:i/>
      <w:color w:val="2AB5B4"/>
      <w:spacing w:val="15"/>
      <w:lang w:val="fr-FR"/>
    </w:rPr>
  </w:style>
  <w:style w:type="character" w:styleId="SubtleEmphasis">
    <w:name w:val="Subtle Emphasis"/>
    <w:basedOn w:val="DefaultParagraphFont"/>
    <w:uiPriority w:val="19"/>
    <w:qFormat/>
    <w:rsid w:val="00ed7273"/>
    <w:rPr>
      <w:i/>
      <w:iCs/>
      <w:color w:val="566988" w:themeColor="text1" w:themeTint="bf"/>
    </w:rPr>
  </w:style>
  <w:style w:type="character" w:styleId="Accentuation">
    <w:name w:val="Accentuation"/>
    <w:basedOn w:val="DefaultParagraphFont"/>
    <w:uiPriority w:val="20"/>
    <w:qFormat/>
    <w:rsid w:val="00ed7273"/>
    <w:rPr>
      <w:i/>
      <w:iCs/>
    </w:rPr>
  </w:style>
  <w:style w:type="character" w:styleId="Strong">
    <w:name w:val="Strong"/>
    <w:basedOn w:val="DefaultParagraphFont"/>
    <w:uiPriority w:val="22"/>
    <w:qFormat/>
    <w:rsid w:val="00ed7273"/>
    <w:rPr>
      <w:b/>
      <w:bCs/>
    </w:rPr>
  </w:style>
  <w:style w:type="character" w:styleId="CitationCar" w:customStyle="1">
    <w:name w:val="Citation Car"/>
    <w:basedOn w:val="DefaultParagraphFont"/>
    <w:link w:val="Citation"/>
    <w:uiPriority w:val="29"/>
    <w:qFormat/>
    <w:rsid w:val="00ed7273"/>
    <w:rPr>
      <w:rFonts w:ascii="Open Sans" w:hAnsi="Open Sans" w:eastAsia="Open Sans" w:cs="Open Sans"/>
      <w:i/>
      <w:iCs/>
      <w:color w:val="566988" w:themeColor="text1" w:themeTint="bf"/>
      <w:sz w:val="20"/>
      <w:szCs w:val="20"/>
      <w:lang w:val="fr-FR"/>
    </w:rPr>
  </w:style>
  <w:style w:type="character" w:styleId="SubtleReference">
    <w:name w:val="Subtle Reference"/>
    <w:basedOn w:val="DefaultParagraphFont"/>
    <w:uiPriority w:val="31"/>
    <w:qFormat/>
    <w:rsid w:val="00ed7273"/>
    <w:rPr>
      <w:smallCaps/>
      <w:color w:val="667C9F" w:themeColor="text1" w:themeTint="a5"/>
    </w:rPr>
  </w:style>
  <w:style w:type="character" w:styleId="Titre2Car" w:customStyle="1">
    <w:name w:val="Titre 2 Car"/>
    <w:basedOn w:val="DefaultParagraphFont"/>
    <w:link w:val="Titre2"/>
    <w:uiPriority w:val="9"/>
    <w:semiHidden/>
    <w:qFormat/>
    <w:rsid w:val="00101f1c"/>
    <w:rPr>
      <w:rFonts w:ascii="Figtree" w:hAnsi="Figtree" w:eastAsia="" w:cs="" w:asciiTheme="majorHAnsi" w:cstheme="majorBidi" w:eastAsiaTheme="majorEastAsia" w:hAnsiTheme="majorHAnsi"/>
      <w:color w:val="1B4BEA" w:themeColor="accent1" w:themeShade="bf"/>
      <w:sz w:val="26"/>
      <w:szCs w:val="26"/>
      <w:lang w:val="fr-FR"/>
    </w:rPr>
  </w:style>
  <w:style w:type="character" w:styleId="Uiprovider" w:customStyle="1">
    <w:name w:val="ui-provider"/>
    <w:basedOn w:val="DefaultParagraphFont"/>
    <w:qFormat/>
    <w:rsid w:val="00494e61"/>
    <w:rPr/>
  </w:style>
  <w:style w:type="character" w:styleId="Titre3GEOFITCar" w:customStyle="1">
    <w:name w:val="Titre 3 GEOFIT Car"/>
    <w:basedOn w:val="DefaultParagraphFont"/>
    <w:link w:val="Titre3GEOFIT"/>
    <w:qFormat/>
    <w:rsid w:val="0079731a"/>
    <w:rPr>
      <w:rFonts w:ascii="Figtree Medium" w:hAnsi="Figtree Medium" w:eastAsia="Figtree" w:cs="Figtree"/>
      <w:b/>
      <w:color w:val="30C1BF" w:themeColor="accent6" w:themeShade="bf"/>
      <w:sz w:val="28"/>
      <w:szCs w:val="28"/>
      <w:lang w:val="fr-FR"/>
    </w:rPr>
  </w:style>
  <w:style w:type="character" w:styleId="Titre3Car" w:customStyle="1">
    <w:name w:val="Titre 3 Car"/>
    <w:basedOn w:val="DefaultParagraphFont"/>
    <w:link w:val="Titre3"/>
    <w:uiPriority w:val="9"/>
    <w:semiHidden/>
    <w:qFormat/>
    <w:rsid w:val="008e5833"/>
    <w:rPr>
      <w:rFonts w:ascii="Figtree" w:hAnsi="Figtree" w:eastAsia="" w:cs="" w:asciiTheme="majorHAnsi" w:cstheme="majorBidi" w:eastAsiaTheme="majorEastAsia" w:hAnsiTheme="majorHAnsi"/>
      <w:color w:val="0E30A0" w:themeColor="accent1" w:themeShade="7f"/>
      <w:sz w:val="24"/>
      <w:szCs w:val="24"/>
      <w:lang w:val="fr-FR"/>
    </w:rPr>
  </w:style>
  <w:style w:type="character" w:styleId="Titre4Car" w:customStyle="1">
    <w:name w:val="Titre 4 Car"/>
    <w:basedOn w:val="DefaultParagraphFont"/>
    <w:link w:val="Titre4"/>
    <w:uiPriority w:val="9"/>
    <w:semiHidden/>
    <w:qFormat/>
    <w:rsid w:val="00861c17"/>
    <w:rPr>
      <w:rFonts w:ascii="Figtree" w:hAnsi="Figtree" w:eastAsia="" w:cs="" w:asciiTheme="majorHAnsi" w:cstheme="majorBidi" w:eastAsiaTheme="majorEastAsia" w:hAnsiTheme="majorHAnsi"/>
      <w:i/>
      <w:iCs/>
      <w:color w:val="1B4BEA" w:themeColor="accent1" w:themeShade="bf"/>
      <w:sz w:val="20"/>
      <w:szCs w:val="20"/>
      <w:lang w:val="fr-FR"/>
    </w:rPr>
  </w:style>
  <w:style w:type="character" w:styleId="Corpsdetexte2Car" w:customStyle="1">
    <w:name w:val="Corps de texte 2 Car"/>
    <w:basedOn w:val="DefaultParagraphFont"/>
    <w:link w:val="Corpsdetexte2"/>
    <w:uiPriority w:val="99"/>
    <w:semiHidden/>
    <w:qFormat/>
    <w:rsid w:val="0011639e"/>
    <w:rPr>
      <w:rFonts w:ascii="Open Sans" w:hAnsi="Open Sans" w:eastAsia="Open Sans" w:cs="Open Sans"/>
      <w:sz w:val="20"/>
      <w:szCs w:val="20"/>
      <w:lang w:val="fr-FR"/>
    </w:rPr>
  </w:style>
  <w:style w:type="character" w:styleId="LieuadresseCar" w:customStyle="1">
    <w:name w:val="Lieu/adresse Car"/>
    <w:basedOn w:val="DefaultParagraphFont"/>
    <w:link w:val="Lieuadresse"/>
    <w:qFormat/>
    <w:rsid w:val="00fe6a65"/>
    <w:rPr>
      <w:rFonts w:ascii="Figtree Medium" w:hAnsi="Figtree Medium" w:eastAsia="Open Sans" w:cs="Open Sans"/>
      <w:color w:val="303D4F"/>
      <w:spacing w:val="-2"/>
      <w:sz w:val="30"/>
      <w:szCs w:val="20"/>
      <w:lang w:val="fr-FR"/>
    </w:rPr>
  </w:style>
  <w:style w:type="character" w:styleId="IntenseEmphasis">
    <w:name w:val="Intense Emphasis"/>
    <w:basedOn w:val="DefaultParagraphFont"/>
    <w:uiPriority w:val="21"/>
    <w:qFormat/>
    <w:rsid w:val="00fe6a65"/>
    <w:rPr>
      <w:i/>
      <w:iCs/>
      <w:color w:val="6D8CF2" w:themeColor="accent1"/>
    </w:rPr>
  </w:style>
  <w:style w:type="character" w:styleId="CorpsdetexteCar" w:customStyle="1">
    <w:name w:val="Corps de texte Car"/>
    <w:basedOn w:val="DefaultParagraphFont"/>
    <w:link w:val="Corpsdetexte"/>
    <w:uiPriority w:val="1"/>
    <w:qFormat/>
    <w:rsid w:val="00027141"/>
    <w:rPr>
      <w:rFonts w:ascii="Open Sans" w:hAnsi="Open Sans" w:eastAsia="Open Sans" w:cs="Open Sans"/>
      <w:sz w:val="20"/>
      <w:szCs w:val="20"/>
      <w:lang w:val="fr-FR"/>
    </w:rPr>
  </w:style>
  <w:style w:type="character" w:styleId="TitredudocumentCar" w:customStyle="1">
    <w:name w:val="Titre du document Car"/>
    <w:basedOn w:val="DefaultParagraphFont"/>
    <w:link w:val="Titredudocument"/>
    <w:qFormat/>
    <w:rsid w:val="001f7144"/>
    <w:rPr>
      <w:rFonts w:ascii="Figtree Bold" w:hAnsi="Figtree Bold" w:eastAsia="Figtree SemiBold" w:cs="Figtree SemiBold"/>
      <w:color w:val="313C4E"/>
      <w:spacing w:val="-4"/>
      <w:sz w:val="50"/>
      <w:szCs w:val="40"/>
      <w:lang w:val="fr-FR"/>
    </w:rPr>
  </w:style>
  <w:style w:type="character" w:styleId="Titre1Car" w:customStyle="1">
    <w:name w:val="Titre 1 Car"/>
    <w:basedOn w:val="DefaultParagraphFont"/>
    <w:link w:val="Titre1"/>
    <w:uiPriority w:val="9"/>
    <w:qFormat/>
    <w:rsid w:val="002b6a89"/>
    <w:rPr>
      <w:rFonts w:ascii="Figtree" w:hAnsi="Figtree" w:eastAsia="Figtree" w:cs="Figtree"/>
      <w:b/>
      <w:bCs/>
      <w:sz w:val="20"/>
      <w:szCs w:val="20"/>
      <w:lang w:val="fr-FR"/>
    </w:rPr>
  </w:style>
  <w:style w:type="character" w:styleId="PlaceholderText">
    <w:name w:val="Placeholder Text"/>
    <w:basedOn w:val="DefaultParagraphFont"/>
    <w:uiPriority w:val="99"/>
    <w:semiHidden/>
    <w:qFormat/>
    <w:rsid w:val="00f927ad"/>
    <w:rPr>
      <w:color w:val="666666"/>
    </w:rPr>
  </w:style>
  <w:style w:type="character" w:styleId="LgendeGEOFITCar" w:customStyle="1">
    <w:name w:val="Légende GEOFIT Car"/>
    <w:basedOn w:val="CoordonnessigeGEOFITCar"/>
    <w:link w:val="LgendeGEOFIT"/>
    <w:qFormat/>
    <w:rsid w:val="004e44d5"/>
    <w:rPr>
      <w:rFonts w:ascii="Open Sans" w:hAnsi="Open Sans" w:eastAsia="Open Sans" w:cs="Open Sans"/>
      <w:i/>
      <w:iCs/>
      <w:color w:val="313C4E" w:themeColor="background1"/>
      <w:sz w:val="16"/>
      <w:szCs w:val="18"/>
      <w:lang w:val="fr-FR"/>
    </w:rPr>
  </w:style>
  <w:style w:type="character" w:styleId="Listepuces3Car" w:customStyle="1">
    <w:name w:val="Liste à puces 3 Car"/>
    <w:basedOn w:val="DefaultParagraphFont"/>
    <w:link w:val="Listepuces3"/>
    <w:uiPriority w:val="99"/>
    <w:semiHidden/>
    <w:qFormat/>
    <w:rsid w:val="00302b6a"/>
    <w:rPr>
      <w:rFonts w:ascii="Open Sans" w:hAnsi="Open Sans" w:eastAsia="Open Sans" w:cs="Open Sans"/>
      <w:sz w:val="20"/>
      <w:szCs w:val="20"/>
      <w:lang w:val="fr-FR"/>
    </w:rPr>
  </w:style>
  <w:style w:type="character" w:styleId="ListepucesCar" w:customStyle="1">
    <w:name w:val="Liste à puces Car"/>
    <w:basedOn w:val="CorpsdetexteCar"/>
    <w:link w:val="Listepuces"/>
    <w:uiPriority w:val="99"/>
    <w:qFormat/>
    <w:rsid w:val="00d80410"/>
    <w:rPr>
      <w:rFonts w:ascii="Open Sans" w:hAnsi="Open Sans" w:eastAsia="Open Sans" w:cs="Open Sans"/>
      <w:color w:val="313C4E" w:themeColor="background1"/>
      <w:sz w:val="20"/>
      <w:szCs w:val="20"/>
      <w:lang w:val="fr-FR"/>
    </w:rPr>
  </w:style>
  <w:style w:type="character" w:styleId="Titre4GEOFITCar" w:customStyle="1">
    <w:name w:val="Titre 4 GEOFIT Car"/>
    <w:basedOn w:val="Titre3GEOFITCar"/>
    <w:link w:val="Titre4GEOFIT"/>
    <w:qFormat/>
    <w:rsid w:val="0079731a"/>
    <w:rPr>
      <w:rFonts w:ascii="Figtree Medium" w:hAnsi="Figtree Medium" w:eastAsia="" w:cs="" w:cstheme="majorBidi" w:eastAsiaTheme="majorEastAsia"/>
      <w:b/>
      <w:iCs/>
      <w:color w:val="6D8CF2" w:themeColor="accent1"/>
      <w:sz w:val="24"/>
      <w:szCs w:val="28"/>
      <w:lang w:val="fr-FR"/>
    </w:rPr>
  </w:style>
  <w:style w:type="character" w:styleId="Titre5GEOFITCar" w:customStyle="1">
    <w:name w:val="Titre 5 GEOFIT Car"/>
    <w:basedOn w:val="Titre4GEOFITCar"/>
    <w:link w:val="Titre5GEOFIT"/>
    <w:qFormat/>
    <w:rsid w:val="0079731a"/>
    <w:rPr>
      <w:rFonts w:ascii="Figtree Medium" w:hAnsi="Figtree Medium" w:eastAsia="" w:cs="" w:cstheme="majorBidi" w:eastAsiaTheme="majorEastAsia"/>
      <w:b/>
      <w:iCs/>
      <w:color w:val="313C4E" w:themeColor="text1"/>
      <w:sz w:val="24"/>
      <w:szCs w:val="28"/>
      <w:lang w:val="fr-FR"/>
    </w:rPr>
  </w:style>
  <w:style w:type="character" w:styleId="ParagraphedelisteCar" w:customStyle="1">
    <w:name w:val="Paragraphe de liste Car"/>
    <w:link w:val="Paragraphedeliste"/>
    <w:uiPriority w:val="1"/>
    <w:qFormat/>
    <w:locked/>
    <w:rsid w:val="00613207"/>
    <w:rPr>
      <w:rFonts w:ascii="Open Sans" w:hAnsi="Open Sans" w:eastAsia="Open Sans" w:cs="Open Sans"/>
      <w:sz w:val="20"/>
      <w:szCs w:val="20"/>
      <w:lang w:val="fr-FR"/>
    </w:rPr>
  </w:style>
  <w:style w:type="character" w:styleId="TextedebullesCar" w:customStyle="1">
    <w:name w:val="Texte de bulles Car"/>
    <w:basedOn w:val="DefaultParagraphFont"/>
    <w:link w:val="Textedebulles"/>
    <w:uiPriority w:val="99"/>
    <w:semiHidden/>
    <w:qFormat/>
    <w:rsid w:val="00d77ef7"/>
    <w:rPr>
      <w:rFonts w:ascii="Tahoma" w:hAnsi="Tahoma" w:eastAsia="Open Sans" w:cs="Tahoma"/>
      <w:sz w:val="16"/>
      <w:szCs w:val="16"/>
      <w:lang w:val="fr-FR"/>
    </w:rPr>
  </w:style>
  <w:style w:type="character" w:styleId="Sautdindex">
    <w:name w:val="Saut d'index"/>
    <w:qFormat/>
    <w:rPr/>
  </w:style>
  <w:style w:type="paragraph" w:styleId="Titre">
    <w:name w:val="Titre"/>
    <w:basedOn w:val="Normal"/>
    <w:next w:val="Corpsdetexte"/>
    <w:qFormat/>
    <w:pPr>
      <w:keepNext w:val="true"/>
      <w:spacing w:before="240" w:after="120"/>
    </w:pPr>
    <w:rPr>
      <w:rFonts w:ascii="Liberation Sans" w:hAnsi="Liberation Sans" w:eastAsia="Microsoft YaHei" w:cs="Arial Unicode MS"/>
      <w:sz w:val="28"/>
      <w:szCs w:val="28"/>
    </w:rPr>
  </w:style>
  <w:style w:type="paragraph" w:styleId="Corpsdetexte">
    <w:name w:val="Body Text"/>
    <w:basedOn w:val="Normal"/>
    <w:link w:val="CorpsdetexteCar"/>
    <w:uiPriority w:val="1"/>
    <w:rsid w:val="00f42c76"/>
    <w:pPr>
      <w:spacing w:lineRule="auto" w:line="240"/>
    </w:pPr>
    <w:rPr/>
  </w:style>
  <w:style w:type="paragraph" w:styleId="Liste">
    <w:name w:val="List"/>
    <w:basedOn w:val="Corpsdetexte"/>
    <w:pPr/>
    <w:rPr>
      <w:rFonts w:cs="Arial Unicode MS"/>
    </w:rPr>
  </w:style>
  <w:style w:type="paragraph" w:styleId="Lgende">
    <w:name w:val="Caption"/>
    <w:basedOn w:val="Normal"/>
    <w:qFormat/>
    <w:pPr>
      <w:suppressLineNumbers/>
      <w:spacing w:before="120" w:after="120"/>
    </w:pPr>
    <w:rPr>
      <w:rFonts w:cs="Arial Unicode MS"/>
      <w:i/>
      <w:iCs/>
      <w:sz w:val="24"/>
      <w:szCs w:val="24"/>
    </w:rPr>
  </w:style>
  <w:style w:type="paragraph" w:styleId="Index">
    <w:name w:val="Index"/>
    <w:basedOn w:val="Normal"/>
    <w:qFormat/>
    <w:pPr>
      <w:suppressLineNumbers/>
    </w:pPr>
    <w:rPr>
      <w:rFonts w:cs="Arial Unicode MS"/>
    </w:rPr>
  </w:style>
  <w:style w:type="paragraph" w:styleId="ListParagraph">
    <w:name w:val="List Paragraph"/>
    <w:basedOn w:val="Normal"/>
    <w:link w:val="ParagraphedelisteCar"/>
    <w:uiPriority w:val="1"/>
    <w:qFormat/>
    <w:rsid w:val="00b4370e"/>
    <w:pPr/>
    <w:rPr/>
  </w:style>
  <w:style w:type="paragraph" w:styleId="TableParagraph" w:customStyle="1">
    <w:name w:val="Table Paragraph"/>
    <w:basedOn w:val="Normal"/>
    <w:uiPriority w:val="1"/>
    <w:qFormat/>
    <w:rsid w:val="00b4370e"/>
    <w:pPr/>
    <w:rPr/>
  </w:style>
  <w:style w:type="paragraph" w:styleId="Entteetpieddepage">
    <w:name w:val="En-tête et pied de page"/>
    <w:basedOn w:val="Normal"/>
    <w:qFormat/>
    <w:pPr/>
    <w:rPr/>
  </w:style>
  <w:style w:type="paragraph" w:styleId="Entte">
    <w:name w:val="Header"/>
    <w:basedOn w:val="Normal"/>
    <w:link w:val="En-tteCar"/>
    <w:uiPriority w:val="99"/>
    <w:unhideWhenUsed/>
    <w:rsid w:val="002571b2"/>
    <w:pPr>
      <w:tabs>
        <w:tab w:val="clear" w:pos="720"/>
        <w:tab w:val="center" w:pos="4536" w:leader="none"/>
        <w:tab w:val="right" w:pos="9072" w:leader="none"/>
      </w:tabs>
    </w:pPr>
    <w:rPr/>
  </w:style>
  <w:style w:type="paragraph" w:styleId="Pieddepage">
    <w:name w:val="Footer"/>
    <w:basedOn w:val="Normal"/>
    <w:link w:val="PieddepageCar"/>
    <w:uiPriority w:val="99"/>
    <w:unhideWhenUsed/>
    <w:rsid w:val="002571b2"/>
    <w:pPr>
      <w:tabs>
        <w:tab w:val="clear" w:pos="720"/>
        <w:tab w:val="center" w:pos="4536" w:leader="none"/>
        <w:tab w:val="right" w:pos="9072" w:leader="none"/>
      </w:tabs>
    </w:pPr>
    <w:rPr/>
  </w:style>
  <w:style w:type="paragraph" w:styleId="Pieddepage1" w:customStyle="1">
    <w:name w:val="pied-de-page"/>
    <w:basedOn w:val="Normal"/>
    <w:link w:val="pied-de-pageCar"/>
    <w:qFormat/>
    <w:rsid w:val="00921910"/>
    <w:pPr>
      <w:spacing w:before="2" w:after="0"/>
    </w:pPr>
    <w:rPr>
      <w:rFonts w:ascii="Open Sans Light" w:hAnsi="Open Sans Light"/>
      <w:color w:val="4B5364"/>
      <w:spacing w:val="-5"/>
      <w:sz w:val="16"/>
    </w:rPr>
  </w:style>
  <w:style w:type="paragraph" w:styleId="CoordonnessigeGEOFIT" w:customStyle="1">
    <w:name w:val="Coordonnées siège GEOFIT"/>
    <w:basedOn w:val="Normal"/>
    <w:link w:val="CoordonnessigeGEOFITCar"/>
    <w:qFormat/>
    <w:rsid w:val="00a8359b"/>
    <w:pPr>
      <w:jc w:val="left"/>
    </w:pPr>
    <w:rPr>
      <w:color w:val="4B5364"/>
      <w:sz w:val="14"/>
    </w:rPr>
  </w:style>
  <w:style w:type="paragraph" w:styleId="Titreprincipal">
    <w:name w:val="Title"/>
    <w:basedOn w:val="Normal"/>
    <w:next w:val="Normal"/>
    <w:link w:val="TitreCar"/>
    <w:uiPriority w:val="10"/>
    <w:qFormat/>
    <w:rsid w:val="00ed55e1"/>
    <w:pPr>
      <w:spacing w:before="0" w:after="0"/>
      <w:contextualSpacing/>
    </w:pPr>
    <w:rPr>
      <w:rFonts w:ascii="Figtree" w:hAnsi="Figtree" w:eastAsia="" w:cs="" w:asciiTheme="majorHAnsi" w:cstheme="majorBidi" w:eastAsiaTheme="majorEastAsia" w:hAnsiTheme="majorHAnsi"/>
      <w:spacing w:val="-10"/>
      <w:kern w:val="2"/>
      <w:sz w:val="56"/>
      <w:szCs w:val="56"/>
    </w:rPr>
  </w:style>
  <w:style w:type="paragraph" w:styleId="Soustitre">
    <w:name w:val="Subtitle"/>
    <w:basedOn w:val="Normal"/>
    <w:next w:val="Normal"/>
    <w:link w:val="Sous-titreCar"/>
    <w:uiPriority w:val="11"/>
    <w:qFormat/>
    <w:rsid w:val="00fd4d9d"/>
    <w:pPr>
      <w:spacing w:lineRule="auto" w:line="360" w:before="360" w:after="240"/>
    </w:pPr>
    <w:rPr>
      <w:rFonts w:eastAsia="" w:cs="" w:cstheme="minorBidi" w:eastAsiaTheme="minorEastAsia"/>
      <w:i/>
      <w:color w:val="2AB5B4"/>
      <w:spacing w:val="15"/>
      <w:sz w:val="22"/>
      <w:szCs w:val="22"/>
    </w:rPr>
  </w:style>
  <w:style w:type="paragraph" w:styleId="Quote">
    <w:name w:val="Quote"/>
    <w:basedOn w:val="Normal"/>
    <w:next w:val="Normal"/>
    <w:link w:val="CitationCar"/>
    <w:uiPriority w:val="29"/>
    <w:qFormat/>
    <w:rsid w:val="00ed7273"/>
    <w:pPr>
      <w:spacing w:before="200" w:after="160"/>
      <w:ind w:left="864" w:right="864" w:hanging="0"/>
      <w:jc w:val="center"/>
    </w:pPr>
    <w:rPr>
      <w:i/>
      <w:iCs/>
      <w:color w:val="566988" w:themeColor="text1" w:themeTint="bf"/>
    </w:rPr>
  </w:style>
  <w:style w:type="paragraph" w:styleId="NormalWeb">
    <w:name w:val="Normal (Web)"/>
    <w:basedOn w:val="Normal"/>
    <w:uiPriority w:val="99"/>
    <w:unhideWhenUsed/>
    <w:qFormat/>
    <w:rsid w:val="00101f1c"/>
    <w:pPr>
      <w:widowControl/>
      <w:spacing w:lineRule="auto" w:line="240" w:beforeAutospacing="1" w:afterAutospacing="1"/>
      <w:jc w:val="left"/>
    </w:pPr>
    <w:rPr>
      <w:rFonts w:ascii="Times New Roman" w:hAnsi="Times New Roman" w:eastAsia="Times New Roman" w:cs="Times New Roman"/>
      <w:sz w:val="24"/>
      <w:szCs w:val="24"/>
      <w:lang w:eastAsia="fr-FR"/>
    </w:rPr>
  </w:style>
  <w:style w:type="paragraph" w:styleId="Titre2GEOFIT" w:customStyle="1">
    <w:name w:val="Titre 2 GEOFIT"/>
    <w:basedOn w:val="Titre1GEOFIT"/>
    <w:next w:val="Normal"/>
    <w:qFormat/>
    <w:rsid w:val="0079731a"/>
    <w:pPr>
      <w:pBdr>
        <w:bottom w:val="nil"/>
      </w:pBdr>
      <w:ind w:left="792" w:hanging="0"/>
    </w:pPr>
    <w:rPr>
      <w:rFonts w:ascii="Figtree Bold" w:hAnsi="Figtree Bold"/>
      <w:sz w:val="36"/>
      <w:szCs w:val="36"/>
    </w:rPr>
  </w:style>
  <w:style w:type="paragraph" w:styleId="Titre3GEOFIT" w:customStyle="1">
    <w:name w:val="Titre 3 GEOFIT"/>
    <w:basedOn w:val="Titre2GEOFIT"/>
    <w:next w:val="Normal"/>
    <w:link w:val="Titre3GEOFITCar"/>
    <w:qFormat/>
    <w:rsid w:val="0079731a"/>
    <w:pPr/>
    <w:rPr>
      <w:rFonts w:ascii="Figtree Medium" w:hAnsi="Figtree Medium"/>
      <w:color w:val="30C1BF" w:themeColor="accent6" w:themeShade="bf"/>
      <w:sz w:val="28"/>
      <w:szCs w:val="28"/>
    </w:rPr>
  </w:style>
  <w:style w:type="paragraph" w:styleId="Titre4GEOFIT" w:customStyle="1">
    <w:name w:val="Titre 4 GEOFIT"/>
    <w:basedOn w:val="Titre3GEOFIT"/>
    <w:next w:val="Normal"/>
    <w:link w:val="Titre4GEOFITCar"/>
    <w:qFormat/>
    <w:rsid w:val="0079731a"/>
    <w:pPr>
      <w:ind w:left="2098" w:hanging="1077"/>
    </w:pPr>
    <w:rPr>
      <w:rFonts w:eastAsia="" w:cs="" w:cstheme="majorBidi" w:eastAsiaTheme="majorEastAsia"/>
      <w:iCs/>
      <w:color w:val="6D8CF2" w:themeColor="accent1"/>
      <w:sz w:val="24"/>
      <w:szCs w:val="22"/>
    </w:rPr>
  </w:style>
  <w:style w:type="paragraph" w:styleId="Titre1GEOFIT" w:customStyle="1">
    <w:name w:val="Titre 1 GEOFIT"/>
    <w:basedOn w:val="Titre1"/>
    <w:next w:val="Normal"/>
    <w:qFormat/>
    <w:rsid w:val="0079731a"/>
    <w:pPr>
      <w:pBdr>
        <w:bottom w:val="single" w:sz="8" w:space="1" w:color="2AB5B4"/>
      </w:pBdr>
      <w:spacing w:lineRule="auto" w:line="360" w:before="480" w:after="360"/>
      <w:ind w:left="567" w:hanging="567"/>
      <w:outlineLvl w:val="9"/>
    </w:pPr>
    <w:rPr>
      <w:bCs w:val="false"/>
      <w:color w:val="303D4F"/>
      <w:sz w:val="50"/>
      <w:szCs w:val="50"/>
    </w:rPr>
  </w:style>
  <w:style w:type="paragraph" w:styleId="ListBullet">
    <w:name w:val="List Bullet"/>
    <w:basedOn w:val="Corpsdetexte"/>
    <w:link w:val="ListepucesCar"/>
    <w:uiPriority w:val="99"/>
    <w:unhideWhenUsed/>
    <w:qFormat/>
    <w:rsid w:val="00f5657c"/>
    <w:pPr>
      <w:numPr>
        <w:ilvl w:val="0"/>
        <w:numId w:val="1"/>
      </w:numPr>
      <w:tabs>
        <w:tab w:val="clear" w:pos="720"/>
        <w:tab w:val="left" w:pos="360" w:leader="none"/>
      </w:tabs>
      <w:spacing w:lineRule="auto" w:line="247" w:before="100" w:after="0"/>
      <w:ind w:left="113" w:right="89" w:hanging="0"/>
    </w:pPr>
    <w:rPr>
      <w:color w:val="313C4E" w:themeColor="background1"/>
    </w:rPr>
  </w:style>
  <w:style w:type="paragraph" w:styleId="ListBullet2">
    <w:name w:val="List Bullet 2"/>
    <w:basedOn w:val="Normal"/>
    <w:uiPriority w:val="99"/>
    <w:unhideWhenUsed/>
    <w:qFormat/>
    <w:rsid w:val="00442543"/>
    <w:pPr>
      <w:numPr>
        <w:ilvl w:val="0"/>
        <w:numId w:val="1"/>
      </w:numPr>
      <w:spacing w:before="0" w:after="0"/>
      <w:contextualSpacing/>
    </w:pPr>
    <w:rPr/>
  </w:style>
  <w:style w:type="paragraph" w:styleId="BodyText2">
    <w:name w:val="Body Text 2"/>
    <w:basedOn w:val="Normal"/>
    <w:link w:val="Corpsdetexte2Car"/>
    <w:uiPriority w:val="99"/>
    <w:semiHidden/>
    <w:unhideWhenUsed/>
    <w:qFormat/>
    <w:rsid w:val="0011639e"/>
    <w:pPr>
      <w:spacing w:lineRule="auto" w:line="480" w:before="0" w:after="120"/>
    </w:pPr>
    <w:rPr/>
  </w:style>
  <w:style w:type="paragraph" w:styleId="Titredudocument" w:customStyle="1">
    <w:name w:val="Titre du document"/>
    <w:next w:val="Normal"/>
    <w:link w:val="TitredudocumentCar"/>
    <w:qFormat/>
    <w:rsid w:val="001f7144"/>
    <w:pPr>
      <w:widowControl w:val="false"/>
      <w:bidi w:val="0"/>
      <w:spacing w:lineRule="auto" w:line="360" w:before="480" w:after="360"/>
      <w:jc w:val="left"/>
    </w:pPr>
    <w:rPr>
      <w:rFonts w:ascii="Figtree Bold" w:hAnsi="Figtree Bold" w:eastAsia="Figtree SemiBold" w:cs="Figtree SemiBold"/>
      <w:color w:val="313C4E"/>
      <w:spacing w:val="-4"/>
      <w:kern w:val="0"/>
      <w:sz w:val="50"/>
      <w:szCs w:val="40"/>
      <w:lang w:val="fr-FR" w:eastAsia="en-US" w:bidi="ar-SA"/>
    </w:rPr>
  </w:style>
  <w:style w:type="paragraph" w:styleId="Lieuadresse" w:customStyle="1">
    <w:name w:val="Lieu/adresse"/>
    <w:basedOn w:val="Normal"/>
    <w:link w:val="LieuadresseCar"/>
    <w:qFormat/>
    <w:rsid w:val="00fe6a65"/>
    <w:pPr>
      <w:spacing w:lineRule="auto" w:line="403" w:before="614" w:after="0"/>
      <w:ind w:left="142" w:right="1562" w:hanging="0"/>
    </w:pPr>
    <w:rPr>
      <w:rFonts w:ascii="Figtree Medium" w:hAnsi="Figtree Medium"/>
      <w:color w:val="303D4F"/>
      <w:spacing w:val="-2"/>
      <w:sz w:val="30"/>
    </w:rPr>
  </w:style>
  <w:style w:type="paragraph" w:styleId="Tabledesmatiresniveau1">
    <w:name w:val="TOC 1"/>
    <w:basedOn w:val="Normal"/>
    <w:next w:val="Normal"/>
    <w:autoRedefine/>
    <w:uiPriority w:val="39"/>
    <w:unhideWhenUsed/>
    <w:rsid w:val="00fe6a65"/>
    <w:pPr>
      <w:spacing w:lineRule="auto" w:line="247" w:before="100" w:after="100"/>
      <w:ind w:left="113" w:right="89" w:hanging="0"/>
    </w:pPr>
    <w:rPr>
      <w:color w:val="231F20"/>
    </w:rPr>
  </w:style>
  <w:style w:type="paragraph" w:styleId="Tabledesmatiresniveau2">
    <w:name w:val="TOC 2"/>
    <w:basedOn w:val="Normal"/>
    <w:next w:val="Normal"/>
    <w:autoRedefine/>
    <w:uiPriority w:val="39"/>
    <w:unhideWhenUsed/>
    <w:rsid w:val="00fe6a65"/>
    <w:pPr>
      <w:spacing w:lineRule="auto" w:line="247" w:before="100" w:after="100"/>
      <w:ind w:left="220" w:right="89" w:hanging="0"/>
    </w:pPr>
    <w:rPr>
      <w:color w:val="231F20"/>
    </w:rPr>
  </w:style>
  <w:style w:type="paragraph" w:styleId="Tabledesmatiresniveau3">
    <w:name w:val="TOC 3"/>
    <w:basedOn w:val="Normal"/>
    <w:next w:val="Normal"/>
    <w:autoRedefine/>
    <w:uiPriority w:val="39"/>
    <w:unhideWhenUsed/>
    <w:rsid w:val="00fe6a65"/>
    <w:pPr>
      <w:spacing w:lineRule="auto" w:line="247" w:before="100" w:after="100"/>
      <w:ind w:left="440" w:right="89" w:hanging="0"/>
    </w:pPr>
    <w:rPr>
      <w:color w:val="231F20"/>
    </w:rPr>
  </w:style>
  <w:style w:type="paragraph" w:styleId="Coordonnes" w:customStyle="1">
    <w:name w:val="Coordonnées"/>
    <w:basedOn w:val="Normal"/>
    <w:qFormat/>
    <w:rsid w:val="00fe6a65"/>
    <w:pPr>
      <w:spacing w:lineRule="auto" w:line="247" w:before="100" w:after="0"/>
      <w:ind w:left="113" w:right="89" w:hanging="0"/>
    </w:pPr>
    <w:rPr>
      <w:color w:val="4B5364"/>
      <w:sz w:val="16"/>
    </w:rPr>
  </w:style>
  <w:style w:type="paragraph" w:styleId="ListBullet4">
    <w:name w:val="List Bullet 4"/>
    <w:basedOn w:val="Normal"/>
    <w:uiPriority w:val="99"/>
    <w:semiHidden/>
    <w:unhideWhenUsed/>
    <w:qFormat/>
    <w:rsid w:val="00793f98"/>
    <w:pPr>
      <w:numPr>
        <w:ilvl w:val="0"/>
        <w:numId w:val="4"/>
      </w:numPr>
      <w:spacing w:before="0" w:after="0"/>
      <w:contextualSpacing/>
    </w:pPr>
    <w:rPr/>
  </w:style>
  <w:style w:type="paragraph" w:styleId="LgendeGEOFIT" w:customStyle="1">
    <w:name w:val="Légende GEOFIT"/>
    <w:basedOn w:val="Caption"/>
    <w:next w:val="Normal"/>
    <w:link w:val="LgendeGEOFITCar"/>
    <w:qFormat/>
    <w:rsid w:val="004e44d5"/>
    <w:pPr>
      <w:jc w:val="center"/>
    </w:pPr>
    <w:rPr>
      <w:color w:val="313C4E" w:themeColor="background1"/>
      <w:sz w:val="16"/>
    </w:rPr>
  </w:style>
  <w:style w:type="paragraph" w:styleId="Caption">
    <w:name w:val="caption"/>
    <w:basedOn w:val="Normal"/>
    <w:next w:val="Normal"/>
    <w:uiPriority w:val="35"/>
    <w:semiHidden/>
    <w:unhideWhenUsed/>
    <w:qFormat/>
    <w:rsid w:val="00b2675a"/>
    <w:pPr>
      <w:spacing w:lineRule="auto" w:line="240" w:before="0" w:after="200"/>
    </w:pPr>
    <w:rPr>
      <w:i/>
      <w:iCs/>
      <w:color w:val="2AB5B4" w:themeColor="text2"/>
      <w:sz w:val="18"/>
      <w:szCs w:val="18"/>
    </w:rPr>
  </w:style>
  <w:style w:type="paragraph" w:styleId="ListBullet3">
    <w:name w:val="List Bullet 3"/>
    <w:basedOn w:val="Normal"/>
    <w:link w:val="Listepuces3Car"/>
    <w:uiPriority w:val="99"/>
    <w:semiHidden/>
    <w:unhideWhenUsed/>
    <w:qFormat/>
    <w:rsid w:val="009e0aab"/>
    <w:pPr>
      <w:numPr>
        <w:ilvl w:val="0"/>
        <w:numId w:val="2"/>
      </w:numPr>
      <w:spacing w:before="0" w:after="0"/>
      <w:contextualSpacing/>
    </w:pPr>
    <w:rPr/>
  </w:style>
  <w:style w:type="paragraph" w:styleId="Indexlexicaltitre">
    <w:name w:val="Index Heading"/>
    <w:basedOn w:val="Titre"/>
    <w:pPr/>
    <w:rPr/>
  </w:style>
  <w:style w:type="paragraph" w:styleId="Titredetabledesmatires">
    <w:name w:val="TOC Heading"/>
    <w:basedOn w:val="Titre1"/>
    <w:next w:val="Normal"/>
    <w:uiPriority w:val="39"/>
    <w:unhideWhenUsed/>
    <w:qFormat/>
    <w:rsid w:val="00041868"/>
    <w:pPr>
      <w:keepNext w:val="true"/>
      <w:keepLines/>
      <w:widowControl/>
      <w:spacing w:lineRule="auto" w:line="259" w:before="240" w:after="0"/>
      <w:ind w:left="0" w:hanging="0"/>
      <w:jc w:val="left"/>
      <w:outlineLvl w:val="9"/>
    </w:pPr>
    <w:rPr>
      <w:rFonts w:ascii="Figtree" w:hAnsi="Figtree" w:eastAsia="" w:cs="" w:asciiTheme="majorHAnsi" w:cstheme="majorBidi" w:eastAsiaTheme="majorEastAsia" w:hAnsiTheme="majorHAnsi"/>
      <w:b w:val="false"/>
      <w:bCs w:val="false"/>
      <w:color w:val="1B4BEA" w:themeColor="accent1" w:themeShade="bf"/>
      <w:sz w:val="32"/>
      <w:szCs w:val="32"/>
      <w:lang w:eastAsia="fr-FR"/>
    </w:rPr>
  </w:style>
  <w:style w:type="paragraph" w:styleId="Titre5GEOFIT" w:customStyle="1">
    <w:name w:val="Titre 5 GEOFIT"/>
    <w:basedOn w:val="Titre4GEOFIT"/>
    <w:next w:val="Normal"/>
    <w:link w:val="Titre5GEOFITCar"/>
    <w:qFormat/>
    <w:rsid w:val="0079731a"/>
    <w:pPr>
      <w:ind w:left="2608" w:hanging="1247"/>
    </w:pPr>
    <w:rPr>
      <w:color w:val="313C4E" w:themeColor="text1"/>
    </w:rPr>
  </w:style>
  <w:style w:type="paragraph" w:styleId="BalloonText">
    <w:name w:val="Balloon Text"/>
    <w:basedOn w:val="Normal"/>
    <w:link w:val="TextedebullesCar"/>
    <w:uiPriority w:val="99"/>
    <w:semiHidden/>
    <w:unhideWhenUsed/>
    <w:qFormat/>
    <w:rsid w:val="00d77ef7"/>
    <w:pPr>
      <w:spacing w:lineRule="auto" w:line="240"/>
    </w:pPr>
    <w:rPr>
      <w:rFonts w:ascii="Tahoma" w:hAnsi="Tahoma" w:cs="Tahoma"/>
      <w:sz w:val="16"/>
      <w:szCs w:val="16"/>
    </w:rPr>
  </w:style>
  <w:style w:type="paragraph" w:styleId="Contenudecadre">
    <w:name w:val="Contenu de cadre"/>
    <w:basedOn w:val="Normal"/>
    <w:qFormat/>
    <w:pPr/>
    <w:rPr/>
  </w:style>
  <w:style w:type="numbering" w:styleId="NoList" w:default="1">
    <w:name w:val="No List"/>
    <w:uiPriority w:val="99"/>
    <w:semiHidden/>
    <w:unhideWhenUsed/>
    <w:qFormat/>
  </w:style>
  <w:style w:type="table" w:default="1" w:styleId="TableauNormal">
    <w:name w:val="Normal Table"/>
    <w:uiPriority w:val="99"/>
    <w:semiHidden/>
    <w:unhideWhenUsed/>
    <w:qFormat/>
    <w:tblPr>
      <w:tblCellMar>
        <w:top w:w="0" w:type="dxa"/>
        <w:left w:w="108" w:type="dxa"/>
        <w:bottom w:w="0" w:type="dxa"/>
        <w:right w:w="108" w:type="dxa"/>
      </w:tblCellMar>
    </w:tblPr>
  </w:style>
  <w:style w:type="table" w:styleId="Grilledutableau">
    <w:name w:val="Table Grid"/>
    <w:basedOn w:val="TableauNormal"/>
    <w:uiPriority w:val="39"/>
    <w:rsid w:val="002571b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TableNormal1">
    <w:name w:val="Table Normal1"/>
    <w:uiPriority w:val="2"/>
    <w:semiHidden/>
    <w:unhideWhenUsed/>
    <w:qFormat/>
    <w:rsid w:val="006c7f2c"/>
    <w:tblPr>
      <w:tblCellMar>
        <w:top w:w="0" w:type="dxa"/>
        <w:left w:w="0" w:type="dxa"/>
        <w:bottom w:w="0" w:type="dxa"/>
        <w:right w:w="0" w:type="dxa"/>
      </w:tblCellMar>
    </w:tblPr>
  </w:style>
  <w:style w:type="table" w:customStyle="1" w:styleId="ListTable6Colorful">
    <w:name w:val="List Table 6 Colorful"/>
    <w:basedOn w:val="TableauNormal"/>
    <w:uiPriority w:val="51"/>
    <w:rsid w:val="009a52fa"/>
    <w:rPr>
      <w:color w:val="313C4E" w:themeColor="text1"/>
    </w:rPr>
    <w:tblPr>
      <w:tblStyleRowBandSize w:val="1"/>
      <w:tblStyleColBandSize w:val="1"/>
      <w:tblBorders>
        <w:top w:val="single" w:color="313C4E" w:themeColor="text1" w:sz="4" w:space="0"/>
        <w:bottom w:val="single" w:color="313C4E" w:themeColor="text1" w:sz="4" w:space="0"/>
      </w:tblBorders>
      <w:tblCellMar>
        <w:top w:w="0" w:type="dxa"/>
        <w:left w:w="108" w:type="dxa"/>
        <w:bottom w:w="0" w:type="dxa"/>
        <w:right w:w="108" w:type="dxa"/>
      </w:tblCellMar>
    </w:tblPr>
    <w:tblStylePr w:type="firstRow">
      <w:rPr>
        <w:b/>
        <w:bCs/>
      </w:rPr>
      <w:tblPr/>
      <w:tcPr>
        <w:tcBorders>
          <w:bottom w:val="single" w:color="313C4E" w:themeColor="text1" w:sz="4" w:space="0"/>
        </w:tcBorders>
      </w:tcPr>
    </w:tblStylePr>
    <w:tblStylePr w:type="lastRow">
      <w:rPr>
        <w:b/>
        <w:bCs/>
      </w:rPr>
      <w:tblPr/>
      <w:tcPr>
        <w:tcBorders>
          <w:top w:val="double" w:color="313C4E" w:themeColor="text1" w:sz="4" w:space="0"/>
        </w:tcBorders>
      </w:tcPr>
    </w:tblStylePr>
    <w:tblStylePr w:type="firstCol">
      <w:rPr>
        <w:b/>
        <w:bCs/>
      </w:rPr>
      <w:tblPr/>
    </w:tblStylePr>
    <w:tblStylePr w:type="lastCol">
      <w:rPr>
        <w:b/>
        <w:bCs/>
      </w:rPr>
      <w:tblPr/>
    </w:tblStylePr>
    <w:tblStylePr w:type="band1Vert">
      <w:tblPr/>
      <w:tcPr>
        <w:shd w:val="clear" w:color="auto" w:fill="CFD6E1" w:themeFill="text1" w:themeFillTint="33"/>
      </w:tcPr>
    </w:tblStylePr>
    <w:tblStylePr w:type="band1Horz">
      <w:tblPr/>
      <w:tcPr>
        <w:shd w:val="clear" w:color="auto" w:fill="CFD6E1" w:themeFill="text1" w:themeFillTint="33"/>
      </w:tcPr>
    </w:tblStylePr>
  </w:style>
  <w:style w:type="table" w:customStyle="1" w:styleId="ListTable1Light">
    <w:name w:val="List Table 1 Light"/>
    <w:basedOn w:val="TableauNormal"/>
    <w:uiPriority w:val="46"/>
    <w:rsid w:val="009a52fa"/>
    <w:tblPr>
      <w:tblStyleRowBandSize w:val="1"/>
      <w:tblStyleColBandSize w:val="1"/>
      <w:tblCellMar>
        <w:top w:w="0" w:type="dxa"/>
        <w:left w:w="108" w:type="dxa"/>
        <w:bottom w:w="0" w:type="dxa"/>
        <w:right w:w="108" w:type="dxa"/>
      </w:tblCellMar>
    </w:tblPr>
    <w:tblStylePr w:type="firstRow">
      <w:rPr>
        <w:b/>
        <w:bCs/>
      </w:rPr>
      <w:tblPr/>
      <w:tcPr>
        <w:tcBorders>
          <w:bottom w:val="single" w:color="7185A6" w:themeColor="text1" w:sz="4" w:space="0"/>
        </w:tcBorders>
      </w:tcPr>
    </w:tblStylePr>
    <w:tblStylePr w:type="lastRow">
      <w:rPr>
        <w:b/>
        <w:bCs/>
      </w:rPr>
      <w:tblPr/>
      <w:tcPr>
        <w:tcBorders>
          <w:top w:val="single" w:color="7185A6" w:themeColor="text1" w:sz="4" w:space="0"/>
        </w:tcBorders>
      </w:tcPr>
    </w:tblStylePr>
    <w:tblStylePr w:type="firstCol">
      <w:rPr>
        <w:b/>
        <w:bCs/>
      </w:rPr>
      <w:tblPr/>
    </w:tblStylePr>
    <w:tblStylePr w:type="lastCol">
      <w:rPr>
        <w:b/>
        <w:bCs/>
      </w:rPr>
      <w:tblPr/>
    </w:tblStylePr>
    <w:tblStylePr w:type="band1Vert">
      <w:tblPr/>
      <w:tcPr>
        <w:shd w:val="clear" w:color="auto" w:fill="CFD6E1" w:themeFill="text1" w:themeFillTint="33"/>
      </w:tcPr>
    </w:tblStylePr>
    <w:tblStylePr w:type="band1Horz">
      <w:tblPr/>
      <w:tcPr>
        <w:shd w:val="clear" w:color="auto" w:fill="CFD6E1" w:themeFill="text1" w:themeFillTint="33"/>
      </w:tcPr>
    </w:tblStylePr>
  </w:style>
  <w:style w:type="table" w:customStyle="1" w:styleId="TableNormal">
    <w:name w:val="Table Normal"/>
    <w:uiPriority w:val="2"/>
    <w:semiHidden/>
    <w:qFormat/>
    <w:rsid w:val="00fb6740"/>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image" Target="media/image14.jpeg"/><Relationship Id="rId16" Type="http://schemas.openxmlformats.org/officeDocument/2006/relationships/image" Target="media/image15.jpeg"/><Relationship Id="rId17" Type="http://schemas.openxmlformats.org/officeDocument/2006/relationships/image" Target="media/image16.jpeg"/><Relationship Id="rId18" Type="http://schemas.openxmlformats.org/officeDocument/2006/relationships/image" Target="media/image17.jpe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wmf"/><Relationship Id="rId22" Type="http://schemas.openxmlformats.org/officeDocument/2006/relationships/image" Target="media/image21.wmf"/><Relationship Id="rId23" Type="http://schemas.openxmlformats.org/officeDocument/2006/relationships/image" Target="media/image22.wmf"/><Relationship Id="rId24" Type="http://schemas.openxmlformats.org/officeDocument/2006/relationships/image" Target="media/image23.png"/><Relationship Id="rId25" Type="http://schemas.openxmlformats.org/officeDocument/2006/relationships/image" Target="media/image24.wmf"/><Relationship Id="rId26" Type="http://schemas.openxmlformats.org/officeDocument/2006/relationships/image" Target="media/image25.wmf"/><Relationship Id="rId27" Type="http://schemas.openxmlformats.org/officeDocument/2006/relationships/image" Target="media/image26.wmf"/><Relationship Id="rId28" Type="http://schemas.openxmlformats.org/officeDocument/2006/relationships/image" Target="media/image27.wmf"/><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wmf"/><Relationship Id="rId32" Type="http://schemas.openxmlformats.org/officeDocument/2006/relationships/image" Target="media/image31.png"/><Relationship Id="rId33" Type="http://schemas.openxmlformats.org/officeDocument/2006/relationships/image" Target="media/image32.wmf"/><Relationship Id="rId34" Type="http://schemas.openxmlformats.org/officeDocument/2006/relationships/image" Target="media/image33.png"/><Relationship Id="rId35" Type="http://schemas.openxmlformats.org/officeDocument/2006/relationships/image" Target="media/image34.wmf"/><Relationship Id="rId36" Type="http://schemas.openxmlformats.org/officeDocument/2006/relationships/header" Target="header1.xml"/><Relationship Id="rId37" Type="http://schemas.openxmlformats.org/officeDocument/2006/relationships/header" Target="header2.xml"/><Relationship Id="rId38" Type="http://schemas.openxmlformats.org/officeDocument/2006/relationships/footer" Target="footer1.xml"/><Relationship Id="rId39" Type="http://schemas.openxmlformats.org/officeDocument/2006/relationships/numbering" Target="numbering.xml"/><Relationship Id="rId40" Type="http://schemas.openxmlformats.org/officeDocument/2006/relationships/fontTable" Target="fontTable.xml"/><Relationship Id="rId41" Type="http://schemas.openxmlformats.org/officeDocument/2006/relationships/settings" Target="settings.xml"/><Relationship Id="rId42" Type="http://schemas.openxmlformats.org/officeDocument/2006/relationships/theme" Target="theme/theme1.xml"/><Relationship Id="rId43" Type="http://schemas.openxmlformats.org/officeDocument/2006/relationships/customXml" Target="../customXml/item1.xml"/><Relationship Id="rId44" Type="http://schemas.openxmlformats.org/officeDocument/2006/relationships/customXml" Target="../customXml/item2.xml"/><Relationship Id="rId45" Type="http://schemas.openxmlformats.org/officeDocument/2006/relationships/customXml" Target="../customXml/item3.xml"/><Relationship Id="rId46" Type="http://schemas.openxmlformats.org/officeDocument/2006/relationships/customXml" Target="../customXml/item4.xml"/>
</Relationships>
</file>

<file path=word/_rels/footer1.xml.rels><?xml version="1.0" encoding="UTF-8"?>
<Relationships xmlns="http://schemas.openxmlformats.org/package/2006/relationships"><Relationship Id="rId1" Type="http://schemas.openxmlformats.org/officeDocument/2006/relationships/image" Target="media/image36.png"/><Relationship Id="rId2" Type="http://schemas.openxmlformats.org/officeDocument/2006/relationships/image" Target="media/image37.png"/><Relationship Id="rId3" Type="http://schemas.openxmlformats.org/officeDocument/2006/relationships/image" Target="media/image36.png"/>
</Relationships>
</file>

<file path=word/_rels/header1.xml.rels><?xml version="1.0" encoding="UTF-8"?>
<Relationships xmlns="http://schemas.openxmlformats.org/package/2006/relationships"><Relationship Id="rId1" Type="http://schemas.openxmlformats.org/officeDocument/2006/relationships/image" Target="media/image35.png"/>
</Relationships>
</file>

<file path=word/theme/theme1.xml><?xml version="1.0" encoding="utf-8"?>
<a:theme xmlns:a="http://schemas.openxmlformats.org/drawingml/2006/main" name="Office Theme">
  <a:themeElements>
    <a:clrScheme name="GEOFIT">
      <a:dk1>
        <a:srgbClr val="313C4E"/>
      </a:dk1>
      <a:lt1>
        <a:srgbClr val="313C4E"/>
      </a:lt1>
      <a:dk2>
        <a:srgbClr val="2AB5B4"/>
      </a:dk2>
      <a:lt2>
        <a:srgbClr val="FFFFFF"/>
      </a:lt2>
      <a:accent1>
        <a:srgbClr val="6D8CF2"/>
      </a:accent1>
      <a:accent2>
        <a:srgbClr val="307FE0"/>
      </a:accent2>
      <a:accent3>
        <a:srgbClr val="FF585D"/>
      </a:accent3>
      <a:accent4>
        <a:srgbClr val="FF7F32"/>
      </a:accent4>
      <a:accent5>
        <a:srgbClr val="FBCC4A"/>
      </a:accent5>
      <a:accent6>
        <a:srgbClr val="69DAD9"/>
      </a:accent6>
      <a:hlink>
        <a:srgbClr val="313C4E"/>
      </a:hlink>
      <a:folHlink>
        <a:srgbClr val="FF585D"/>
      </a:folHlink>
    </a:clrScheme>
    <a:fontScheme name="GEOFIT">
      <a:majorFont>
        <a:latin typeface="Figtree"/>
        <a:ea typeface=""/>
        <a:cs typeface=""/>
      </a:majorFont>
      <a:minorFont>
        <a:latin typeface="Open San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E10A045072974FA5BDAB73BC9B0F31" ma:contentTypeVersion="15" ma:contentTypeDescription="Crée un document." ma:contentTypeScope="" ma:versionID="78c6529cddec28e155c0b92d45412f81">
  <xsd:schema xmlns:xsd="http://www.w3.org/2001/XMLSchema" xmlns:xs="http://www.w3.org/2001/XMLSchema" xmlns:p="http://schemas.microsoft.com/office/2006/metadata/properties" xmlns:ns2="8e78e990-4d34-4367-a7dc-764d2446f02d" xmlns:ns3="0b28c219-3769-4dc4-97f8-9634555ab1a0" targetNamespace="http://schemas.microsoft.com/office/2006/metadata/properties" ma:root="true" ma:fieldsID="85884a9a312b942e8d707d862fd3445c" ns2:_="" ns3:_="">
    <xsd:import namespace="8e78e990-4d34-4367-a7dc-764d2446f02d"/>
    <xsd:import namespace="0b28c219-3769-4dc4-97f8-9634555ab1a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Location"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78e990-4d34-4367-a7dc-764d2446f0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1e75de0f-5101-468e-9d4b-94822461b168"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b28c219-3769-4dc4-97f8-9634555ab1a0"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82410c3-a66f-4fd0-b95e-a01bebef20c3}" ma:internalName="TaxCatchAll" ma:showField="CatchAllData" ma:web="0b28c219-3769-4dc4-97f8-9634555ab1a0">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e78e990-4d34-4367-a7dc-764d2446f02d">
      <Terms xmlns="http://schemas.microsoft.com/office/infopath/2007/PartnerControls"/>
    </lcf76f155ced4ddcb4097134ff3c332f>
    <TaxCatchAll xmlns="0b28c219-3769-4dc4-97f8-9634555ab1a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138191-5321-45D1-9B85-6F8EA61CA3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78e990-4d34-4367-a7dc-764d2446f02d"/>
    <ds:schemaRef ds:uri="0b28c219-3769-4dc4-97f8-9634555ab1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9F0179-677E-4BCC-AD5A-5B086E7EAC6C}">
  <ds:schemaRefs>
    <ds:schemaRef ds:uri="http://schemas.microsoft.com/office/2006/metadata/properties"/>
    <ds:schemaRef ds:uri="http://schemas.microsoft.com/office/infopath/2007/PartnerControls"/>
    <ds:schemaRef ds:uri="8e78e990-4d34-4367-a7dc-764d2446f02d"/>
    <ds:schemaRef ds:uri="0b28c219-3769-4dc4-97f8-9634555ab1a0"/>
  </ds:schemaRefs>
</ds:datastoreItem>
</file>

<file path=customXml/itemProps3.xml><?xml version="1.0" encoding="utf-8"?>
<ds:datastoreItem xmlns:ds="http://schemas.openxmlformats.org/officeDocument/2006/customXml" ds:itemID="{DFD46240-5B4B-45C2-953E-2D5A12D0CC33}">
  <ds:schemaRefs>
    <ds:schemaRef ds:uri="http://schemas.microsoft.com/sharepoint/v3/contenttype/forms"/>
  </ds:schemaRefs>
</ds:datastoreItem>
</file>

<file path=customXml/itemProps4.xml><?xml version="1.0" encoding="utf-8"?>
<ds:datastoreItem xmlns:ds="http://schemas.openxmlformats.org/officeDocument/2006/customXml" ds:itemID="{86715C3E-F647-4597-B604-C0C7A7074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Application>LibreOffice/7.2.7.2.M8$Windows_X86_64 LibreOffice_project/cf1bdbb7fdbe4cc2bde03370057fbbb79d316db5</Application>
  <AppVersion>15.0000</AppVersion>
  <Pages>30</Pages>
  <Words>4674</Words>
  <Characters>25573</Characters>
  <CharactersWithSpaces>29957</CharactersWithSpaces>
  <Paragraphs>374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2024-08-05T10:35:35Z</dcterms:created>
  <dc:creator/>
  <dc:description/>
  <dc:language>fr-FR</dc:language>
  <cp:lastModifiedBy/>
  <cp:revision>1</cp:revision>
  <dc:subject/>
  <dc:title>Géo détection des réseaux enterrés                                           -A 75 – LE PIROU / LA BESSAIRE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0x010100ECE10A045072974FA5BDAB73BC9B0F31</vt:lpwstr>
  </property>
  <property fmtid="{D5CDD505-2E9C-101B-9397-08002B2CF9AE}" pid="3" name="Created">
    <vt:filetime>2023-11-22T00:00:00Z</vt:filetime>
  </property>
  <property fmtid="{D5CDD505-2E9C-101B-9397-08002B2CF9AE}" pid="4" name="Creator">
    <vt:lpwstr>Adobe InDesign 19.0 (Windows)</vt:lpwstr>
  </property>
  <property fmtid="{D5CDD505-2E9C-101B-9397-08002B2CF9AE}" pid="5" name="LastSaved">
    <vt:filetime>2023-11-22T00:00:00Z</vt:filetime>
  </property>
  <property fmtid="{D5CDD505-2E9C-101B-9397-08002B2CF9AE}" pid="6" name="MediaServiceImageTags">
    <vt:lpwstr/>
  </property>
  <property fmtid="{D5CDD505-2E9C-101B-9397-08002B2CF9AE}" pid="7" name="Producer">
    <vt:lpwstr>Adobe PDF Library 17.0</vt:lpwstr>
  </property>
</Properties>
</file>