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4A9F6" w14:textId="289430DC" w:rsidR="00A25FA9" w:rsidRDefault="00A25FA9" w:rsidP="00A25FA9">
      <w:pPr>
        <w:rPr>
          <w:sz w:val="21"/>
          <w:szCs w:val="21"/>
        </w:rPr>
      </w:pPr>
      <w:r w:rsidRPr="00250DE2">
        <w:rPr>
          <w:noProof/>
        </w:rPr>
        <w:drawing>
          <wp:inline distT="0" distB="0" distL="0" distR="0" wp14:anchorId="2DF8DA0C" wp14:editId="3ED1BE80">
            <wp:extent cx="1319530" cy="914400"/>
            <wp:effectExtent l="0" t="0" r="0" b="0"/>
            <wp:docPr id="3" name="Image 3" descr="C:\Users\PINTHONLA\Desktop\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INTHONLA\Desktop\LOGO M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9530" cy="914400"/>
                    </a:xfrm>
                    <a:prstGeom prst="rect">
                      <a:avLst/>
                    </a:prstGeom>
                    <a:noFill/>
                    <a:ln>
                      <a:noFill/>
                    </a:ln>
                  </pic:spPr>
                </pic:pic>
              </a:graphicData>
            </a:graphic>
          </wp:inline>
        </w:drawing>
      </w:r>
    </w:p>
    <w:p w14:paraId="4848FD30" w14:textId="77777777" w:rsidR="00A25FA9" w:rsidRDefault="00A25FA9" w:rsidP="00A25FA9">
      <w:pPr>
        <w:rPr>
          <w:sz w:val="21"/>
          <w:szCs w:val="21"/>
        </w:rPr>
      </w:pPr>
    </w:p>
    <w:p w14:paraId="3325E478" w14:textId="77777777" w:rsidR="00A25FA9" w:rsidRDefault="00A25FA9" w:rsidP="00A25FA9">
      <w:pPr>
        <w:rPr>
          <w:sz w:val="21"/>
          <w:szCs w:val="21"/>
        </w:rPr>
      </w:pPr>
    </w:p>
    <w:p w14:paraId="1FBEF1D4" w14:textId="77777777" w:rsidR="00A25FA9" w:rsidRDefault="00A25FA9" w:rsidP="00A25FA9">
      <w:pPr>
        <w:rPr>
          <w:sz w:val="21"/>
          <w:szCs w:val="21"/>
        </w:rPr>
      </w:pPr>
    </w:p>
    <w:p w14:paraId="7B502675" w14:textId="77777777" w:rsidR="00A25FA9" w:rsidRPr="002D3295" w:rsidRDefault="00A25FA9" w:rsidP="00A25FA9">
      <w:pPr>
        <w:rPr>
          <w:sz w:val="21"/>
          <w:szCs w:val="21"/>
        </w:rPr>
      </w:pPr>
    </w:p>
    <w:p w14:paraId="4CE04B8B" w14:textId="77777777" w:rsidR="00A25FA9" w:rsidRPr="002D3295" w:rsidRDefault="00A25FA9" w:rsidP="00A25FA9">
      <w:pPr>
        <w:rPr>
          <w:b/>
          <w:i/>
          <w:sz w:val="21"/>
          <w:szCs w:val="21"/>
        </w:rPr>
      </w:pPr>
      <w:r w:rsidRPr="002D3295">
        <w:rPr>
          <w:b/>
          <w:i/>
          <w:sz w:val="21"/>
          <w:szCs w:val="21"/>
        </w:rPr>
        <w:t>Direction de l’évaluation de la performance, de l’achat, des finances et de l’immobilier</w:t>
      </w:r>
    </w:p>
    <w:p w14:paraId="53BEE2B2" w14:textId="77777777" w:rsidR="00A25FA9" w:rsidRPr="002D3295" w:rsidRDefault="00A25FA9" w:rsidP="00A25FA9">
      <w:pPr>
        <w:rPr>
          <w:sz w:val="21"/>
          <w:szCs w:val="21"/>
        </w:rPr>
      </w:pPr>
      <w:r w:rsidRPr="002D3295">
        <w:rPr>
          <w:sz w:val="21"/>
          <w:szCs w:val="21"/>
        </w:rPr>
        <w:t>Sous-direction des affaires immobilières du ministère de l’Intérieur et des Outre-mer</w:t>
      </w:r>
    </w:p>
    <w:p w14:paraId="5D0BA047" w14:textId="77777777" w:rsidR="00A25FA9" w:rsidRPr="002D3295" w:rsidRDefault="00A25FA9" w:rsidP="00A25FA9">
      <w:pPr>
        <w:rPr>
          <w:sz w:val="21"/>
          <w:szCs w:val="21"/>
        </w:rPr>
      </w:pPr>
      <w:r w:rsidRPr="002D3295">
        <w:rPr>
          <w:sz w:val="21"/>
          <w:szCs w:val="21"/>
        </w:rPr>
        <w:t>Sous-direction de l’achat et du suivi de l’exécution des marchés</w:t>
      </w:r>
    </w:p>
    <w:p w14:paraId="2210A6ED" w14:textId="77777777" w:rsidR="00A25FA9" w:rsidRPr="002D3295" w:rsidRDefault="00A25FA9" w:rsidP="00A25FA9">
      <w:pPr>
        <w:rPr>
          <w:sz w:val="21"/>
          <w:szCs w:val="21"/>
        </w:rPr>
      </w:pPr>
      <w:r w:rsidRPr="002D3295">
        <w:rPr>
          <w:sz w:val="21"/>
          <w:szCs w:val="21"/>
        </w:rPr>
        <w:t>Bureau des achats immobiliers et prestations</w:t>
      </w:r>
    </w:p>
    <w:p w14:paraId="73E0917C" w14:textId="77777777" w:rsidR="00A25FA9" w:rsidRDefault="00A25FA9" w:rsidP="00A25FA9">
      <w:pPr>
        <w:rPr>
          <w:sz w:val="21"/>
          <w:szCs w:val="21"/>
        </w:rPr>
      </w:pPr>
    </w:p>
    <w:p w14:paraId="093A3584" w14:textId="77777777" w:rsidR="00A25FA9" w:rsidRDefault="00A25FA9" w:rsidP="00A25FA9">
      <w:pPr>
        <w:rPr>
          <w:sz w:val="21"/>
          <w:szCs w:val="21"/>
        </w:rPr>
      </w:pPr>
    </w:p>
    <w:p w14:paraId="1923B8FC" w14:textId="77777777" w:rsidR="00A25FA9" w:rsidRDefault="00A25FA9" w:rsidP="00A25FA9">
      <w:pPr>
        <w:rPr>
          <w:sz w:val="21"/>
          <w:szCs w:val="21"/>
        </w:rPr>
      </w:pPr>
    </w:p>
    <w:p w14:paraId="0A7C5F96" w14:textId="77777777" w:rsidR="00A25FA9" w:rsidRDefault="00A25FA9" w:rsidP="00A25FA9">
      <w:pPr>
        <w:rPr>
          <w:sz w:val="21"/>
          <w:szCs w:val="21"/>
        </w:rPr>
      </w:pPr>
    </w:p>
    <w:p w14:paraId="606BAE45" w14:textId="77777777" w:rsidR="00A25FA9" w:rsidRDefault="00A25FA9" w:rsidP="00A25FA9">
      <w:pPr>
        <w:pBdr>
          <w:top w:val="single" w:sz="4" w:space="1" w:color="auto"/>
          <w:left w:val="single" w:sz="4" w:space="4" w:color="auto"/>
          <w:bottom w:val="single" w:sz="4" w:space="1" w:color="auto"/>
          <w:right w:val="single" w:sz="4" w:space="4" w:color="auto"/>
        </w:pBdr>
        <w:jc w:val="center"/>
        <w:rPr>
          <w:b/>
          <w:bCs/>
          <w:sz w:val="21"/>
          <w:szCs w:val="21"/>
        </w:rPr>
      </w:pPr>
    </w:p>
    <w:p w14:paraId="1E09706C" w14:textId="77777777" w:rsidR="00A25FA9" w:rsidRPr="007405A7" w:rsidRDefault="00A25FA9" w:rsidP="00A25FA9">
      <w:pPr>
        <w:pBdr>
          <w:top w:val="single" w:sz="4" w:space="1" w:color="auto"/>
          <w:left w:val="single" w:sz="4" w:space="4" w:color="auto"/>
          <w:bottom w:val="single" w:sz="4" w:space="1" w:color="auto"/>
          <w:right w:val="single" w:sz="4" w:space="4" w:color="auto"/>
        </w:pBdr>
        <w:jc w:val="center"/>
        <w:rPr>
          <w:b/>
          <w:bCs/>
          <w:sz w:val="32"/>
          <w:szCs w:val="32"/>
        </w:rPr>
      </w:pPr>
      <w:r w:rsidRPr="007405A7">
        <w:rPr>
          <w:b/>
          <w:bCs/>
          <w:sz w:val="32"/>
          <w:szCs w:val="32"/>
        </w:rPr>
        <w:t>MARCHE</w:t>
      </w:r>
      <w:r>
        <w:rPr>
          <w:b/>
          <w:bCs/>
          <w:sz w:val="32"/>
          <w:szCs w:val="32"/>
        </w:rPr>
        <w:t xml:space="preserve"> GLOBAL DE PERFORMANCE PORTANT SUR LA </w:t>
      </w:r>
      <w:r w:rsidRPr="007405A7">
        <w:rPr>
          <w:b/>
          <w:bCs/>
          <w:sz w:val="32"/>
          <w:szCs w:val="32"/>
        </w:rPr>
        <w:t>REALISATION-EXPLOITATIONMAINTENANCE</w:t>
      </w:r>
      <w:r>
        <w:rPr>
          <w:b/>
          <w:bCs/>
          <w:sz w:val="32"/>
          <w:szCs w:val="32"/>
        </w:rPr>
        <w:t xml:space="preserve"> DES TRAVAUX D’AMENAGEMENT DU SITE </w:t>
      </w:r>
      <w:r w:rsidRPr="007405A7">
        <w:rPr>
          <w:b/>
          <w:bCs/>
          <w:sz w:val="32"/>
          <w:szCs w:val="32"/>
        </w:rPr>
        <w:t>UNIVERSEINE</w:t>
      </w:r>
    </w:p>
    <w:p w14:paraId="6B2AB387" w14:textId="77777777" w:rsidR="00A25FA9" w:rsidRPr="007405A7" w:rsidRDefault="00A25FA9" w:rsidP="00A25FA9">
      <w:pPr>
        <w:pBdr>
          <w:top w:val="single" w:sz="4" w:space="1" w:color="auto"/>
          <w:left w:val="single" w:sz="4" w:space="4" w:color="auto"/>
          <w:bottom w:val="single" w:sz="4" w:space="1" w:color="auto"/>
          <w:right w:val="single" w:sz="4" w:space="4" w:color="auto"/>
        </w:pBdr>
        <w:jc w:val="center"/>
        <w:rPr>
          <w:sz w:val="32"/>
          <w:szCs w:val="32"/>
        </w:rPr>
      </w:pPr>
    </w:p>
    <w:p w14:paraId="60362925" w14:textId="77777777" w:rsidR="00A25FA9" w:rsidRPr="007405A7" w:rsidRDefault="00A25FA9" w:rsidP="00A25FA9">
      <w:pPr>
        <w:pBdr>
          <w:top w:val="single" w:sz="4" w:space="1" w:color="auto"/>
          <w:left w:val="single" w:sz="4" w:space="4" w:color="auto"/>
          <w:bottom w:val="single" w:sz="4" w:space="1" w:color="auto"/>
          <w:right w:val="single" w:sz="4" w:space="4" w:color="auto"/>
        </w:pBdr>
        <w:jc w:val="center"/>
        <w:rPr>
          <w:sz w:val="32"/>
          <w:szCs w:val="32"/>
        </w:rPr>
      </w:pPr>
      <w:r w:rsidRPr="007405A7">
        <w:rPr>
          <w:sz w:val="32"/>
          <w:szCs w:val="32"/>
        </w:rPr>
        <w:t>________________________________________________</w:t>
      </w:r>
    </w:p>
    <w:p w14:paraId="18D547E3" w14:textId="77777777" w:rsidR="00A25FA9" w:rsidRPr="007405A7" w:rsidRDefault="00A25FA9" w:rsidP="00A25FA9">
      <w:pPr>
        <w:pBdr>
          <w:top w:val="single" w:sz="4" w:space="1" w:color="auto"/>
          <w:left w:val="single" w:sz="4" w:space="4" w:color="auto"/>
          <w:bottom w:val="single" w:sz="4" w:space="1" w:color="auto"/>
          <w:right w:val="single" w:sz="4" w:space="4" w:color="auto"/>
        </w:pBdr>
        <w:jc w:val="center"/>
        <w:rPr>
          <w:sz w:val="32"/>
          <w:szCs w:val="32"/>
        </w:rPr>
      </w:pPr>
    </w:p>
    <w:p w14:paraId="493381F7" w14:textId="67889202" w:rsidR="00A25FA9" w:rsidRPr="007405A7" w:rsidRDefault="00A25FA9" w:rsidP="00A25FA9">
      <w:pPr>
        <w:pBdr>
          <w:top w:val="single" w:sz="4" w:space="1" w:color="auto"/>
          <w:left w:val="single" w:sz="4" w:space="4" w:color="auto"/>
          <w:bottom w:val="single" w:sz="4" w:space="1" w:color="auto"/>
          <w:right w:val="single" w:sz="4" w:space="4" w:color="auto"/>
        </w:pBdr>
        <w:jc w:val="center"/>
        <w:rPr>
          <w:b/>
          <w:bCs/>
          <w:sz w:val="32"/>
          <w:szCs w:val="32"/>
        </w:rPr>
      </w:pPr>
      <w:r w:rsidRPr="002D3295">
        <w:rPr>
          <w:b/>
          <w:bCs/>
          <w:sz w:val="32"/>
          <w:szCs w:val="32"/>
          <w:highlight w:val="yellow"/>
        </w:rPr>
        <w:t>Pièce CAND</w:t>
      </w:r>
      <w:r w:rsidRPr="00A25FA9">
        <w:rPr>
          <w:b/>
          <w:bCs/>
          <w:sz w:val="32"/>
          <w:szCs w:val="32"/>
          <w:highlight w:val="yellow"/>
        </w:rPr>
        <w:t xml:space="preserve">_F_01 : Projet </w:t>
      </w:r>
      <w:proofErr w:type="gramStart"/>
      <w:r w:rsidRPr="00A25FA9">
        <w:rPr>
          <w:b/>
          <w:bCs/>
          <w:sz w:val="32"/>
          <w:szCs w:val="32"/>
          <w:highlight w:val="yellow"/>
        </w:rPr>
        <w:t>d</w:t>
      </w:r>
      <w:r w:rsidR="00393460">
        <w:rPr>
          <w:b/>
          <w:bCs/>
          <w:sz w:val="32"/>
          <w:szCs w:val="32"/>
          <w:highlight w:val="yellow"/>
        </w:rPr>
        <w:t>’</w:t>
      </w:r>
      <w:r w:rsidRPr="00A25FA9">
        <w:rPr>
          <w:b/>
          <w:bCs/>
          <w:sz w:val="32"/>
          <w:szCs w:val="32"/>
          <w:highlight w:val="yellow"/>
        </w:rPr>
        <w:t xml:space="preserve"> ANNEXE</w:t>
      </w:r>
      <w:proofErr w:type="gramEnd"/>
      <w:r w:rsidRPr="00A25FA9">
        <w:rPr>
          <w:b/>
          <w:bCs/>
          <w:sz w:val="32"/>
          <w:szCs w:val="32"/>
          <w:highlight w:val="yellow"/>
        </w:rPr>
        <w:t xml:space="preserve"> n°1 -  Pénalités applicables</w:t>
      </w:r>
    </w:p>
    <w:p w14:paraId="580DCAE7" w14:textId="77777777" w:rsidR="00A25FA9" w:rsidRPr="007405A7" w:rsidRDefault="00A25FA9" w:rsidP="00A25FA9">
      <w:pPr>
        <w:pBdr>
          <w:top w:val="single" w:sz="4" w:space="1" w:color="auto"/>
          <w:left w:val="single" w:sz="4" w:space="4" w:color="auto"/>
          <w:bottom w:val="single" w:sz="4" w:space="1" w:color="auto"/>
          <w:right w:val="single" w:sz="4" w:space="4" w:color="auto"/>
        </w:pBdr>
        <w:jc w:val="center"/>
        <w:rPr>
          <w:sz w:val="32"/>
          <w:szCs w:val="32"/>
        </w:rPr>
      </w:pPr>
    </w:p>
    <w:p w14:paraId="103DFFAD" w14:textId="77777777" w:rsidR="00A25FA9" w:rsidRDefault="00A25FA9" w:rsidP="00A25FA9">
      <w:pPr>
        <w:pBdr>
          <w:top w:val="single" w:sz="4" w:space="1" w:color="auto"/>
          <w:left w:val="single" w:sz="4" w:space="4" w:color="auto"/>
          <w:bottom w:val="single" w:sz="4" w:space="1" w:color="auto"/>
          <w:right w:val="single" w:sz="4" w:space="4" w:color="auto"/>
        </w:pBdr>
        <w:jc w:val="center"/>
        <w:rPr>
          <w:sz w:val="21"/>
          <w:szCs w:val="21"/>
        </w:rPr>
      </w:pPr>
    </w:p>
    <w:p w14:paraId="35863CA8" w14:textId="77777777" w:rsidR="00A25FA9" w:rsidRDefault="00A25FA9" w:rsidP="00A25FA9">
      <w:pPr>
        <w:rPr>
          <w:sz w:val="21"/>
          <w:szCs w:val="21"/>
        </w:rPr>
      </w:pPr>
    </w:p>
    <w:p w14:paraId="79D1C455" w14:textId="77777777" w:rsidR="00A25FA9" w:rsidRDefault="00A25FA9" w:rsidP="00A25FA9">
      <w:pPr>
        <w:rPr>
          <w:sz w:val="21"/>
          <w:szCs w:val="21"/>
        </w:rPr>
      </w:pPr>
    </w:p>
    <w:p w14:paraId="7F65DFC5" w14:textId="77777777" w:rsidR="00A25FA9" w:rsidRDefault="00A25FA9" w:rsidP="00A25FA9">
      <w:pPr>
        <w:rPr>
          <w:sz w:val="21"/>
          <w:szCs w:val="21"/>
        </w:rPr>
      </w:pPr>
    </w:p>
    <w:p w14:paraId="0246822E" w14:textId="77777777" w:rsidR="00A25FA9" w:rsidRDefault="00A25FA9" w:rsidP="00A25FA9">
      <w:pPr>
        <w:rPr>
          <w:sz w:val="21"/>
          <w:szCs w:val="21"/>
        </w:rPr>
      </w:pPr>
    </w:p>
    <w:p w14:paraId="772C1AD2" w14:textId="65FCCAB1" w:rsidR="002728F0" w:rsidRDefault="002728F0"/>
    <w:p w14:paraId="6F176E01" w14:textId="77777777" w:rsidR="00BF24C7" w:rsidRDefault="00BF24C7" w:rsidP="002728F0">
      <w:pPr>
        <w:jc w:val="center"/>
      </w:pPr>
    </w:p>
    <w:p w14:paraId="1DA772C6" w14:textId="77777777" w:rsidR="00BF24C7" w:rsidRDefault="00BF24C7" w:rsidP="00180F78">
      <w:pPr>
        <w:jc w:val="both"/>
      </w:pPr>
      <w:r>
        <w:t>A</w:t>
      </w:r>
      <w:r w:rsidRPr="00BF24C7">
        <w:t xml:space="preserve">VERTISSEMENT : </w:t>
      </w:r>
    </w:p>
    <w:p w14:paraId="42A65989" w14:textId="290F53B0" w:rsidR="00BF24C7" w:rsidRDefault="00BF24C7" w:rsidP="00180F78">
      <w:pPr>
        <w:jc w:val="both"/>
        <w:rPr>
          <w:color w:val="FF0000"/>
        </w:rPr>
      </w:pPr>
      <w:r w:rsidRPr="002229CC">
        <w:rPr>
          <w:color w:val="FF0000"/>
        </w:rPr>
        <w:t>Les candidats sont informés que l’annexe pénalités est « provisoire » et sera mise à jour</w:t>
      </w:r>
      <w:r w:rsidR="00887CAB">
        <w:rPr>
          <w:color w:val="FF0000"/>
        </w:rPr>
        <w:t xml:space="preserve"> pour la phase offre et</w:t>
      </w:r>
      <w:r w:rsidRPr="002229CC">
        <w:rPr>
          <w:color w:val="FF0000"/>
        </w:rPr>
        <w:t xml:space="preserve"> durant la</w:t>
      </w:r>
      <w:r w:rsidR="00684238" w:rsidRPr="002229CC">
        <w:rPr>
          <w:color w:val="FF0000"/>
        </w:rPr>
        <w:t xml:space="preserve"> </w:t>
      </w:r>
      <w:r w:rsidRPr="002229CC">
        <w:rPr>
          <w:color w:val="FF0000"/>
        </w:rPr>
        <w:t xml:space="preserve">procédure de </w:t>
      </w:r>
      <w:r w:rsidR="00684238" w:rsidRPr="002229CC">
        <w:rPr>
          <w:color w:val="FF0000"/>
        </w:rPr>
        <w:t>négociations</w:t>
      </w:r>
      <w:r w:rsidR="003C4E57">
        <w:rPr>
          <w:color w:val="FF0000"/>
        </w:rPr>
        <w:t>.</w:t>
      </w:r>
    </w:p>
    <w:p w14:paraId="409AB8BB" w14:textId="77777777" w:rsidR="00887CAB" w:rsidRPr="002229CC" w:rsidRDefault="00887CAB" w:rsidP="00180F78">
      <w:pPr>
        <w:jc w:val="both"/>
        <w:rPr>
          <w:color w:val="FF0000"/>
        </w:rPr>
      </w:pPr>
    </w:p>
    <w:p w14:paraId="669986FC" w14:textId="5FC0D29C" w:rsidR="00BF24C7" w:rsidRDefault="00BF24C7" w:rsidP="00180F78">
      <w:pPr>
        <w:jc w:val="both"/>
      </w:pPr>
      <w:r w:rsidRPr="00BF24C7">
        <w:t xml:space="preserve">Les pénalités sont encourues du simple fait de la constatation du retard, du manquement ou du défaut par le Maître d’Ouvrage, </w:t>
      </w:r>
      <w:r w:rsidR="00F2444F">
        <w:t>le MOE</w:t>
      </w:r>
      <w:r w:rsidRPr="00BF24C7">
        <w:t xml:space="preserve">, le CT ou le CSPS. </w:t>
      </w:r>
    </w:p>
    <w:p w14:paraId="6532CDDC" w14:textId="77777777" w:rsidR="00BF24C7" w:rsidRDefault="00BF24C7" w:rsidP="00180F78">
      <w:pPr>
        <w:jc w:val="both"/>
      </w:pPr>
      <w:r w:rsidRPr="00BF24C7">
        <w:t xml:space="preserve">Les samedis, les dimanches et les jours fériés ou chômés ne sont pas déduits pour le calcul des pénalités. Chaque heure ou jour de retard entamé est dû dans sa totalité. </w:t>
      </w:r>
    </w:p>
    <w:p w14:paraId="76EFCA59" w14:textId="3DB8B32C" w:rsidR="00BF24C7" w:rsidRPr="002229CC" w:rsidRDefault="00BF24C7" w:rsidP="00180F78">
      <w:pPr>
        <w:jc w:val="both"/>
        <w:rPr>
          <w:color w:val="000000" w:themeColor="text1"/>
        </w:rPr>
      </w:pPr>
      <w:r w:rsidRPr="002229CC">
        <w:rPr>
          <w:color w:val="000000" w:themeColor="text1"/>
        </w:rPr>
        <w:t xml:space="preserve">Aucune pénalité ne dispense le Titulaire de ses obligations. Le versement de pénalité ne libère par le Titulaire de ses obligations de résultats et de moyens. </w:t>
      </w:r>
    </w:p>
    <w:p w14:paraId="7D1A8EB9" w14:textId="77777777" w:rsidR="00BF24C7" w:rsidRPr="002229CC" w:rsidRDefault="00BF24C7" w:rsidP="00180F78">
      <w:pPr>
        <w:jc w:val="both"/>
        <w:rPr>
          <w:color w:val="000000" w:themeColor="text1"/>
        </w:rPr>
      </w:pPr>
      <w:r w:rsidRPr="002229CC">
        <w:rPr>
          <w:color w:val="000000" w:themeColor="text1"/>
        </w:rPr>
        <w:t xml:space="preserve">Le Titulaire reste intégralement redevable de ses obligations contractuelles et notamment des prestations dont l’inexécution a donné lieu à l’application de la pénalité. Il ne saurait ainsi se considérer comme libéré de son obligation, du fait du paiement de ladite pénalité. </w:t>
      </w:r>
    </w:p>
    <w:p w14:paraId="498372AF" w14:textId="77777777" w:rsidR="00BF24C7" w:rsidRPr="002229CC" w:rsidRDefault="00BF24C7" w:rsidP="00180F78">
      <w:pPr>
        <w:jc w:val="both"/>
        <w:rPr>
          <w:color w:val="000000" w:themeColor="text1"/>
        </w:rPr>
      </w:pPr>
      <w:r w:rsidRPr="002229CC">
        <w:rPr>
          <w:color w:val="000000" w:themeColor="text1"/>
        </w:rPr>
        <w:lastRenderedPageBreak/>
        <w:t xml:space="preserve">L’application des pénalités est effectuée sans préjudice de la faculté pour le maître d'ouvrage de faire réaliser tout ou partie des prestations à ses frais et risques dans les conditions figurant au sein du présent Contrat. </w:t>
      </w:r>
    </w:p>
    <w:p w14:paraId="482E80C4" w14:textId="7EE24524" w:rsidR="00BF24C7" w:rsidRDefault="00BF24C7" w:rsidP="00180F78">
      <w:pPr>
        <w:jc w:val="both"/>
      </w:pPr>
      <w:r w:rsidRPr="00BF24C7">
        <w:t>Le montant des pénalités s’entend « hors taxes ».</w:t>
      </w:r>
    </w:p>
    <w:p w14:paraId="19740656" w14:textId="726E1F6C" w:rsidR="009D5317" w:rsidRDefault="009D5317">
      <w:r>
        <w:br w:type="page"/>
      </w:r>
    </w:p>
    <w:p w14:paraId="05B86C26" w14:textId="77777777" w:rsidR="002728F0" w:rsidRDefault="002728F0"/>
    <w:p w14:paraId="454C8D4B" w14:textId="77777777" w:rsidR="00BF24C7" w:rsidRPr="005039C8" w:rsidRDefault="00BF24C7" w:rsidP="002728F0">
      <w:pPr>
        <w:jc w:val="center"/>
        <w:rPr>
          <w:b/>
          <w:bCs/>
          <w:sz w:val="36"/>
          <w:szCs w:val="36"/>
          <w:u w:val="single"/>
        </w:rPr>
      </w:pPr>
      <w:r w:rsidRPr="005039C8">
        <w:rPr>
          <w:b/>
          <w:bCs/>
          <w:sz w:val="36"/>
          <w:szCs w:val="36"/>
          <w:u w:val="single"/>
        </w:rPr>
        <w:t>Pénalités générales</w:t>
      </w:r>
    </w:p>
    <w:p w14:paraId="6C5A4C0F" w14:textId="77777777" w:rsidR="005039C8" w:rsidRPr="002728F0" w:rsidRDefault="005039C8" w:rsidP="002728F0">
      <w:pPr>
        <w:jc w:val="center"/>
        <w:rPr>
          <w:b/>
          <w:bCs/>
          <w:sz w:val="36"/>
          <w:szCs w:val="36"/>
        </w:rPr>
      </w:pPr>
    </w:p>
    <w:tbl>
      <w:tblPr>
        <w:tblStyle w:val="Grilledutableau"/>
        <w:tblW w:w="0" w:type="auto"/>
        <w:jc w:val="center"/>
        <w:tblLook w:val="04A0" w:firstRow="1" w:lastRow="0" w:firstColumn="1" w:lastColumn="0" w:noHBand="0" w:noVBand="1"/>
      </w:tblPr>
      <w:tblGrid>
        <w:gridCol w:w="704"/>
        <w:gridCol w:w="5243"/>
        <w:gridCol w:w="3115"/>
      </w:tblGrid>
      <w:tr w:rsidR="00BF24C7" w14:paraId="5E48557F" w14:textId="77777777" w:rsidTr="00555C1F">
        <w:trPr>
          <w:jc w:val="center"/>
        </w:trPr>
        <w:tc>
          <w:tcPr>
            <w:tcW w:w="704" w:type="dxa"/>
          </w:tcPr>
          <w:p w14:paraId="4FB3C5B5" w14:textId="52DA318B" w:rsidR="00BF24C7" w:rsidRPr="00BF24C7" w:rsidRDefault="00BF24C7" w:rsidP="002728F0">
            <w:pPr>
              <w:jc w:val="center"/>
              <w:rPr>
                <w:b/>
                <w:bCs/>
              </w:rPr>
            </w:pPr>
            <w:r w:rsidRPr="00BF24C7">
              <w:rPr>
                <w:b/>
                <w:bCs/>
              </w:rPr>
              <w:t>N</w:t>
            </w:r>
          </w:p>
        </w:tc>
        <w:tc>
          <w:tcPr>
            <w:tcW w:w="5243" w:type="dxa"/>
          </w:tcPr>
          <w:p w14:paraId="3EB489EC" w14:textId="07205B02" w:rsidR="00BF24C7" w:rsidRPr="00BF24C7" w:rsidRDefault="00BF24C7" w:rsidP="00186620">
            <w:pPr>
              <w:jc w:val="center"/>
              <w:rPr>
                <w:b/>
                <w:bCs/>
              </w:rPr>
            </w:pPr>
            <w:r w:rsidRPr="00BF24C7">
              <w:rPr>
                <w:b/>
                <w:bCs/>
              </w:rPr>
              <w:t>Désignation et description de la pénalité</w:t>
            </w:r>
          </w:p>
        </w:tc>
        <w:tc>
          <w:tcPr>
            <w:tcW w:w="3115" w:type="dxa"/>
          </w:tcPr>
          <w:p w14:paraId="2F1BF30F" w14:textId="1323C9F7" w:rsidR="00BF24C7" w:rsidRPr="00BF24C7" w:rsidRDefault="00BF24C7" w:rsidP="002728F0">
            <w:pPr>
              <w:tabs>
                <w:tab w:val="left" w:pos="2060"/>
              </w:tabs>
              <w:jc w:val="center"/>
              <w:rPr>
                <w:b/>
                <w:bCs/>
              </w:rPr>
            </w:pPr>
            <w:r w:rsidRPr="00BF24C7">
              <w:rPr>
                <w:b/>
                <w:bCs/>
              </w:rPr>
              <w:t>Montant de la pénalité</w:t>
            </w:r>
          </w:p>
        </w:tc>
      </w:tr>
      <w:tr w:rsidR="00BF24C7" w14:paraId="1BEF8BFB" w14:textId="77777777" w:rsidTr="00555C1F">
        <w:trPr>
          <w:jc w:val="center"/>
        </w:trPr>
        <w:tc>
          <w:tcPr>
            <w:tcW w:w="704" w:type="dxa"/>
          </w:tcPr>
          <w:p w14:paraId="1804DB2E" w14:textId="61CE158C" w:rsidR="00BF24C7" w:rsidRDefault="00BF24C7" w:rsidP="002728F0">
            <w:pPr>
              <w:jc w:val="center"/>
            </w:pPr>
            <w:r>
              <w:t>1</w:t>
            </w:r>
          </w:p>
        </w:tc>
        <w:tc>
          <w:tcPr>
            <w:tcW w:w="5243" w:type="dxa"/>
          </w:tcPr>
          <w:p w14:paraId="2AE6762E" w14:textId="5F07CF76" w:rsidR="00C655CB" w:rsidRPr="00C655CB" w:rsidRDefault="00BF24C7" w:rsidP="00186620">
            <w:pPr>
              <w:jc w:val="both"/>
              <w:rPr>
                <w:b/>
                <w:bCs/>
              </w:rPr>
            </w:pPr>
            <w:r w:rsidRPr="00C655CB">
              <w:rPr>
                <w:b/>
                <w:bCs/>
              </w:rPr>
              <w:t>Pénalités pour non-respect des obligations de haut niveau de confidentialité</w:t>
            </w:r>
          </w:p>
          <w:p w14:paraId="0D5938B9" w14:textId="4D5AF4DF" w:rsidR="00BF24C7" w:rsidRDefault="00BF24C7" w:rsidP="00186620">
            <w:pPr>
              <w:jc w:val="both"/>
            </w:pPr>
            <w:r w:rsidRPr="00BF24C7">
              <w:t xml:space="preserve">En cas de non-respect des obligations de haut niveau de confidentialité, et sur simple constatation de Maître d’Ouvrage ou </w:t>
            </w:r>
            <w:r w:rsidR="00030372">
              <w:t>du MOE</w:t>
            </w:r>
            <w:r w:rsidRPr="00BF24C7">
              <w:t xml:space="preserve">, le Titulaire subira la pénalité </w:t>
            </w:r>
            <w:r w:rsidR="00C05BE4" w:rsidRPr="00BF24C7">
              <w:t>ci-contre</w:t>
            </w:r>
            <w:r w:rsidRPr="00BF24C7">
              <w:t>.</w:t>
            </w:r>
          </w:p>
        </w:tc>
        <w:tc>
          <w:tcPr>
            <w:tcW w:w="3115" w:type="dxa"/>
          </w:tcPr>
          <w:p w14:paraId="32E1CFD9" w14:textId="59A2ACD6" w:rsidR="00BF24C7" w:rsidRDefault="00BF24C7" w:rsidP="002728F0">
            <w:pPr>
              <w:jc w:val="center"/>
            </w:pPr>
            <w:r w:rsidRPr="00BF24C7">
              <w:t>3 000 euros hors taxes par constat de manquement</w:t>
            </w:r>
          </w:p>
        </w:tc>
      </w:tr>
      <w:tr w:rsidR="00BF24C7" w14:paraId="06468014" w14:textId="77777777" w:rsidTr="00555C1F">
        <w:trPr>
          <w:jc w:val="center"/>
        </w:trPr>
        <w:tc>
          <w:tcPr>
            <w:tcW w:w="704" w:type="dxa"/>
          </w:tcPr>
          <w:p w14:paraId="4FD9CEFC" w14:textId="3570F703" w:rsidR="00BF24C7" w:rsidRDefault="00BF24C7" w:rsidP="002728F0">
            <w:pPr>
              <w:jc w:val="center"/>
            </w:pPr>
            <w:r>
              <w:t>2</w:t>
            </w:r>
          </w:p>
        </w:tc>
        <w:tc>
          <w:tcPr>
            <w:tcW w:w="5243" w:type="dxa"/>
          </w:tcPr>
          <w:p w14:paraId="7AB36ABA" w14:textId="77777777" w:rsidR="00BF24C7" w:rsidRPr="00BF24C7" w:rsidRDefault="00BF24C7" w:rsidP="00186620">
            <w:pPr>
              <w:jc w:val="both"/>
              <w:rPr>
                <w:b/>
                <w:bCs/>
              </w:rPr>
            </w:pPr>
            <w:r w:rsidRPr="00BF24C7">
              <w:rPr>
                <w:b/>
                <w:bCs/>
              </w:rPr>
              <w:t>Pénalités pour non-remplacement des personnes désignées</w:t>
            </w:r>
          </w:p>
          <w:p w14:paraId="71E6793A" w14:textId="52256219" w:rsidR="00BF24C7" w:rsidRDefault="00BF24C7" w:rsidP="00186620">
            <w:pPr>
              <w:jc w:val="both"/>
            </w:pPr>
            <w:r w:rsidRPr="00BF24C7">
              <w:t xml:space="preserve">En cas </w:t>
            </w:r>
            <w:r w:rsidRPr="00030372">
              <w:rPr>
                <w:color w:val="000000" w:themeColor="text1"/>
              </w:rPr>
              <w:t xml:space="preserve">de retard dans le </w:t>
            </w:r>
            <w:r w:rsidRPr="00BF24C7">
              <w:t>remplacement d’une personne désigné à l’</w:t>
            </w:r>
            <w:r w:rsidRPr="00030372">
              <w:rPr>
                <w:highlight w:val="yellow"/>
              </w:rPr>
              <w:t xml:space="preserve">article </w:t>
            </w:r>
            <w:r w:rsidR="00030372" w:rsidRPr="00030372">
              <w:rPr>
                <w:highlight w:val="yellow"/>
              </w:rPr>
              <w:t>X</w:t>
            </w:r>
            <w:r w:rsidRPr="00BF24C7">
              <w:t xml:space="preserve"> de l’AE, le Titulaire encourt la pénalité </w:t>
            </w:r>
            <w:r w:rsidR="00C05BE4" w:rsidRPr="00BF24C7">
              <w:t>ci-contre</w:t>
            </w:r>
            <w:r w:rsidRPr="00BF24C7">
              <w:t xml:space="preserve">. Ces pénalités seront encourues sans mise en demeure préalable du simple fait de la constatation du retard par </w:t>
            </w:r>
            <w:r w:rsidR="00030372">
              <w:t>la MOE</w:t>
            </w:r>
            <w:r w:rsidRPr="00BF24C7">
              <w:t xml:space="preserve"> ou le Maître d'Ouvrage. Cet article déroge à l’</w:t>
            </w:r>
            <w:r w:rsidRPr="00030372">
              <w:rPr>
                <w:highlight w:val="yellow"/>
              </w:rPr>
              <w:t xml:space="preserve">article </w:t>
            </w:r>
            <w:r w:rsidR="0099145A">
              <w:rPr>
                <w:highlight w:val="yellow"/>
              </w:rPr>
              <w:t>XX</w:t>
            </w:r>
            <w:r w:rsidRPr="00030372">
              <w:rPr>
                <w:highlight w:val="yellow"/>
              </w:rPr>
              <w:t xml:space="preserve"> du CCAG Travaux.</w:t>
            </w:r>
          </w:p>
        </w:tc>
        <w:tc>
          <w:tcPr>
            <w:tcW w:w="3115" w:type="dxa"/>
          </w:tcPr>
          <w:p w14:paraId="31C5A48D" w14:textId="2B365547" w:rsidR="00BF24C7" w:rsidRDefault="00A24641" w:rsidP="002728F0">
            <w:pPr>
              <w:jc w:val="center"/>
            </w:pPr>
            <w:r>
              <w:t>2</w:t>
            </w:r>
            <w:r w:rsidR="00BF24C7" w:rsidRPr="00BF24C7">
              <w:t xml:space="preserve"> 000 euros hors taxes par jour calendaire de retard</w:t>
            </w:r>
          </w:p>
        </w:tc>
      </w:tr>
      <w:tr w:rsidR="00BF24C7" w14:paraId="5FD648F6" w14:textId="77777777" w:rsidTr="00555C1F">
        <w:trPr>
          <w:jc w:val="center"/>
        </w:trPr>
        <w:tc>
          <w:tcPr>
            <w:tcW w:w="704" w:type="dxa"/>
          </w:tcPr>
          <w:p w14:paraId="59AC4459" w14:textId="37610DFF" w:rsidR="00BF24C7" w:rsidRDefault="00BF24C7" w:rsidP="002728F0">
            <w:pPr>
              <w:jc w:val="center"/>
            </w:pPr>
            <w:r>
              <w:t>3</w:t>
            </w:r>
          </w:p>
        </w:tc>
        <w:tc>
          <w:tcPr>
            <w:tcW w:w="5243" w:type="dxa"/>
          </w:tcPr>
          <w:p w14:paraId="3C1A0FD6" w14:textId="49AECDB0" w:rsidR="00C655CB" w:rsidRDefault="00BF24C7" w:rsidP="00186620">
            <w:pPr>
              <w:jc w:val="both"/>
            </w:pPr>
            <w:r w:rsidRPr="00C655CB">
              <w:rPr>
                <w:b/>
                <w:bCs/>
              </w:rPr>
              <w:t>Pénalités pour absence aux réunions ou présence d’un personnel n’ayant pas le niveau d’habilitation</w:t>
            </w:r>
            <w:r w:rsidRPr="00BF24C7">
              <w:t xml:space="preserve"> nécessaire</w:t>
            </w:r>
          </w:p>
          <w:p w14:paraId="40C6F64E" w14:textId="605F02DD" w:rsidR="00BF24C7" w:rsidRDefault="00BF24C7" w:rsidP="00186620">
            <w:pPr>
              <w:jc w:val="both"/>
            </w:pPr>
            <w:r w:rsidRPr="00BF24C7">
              <w:t xml:space="preserve">En cas d’absence ou de retard supérieur à trente (30) minutes aux réunions de conception-réalisation ou à toute réunion provoquée par le Maître d’Ouvrage ou </w:t>
            </w:r>
            <w:r w:rsidR="00A576CC">
              <w:t>le MOE</w:t>
            </w:r>
            <w:r w:rsidRPr="00BF24C7">
              <w:t xml:space="preserve">, non excusé dans un délai de vingt-quatre (24) heures, la pénalité ci-contre sera appliquée sans mise en demeure préalable et à tout Entrepreneur absent dûment convoqué. Sera considéré comme absent tout Prestataire ou Entrepreneur ou sous-traitant représenté par une personne incompétente ou insuffisamment au courant du chantier. Ces pénalités seront encourues du simple fait de la constatation de l’absence par </w:t>
            </w:r>
            <w:r w:rsidR="00A576CC">
              <w:t>la MOE</w:t>
            </w:r>
            <w:r w:rsidRPr="00BF24C7">
              <w:t xml:space="preserve">. Cet article déroge à </w:t>
            </w:r>
            <w:r w:rsidRPr="00A576CC">
              <w:rPr>
                <w:highlight w:val="yellow"/>
              </w:rPr>
              <w:t xml:space="preserve">l’article </w:t>
            </w:r>
            <w:r w:rsidR="00A576CC" w:rsidRPr="00A576CC">
              <w:rPr>
                <w:highlight w:val="yellow"/>
              </w:rPr>
              <w:t>XX</w:t>
            </w:r>
            <w:r w:rsidRPr="00A576CC">
              <w:rPr>
                <w:highlight w:val="yellow"/>
              </w:rPr>
              <w:t xml:space="preserve"> du CCAG Travaux</w:t>
            </w:r>
            <w:r w:rsidRPr="00BF24C7">
              <w:t>.</w:t>
            </w:r>
          </w:p>
        </w:tc>
        <w:tc>
          <w:tcPr>
            <w:tcW w:w="3115" w:type="dxa"/>
          </w:tcPr>
          <w:p w14:paraId="2BE3DE5C" w14:textId="24F69D50" w:rsidR="00BF24C7" w:rsidRDefault="00BF24C7" w:rsidP="002728F0">
            <w:pPr>
              <w:jc w:val="center"/>
            </w:pPr>
            <w:r w:rsidRPr="00BF24C7">
              <w:t>500 euros hors taxes par absence constatée</w:t>
            </w:r>
          </w:p>
        </w:tc>
      </w:tr>
      <w:tr w:rsidR="00BF24C7" w14:paraId="0D1CB5ED" w14:textId="77777777" w:rsidTr="00555C1F">
        <w:trPr>
          <w:jc w:val="center"/>
        </w:trPr>
        <w:tc>
          <w:tcPr>
            <w:tcW w:w="704" w:type="dxa"/>
          </w:tcPr>
          <w:p w14:paraId="3AB9E188" w14:textId="4ED1DBD0" w:rsidR="00BF24C7" w:rsidRDefault="00BF24C7" w:rsidP="002728F0">
            <w:pPr>
              <w:jc w:val="center"/>
            </w:pPr>
            <w:r>
              <w:t>4</w:t>
            </w:r>
          </w:p>
        </w:tc>
        <w:tc>
          <w:tcPr>
            <w:tcW w:w="5243" w:type="dxa"/>
          </w:tcPr>
          <w:p w14:paraId="443867CB" w14:textId="5215C163" w:rsidR="00C655CB" w:rsidRPr="00C655CB" w:rsidRDefault="00BF24C7" w:rsidP="007A36A0">
            <w:pPr>
              <w:jc w:val="both"/>
              <w:rPr>
                <w:b/>
                <w:bCs/>
              </w:rPr>
            </w:pPr>
            <w:r w:rsidRPr="00C655CB">
              <w:rPr>
                <w:b/>
                <w:bCs/>
              </w:rPr>
              <w:t>Pénalités pour retard dans la remise du suivi mensuel</w:t>
            </w:r>
          </w:p>
          <w:p w14:paraId="080DE1EC" w14:textId="1DEFCE4F" w:rsidR="00BF24C7" w:rsidRDefault="00BF24C7" w:rsidP="007A36A0">
            <w:pPr>
              <w:jc w:val="both"/>
            </w:pPr>
            <w:r w:rsidRPr="00BF24C7">
              <w:t xml:space="preserve">En cas de retard dans la remise de ces documents, la pénalité ci-contre sera appliquée sans mise en demeure préalable sur les sommes dues au Titulaire. Ces pénalités seront encourues du simple fait de la constatation du retard par </w:t>
            </w:r>
            <w:r w:rsidR="007A36A0">
              <w:t>la MOE</w:t>
            </w:r>
            <w:r w:rsidRPr="00BF24C7">
              <w:t xml:space="preserve">. Cet article déroge à l’article </w:t>
            </w:r>
            <w:r w:rsidR="00CA3FE6">
              <w:rPr>
                <w:highlight w:val="yellow"/>
              </w:rPr>
              <w:t>XX</w:t>
            </w:r>
            <w:r w:rsidRPr="007A36A0">
              <w:rPr>
                <w:highlight w:val="yellow"/>
              </w:rPr>
              <w:t xml:space="preserve"> du CCAG Travaux</w:t>
            </w:r>
            <w:r w:rsidRPr="00BF24C7">
              <w:t>.</w:t>
            </w:r>
          </w:p>
        </w:tc>
        <w:tc>
          <w:tcPr>
            <w:tcW w:w="3115" w:type="dxa"/>
          </w:tcPr>
          <w:p w14:paraId="17A0C11A" w14:textId="554E3155" w:rsidR="00BF24C7" w:rsidRDefault="00B94B4D" w:rsidP="002728F0">
            <w:pPr>
              <w:jc w:val="center"/>
            </w:pPr>
            <w:r>
              <w:t xml:space="preserve">500 </w:t>
            </w:r>
            <w:r w:rsidR="00BF24C7" w:rsidRPr="00BF24C7">
              <w:t>euros hors taxes par jour calendaire de retard</w:t>
            </w:r>
          </w:p>
        </w:tc>
      </w:tr>
      <w:tr w:rsidR="00BF24C7" w14:paraId="3576C85F" w14:textId="77777777" w:rsidTr="00555C1F">
        <w:trPr>
          <w:jc w:val="center"/>
        </w:trPr>
        <w:tc>
          <w:tcPr>
            <w:tcW w:w="704" w:type="dxa"/>
          </w:tcPr>
          <w:p w14:paraId="217BF069" w14:textId="580288C9" w:rsidR="00BF24C7" w:rsidRPr="004D2084" w:rsidRDefault="00BF24C7" w:rsidP="002728F0">
            <w:pPr>
              <w:jc w:val="center"/>
              <w:rPr>
                <w:color w:val="000000" w:themeColor="text1"/>
              </w:rPr>
            </w:pPr>
            <w:r w:rsidRPr="004D2084">
              <w:rPr>
                <w:color w:val="000000" w:themeColor="text1"/>
              </w:rPr>
              <w:t>5</w:t>
            </w:r>
          </w:p>
        </w:tc>
        <w:tc>
          <w:tcPr>
            <w:tcW w:w="5243" w:type="dxa"/>
          </w:tcPr>
          <w:p w14:paraId="7F67428A" w14:textId="77777777" w:rsidR="004D2084" w:rsidRPr="004D2084" w:rsidRDefault="00BF24C7" w:rsidP="004D2084">
            <w:pPr>
              <w:jc w:val="both"/>
              <w:rPr>
                <w:b/>
                <w:bCs/>
                <w:color w:val="000000" w:themeColor="text1"/>
              </w:rPr>
            </w:pPr>
            <w:r w:rsidRPr="004D2084">
              <w:rPr>
                <w:b/>
                <w:bCs/>
                <w:color w:val="000000" w:themeColor="text1"/>
              </w:rPr>
              <w:t>Pénalité pour retard dans la présentation des projets de décomptes mensuels</w:t>
            </w:r>
          </w:p>
          <w:p w14:paraId="2AC29F2C" w14:textId="5BC74F84" w:rsidR="00BF24C7" w:rsidRPr="004D2084" w:rsidRDefault="00BF24C7" w:rsidP="004D2084">
            <w:pPr>
              <w:jc w:val="both"/>
              <w:rPr>
                <w:color w:val="000000" w:themeColor="text1"/>
              </w:rPr>
            </w:pPr>
            <w:r w:rsidRPr="004D2084">
              <w:rPr>
                <w:color w:val="000000" w:themeColor="text1"/>
              </w:rPr>
              <w:t xml:space="preserve"> En cas de retard dans la présentation des projets de décomptes mensuels, la pénalité ci-contre sera appliquée sans mise en demeure préalable sur les sommes dues au Titulaire. Ces pénalités seront </w:t>
            </w:r>
            <w:r w:rsidRPr="004D2084">
              <w:rPr>
                <w:color w:val="000000" w:themeColor="text1"/>
              </w:rPr>
              <w:lastRenderedPageBreak/>
              <w:t xml:space="preserve">encourues du simple fait de la constatation du retard par </w:t>
            </w:r>
            <w:r w:rsidR="00B418EC">
              <w:rPr>
                <w:color w:val="000000" w:themeColor="text1"/>
              </w:rPr>
              <w:t>la MOE</w:t>
            </w:r>
            <w:r w:rsidRPr="004D2084">
              <w:rPr>
                <w:color w:val="000000" w:themeColor="text1"/>
              </w:rPr>
              <w:t xml:space="preserve">. Cet article déroge à l’article </w:t>
            </w:r>
            <w:r w:rsidR="00CA3FE6">
              <w:rPr>
                <w:color w:val="000000" w:themeColor="text1"/>
                <w:highlight w:val="yellow"/>
              </w:rPr>
              <w:t>XX</w:t>
            </w:r>
            <w:r w:rsidRPr="00B418EC">
              <w:rPr>
                <w:color w:val="000000" w:themeColor="text1"/>
                <w:highlight w:val="yellow"/>
              </w:rPr>
              <w:t xml:space="preserve"> du CCAG</w:t>
            </w:r>
            <w:r w:rsidRPr="004D2084">
              <w:rPr>
                <w:color w:val="000000" w:themeColor="text1"/>
              </w:rPr>
              <w:t xml:space="preserve"> Travaux</w:t>
            </w:r>
          </w:p>
        </w:tc>
        <w:tc>
          <w:tcPr>
            <w:tcW w:w="3115" w:type="dxa"/>
          </w:tcPr>
          <w:p w14:paraId="6A713D91" w14:textId="4FB06109" w:rsidR="00BF24C7" w:rsidRPr="004D2084" w:rsidRDefault="004D2084" w:rsidP="002728F0">
            <w:pPr>
              <w:jc w:val="center"/>
              <w:rPr>
                <w:color w:val="000000" w:themeColor="text1"/>
              </w:rPr>
            </w:pPr>
            <w:r w:rsidRPr="004D2084">
              <w:rPr>
                <w:color w:val="000000" w:themeColor="text1"/>
              </w:rPr>
              <w:lastRenderedPageBreak/>
              <w:t>1</w:t>
            </w:r>
            <w:r w:rsidR="00BF24C7" w:rsidRPr="004D2084">
              <w:rPr>
                <w:color w:val="000000" w:themeColor="text1"/>
              </w:rPr>
              <w:t xml:space="preserve"> 000 euros hors taxes par jour calendaire de retard</w:t>
            </w:r>
          </w:p>
          <w:p w14:paraId="07612937" w14:textId="5318FE34" w:rsidR="00BF24C7" w:rsidRDefault="00BF24C7" w:rsidP="002728F0">
            <w:pPr>
              <w:jc w:val="center"/>
            </w:pPr>
          </w:p>
        </w:tc>
      </w:tr>
      <w:tr w:rsidR="00BF24C7" w14:paraId="6713381E" w14:textId="77777777" w:rsidTr="00555C1F">
        <w:trPr>
          <w:jc w:val="center"/>
        </w:trPr>
        <w:tc>
          <w:tcPr>
            <w:tcW w:w="704" w:type="dxa"/>
          </w:tcPr>
          <w:p w14:paraId="63C2305E" w14:textId="0696C8F8" w:rsidR="00BF24C7" w:rsidRDefault="00C655CB" w:rsidP="002728F0">
            <w:pPr>
              <w:jc w:val="center"/>
            </w:pPr>
            <w:r>
              <w:t>6</w:t>
            </w:r>
            <w:r w:rsidRPr="00C655CB">
              <w:rPr>
                <w:color w:val="BF4E14" w:themeColor="accent2" w:themeShade="BF"/>
              </w:rPr>
              <w:t xml:space="preserve"> </w:t>
            </w:r>
          </w:p>
        </w:tc>
        <w:tc>
          <w:tcPr>
            <w:tcW w:w="5243" w:type="dxa"/>
          </w:tcPr>
          <w:p w14:paraId="226768DA" w14:textId="27A8D4C0" w:rsidR="00C655CB" w:rsidRPr="00C655CB" w:rsidRDefault="00C655CB" w:rsidP="00B418EC">
            <w:pPr>
              <w:jc w:val="both"/>
              <w:rPr>
                <w:b/>
                <w:bCs/>
              </w:rPr>
            </w:pPr>
            <w:r w:rsidRPr="00C655CB">
              <w:rPr>
                <w:b/>
                <w:bCs/>
              </w:rPr>
              <w:t>Pénalités pour non-réponse aux avis du contrôleur technique</w:t>
            </w:r>
          </w:p>
          <w:p w14:paraId="2BC67006" w14:textId="2E06BCFA" w:rsidR="00BF24C7" w:rsidRDefault="00C655CB" w:rsidP="00B418EC">
            <w:pPr>
              <w:jc w:val="both"/>
            </w:pPr>
            <w:r w:rsidRPr="00C655CB">
              <w:t xml:space="preserve">Le contrôleur technique émet des avis sur les documents émis par le </w:t>
            </w:r>
            <w:r w:rsidR="00B418EC">
              <w:t>Titulaire</w:t>
            </w:r>
            <w:r w:rsidRPr="00C655CB">
              <w:t xml:space="preserve">. Sauf en cas de mention écrite faite par la maîtrise d'ouvrage ou </w:t>
            </w:r>
            <w:r w:rsidR="00B418EC">
              <w:t>la MOE</w:t>
            </w:r>
            <w:r w:rsidRPr="00C655CB">
              <w:t xml:space="preserve">, le </w:t>
            </w:r>
            <w:r w:rsidR="00B418EC">
              <w:t>Titulaire</w:t>
            </w:r>
            <w:r w:rsidRPr="00C655CB">
              <w:t xml:space="preserve"> se devra de répondre à ces avis dans un délai </w:t>
            </w:r>
            <w:r w:rsidR="00B418EC">
              <w:t>d’une</w:t>
            </w:r>
            <w:r w:rsidRPr="00C655CB">
              <w:t xml:space="preserve"> semaine. Passé ce délai, </w:t>
            </w:r>
            <w:r w:rsidR="00B418EC">
              <w:t>la MOE</w:t>
            </w:r>
            <w:r w:rsidRPr="00C655CB">
              <w:t xml:space="preserve"> pourra appliquer au </w:t>
            </w:r>
            <w:r w:rsidR="00966EB3">
              <w:t>T</w:t>
            </w:r>
            <w:r w:rsidRPr="00C655CB">
              <w:t xml:space="preserve">itulaire la pénalité ci-contre. Ces pénalités seront retenues par </w:t>
            </w:r>
            <w:r w:rsidR="00B418EC">
              <w:t>la MOE</w:t>
            </w:r>
            <w:r w:rsidRPr="00C655CB">
              <w:t xml:space="preserve"> sur les décomptes mensuels du titulaire, au fur et à mesure de leur application ou bien sur le décompte général. Cet article déroge à </w:t>
            </w:r>
            <w:r w:rsidRPr="00B418EC">
              <w:rPr>
                <w:highlight w:val="yellow"/>
              </w:rPr>
              <w:t xml:space="preserve">l’article </w:t>
            </w:r>
            <w:r w:rsidR="00CA3FE6">
              <w:rPr>
                <w:highlight w:val="yellow"/>
              </w:rPr>
              <w:t>XX</w:t>
            </w:r>
            <w:r w:rsidRPr="00B418EC">
              <w:rPr>
                <w:highlight w:val="yellow"/>
              </w:rPr>
              <w:t xml:space="preserve"> du CCAG Travaux</w:t>
            </w:r>
            <w:r w:rsidRPr="00C655CB">
              <w:t>.</w:t>
            </w:r>
          </w:p>
        </w:tc>
        <w:tc>
          <w:tcPr>
            <w:tcW w:w="3115" w:type="dxa"/>
          </w:tcPr>
          <w:p w14:paraId="76C462E7" w14:textId="61A876E2" w:rsidR="00BF24C7" w:rsidRPr="00BF24C7" w:rsidRDefault="00C655CB" w:rsidP="002728F0">
            <w:pPr>
              <w:jc w:val="center"/>
            </w:pPr>
            <w:r w:rsidRPr="00C655CB">
              <w:t xml:space="preserve">1 000 euros hors taxes par jour calendaire de retard </w:t>
            </w:r>
          </w:p>
        </w:tc>
      </w:tr>
      <w:tr w:rsidR="00BF24C7" w14:paraId="0145E94A" w14:textId="77777777" w:rsidTr="00555C1F">
        <w:trPr>
          <w:jc w:val="center"/>
        </w:trPr>
        <w:tc>
          <w:tcPr>
            <w:tcW w:w="704" w:type="dxa"/>
          </w:tcPr>
          <w:p w14:paraId="675CCF02" w14:textId="39C24D0D" w:rsidR="00BF24C7" w:rsidRDefault="00C655CB" w:rsidP="002728F0">
            <w:pPr>
              <w:jc w:val="center"/>
            </w:pPr>
            <w:r>
              <w:t>7</w:t>
            </w:r>
          </w:p>
        </w:tc>
        <w:tc>
          <w:tcPr>
            <w:tcW w:w="5243" w:type="dxa"/>
          </w:tcPr>
          <w:p w14:paraId="3C778AA1" w14:textId="12F67ECD" w:rsidR="00C655CB" w:rsidRPr="00C655CB" w:rsidRDefault="00C655CB" w:rsidP="00B2326F">
            <w:pPr>
              <w:jc w:val="both"/>
              <w:rPr>
                <w:b/>
                <w:bCs/>
              </w:rPr>
            </w:pPr>
            <w:r w:rsidRPr="00C655CB">
              <w:rPr>
                <w:b/>
                <w:bCs/>
              </w:rPr>
              <w:t>Pénalités et retenues pour retard dans la remise du PPSPS</w:t>
            </w:r>
          </w:p>
          <w:p w14:paraId="6E7E6015" w14:textId="40E57AD5" w:rsidR="00BF24C7" w:rsidRDefault="00C655CB" w:rsidP="00B2326F">
            <w:pPr>
              <w:jc w:val="both"/>
            </w:pPr>
            <w:r w:rsidRPr="00C655CB">
              <w:t xml:space="preserve">Pour tout retard dans les délais contractuels de remise du Plan Particulier de Sécurité et de la Protection de la Santé et autres documents relatifs à la sécurité et à la protection de la santé des travailleurs, la pénalité ci-contre sera appliquée. Le PPSPS doit être remis à jour avant l’intervention de chaque nouveau sous-traitant ; ces pénalités et retenues peuvent être encourues lors de chaque mise à jour nécessaire. Ces pénalités et retenues seront encourues du simple fait de la constatation du retard par </w:t>
            </w:r>
            <w:r w:rsidR="00B2326F">
              <w:t>la MOE ou bien le CSPS</w:t>
            </w:r>
            <w:r w:rsidRPr="00C655CB">
              <w:t xml:space="preserve">. Cet article déroge à </w:t>
            </w:r>
            <w:r w:rsidRPr="00B2326F">
              <w:rPr>
                <w:highlight w:val="yellow"/>
              </w:rPr>
              <w:t xml:space="preserve">l’article </w:t>
            </w:r>
            <w:r w:rsidR="00CA3FE6">
              <w:rPr>
                <w:highlight w:val="yellow"/>
              </w:rPr>
              <w:t>XX</w:t>
            </w:r>
            <w:r w:rsidRPr="00B2326F">
              <w:rPr>
                <w:highlight w:val="yellow"/>
              </w:rPr>
              <w:t xml:space="preserve"> du CCAG Travaux.</w:t>
            </w:r>
          </w:p>
        </w:tc>
        <w:tc>
          <w:tcPr>
            <w:tcW w:w="3115" w:type="dxa"/>
          </w:tcPr>
          <w:p w14:paraId="0138F61A" w14:textId="746EC8E2" w:rsidR="00BF24C7" w:rsidRPr="00BF24C7" w:rsidRDefault="00C655CB" w:rsidP="002728F0">
            <w:pPr>
              <w:jc w:val="center"/>
            </w:pPr>
            <w:r w:rsidRPr="00C655CB">
              <w:t>1 000 euros hors taxes par jour calendaire de retard</w:t>
            </w:r>
          </w:p>
        </w:tc>
      </w:tr>
      <w:tr w:rsidR="00BF24C7" w14:paraId="29BA3225" w14:textId="77777777" w:rsidTr="00555C1F">
        <w:trPr>
          <w:jc w:val="center"/>
        </w:trPr>
        <w:tc>
          <w:tcPr>
            <w:tcW w:w="704" w:type="dxa"/>
          </w:tcPr>
          <w:p w14:paraId="721364F1" w14:textId="7CD3C94A" w:rsidR="00BF24C7" w:rsidRDefault="00C655CB" w:rsidP="002728F0">
            <w:pPr>
              <w:jc w:val="center"/>
            </w:pPr>
            <w:r>
              <w:t>8</w:t>
            </w:r>
          </w:p>
        </w:tc>
        <w:tc>
          <w:tcPr>
            <w:tcW w:w="5243" w:type="dxa"/>
          </w:tcPr>
          <w:p w14:paraId="5C4E0592" w14:textId="156B4907" w:rsidR="00C655CB" w:rsidRPr="00C655CB" w:rsidRDefault="00C655CB" w:rsidP="00605EFA">
            <w:pPr>
              <w:jc w:val="both"/>
              <w:rPr>
                <w:b/>
                <w:bCs/>
              </w:rPr>
            </w:pPr>
            <w:r w:rsidRPr="00C655CB">
              <w:rPr>
                <w:b/>
                <w:bCs/>
              </w:rPr>
              <w:t>Pénalités pour non-exécution des prescriptions du CSPS et du PGC</w:t>
            </w:r>
          </w:p>
          <w:p w14:paraId="6D146B91" w14:textId="59A7744B" w:rsidR="00BF24C7" w:rsidRDefault="00C655CB" w:rsidP="00605EFA">
            <w:pPr>
              <w:jc w:val="both"/>
            </w:pPr>
            <w:r w:rsidRPr="00C655CB">
              <w:t xml:space="preserve">Le coordonnateur SPS est amené à émettre des demandes de prestations de sécurité pour les travailleurs. Sauf en cas de mention écrite faite par la maîtrise d'ouvrage ou </w:t>
            </w:r>
            <w:r w:rsidR="00B85584">
              <w:t>la MOE</w:t>
            </w:r>
            <w:r w:rsidRPr="00C655CB">
              <w:t xml:space="preserve">, le </w:t>
            </w:r>
            <w:r w:rsidR="00B85584">
              <w:t>Titulaire</w:t>
            </w:r>
            <w:r w:rsidRPr="00C655CB">
              <w:t xml:space="preserve"> se devra de répondre à ces demandes dans un délai de deux semaines. Cela ne concerne pas les cas de danger grave et imminent. Passé ce délai, </w:t>
            </w:r>
            <w:r w:rsidR="00966EB3">
              <w:t>la MOE</w:t>
            </w:r>
            <w:r w:rsidRPr="00C655CB">
              <w:t xml:space="preserve"> pourra appliquer au </w:t>
            </w:r>
            <w:r w:rsidR="00966EB3">
              <w:t>T</w:t>
            </w:r>
            <w:r w:rsidRPr="00C655CB">
              <w:t>itulaire</w:t>
            </w:r>
            <w:r w:rsidR="00966EB3">
              <w:t xml:space="preserve"> </w:t>
            </w:r>
            <w:r w:rsidRPr="00C655CB">
              <w:t xml:space="preserve">la pénalité ci-contre. Ces pénalités seront retenues par </w:t>
            </w:r>
            <w:r w:rsidR="00CA3FE6">
              <w:t>la MOE</w:t>
            </w:r>
            <w:r w:rsidRPr="00C655CB">
              <w:t xml:space="preserve"> sur les décomptes mensuels du titulaire, au fur et à mesure de leur application. Cet article déroge à </w:t>
            </w:r>
            <w:r w:rsidRPr="005A095E">
              <w:rPr>
                <w:highlight w:val="yellow"/>
              </w:rPr>
              <w:t xml:space="preserve">l’article </w:t>
            </w:r>
            <w:r w:rsidR="005A095E" w:rsidRPr="005A095E">
              <w:rPr>
                <w:highlight w:val="yellow"/>
              </w:rPr>
              <w:t>XX</w:t>
            </w:r>
            <w:r w:rsidRPr="005A095E">
              <w:rPr>
                <w:highlight w:val="yellow"/>
              </w:rPr>
              <w:t xml:space="preserve"> du CCAG Travaux</w:t>
            </w:r>
            <w:r w:rsidRPr="00C655CB">
              <w:t>.</w:t>
            </w:r>
          </w:p>
        </w:tc>
        <w:tc>
          <w:tcPr>
            <w:tcW w:w="3115" w:type="dxa"/>
          </w:tcPr>
          <w:p w14:paraId="436F8E7D" w14:textId="06351E02" w:rsidR="00BF24C7" w:rsidRPr="00BF24C7" w:rsidRDefault="00C655CB" w:rsidP="002728F0">
            <w:pPr>
              <w:jc w:val="center"/>
            </w:pPr>
            <w:r w:rsidRPr="00C655CB">
              <w:t xml:space="preserve">1 000 euros hors taxes par </w:t>
            </w:r>
            <w:r w:rsidRPr="00966EB3">
              <w:rPr>
                <w:color w:val="000000" w:themeColor="text1"/>
              </w:rPr>
              <w:t xml:space="preserve">infraction constatée ou par </w:t>
            </w:r>
            <w:r w:rsidRPr="00C655CB">
              <w:t>jour calendaire de retard</w:t>
            </w:r>
          </w:p>
        </w:tc>
      </w:tr>
      <w:tr w:rsidR="00BF24C7" w14:paraId="0B32D5AB" w14:textId="77777777" w:rsidTr="00555C1F">
        <w:trPr>
          <w:jc w:val="center"/>
        </w:trPr>
        <w:tc>
          <w:tcPr>
            <w:tcW w:w="704" w:type="dxa"/>
          </w:tcPr>
          <w:p w14:paraId="5D704254" w14:textId="44EDF02B" w:rsidR="00BF24C7" w:rsidRDefault="00C655CB" w:rsidP="002728F0">
            <w:pPr>
              <w:jc w:val="center"/>
            </w:pPr>
            <w:r>
              <w:t xml:space="preserve">9 </w:t>
            </w:r>
          </w:p>
        </w:tc>
        <w:tc>
          <w:tcPr>
            <w:tcW w:w="5243" w:type="dxa"/>
          </w:tcPr>
          <w:p w14:paraId="6C97A9FD" w14:textId="4FDD611E" w:rsidR="00C655CB" w:rsidRPr="00C655CB" w:rsidRDefault="00C655CB" w:rsidP="00263D9F">
            <w:pPr>
              <w:jc w:val="both"/>
              <w:rPr>
                <w:b/>
                <w:bCs/>
              </w:rPr>
            </w:pPr>
            <w:r w:rsidRPr="00C655CB">
              <w:rPr>
                <w:b/>
                <w:bCs/>
              </w:rPr>
              <w:t>Pénalités au titre de la lutte contre le travail illégal</w:t>
            </w:r>
          </w:p>
          <w:p w14:paraId="36AD86E7" w14:textId="54669823" w:rsidR="00BF24C7" w:rsidRDefault="00C655CB" w:rsidP="00263D9F">
            <w:pPr>
              <w:jc w:val="both"/>
            </w:pPr>
            <w:r w:rsidRPr="00C655CB">
              <w:t>En cas de non-</w:t>
            </w:r>
            <w:r w:rsidRPr="00263D9F">
              <w:rPr>
                <w:color w:val="000000" w:themeColor="text1"/>
              </w:rPr>
              <w:t xml:space="preserve">respect de sa part </w:t>
            </w:r>
            <w:r w:rsidRPr="00C655CB">
              <w:t xml:space="preserve">des obligations relatives à la lutte contre le travail illégal, le titulaire subira la pénalité </w:t>
            </w:r>
            <w:r w:rsidR="00263D9F" w:rsidRPr="00C655CB">
              <w:t>ci-contre</w:t>
            </w:r>
            <w:r w:rsidRPr="00C655CB">
              <w:t xml:space="preserve"> relevée par </w:t>
            </w:r>
            <w:r w:rsidR="00263D9F">
              <w:t>la MOA ou le MOE</w:t>
            </w:r>
            <w:r w:rsidRPr="00C655CB">
              <w:t xml:space="preserve"> (exemple présence non justifiée d’un ouvrier sur le chantier). En cas d’absence ou de refus de </w:t>
            </w:r>
            <w:r w:rsidRPr="00C655CB">
              <w:lastRenderedPageBreak/>
              <w:t xml:space="preserve">transmission des renseignements propres à permettre le contrôle de l’exécution de l’action, le Titulaire subira la pénalité ci-contre à compter de la mise en demeure par le Maître d’Ouvrage. Cet article déroge à </w:t>
            </w:r>
            <w:r w:rsidRPr="00263D9F">
              <w:rPr>
                <w:highlight w:val="yellow"/>
              </w:rPr>
              <w:t xml:space="preserve">l’article </w:t>
            </w:r>
            <w:r w:rsidR="00263D9F" w:rsidRPr="00263D9F">
              <w:rPr>
                <w:highlight w:val="yellow"/>
              </w:rPr>
              <w:t>XX</w:t>
            </w:r>
            <w:r w:rsidRPr="00263D9F">
              <w:rPr>
                <w:highlight w:val="yellow"/>
              </w:rPr>
              <w:t xml:space="preserve"> du CCAG Travaux</w:t>
            </w:r>
          </w:p>
        </w:tc>
        <w:tc>
          <w:tcPr>
            <w:tcW w:w="3115" w:type="dxa"/>
          </w:tcPr>
          <w:p w14:paraId="5272C7A8" w14:textId="443ECF0C" w:rsidR="00A5379E" w:rsidRDefault="00C655CB" w:rsidP="002728F0">
            <w:pPr>
              <w:jc w:val="center"/>
            </w:pPr>
            <w:r w:rsidRPr="00C655CB">
              <w:lastRenderedPageBreak/>
              <w:t xml:space="preserve">1 000 euros hors taxes par « situation irrégulière » au sens de </w:t>
            </w:r>
            <w:r w:rsidRPr="00A5379E">
              <w:rPr>
                <w:highlight w:val="yellow"/>
              </w:rPr>
              <w:t xml:space="preserve">l’article </w:t>
            </w:r>
            <w:r w:rsidR="00A5379E" w:rsidRPr="00A5379E">
              <w:rPr>
                <w:highlight w:val="yellow"/>
              </w:rPr>
              <w:t>XX</w:t>
            </w:r>
            <w:r w:rsidRPr="00C655CB">
              <w:t xml:space="preserve"> du CCAP </w:t>
            </w:r>
          </w:p>
          <w:p w14:paraId="107B37B6" w14:textId="77777777" w:rsidR="00A5379E" w:rsidRDefault="00A5379E" w:rsidP="002728F0">
            <w:pPr>
              <w:jc w:val="center"/>
            </w:pPr>
          </w:p>
          <w:p w14:paraId="3A1D2575" w14:textId="18625C4A" w:rsidR="00BF24C7" w:rsidRPr="00BF24C7" w:rsidRDefault="00C655CB" w:rsidP="002728F0">
            <w:pPr>
              <w:jc w:val="center"/>
            </w:pPr>
            <w:r w:rsidRPr="00C655CB">
              <w:t>300 euros hors taxes par jour de retard à compter de la mise en demeure</w:t>
            </w:r>
          </w:p>
        </w:tc>
      </w:tr>
      <w:tr w:rsidR="00C655CB" w14:paraId="4F1AC4EA" w14:textId="77777777" w:rsidTr="00555C1F">
        <w:trPr>
          <w:jc w:val="center"/>
        </w:trPr>
        <w:tc>
          <w:tcPr>
            <w:tcW w:w="704" w:type="dxa"/>
          </w:tcPr>
          <w:p w14:paraId="590959A0" w14:textId="4D66A550" w:rsidR="00C655CB" w:rsidRDefault="00C655CB" w:rsidP="002728F0">
            <w:pPr>
              <w:jc w:val="center"/>
            </w:pPr>
            <w:r>
              <w:t xml:space="preserve">10 </w:t>
            </w:r>
          </w:p>
        </w:tc>
        <w:tc>
          <w:tcPr>
            <w:tcW w:w="5243" w:type="dxa"/>
          </w:tcPr>
          <w:p w14:paraId="18F3374B" w14:textId="5197F389" w:rsidR="00C655CB" w:rsidRPr="00C655CB" w:rsidRDefault="00C655CB" w:rsidP="00EB01E9">
            <w:pPr>
              <w:jc w:val="both"/>
              <w:rPr>
                <w:b/>
                <w:bCs/>
              </w:rPr>
            </w:pPr>
            <w:r w:rsidRPr="00C655CB">
              <w:rPr>
                <w:b/>
                <w:bCs/>
              </w:rPr>
              <w:t xml:space="preserve">Pénalités pour défaut de déclaration de </w:t>
            </w:r>
            <w:r w:rsidR="00EB01E9" w:rsidRPr="00C655CB">
              <w:rPr>
                <w:b/>
                <w:bCs/>
              </w:rPr>
              <w:t>sous-traitance</w:t>
            </w:r>
          </w:p>
          <w:p w14:paraId="56C044FC" w14:textId="229A6A78" w:rsidR="00C655CB" w:rsidRDefault="00C655CB" w:rsidP="00EB01E9">
            <w:pPr>
              <w:jc w:val="both"/>
            </w:pPr>
            <w:r w:rsidRPr="00C655CB">
              <w:t>En cas de non-respect des obligations relatives à la déclaration de sous-traitance, et sur simple constatation de sous-traitant non agréé sur le chantier, le Titulaire subira la pénalité ci-contre.</w:t>
            </w:r>
          </w:p>
        </w:tc>
        <w:tc>
          <w:tcPr>
            <w:tcW w:w="3115" w:type="dxa"/>
          </w:tcPr>
          <w:p w14:paraId="29236D09" w14:textId="0B1C8C3E" w:rsidR="00C655CB" w:rsidRPr="00BF24C7" w:rsidRDefault="00C655CB" w:rsidP="002728F0">
            <w:pPr>
              <w:jc w:val="center"/>
            </w:pPr>
            <w:r w:rsidRPr="00C655CB">
              <w:t>5 000 euros hors taxes par jour calendaire de retard et par sous-traitant</w:t>
            </w:r>
          </w:p>
        </w:tc>
      </w:tr>
      <w:tr w:rsidR="00C655CB" w14:paraId="32837222" w14:textId="77777777" w:rsidTr="00555C1F">
        <w:trPr>
          <w:jc w:val="center"/>
        </w:trPr>
        <w:tc>
          <w:tcPr>
            <w:tcW w:w="704" w:type="dxa"/>
          </w:tcPr>
          <w:p w14:paraId="51012C42" w14:textId="07648BCD" w:rsidR="00C655CB" w:rsidRDefault="00C655CB" w:rsidP="002728F0">
            <w:pPr>
              <w:jc w:val="center"/>
            </w:pPr>
            <w:r>
              <w:t>11</w:t>
            </w:r>
          </w:p>
        </w:tc>
        <w:tc>
          <w:tcPr>
            <w:tcW w:w="5243" w:type="dxa"/>
          </w:tcPr>
          <w:p w14:paraId="0C260D38" w14:textId="3753F8BC" w:rsidR="00C655CB" w:rsidRPr="00C655CB" w:rsidRDefault="00C655CB" w:rsidP="00D71BF3">
            <w:pPr>
              <w:jc w:val="both"/>
              <w:rPr>
                <w:b/>
                <w:bCs/>
              </w:rPr>
            </w:pPr>
            <w:r w:rsidRPr="00C655CB">
              <w:rPr>
                <w:b/>
                <w:bCs/>
              </w:rPr>
              <w:t>Pénalités au titre de la part du marché confiée à des PME et artisans</w:t>
            </w:r>
          </w:p>
          <w:p w14:paraId="02347002" w14:textId="77777777" w:rsidR="00C655CB" w:rsidRDefault="00C655CB" w:rsidP="00D71BF3">
            <w:pPr>
              <w:jc w:val="both"/>
            </w:pPr>
            <w:r w:rsidRPr="00C655CB">
              <w:t xml:space="preserve">En cas de non-respect du taux que le Titulaire s’est engagé à confier directement ou indirectement à des petites et moyennes entreprises ou à des artisans et proposé au moment de la remise de </w:t>
            </w:r>
            <w:r w:rsidRPr="00D71BF3">
              <w:rPr>
                <w:color w:val="000000" w:themeColor="text1"/>
              </w:rPr>
              <w:t>l’offre finale</w:t>
            </w:r>
            <w:r w:rsidRPr="00C655CB">
              <w:t xml:space="preserve">, le Titulaire subira une pénalité par point de % en deçà de l’engagement souscrit. Cet article déroge à l’article </w:t>
            </w:r>
            <w:r w:rsidR="00D71BF3" w:rsidRPr="00D71BF3">
              <w:rPr>
                <w:highlight w:val="yellow"/>
              </w:rPr>
              <w:t>XX</w:t>
            </w:r>
            <w:r w:rsidRPr="00D71BF3">
              <w:rPr>
                <w:highlight w:val="yellow"/>
              </w:rPr>
              <w:t xml:space="preserve"> du CCAG Travaux</w:t>
            </w:r>
            <w:r w:rsidRPr="00C655CB">
              <w:t>.</w:t>
            </w:r>
          </w:p>
          <w:p w14:paraId="612D6F98" w14:textId="77777777" w:rsidR="00D71BF3" w:rsidRDefault="00D71BF3" w:rsidP="00D71BF3">
            <w:pPr>
              <w:jc w:val="both"/>
            </w:pPr>
          </w:p>
          <w:p w14:paraId="350BC55B" w14:textId="009EA6DF" w:rsidR="00D71BF3" w:rsidRDefault="00D71BF3" w:rsidP="00D71BF3">
            <w:pPr>
              <w:jc w:val="both"/>
            </w:pPr>
            <w:r>
              <w:t>Et ce, sans préjudice des poursuites qui pourraient en découler.</w:t>
            </w:r>
          </w:p>
        </w:tc>
        <w:tc>
          <w:tcPr>
            <w:tcW w:w="3115" w:type="dxa"/>
          </w:tcPr>
          <w:p w14:paraId="680FD248" w14:textId="717C197E" w:rsidR="00375646" w:rsidRDefault="00031B15" w:rsidP="002728F0">
            <w:pPr>
              <w:jc w:val="center"/>
            </w:pPr>
            <w:r>
              <w:t>2</w:t>
            </w:r>
            <w:r w:rsidR="00C655CB" w:rsidRPr="00C655CB">
              <w:t xml:space="preserve">00 000 euros hors taxes par point de % constaté à la demande de réception </w:t>
            </w:r>
          </w:p>
          <w:p w14:paraId="0ADAA2FA" w14:textId="77777777" w:rsidR="00375646" w:rsidRDefault="00375646" w:rsidP="002728F0">
            <w:pPr>
              <w:jc w:val="center"/>
            </w:pPr>
          </w:p>
          <w:p w14:paraId="3D071B51" w14:textId="77777777" w:rsidR="00375646" w:rsidRDefault="00375646" w:rsidP="00031B15"/>
          <w:p w14:paraId="1F9F04AF" w14:textId="60DD335F" w:rsidR="00C655CB" w:rsidRPr="00BF24C7" w:rsidRDefault="00C655CB" w:rsidP="002728F0">
            <w:pPr>
              <w:jc w:val="center"/>
            </w:pPr>
            <w:r w:rsidRPr="00C655CB">
              <w:t xml:space="preserve">Dans le cas où le pourcentage serait in fine inférieur à </w:t>
            </w:r>
            <w:r w:rsidR="00375646">
              <w:t>2</w:t>
            </w:r>
            <w:r w:rsidRPr="00C655CB">
              <w:t xml:space="preserve">0% du montant de la tranche ferme, </w:t>
            </w:r>
            <w:r w:rsidRPr="00375646">
              <w:rPr>
                <w:color w:val="000000" w:themeColor="text1"/>
              </w:rPr>
              <w:t>une pénalité complémentaire est appliquée et est fixée à : 1 (un) million d’euros hors taxes</w:t>
            </w:r>
          </w:p>
        </w:tc>
      </w:tr>
      <w:tr w:rsidR="00C655CB" w14:paraId="56D14614" w14:textId="77777777" w:rsidTr="00555C1F">
        <w:trPr>
          <w:jc w:val="center"/>
        </w:trPr>
        <w:tc>
          <w:tcPr>
            <w:tcW w:w="704" w:type="dxa"/>
          </w:tcPr>
          <w:p w14:paraId="7176EE53" w14:textId="298988FA" w:rsidR="00C655CB" w:rsidRDefault="00C655CB" w:rsidP="002728F0">
            <w:pPr>
              <w:jc w:val="center"/>
            </w:pPr>
            <w:r>
              <w:t>12</w:t>
            </w:r>
          </w:p>
        </w:tc>
        <w:tc>
          <w:tcPr>
            <w:tcW w:w="5243" w:type="dxa"/>
          </w:tcPr>
          <w:p w14:paraId="39127FA6" w14:textId="0816888D" w:rsidR="00DC13F1" w:rsidRPr="00DC13F1" w:rsidRDefault="00DC13F1" w:rsidP="003D5932">
            <w:pPr>
              <w:jc w:val="both"/>
              <w:rPr>
                <w:b/>
                <w:bCs/>
              </w:rPr>
            </w:pPr>
            <w:r w:rsidRPr="00DC13F1">
              <w:rPr>
                <w:b/>
                <w:bCs/>
              </w:rPr>
              <w:t>Pénalités en cas de non-exécution de la clause sociale</w:t>
            </w:r>
          </w:p>
          <w:p w14:paraId="4B357465" w14:textId="63814FA7" w:rsidR="00DC13F1" w:rsidRDefault="00DC13F1" w:rsidP="003D5932">
            <w:pPr>
              <w:jc w:val="both"/>
              <w:rPr>
                <w:color w:val="000000" w:themeColor="text1"/>
              </w:rPr>
            </w:pPr>
            <w:r w:rsidRPr="003D5932">
              <w:rPr>
                <w:color w:val="000000" w:themeColor="text1"/>
              </w:rPr>
              <w:t>En cas de non-respect par l’entreprise attributaire des obligations relatives à la mise en œuvre des actions d’insertion, le Titulaire subira la pénalité ci-contre par heure d’insertion non réalisée pour la phase Conception.</w:t>
            </w:r>
          </w:p>
          <w:p w14:paraId="4A2DE296" w14:textId="77777777" w:rsidR="003D5932" w:rsidRPr="003D5932" w:rsidRDefault="003D5932" w:rsidP="003D5932">
            <w:pPr>
              <w:jc w:val="both"/>
              <w:rPr>
                <w:color w:val="000000" w:themeColor="text1"/>
              </w:rPr>
            </w:pPr>
          </w:p>
          <w:p w14:paraId="2CDF611A" w14:textId="2C8DEB41" w:rsidR="00DC13F1" w:rsidRDefault="00DC13F1" w:rsidP="003D5932">
            <w:pPr>
              <w:jc w:val="both"/>
              <w:rPr>
                <w:color w:val="BF4E14" w:themeColor="accent2" w:themeShade="BF"/>
              </w:rPr>
            </w:pPr>
            <w:r w:rsidRPr="00DC13F1">
              <w:t xml:space="preserve">En cas de non-respect par l’entreprise attributaire des obligations relatives à la mise en œuvre des actions d’insertion, le Titulaire subira la pénalité ci-contre par heure </w:t>
            </w:r>
            <w:r w:rsidRPr="003D5932">
              <w:rPr>
                <w:color w:val="000000" w:themeColor="text1"/>
              </w:rPr>
              <w:t xml:space="preserve">d’insertion non réalisée pour la phase </w:t>
            </w:r>
            <w:r w:rsidR="003D5932" w:rsidRPr="003D5932">
              <w:rPr>
                <w:color w:val="000000" w:themeColor="text1"/>
              </w:rPr>
              <w:t>T</w:t>
            </w:r>
            <w:r w:rsidRPr="003D5932">
              <w:rPr>
                <w:color w:val="000000" w:themeColor="text1"/>
              </w:rPr>
              <w:t>ravaux</w:t>
            </w:r>
            <w:r w:rsidR="003D5932" w:rsidRPr="003D5932">
              <w:rPr>
                <w:color w:val="000000" w:themeColor="text1"/>
              </w:rPr>
              <w:t xml:space="preserve"> d’Aménagement.</w:t>
            </w:r>
          </w:p>
          <w:p w14:paraId="62EEBA38" w14:textId="77777777" w:rsidR="003D5932" w:rsidRDefault="003D5932" w:rsidP="003D5932">
            <w:pPr>
              <w:jc w:val="both"/>
            </w:pPr>
          </w:p>
          <w:p w14:paraId="6F3C21E3" w14:textId="77777777" w:rsidR="002E6C84" w:rsidRDefault="00DC13F1" w:rsidP="003D5932">
            <w:pPr>
              <w:jc w:val="both"/>
            </w:pPr>
            <w:r w:rsidRPr="00DC13F1">
              <w:t xml:space="preserve">En cas de non-respect par l’entreprise attributaire des obligations relatives à la mise en œuvre des actions d’insertion, le Titulaire subira la pénalité ci-contre par heure d’insertion non réalisée pour la phase ExploitationMaintenance. </w:t>
            </w:r>
          </w:p>
          <w:p w14:paraId="4AD9A32B" w14:textId="77777777" w:rsidR="002E6C84" w:rsidRDefault="002E6C84" w:rsidP="003D5932">
            <w:pPr>
              <w:jc w:val="both"/>
            </w:pPr>
          </w:p>
          <w:p w14:paraId="7AA1E30E" w14:textId="70ECE352" w:rsidR="00C655CB" w:rsidRDefault="00DC13F1" w:rsidP="003D5932">
            <w:pPr>
              <w:jc w:val="both"/>
            </w:pPr>
            <w:r w:rsidRPr="00DC13F1">
              <w:t xml:space="preserve">En cas de </w:t>
            </w:r>
            <w:proofErr w:type="gramStart"/>
            <w:r w:rsidRPr="00DC13F1">
              <w:t>non transmission</w:t>
            </w:r>
            <w:proofErr w:type="gramEnd"/>
            <w:r w:rsidRPr="00DC13F1">
              <w:t xml:space="preserve"> des attestations et des justificatifs propres à permettre le contrôle de l’exécution des actions d’insertion, le Titulaire subira la pénalité ci-contre par jour de retard à compter de la mise en demeure par le pouvoir adjudicateur.</w:t>
            </w:r>
          </w:p>
        </w:tc>
        <w:tc>
          <w:tcPr>
            <w:tcW w:w="3115" w:type="dxa"/>
          </w:tcPr>
          <w:p w14:paraId="42CC920F" w14:textId="77777777" w:rsidR="002E6C84" w:rsidRDefault="002E6C84" w:rsidP="00635F1A">
            <w:pPr>
              <w:rPr>
                <w:color w:val="000000" w:themeColor="text1"/>
              </w:rPr>
            </w:pPr>
          </w:p>
          <w:p w14:paraId="2CB16AB5" w14:textId="431ABBDC" w:rsidR="002E6C84" w:rsidRDefault="002E6C84" w:rsidP="00635F1A">
            <w:pPr>
              <w:rPr>
                <w:color w:val="000000" w:themeColor="text1"/>
              </w:rPr>
            </w:pPr>
            <w:r w:rsidRPr="00C655CB">
              <w:t xml:space="preserve">Dans le cas où le pourcentage serait in fine inférieur à </w:t>
            </w:r>
            <w:r w:rsidR="0093014D" w:rsidRPr="0093014D">
              <w:rPr>
                <w:highlight w:val="yellow"/>
              </w:rPr>
              <w:t>X</w:t>
            </w:r>
            <w:r w:rsidR="0093014D">
              <w:t xml:space="preserve"> </w:t>
            </w:r>
            <w:r w:rsidRPr="00C655CB">
              <w:t xml:space="preserve">% du montant </w:t>
            </w:r>
            <w:r w:rsidR="0093014D">
              <w:t>du Marché</w:t>
            </w:r>
            <w:r w:rsidRPr="00C655CB">
              <w:t xml:space="preserve">, </w:t>
            </w:r>
            <w:r w:rsidRPr="00375646">
              <w:rPr>
                <w:color w:val="000000" w:themeColor="text1"/>
              </w:rPr>
              <w:t xml:space="preserve">une pénalité complémentaire est appliquée et est fixée à : </w:t>
            </w:r>
            <w:r w:rsidR="0093014D">
              <w:rPr>
                <w:color w:val="000000" w:themeColor="text1"/>
              </w:rPr>
              <w:t>300 000</w:t>
            </w:r>
            <w:r w:rsidRPr="00375646">
              <w:rPr>
                <w:color w:val="000000" w:themeColor="text1"/>
              </w:rPr>
              <w:t xml:space="preserve"> d’euros hors taxes</w:t>
            </w:r>
          </w:p>
          <w:p w14:paraId="1097A31C" w14:textId="77777777" w:rsidR="002E6C84" w:rsidRDefault="002E6C84" w:rsidP="00635F1A">
            <w:pPr>
              <w:rPr>
                <w:color w:val="000000" w:themeColor="text1"/>
              </w:rPr>
            </w:pPr>
          </w:p>
          <w:p w14:paraId="3E4C054E" w14:textId="77777777" w:rsidR="002E6C84" w:rsidRDefault="002E6C84" w:rsidP="00635F1A">
            <w:pPr>
              <w:rPr>
                <w:color w:val="000000" w:themeColor="text1"/>
              </w:rPr>
            </w:pPr>
          </w:p>
          <w:p w14:paraId="7492E643" w14:textId="24591D2D" w:rsidR="00DC13F1" w:rsidRPr="002E6C84" w:rsidRDefault="002E6C84" w:rsidP="00635F1A">
            <w:pPr>
              <w:rPr>
                <w:color w:val="000000" w:themeColor="text1"/>
              </w:rPr>
            </w:pPr>
            <w:r>
              <w:rPr>
                <w:color w:val="000000" w:themeColor="text1"/>
              </w:rPr>
              <w:t>70</w:t>
            </w:r>
            <w:r w:rsidR="00DC13F1" w:rsidRPr="002E6C84">
              <w:rPr>
                <w:color w:val="000000" w:themeColor="text1"/>
              </w:rPr>
              <w:t xml:space="preserve"> euros hors taxes par heure d’insertion non réalisée en phase </w:t>
            </w:r>
            <w:r>
              <w:rPr>
                <w:color w:val="000000" w:themeColor="text1"/>
              </w:rPr>
              <w:t>travaux</w:t>
            </w:r>
          </w:p>
          <w:p w14:paraId="6054D9B0" w14:textId="77777777" w:rsidR="002E6C84" w:rsidRPr="00DC13F1" w:rsidRDefault="002E6C84" w:rsidP="00635F1A">
            <w:pPr>
              <w:rPr>
                <w:color w:val="BF4E14" w:themeColor="accent2" w:themeShade="BF"/>
              </w:rPr>
            </w:pPr>
          </w:p>
          <w:p w14:paraId="75FA2BD5" w14:textId="77777777" w:rsidR="002E6C84" w:rsidRDefault="002E6C84" w:rsidP="00635F1A">
            <w:pPr>
              <w:rPr>
                <w:strike/>
                <w:color w:val="BF4E14" w:themeColor="accent2" w:themeShade="BF"/>
              </w:rPr>
            </w:pPr>
          </w:p>
          <w:p w14:paraId="55ADB798" w14:textId="4847714F" w:rsidR="00DC13F1" w:rsidRDefault="002E6C84" w:rsidP="00635F1A">
            <w:r w:rsidRPr="002E6C84">
              <w:rPr>
                <w:color w:val="000000" w:themeColor="text1"/>
              </w:rPr>
              <w:t>70</w:t>
            </w:r>
            <w:r w:rsidR="00DC13F1" w:rsidRPr="002E6C84">
              <w:rPr>
                <w:color w:val="000000" w:themeColor="text1"/>
              </w:rPr>
              <w:t xml:space="preserve"> </w:t>
            </w:r>
            <w:r w:rsidR="00DC13F1" w:rsidRPr="00DC13F1">
              <w:t>euros hors taxes par heure d’insertion non réalisée en phase EM</w:t>
            </w:r>
          </w:p>
          <w:p w14:paraId="0CDD6F2D" w14:textId="77777777" w:rsidR="002E6C84" w:rsidRDefault="002E6C84" w:rsidP="00635F1A"/>
          <w:p w14:paraId="2634AC43" w14:textId="77777777" w:rsidR="002E6C84" w:rsidRDefault="002E6C84" w:rsidP="00635F1A">
            <w:pPr>
              <w:rPr>
                <w:color w:val="000000" w:themeColor="text1"/>
              </w:rPr>
            </w:pPr>
          </w:p>
          <w:p w14:paraId="0E853708" w14:textId="77777777" w:rsidR="002E6C84" w:rsidRDefault="002E6C84" w:rsidP="00635F1A">
            <w:pPr>
              <w:rPr>
                <w:color w:val="000000" w:themeColor="text1"/>
              </w:rPr>
            </w:pPr>
          </w:p>
          <w:p w14:paraId="2F90887F" w14:textId="4DC15FCE" w:rsidR="00C655CB" w:rsidRPr="00BF24C7" w:rsidRDefault="00DC13F1" w:rsidP="00635F1A">
            <w:r w:rsidRPr="002E6C84">
              <w:rPr>
                <w:color w:val="000000" w:themeColor="text1"/>
              </w:rPr>
              <w:t xml:space="preserve">75 </w:t>
            </w:r>
            <w:r w:rsidRPr="00DC13F1">
              <w:t>euros hors taxes par jour de retard à compter de la mise en demeure</w:t>
            </w:r>
          </w:p>
        </w:tc>
      </w:tr>
      <w:tr w:rsidR="00C655CB" w14:paraId="7DE0C80C" w14:textId="77777777" w:rsidTr="00555C1F">
        <w:trPr>
          <w:jc w:val="center"/>
        </w:trPr>
        <w:tc>
          <w:tcPr>
            <w:tcW w:w="704" w:type="dxa"/>
          </w:tcPr>
          <w:p w14:paraId="7173B5C9" w14:textId="794DE9F9" w:rsidR="00C655CB" w:rsidRDefault="00C655CB" w:rsidP="002728F0">
            <w:pPr>
              <w:jc w:val="center"/>
            </w:pPr>
            <w:r>
              <w:lastRenderedPageBreak/>
              <w:t>13</w:t>
            </w:r>
          </w:p>
        </w:tc>
        <w:tc>
          <w:tcPr>
            <w:tcW w:w="5243" w:type="dxa"/>
          </w:tcPr>
          <w:p w14:paraId="0FB4982D" w14:textId="77777777" w:rsidR="00635F1A" w:rsidRDefault="00DC13F1" w:rsidP="00635F1A">
            <w:r w:rsidRPr="00DC13F1">
              <w:rPr>
                <w:b/>
                <w:bCs/>
              </w:rPr>
              <w:t>Pénalités pour défaut de mise en place d’une plateforme électronique de partage ou armoire à plans</w:t>
            </w:r>
            <w:r w:rsidRPr="00DC13F1">
              <w:t xml:space="preserve"> </w:t>
            </w:r>
          </w:p>
          <w:p w14:paraId="7F11DDBF" w14:textId="05E008BB" w:rsidR="00C655CB" w:rsidRDefault="00DC13F1" w:rsidP="00635F1A">
            <w:r w:rsidRPr="00DC13F1">
              <w:t>En cas de non-respect des obligations relatives à la mise en place d’une plateforme électronique de partage ou armoire à plans telle que décrite à l</w:t>
            </w:r>
            <w:r w:rsidRPr="00635F1A">
              <w:rPr>
                <w:highlight w:val="yellow"/>
              </w:rPr>
              <w:t xml:space="preserve">’article </w:t>
            </w:r>
            <w:r w:rsidR="00635F1A" w:rsidRPr="00635F1A">
              <w:rPr>
                <w:highlight w:val="yellow"/>
              </w:rPr>
              <w:t>XX</w:t>
            </w:r>
            <w:r w:rsidRPr="00635F1A">
              <w:rPr>
                <w:highlight w:val="yellow"/>
              </w:rPr>
              <w:t xml:space="preserve"> du CCAP</w:t>
            </w:r>
            <w:r w:rsidRPr="00DC13F1">
              <w:t xml:space="preserve"> du marché, le Titulaire subira la pénalité ci-contre.</w:t>
            </w:r>
          </w:p>
        </w:tc>
        <w:tc>
          <w:tcPr>
            <w:tcW w:w="3115" w:type="dxa"/>
          </w:tcPr>
          <w:p w14:paraId="6B74E0CB" w14:textId="13034741" w:rsidR="00C655CB" w:rsidRPr="00BF24C7" w:rsidRDefault="002132D0" w:rsidP="002728F0">
            <w:pPr>
              <w:jc w:val="center"/>
            </w:pPr>
            <w:r>
              <w:t>1</w:t>
            </w:r>
            <w:r w:rsidR="00DC13F1" w:rsidRPr="00DC13F1">
              <w:t xml:space="preserve"> 000 euros hors taxes par jour calendaire de retard</w:t>
            </w:r>
          </w:p>
        </w:tc>
      </w:tr>
      <w:tr w:rsidR="00C655CB" w14:paraId="2FB08FFE" w14:textId="77777777" w:rsidTr="00555C1F">
        <w:trPr>
          <w:jc w:val="center"/>
        </w:trPr>
        <w:tc>
          <w:tcPr>
            <w:tcW w:w="704" w:type="dxa"/>
          </w:tcPr>
          <w:p w14:paraId="336781C0" w14:textId="51C4FD77" w:rsidR="00C655CB" w:rsidRDefault="00C655CB" w:rsidP="002728F0">
            <w:pPr>
              <w:jc w:val="center"/>
            </w:pPr>
            <w:r>
              <w:t>14</w:t>
            </w:r>
          </w:p>
        </w:tc>
        <w:tc>
          <w:tcPr>
            <w:tcW w:w="5243" w:type="dxa"/>
          </w:tcPr>
          <w:p w14:paraId="0B2C021C" w14:textId="02DB8DFC" w:rsidR="00DC13F1" w:rsidRPr="00DC13F1" w:rsidRDefault="00DC13F1" w:rsidP="00C60952">
            <w:pPr>
              <w:jc w:val="both"/>
              <w:rPr>
                <w:b/>
                <w:bCs/>
              </w:rPr>
            </w:pPr>
            <w:r w:rsidRPr="00DC13F1">
              <w:rPr>
                <w:b/>
                <w:bCs/>
              </w:rPr>
              <w:t>Pénalité pour non-respect des délais contractuels d’exécution des prestations en matière de traitement des données à caractère personnel</w:t>
            </w:r>
          </w:p>
          <w:p w14:paraId="24E9734D" w14:textId="6D244856" w:rsidR="00C655CB" w:rsidRDefault="00DC13F1" w:rsidP="00C60952">
            <w:pPr>
              <w:jc w:val="both"/>
            </w:pPr>
            <w:r w:rsidRPr="00DC13F1">
              <w:t xml:space="preserve">En cas de dépassement du délai contractuel d’exécution des prestations (notification des violations de données à caractère personnel et transmission du nom et coordonnées du délégué à la protection des données à la notification de l’avenant) telle que décrite à </w:t>
            </w:r>
            <w:r w:rsidRPr="00C60952">
              <w:rPr>
                <w:highlight w:val="yellow"/>
              </w:rPr>
              <w:t xml:space="preserve">l’article </w:t>
            </w:r>
            <w:r w:rsidR="00C60952" w:rsidRPr="00C60952">
              <w:rPr>
                <w:highlight w:val="yellow"/>
              </w:rPr>
              <w:t>XX</w:t>
            </w:r>
            <w:r w:rsidRPr="00C60952">
              <w:rPr>
                <w:highlight w:val="yellow"/>
              </w:rPr>
              <w:t xml:space="preserve"> du CCAP</w:t>
            </w:r>
            <w:r w:rsidRPr="00DC13F1">
              <w:t xml:space="preserve"> du marché, le Titulaire encourt sans mise en demeure préalable la pénalité ci-contre.</w:t>
            </w:r>
          </w:p>
        </w:tc>
        <w:tc>
          <w:tcPr>
            <w:tcW w:w="3115" w:type="dxa"/>
          </w:tcPr>
          <w:p w14:paraId="2AF90E91" w14:textId="6C217B91" w:rsidR="00C655CB" w:rsidRPr="00BF24C7" w:rsidRDefault="00DC13F1" w:rsidP="002728F0">
            <w:pPr>
              <w:jc w:val="center"/>
            </w:pPr>
            <w:r w:rsidRPr="00DC13F1">
              <w:t>2 000 euros hors taxes par jour calendaire de retard</w:t>
            </w:r>
          </w:p>
        </w:tc>
      </w:tr>
      <w:tr w:rsidR="00C655CB" w14:paraId="6C40CFD6" w14:textId="77777777" w:rsidTr="00555C1F">
        <w:trPr>
          <w:jc w:val="center"/>
        </w:trPr>
        <w:tc>
          <w:tcPr>
            <w:tcW w:w="704" w:type="dxa"/>
          </w:tcPr>
          <w:p w14:paraId="2390C969" w14:textId="156FFCC9" w:rsidR="00C655CB" w:rsidRDefault="00C655CB" w:rsidP="002728F0">
            <w:pPr>
              <w:jc w:val="center"/>
            </w:pPr>
            <w:r w:rsidRPr="00A2284A">
              <w:rPr>
                <w:color w:val="000000" w:themeColor="text1"/>
              </w:rPr>
              <w:t>15</w:t>
            </w:r>
          </w:p>
        </w:tc>
        <w:tc>
          <w:tcPr>
            <w:tcW w:w="5243" w:type="dxa"/>
          </w:tcPr>
          <w:p w14:paraId="5A7D56BA" w14:textId="77777777" w:rsidR="00C85445" w:rsidRPr="00C85445" w:rsidRDefault="00C655CB" w:rsidP="00C85445">
            <w:pPr>
              <w:jc w:val="both"/>
              <w:rPr>
                <w:b/>
                <w:bCs/>
                <w:color w:val="000000" w:themeColor="text1"/>
              </w:rPr>
            </w:pPr>
            <w:r w:rsidRPr="00C85445">
              <w:rPr>
                <w:b/>
                <w:bCs/>
                <w:color w:val="000000" w:themeColor="text1"/>
              </w:rPr>
              <w:t xml:space="preserve">Pénalité pour non-respect de la clause de communication de l’ensemble des codes-sources de la maquette BIM </w:t>
            </w:r>
          </w:p>
          <w:p w14:paraId="048B7539" w14:textId="1AD0E211" w:rsidR="00C655CB" w:rsidRPr="00A2284A" w:rsidRDefault="00C655CB" w:rsidP="00C85445">
            <w:pPr>
              <w:jc w:val="both"/>
              <w:rPr>
                <w:color w:val="000000" w:themeColor="text1"/>
              </w:rPr>
            </w:pPr>
            <w:r w:rsidRPr="00A2284A">
              <w:rPr>
                <w:color w:val="000000" w:themeColor="text1"/>
              </w:rPr>
              <w:t xml:space="preserve">En cas de non-respect de la clause de communication de l’ensemble des codes-sources de la maquette BIM telle que décrite à </w:t>
            </w:r>
            <w:r w:rsidRPr="00A2284A">
              <w:rPr>
                <w:color w:val="000000" w:themeColor="text1"/>
                <w:highlight w:val="yellow"/>
              </w:rPr>
              <w:t xml:space="preserve">l’article </w:t>
            </w:r>
            <w:r w:rsidR="00A2284A" w:rsidRPr="00A2284A">
              <w:rPr>
                <w:color w:val="000000" w:themeColor="text1"/>
                <w:highlight w:val="yellow"/>
              </w:rPr>
              <w:t xml:space="preserve">XX </w:t>
            </w:r>
            <w:r w:rsidRPr="00A2284A">
              <w:rPr>
                <w:color w:val="000000" w:themeColor="text1"/>
                <w:highlight w:val="yellow"/>
              </w:rPr>
              <w:t>du CCAP</w:t>
            </w:r>
            <w:r w:rsidRPr="00A2284A">
              <w:rPr>
                <w:color w:val="000000" w:themeColor="text1"/>
              </w:rPr>
              <w:t xml:space="preserve"> du marché, le Titulaire encourt sans mise en demeure préalable la pénalité </w:t>
            </w:r>
            <w:r w:rsidR="00A2284A" w:rsidRPr="00A2284A">
              <w:rPr>
                <w:color w:val="000000" w:themeColor="text1"/>
              </w:rPr>
              <w:t>ci-contre.</w:t>
            </w:r>
          </w:p>
        </w:tc>
        <w:tc>
          <w:tcPr>
            <w:tcW w:w="3115" w:type="dxa"/>
          </w:tcPr>
          <w:p w14:paraId="751CC865" w14:textId="5336E136" w:rsidR="00C655CB" w:rsidRPr="00A2284A" w:rsidRDefault="00A2284A" w:rsidP="002728F0">
            <w:pPr>
              <w:jc w:val="center"/>
              <w:rPr>
                <w:color w:val="000000" w:themeColor="text1"/>
              </w:rPr>
            </w:pPr>
            <w:r w:rsidRPr="00A2284A">
              <w:rPr>
                <w:color w:val="000000" w:themeColor="text1"/>
              </w:rPr>
              <w:t>250 000</w:t>
            </w:r>
            <w:r w:rsidR="00DC13F1" w:rsidRPr="00A2284A">
              <w:rPr>
                <w:color w:val="000000" w:themeColor="text1"/>
              </w:rPr>
              <w:t xml:space="preserve"> euros hors taxes</w:t>
            </w:r>
          </w:p>
        </w:tc>
      </w:tr>
    </w:tbl>
    <w:p w14:paraId="16E69887" w14:textId="44BA9756" w:rsidR="00BF24C7" w:rsidRDefault="00BF24C7" w:rsidP="002728F0">
      <w:pPr>
        <w:jc w:val="center"/>
      </w:pPr>
    </w:p>
    <w:p w14:paraId="71DAAA70" w14:textId="4A49C6AF" w:rsidR="00DC13F1" w:rsidRDefault="00DC13F1" w:rsidP="002728F0">
      <w:pPr>
        <w:jc w:val="center"/>
      </w:pPr>
      <w:r w:rsidRPr="00DC13F1">
        <w:t>Pénalités relatives aux étapes de Réalisation des travaux (phase 1)</w:t>
      </w:r>
    </w:p>
    <w:tbl>
      <w:tblPr>
        <w:tblStyle w:val="Grilledutableau"/>
        <w:tblW w:w="0" w:type="auto"/>
        <w:tblLook w:val="04A0" w:firstRow="1" w:lastRow="0" w:firstColumn="1" w:lastColumn="0" w:noHBand="0" w:noVBand="1"/>
      </w:tblPr>
      <w:tblGrid>
        <w:gridCol w:w="562"/>
        <w:gridCol w:w="5479"/>
        <w:gridCol w:w="3021"/>
      </w:tblGrid>
      <w:tr w:rsidR="00DC13F1" w14:paraId="0F3B6E18" w14:textId="77777777" w:rsidTr="009B002C">
        <w:tc>
          <w:tcPr>
            <w:tcW w:w="562" w:type="dxa"/>
          </w:tcPr>
          <w:p w14:paraId="3D68CB8A" w14:textId="71ACC577" w:rsidR="00DC13F1" w:rsidRDefault="00DC13F1" w:rsidP="002728F0">
            <w:pPr>
              <w:jc w:val="center"/>
            </w:pPr>
            <w:r>
              <w:t>N</w:t>
            </w:r>
            <w:r w:rsidRPr="00DC13F1">
              <w:t xml:space="preserve"> °</w:t>
            </w:r>
          </w:p>
        </w:tc>
        <w:tc>
          <w:tcPr>
            <w:tcW w:w="5479" w:type="dxa"/>
          </w:tcPr>
          <w:p w14:paraId="7855410D" w14:textId="13041219" w:rsidR="00DC13F1" w:rsidRDefault="00DC13F1" w:rsidP="002728F0">
            <w:pPr>
              <w:jc w:val="center"/>
            </w:pPr>
            <w:r w:rsidRPr="00DC13F1">
              <w:t>Désignation et description de la pénalité</w:t>
            </w:r>
          </w:p>
        </w:tc>
        <w:tc>
          <w:tcPr>
            <w:tcW w:w="3021" w:type="dxa"/>
          </w:tcPr>
          <w:p w14:paraId="79AD7A58" w14:textId="112B68C7" w:rsidR="00DC13F1" w:rsidRDefault="00DC13F1" w:rsidP="002728F0">
            <w:pPr>
              <w:jc w:val="center"/>
            </w:pPr>
            <w:r w:rsidRPr="00DC13F1">
              <w:t>Montant de la pénalité</w:t>
            </w:r>
          </w:p>
        </w:tc>
      </w:tr>
      <w:tr w:rsidR="00DC13F1" w14:paraId="0FB9E1AD" w14:textId="77777777" w:rsidTr="009B002C">
        <w:tc>
          <w:tcPr>
            <w:tcW w:w="562" w:type="dxa"/>
          </w:tcPr>
          <w:p w14:paraId="75FB4663" w14:textId="65D38211" w:rsidR="00DC13F1" w:rsidRDefault="00DC13F1" w:rsidP="002728F0">
            <w:pPr>
              <w:jc w:val="center"/>
            </w:pPr>
            <w:r>
              <w:t>16</w:t>
            </w:r>
          </w:p>
        </w:tc>
        <w:tc>
          <w:tcPr>
            <w:tcW w:w="5479" w:type="dxa"/>
          </w:tcPr>
          <w:p w14:paraId="203C7BC2" w14:textId="7C5E1FA1" w:rsidR="00DC13F1" w:rsidRDefault="00DC13F1" w:rsidP="009C4051">
            <w:pPr>
              <w:jc w:val="both"/>
            </w:pPr>
            <w:r w:rsidRPr="00DC13F1">
              <w:rPr>
                <w:b/>
                <w:bCs/>
              </w:rPr>
              <w:t>Pénalités et retenues pour retard dans la remise des documents</w:t>
            </w:r>
            <w:r w:rsidR="009C4051">
              <w:rPr>
                <w:b/>
                <w:bCs/>
              </w:rPr>
              <w:t xml:space="preserve"> : </w:t>
            </w:r>
            <w:r w:rsidRPr="00DC13F1">
              <w:rPr>
                <w:b/>
                <w:bCs/>
              </w:rPr>
              <w:t>(Études d’exécution, Études de synthèse, DOE…)</w:t>
            </w:r>
          </w:p>
          <w:p w14:paraId="43C84298" w14:textId="13096035" w:rsidR="00DC13F1" w:rsidRDefault="00DC13F1" w:rsidP="009C4051">
            <w:pPr>
              <w:jc w:val="both"/>
            </w:pPr>
            <w:r w:rsidRPr="00DC13F1">
              <w:t xml:space="preserve">Pour tout retard dans les délais contractuels de remise de documents définis dans le calendrier des travaux, visé à </w:t>
            </w:r>
            <w:r w:rsidRPr="009C4051">
              <w:rPr>
                <w:highlight w:val="yellow"/>
              </w:rPr>
              <w:t>l’article</w:t>
            </w:r>
            <w:r w:rsidR="009C4051" w:rsidRPr="009C4051">
              <w:rPr>
                <w:highlight w:val="yellow"/>
              </w:rPr>
              <w:t xml:space="preserve"> XX</w:t>
            </w:r>
            <w:r w:rsidRPr="009C4051">
              <w:rPr>
                <w:highlight w:val="yellow"/>
              </w:rPr>
              <w:t xml:space="preserve"> du CCAP</w:t>
            </w:r>
            <w:r w:rsidRPr="00DC13F1">
              <w:t xml:space="preserve"> du marché, la pénalité ci-contre sera appliquée. Des retenues provisoires du même ordre de grandeur financier pourront être appliquées sans mise en demeure préalable en cas de retard dans la transmission de documents liés aux études d’exécution (fiches techniques, plans et schémas, etc.), aux études de synthèse et documents de DOE exigés par </w:t>
            </w:r>
            <w:r w:rsidR="009C4051">
              <w:t>la MOE</w:t>
            </w:r>
            <w:r w:rsidRPr="00DC13F1">
              <w:t xml:space="preserve">. Ces retenues provisoires pourront être restituées si les délais globaux sont respectés. Dans le cas inverse, elles deviendront définitives et constitueront des pénalités. Ces pénalités et retenues seront encourues du simple fait de la constatation du retard par </w:t>
            </w:r>
            <w:r w:rsidR="009C4051">
              <w:t>la MOE</w:t>
            </w:r>
            <w:r w:rsidRPr="00DC13F1">
              <w:t xml:space="preserve">. Cet article déroge à </w:t>
            </w:r>
            <w:r w:rsidRPr="009C4051">
              <w:rPr>
                <w:highlight w:val="yellow"/>
              </w:rPr>
              <w:t>l’article</w:t>
            </w:r>
            <w:r w:rsidR="009C4051" w:rsidRPr="009C4051">
              <w:rPr>
                <w:highlight w:val="yellow"/>
              </w:rPr>
              <w:t xml:space="preserve"> XX </w:t>
            </w:r>
            <w:r w:rsidRPr="009C4051">
              <w:rPr>
                <w:highlight w:val="yellow"/>
              </w:rPr>
              <w:t>du CCAG Travaux</w:t>
            </w:r>
            <w:r w:rsidRPr="00DC13F1">
              <w:t>.</w:t>
            </w:r>
          </w:p>
        </w:tc>
        <w:tc>
          <w:tcPr>
            <w:tcW w:w="3021" w:type="dxa"/>
          </w:tcPr>
          <w:p w14:paraId="74AF9A28" w14:textId="323ACAC4" w:rsidR="00DC13F1" w:rsidRDefault="00DC13F1" w:rsidP="002728F0">
            <w:pPr>
              <w:jc w:val="center"/>
            </w:pPr>
            <w:r w:rsidRPr="00DC13F1">
              <w:t xml:space="preserve">500 euros hors taxes par jour calendaire de retard </w:t>
            </w:r>
          </w:p>
        </w:tc>
      </w:tr>
      <w:tr w:rsidR="00DC13F1" w14:paraId="2ECD036C" w14:textId="77777777" w:rsidTr="009B002C">
        <w:tc>
          <w:tcPr>
            <w:tcW w:w="562" w:type="dxa"/>
          </w:tcPr>
          <w:p w14:paraId="6913681C" w14:textId="704AE29B" w:rsidR="00DC13F1" w:rsidRDefault="00DC13F1" w:rsidP="002728F0">
            <w:pPr>
              <w:jc w:val="center"/>
            </w:pPr>
            <w:r>
              <w:lastRenderedPageBreak/>
              <w:t>17</w:t>
            </w:r>
          </w:p>
        </w:tc>
        <w:tc>
          <w:tcPr>
            <w:tcW w:w="5479" w:type="dxa"/>
          </w:tcPr>
          <w:p w14:paraId="2DBA6047" w14:textId="0211CD29" w:rsidR="00DC13F1" w:rsidRPr="00DC13F1" w:rsidRDefault="00DC13F1" w:rsidP="006E1A70">
            <w:pPr>
              <w:jc w:val="both"/>
              <w:rPr>
                <w:b/>
                <w:bCs/>
              </w:rPr>
            </w:pPr>
            <w:r w:rsidRPr="00DC13F1">
              <w:rPr>
                <w:b/>
                <w:bCs/>
              </w:rPr>
              <w:t>Pénalités pour retard dans la levée des observations</w:t>
            </w:r>
          </w:p>
          <w:p w14:paraId="288DF834" w14:textId="7AF95E32" w:rsidR="00DC13F1" w:rsidRDefault="00DC13F1" w:rsidP="006E1A70">
            <w:pPr>
              <w:jc w:val="both"/>
            </w:pPr>
            <w:r w:rsidRPr="00DC13F1">
              <w:t>En cas de retard dans la levée des observations notées aux constats de toutes natures par le Maître d’Ouvrage, l</w:t>
            </w:r>
            <w:r w:rsidR="006E1A70">
              <w:t>a MOE</w:t>
            </w:r>
            <w:r w:rsidRPr="00DC13F1">
              <w:t xml:space="preserve">, le CT ou le CSPS, le Titulaire subira la pénalité </w:t>
            </w:r>
            <w:r w:rsidR="006E1A70" w:rsidRPr="00DC13F1">
              <w:t>ci-contre</w:t>
            </w:r>
            <w:r w:rsidRPr="00DC13F1">
              <w:t>.</w:t>
            </w:r>
          </w:p>
        </w:tc>
        <w:tc>
          <w:tcPr>
            <w:tcW w:w="3021" w:type="dxa"/>
          </w:tcPr>
          <w:p w14:paraId="6977AA4C" w14:textId="439FFC48" w:rsidR="00DC13F1" w:rsidRDefault="006E1A70" w:rsidP="002728F0">
            <w:pPr>
              <w:jc w:val="center"/>
            </w:pPr>
            <w:r>
              <w:t>1</w:t>
            </w:r>
            <w:r w:rsidR="00DC13F1" w:rsidRPr="00DC13F1">
              <w:t xml:space="preserve"> </w:t>
            </w:r>
            <w:r w:rsidR="00DC13F1" w:rsidRPr="006E1A70">
              <w:rPr>
                <w:color w:val="000000" w:themeColor="text1"/>
              </w:rPr>
              <w:t>000 euros hors taxes par jour calendaire de retard et par défaut constaté</w:t>
            </w:r>
          </w:p>
        </w:tc>
      </w:tr>
      <w:tr w:rsidR="00DC13F1" w14:paraId="19BC63EB" w14:textId="77777777" w:rsidTr="009B002C">
        <w:tc>
          <w:tcPr>
            <w:tcW w:w="562" w:type="dxa"/>
          </w:tcPr>
          <w:p w14:paraId="5795AD06" w14:textId="2886D01D" w:rsidR="00DC13F1" w:rsidRDefault="008B0FCD" w:rsidP="002728F0">
            <w:pPr>
              <w:jc w:val="center"/>
            </w:pPr>
            <w:r>
              <w:t>1</w:t>
            </w:r>
            <w:r w:rsidR="00DD2D98">
              <w:t>8</w:t>
            </w:r>
          </w:p>
        </w:tc>
        <w:tc>
          <w:tcPr>
            <w:tcW w:w="5479" w:type="dxa"/>
          </w:tcPr>
          <w:p w14:paraId="5897D395" w14:textId="3CC995CD" w:rsidR="00C5333C" w:rsidRPr="00C5333C" w:rsidRDefault="00C5333C" w:rsidP="008B0FCD">
            <w:pPr>
              <w:jc w:val="both"/>
              <w:rPr>
                <w:b/>
                <w:bCs/>
              </w:rPr>
            </w:pPr>
            <w:r w:rsidRPr="00C5333C">
              <w:rPr>
                <w:b/>
                <w:bCs/>
              </w:rPr>
              <w:t xml:space="preserve">Pénalités et retenues pour retard dans l’exécution des </w:t>
            </w:r>
            <w:r w:rsidR="008B0FCD">
              <w:rPr>
                <w:b/>
                <w:bCs/>
              </w:rPr>
              <w:t>délais et jalons partiels (non compris le jalon de réception des Travaux d’Aménagement, cf. plus bas)</w:t>
            </w:r>
          </w:p>
          <w:p w14:paraId="241BA755" w14:textId="05469EAB" w:rsidR="00DC13F1" w:rsidRDefault="00C5333C" w:rsidP="008B0FCD">
            <w:pPr>
              <w:jc w:val="both"/>
            </w:pPr>
            <w:r w:rsidRPr="00C5333C">
              <w:t xml:space="preserve">Si pour des raisons imputables au Titulaire, un des délais contractuels tels que définis dans le présent marché ne pouvait être respecté, il sera appliqué, sans mise en demeure préalable, la retenue ci-contre. Le Maître d’Ouvrage se réserve le droit d’appliquer d’autres retenues intermédiaires provisoires. Ces retenues provisoires pourront être restituées si les délais globaux sont respectés. Dans le cas inverse, elles deviendront définitives et constitueront des pénalités. Ces pénalités et retenues seront encourues du simple fait de la constatation du retard par </w:t>
            </w:r>
            <w:r w:rsidR="008B0FCD">
              <w:t>la MOE</w:t>
            </w:r>
            <w:r w:rsidRPr="00C5333C">
              <w:t xml:space="preserve">. Cet article déroge à </w:t>
            </w:r>
            <w:r w:rsidRPr="008B0FCD">
              <w:rPr>
                <w:highlight w:val="yellow"/>
              </w:rPr>
              <w:t xml:space="preserve">l’article </w:t>
            </w:r>
            <w:r w:rsidR="008B0FCD" w:rsidRPr="008B0FCD">
              <w:rPr>
                <w:highlight w:val="yellow"/>
              </w:rPr>
              <w:t xml:space="preserve">XX </w:t>
            </w:r>
            <w:r w:rsidRPr="008B0FCD">
              <w:rPr>
                <w:highlight w:val="yellow"/>
              </w:rPr>
              <w:t>du CCAG Travaux</w:t>
            </w:r>
            <w:r w:rsidRPr="00C5333C">
              <w:t>.</w:t>
            </w:r>
          </w:p>
        </w:tc>
        <w:tc>
          <w:tcPr>
            <w:tcW w:w="3021" w:type="dxa"/>
          </w:tcPr>
          <w:p w14:paraId="53EF2DC9" w14:textId="18C563AA" w:rsidR="00DC13F1" w:rsidRDefault="008B0FCD" w:rsidP="002728F0">
            <w:pPr>
              <w:jc w:val="center"/>
            </w:pPr>
            <w:r>
              <w:t>5</w:t>
            </w:r>
            <w:r w:rsidR="00C5333C" w:rsidRPr="00C5333C">
              <w:t xml:space="preserve"> 000 euros hors taxes par jour calendaire de retard</w:t>
            </w:r>
          </w:p>
        </w:tc>
      </w:tr>
      <w:tr w:rsidR="00DC13F1" w14:paraId="4EBF08F0" w14:textId="77777777" w:rsidTr="009B002C">
        <w:tc>
          <w:tcPr>
            <w:tcW w:w="562" w:type="dxa"/>
          </w:tcPr>
          <w:p w14:paraId="435308F4" w14:textId="23686083" w:rsidR="00DC13F1" w:rsidRDefault="00DD2D98" w:rsidP="002728F0">
            <w:pPr>
              <w:jc w:val="center"/>
            </w:pPr>
            <w:r>
              <w:t>19</w:t>
            </w:r>
          </w:p>
        </w:tc>
        <w:tc>
          <w:tcPr>
            <w:tcW w:w="5479" w:type="dxa"/>
          </w:tcPr>
          <w:p w14:paraId="00D7B08E" w14:textId="77777777" w:rsidR="002021A0" w:rsidRDefault="00C5333C" w:rsidP="002021A0">
            <w:r w:rsidRPr="00C5333C">
              <w:rPr>
                <w:b/>
                <w:bCs/>
              </w:rPr>
              <w:t>Pénalités pour défaut d’installation de chantier</w:t>
            </w:r>
            <w:r w:rsidRPr="00C5333C">
              <w:t xml:space="preserve"> </w:t>
            </w:r>
          </w:p>
          <w:p w14:paraId="638B4B70" w14:textId="1D5B412E" w:rsidR="00DC13F1" w:rsidRDefault="00C5333C" w:rsidP="002021A0">
            <w:r w:rsidRPr="00C5333C">
              <w:t xml:space="preserve">Pour tout retard dans les délais contractuels de constatation de fin d’installation de chantier préalable à l’émission de l’ordre de service de démarrage des travaux définis dans le calendrier des études et </w:t>
            </w:r>
            <w:r w:rsidR="00673739" w:rsidRPr="00C5333C">
              <w:t>des travails visés</w:t>
            </w:r>
            <w:r w:rsidRPr="00C5333C">
              <w:t xml:space="preserve"> à l’article </w:t>
            </w:r>
            <w:r w:rsidR="002021A0">
              <w:t xml:space="preserve">XX </w:t>
            </w:r>
            <w:r w:rsidRPr="00C5333C">
              <w:t>du CCAP du marché, la pénalité ci-contre sera appliquée.</w:t>
            </w:r>
          </w:p>
        </w:tc>
        <w:tc>
          <w:tcPr>
            <w:tcW w:w="3021" w:type="dxa"/>
          </w:tcPr>
          <w:p w14:paraId="71D9E1F9" w14:textId="1A415871" w:rsidR="00DC13F1" w:rsidRDefault="00C5333C" w:rsidP="002728F0">
            <w:pPr>
              <w:jc w:val="center"/>
            </w:pPr>
            <w:r w:rsidRPr="00C5333C">
              <w:t>2 000 euros hors taxes par jour calendaire de retard</w:t>
            </w:r>
          </w:p>
        </w:tc>
      </w:tr>
      <w:tr w:rsidR="00DC13F1" w14:paraId="08D8746D" w14:textId="77777777" w:rsidTr="009B002C">
        <w:tc>
          <w:tcPr>
            <w:tcW w:w="562" w:type="dxa"/>
          </w:tcPr>
          <w:p w14:paraId="11C6C638" w14:textId="40530AF3" w:rsidR="00DC13F1" w:rsidRDefault="00DC13F1" w:rsidP="002728F0">
            <w:pPr>
              <w:jc w:val="center"/>
            </w:pPr>
            <w:r>
              <w:t>2</w:t>
            </w:r>
            <w:r w:rsidR="00DD2D98">
              <w:t>0</w:t>
            </w:r>
          </w:p>
        </w:tc>
        <w:tc>
          <w:tcPr>
            <w:tcW w:w="5479" w:type="dxa"/>
          </w:tcPr>
          <w:p w14:paraId="65E2F484" w14:textId="5862DF0D" w:rsidR="00C5333C" w:rsidRPr="00C5333C" w:rsidRDefault="00C5333C" w:rsidP="002021A0">
            <w:pPr>
              <w:jc w:val="both"/>
              <w:rPr>
                <w:b/>
                <w:bCs/>
              </w:rPr>
            </w:pPr>
            <w:r w:rsidRPr="00C5333C">
              <w:rPr>
                <w:b/>
                <w:bCs/>
              </w:rPr>
              <w:t>Pénalités pour défaut dans l’organisation et la tenue du chantier</w:t>
            </w:r>
          </w:p>
          <w:p w14:paraId="11AEFC75" w14:textId="03942884" w:rsidR="00DC13F1" w:rsidRDefault="00C5333C" w:rsidP="002021A0">
            <w:pPr>
              <w:jc w:val="both"/>
            </w:pPr>
            <w:r w:rsidRPr="00C5333C">
              <w:t>Pour tout défaut relatif à l’organisation et la tenue du chantier (signalisation de chantier ; non-respect du plan de circulation ; dépôt de matériaux, terres ou gravois en dehors des zones prévues à cet effet ; dépôt de déchets dans une benne inappropriée ; enfouissement des déchets ; brûlage de déchets sur site ; nettoyage de chantier), la pénalité ci-contre sera appliquée.</w:t>
            </w:r>
          </w:p>
        </w:tc>
        <w:tc>
          <w:tcPr>
            <w:tcW w:w="3021" w:type="dxa"/>
          </w:tcPr>
          <w:p w14:paraId="0117CB21" w14:textId="57B72FF6" w:rsidR="00DC13F1" w:rsidRDefault="00C5333C" w:rsidP="002728F0">
            <w:pPr>
              <w:jc w:val="center"/>
            </w:pPr>
            <w:r w:rsidRPr="00C5333C">
              <w:t>500 euros hors taxes par défaut constaté puis 1 000 euros hors taxes en cas de relance préalable à la correction du défaut constaté</w:t>
            </w:r>
          </w:p>
        </w:tc>
      </w:tr>
      <w:tr w:rsidR="00DC13F1" w14:paraId="7ED75498" w14:textId="77777777" w:rsidTr="009B002C">
        <w:tc>
          <w:tcPr>
            <w:tcW w:w="562" w:type="dxa"/>
          </w:tcPr>
          <w:p w14:paraId="72F73F5B" w14:textId="0FA43598" w:rsidR="00DC13F1" w:rsidRDefault="00C5333C" w:rsidP="002728F0">
            <w:pPr>
              <w:jc w:val="center"/>
            </w:pPr>
            <w:r>
              <w:t>2</w:t>
            </w:r>
            <w:r w:rsidR="00DD2D98">
              <w:t>1</w:t>
            </w:r>
          </w:p>
        </w:tc>
        <w:tc>
          <w:tcPr>
            <w:tcW w:w="5479" w:type="dxa"/>
          </w:tcPr>
          <w:p w14:paraId="1096DAEA" w14:textId="6413CA8A" w:rsidR="00C5333C" w:rsidRPr="00C5333C" w:rsidRDefault="00C5333C" w:rsidP="00994DD8">
            <w:pPr>
              <w:jc w:val="both"/>
              <w:rPr>
                <w:b/>
                <w:bCs/>
              </w:rPr>
            </w:pPr>
            <w:r w:rsidRPr="00C5333C">
              <w:rPr>
                <w:b/>
                <w:bCs/>
              </w:rPr>
              <w:t>Pénalités pour non-respect des précautions prises en phase travaux vis-à-vis des propriétés voisines</w:t>
            </w:r>
          </w:p>
          <w:p w14:paraId="12466F86" w14:textId="350F4E44" w:rsidR="00DC13F1" w:rsidRDefault="00C5333C" w:rsidP="00994DD8">
            <w:pPr>
              <w:jc w:val="both"/>
            </w:pPr>
            <w:r w:rsidRPr="00C5333C">
              <w:t xml:space="preserve">En cas de non-respect (i) de l’obligation de prendre toutes dispositions pour limiter au mieux les troubles, de quelques natures qu’ils soient, aux propriétés voisines, pendant </w:t>
            </w:r>
            <w:r w:rsidR="00994DD8">
              <w:t xml:space="preserve">la </w:t>
            </w:r>
            <w:r w:rsidRPr="00C5333C">
              <w:t>réalisation des travaux, (ii) des horaires de chantier ou (iii) pour dépassement des niveaux sonores associés, la pénalité ci-contre sera appliquée.</w:t>
            </w:r>
          </w:p>
        </w:tc>
        <w:tc>
          <w:tcPr>
            <w:tcW w:w="3021" w:type="dxa"/>
          </w:tcPr>
          <w:p w14:paraId="3331214D" w14:textId="78068E56" w:rsidR="00DC13F1" w:rsidRDefault="00994DD8" w:rsidP="002728F0">
            <w:pPr>
              <w:jc w:val="center"/>
            </w:pPr>
            <w:r>
              <w:t>3</w:t>
            </w:r>
            <w:r w:rsidR="00C5333C" w:rsidRPr="00C5333C">
              <w:t xml:space="preserve"> 000 euros hors taxes par défaut constaté</w:t>
            </w:r>
          </w:p>
        </w:tc>
      </w:tr>
      <w:tr w:rsidR="00DC13F1" w14:paraId="0DFB5142" w14:textId="77777777" w:rsidTr="009B002C">
        <w:tc>
          <w:tcPr>
            <w:tcW w:w="562" w:type="dxa"/>
          </w:tcPr>
          <w:p w14:paraId="25D55251" w14:textId="49D66618" w:rsidR="00DC13F1" w:rsidRDefault="00C5333C" w:rsidP="002728F0">
            <w:pPr>
              <w:jc w:val="center"/>
            </w:pPr>
            <w:r>
              <w:t>2</w:t>
            </w:r>
            <w:r w:rsidR="00DD2D98">
              <w:t>2</w:t>
            </w:r>
          </w:p>
        </w:tc>
        <w:tc>
          <w:tcPr>
            <w:tcW w:w="5479" w:type="dxa"/>
          </w:tcPr>
          <w:p w14:paraId="4EF292C4" w14:textId="6E325301" w:rsidR="00C5333C" w:rsidRPr="00C5333C" w:rsidRDefault="00C5333C" w:rsidP="001204DD">
            <w:pPr>
              <w:jc w:val="both"/>
              <w:rPr>
                <w:b/>
                <w:bCs/>
              </w:rPr>
            </w:pPr>
            <w:r w:rsidRPr="00C5333C">
              <w:rPr>
                <w:b/>
                <w:bCs/>
              </w:rPr>
              <w:t>Pénalité pour retard dans la présentation de témoins</w:t>
            </w:r>
            <w:r w:rsidR="00E60EB3">
              <w:rPr>
                <w:b/>
                <w:bCs/>
              </w:rPr>
              <w:t>, prototypes, produits</w:t>
            </w:r>
            <w:r w:rsidRPr="00C5333C">
              <w:rPr>
                <w:b/>
                <w:bCs/>
              </w:rPr>
              <w:t xml:space="preserve"> au Maître d’Ouvrage</w:t>
            </w:r>
          </w:p>
          <w:p w14:paraId="03C3B416" w14:textId="49B1A2A8" w:rsidR="00DC13F1" w:rsidRDefault="00C5333C" w:rsidP="001204DD">
            <w:pPr>
              <w:jc w:val="both"/>
            </w:pPr>
            <w:r w:rsidRPr="00C5333C">
              <w:t>En cas de retard dans la présentation d’un témoin</w:t>
            </w:r>
            <w:r w:rsidR="00E60EB3">
              <w:t>, prototype ou produit</w:t>
            </w:r>
            <w:r w:rsidRPr="00C5333C">
              <w:t xml:space="preserve"> tel que défini à </w:t>
            </w:r>
            <w:r w:rsidRPr="00E60EB3">
              <w:rPr>
                <w:highlight w:val="yellow"/>
              </w:rPr>
              <w:t xml:space="preserve">l’article </w:t>
            </w:r>
            <w:r w:rsidR="00E60EB3" w:rsidRPr="00E60EB3">
              <w:rPr>
                <w:highlight w:val="yellow"/>
              </w:rPr>
              <w:t xml:space="preserve">XX </w:t>
            </w:r>
            <w:r w:rsidRPr="00E60EB3">
              <w:rPr>
                <w:highlight w:val="yellow"/>
              </w:rPr>
              <w:t xml:space="preserve">du </w:t>
            </w:r>
            <w:r w:rsidRPr="00E60EB3">
              <w:rPr>
                <w:highlight w:val="yellow"/>
              </w:rPr>
              <w:lastRenderedPageBreak/>
              <w:t>CCAP</w:t>
            </w:r>
            <w:r w:rsidRPr="00C5333C">
              <w:t xml:space="preserve"> du marché, le Titulaire subira la pénalité journalière ci-contre.</w:t>
            </w:r>
          </w:p>
        </w:tc>
        <w:tc>
          <w:tcPr>
            <w:tcW w:w="3021" w:type="dxa"/>
          </w:tcPr>
          <w:p w14:paraId="05E06E7C" w14:textId="7AFD67CD" w:rsidR="00DC13F1" w:rsidRDefault="00E60EB3" w:rsidP="002728F0">
            <w:pPr>
              <w:jc w:val="center"/>
            </w:pPr>
            <w:r>
              <w:lastRenderedPageBreak/>
              <w:t>2</w:t>
            </w:r>
            <w:r w:rsidR="00C5333C" w:rsidRPr="00C5333C">
              <w:t xml:space="preserve"> 000 euros hors taxes par jour calendaire de retard</w:t>
            </w:r>
            <w:r w:rsidR="00C5333C" w:rsidRPr="00C5333C">
              <w:rPr>
                <w:strike/>
                <w:color w:val="BF4E14" w:themeColor="accent2" w:themeShade="BF"/>
              </w:rPr>
              <w:t xml:space="preserve"> </w:t>
            </w:r>
          </w:p>
        </w:tc>
      </w:tr>
      <w:tr w:rsidR="00DC13F1" w14:paraId="605E341B" w14:textId="77777777" w:rsidTr="009B002C">
        <w:tc>
          <w:tcPr>
            <w:tcW w:w="562" w:type="dxa"/>
          </w:tcPr>
          <w:p w14:paraId="2B258E62" w14:textId="3D83816F" w:rsidR="00DC13F1" w:rsidRDefault="00C5333C" w:rsidP="002728F0">
            <w:pPr>
              <w:jc w:val="center"/>
            </w:pPr>
            <w:r>
              <w:t>2</w:t>
            </w:r>
            <w:r w:rsidR="00DD2D98">
              <w:t>3</w:t>
            </w:r>
          </w:p>
        </w:tc>
        <w:tc>
          <w:tcPr>
            <w:tcW w:w="5479" w:type="dxa"/>
          </w:tcPr>
          <w:p w14:paraId="4509CED8" w14:textId="63C1F7E0" w:rsidR="00C5333C" w:rsidRPr="00C5333C" w:rsidRDefault="00C5333C" w:rsidP="00BA7477">
            <w:pPr>
              <w:jc w:val="both"/>
              <w:rPr>
                <w:b/>
                <w:bCs/>
              </w:rPr>
            </w:pPr>
            <w:r w:rsidRPr="00C5333C">
              <w:rPr>
                <w:b/>
                <w:bCs/>
              </w:rPr>
              <w:t>Pénalités pour retard sur les opérations préalables à réception des travaux</w:t>
            </w:r>
            <w:r w:rsidR="006C11D3">
              <w:rPr>
                <w:b/>
                <w:bCs/>
              </w:rPr>
              <w:t xml:space="preserve"> ou de mises à disposition de locaux</w:t>
            </w:r>
          </w:p>
          <w:p w14:paraId="5AD41420" w14:textId="4C8F7E79" w:rsidR="00DC13F1" w:rsidRDefault="00C5333C" w:rsidP="00BA7477">
            <w:pPr>
              <w:jc w:val="both"/>
            </w:pPr>
            <w:r w:rsidRPr="00C5333C">
              <w:t>En cas de retard sur les opérations préalables à la réception des travaux</w:t>
            </w:r>
            <w:r w:rsidR="006C11D3">
              <w:t xml:space="preserve"> ou mises à dispositions de locaux</w:t>
            </w:r>
            <w:r w:rsidRPr="00C5333C">
              <w:t xml:space="preserve"> figurant au calendrier détaillé d’exécution des travaux tel que décrit à </w:t>
            </w:r>
            <w:r w:rsidRPr="006C11D3">
              <w:rPr>
                <w:highlight w:val="yellow"/>
              </w:rPr>
              <w:t xml:space="preserve">l’article </w:t>
            </w:r>
            <w:r w:rsidR="006C11D3" w:rsidRPr="006C11D3">
              <w:rPr>
                <w:highlight w:val="yellow"/>
              </w:rPr>
              <w:t>XX</w:t>
            </w:r>
            <w:r w:rsidRPr="006C11D3">
              <w:rPr>
                <w:highlight w:val="yellow"/>
              </w:rPr>
              <w:t xml:space="preserve"> du CCAP</w:t>
            </w:r>
            <w:r w:rsidRPr="00C5333C">
              <w:t xml:space="preserve"> du marché, la pénalité ci-contre sera appliquée sans mise en demeure préalable.</w:t>
            </w:r>
          </w:p>
        </w:tc>
        <w:tc>
          <w:tcPr>
            <w:tcW w:w="3021" w:type="dxa"/>
          </w:tcPr>
          <w:p w14:paraId="1514F741" w14:textId="29C7095B" w:rsidR="00DC13F1" w:rsidRDefault="00C5333C" w:rsidP="002728F0">
            <w:pPr>
              <w:jc w:val="center"/>
            </w:pPr>
            <w:r w:rsidRPr="00C5333C">
              <w:t>1 000 euros hors taxes par jour calendaire de retard</w:t>
            </w:r>
          </w:p>
        </w:tc>
      </w:tr>
      <w:tr w:rsidR="00C5333C" w14:paraId="7B786A1B" w14:textId="77777777" w:rsidTr="009B002C">
        <w:tc>
          <w:tcPr>
            <w:tcW w:w="562" w:type="dxa"/>
          </w:tcPr>
          <w:p w14:paraId="3F16E0B4" w14:textId="73C3138D" w:rsidR="00C5333C" w:rsidRDefault="00C5333C" w:rsidP="002728F0">
            <w:pPr>
              <w:jc w:val="center"/>
            </w:pPr>
            <w:r>
              <w:t>2</w:t>
            </w:r>
            <w:r w:rsidR="00DD2D98">
              <w:t>4</w:t>
            </w:r>
          </w:p>
        </w:tc>
        <w:tc>
          <w:tcPr>
            <w:tcW w:w="5479" w:type="dxa"/>
          </w:tcPr>
          <w:p w14:paraId="516A6A52" w14:textId="4AEB558A" w:rsidR="00C5333C" w:rsidRPr="00C5333C" w:rsidRDefault="00C5333C" w:rsidP="00602348">
            <w:pPr>
              <w:jc w:val="both"/>
              <w:rPr>
                <w:b/>
                <w:bCs/>
              </w:rPr>
            </w:pPr>
            <w:r w:rsidRPr="00C5333C">
              <w:rPr>
                <w:b/>
                <w:bCs/>
              </w:rPr>
              <w:t>Pénalités pour défaut de transmission ou incomplétude du constat d’achèvement des obligations contractuelles</w:t>
            </w:r>
          </w:p>
          <w:p w14:paraId="6BB73D91" w14:textId="015C2A5E" w:rsidR="00C5333C" w:rsidRDefault="00C5333C" w:rsidP="00602348">
            <w:pPr>
              <w:jc w:val="both"/>
            </w:pPr>
            <w:r w:rsidRPr="00C5333C">
              <w:t xml:space="preserve">En cas de défaut de transmission ou incomplétude du constat d’achèvement des obligations contractuelles tel que décrit à </w:t>
            </w:r>
            <w:r w:rsidRPr="00602348">
              <w:rPr>
                <w:highlight w:val="yellow"/>
              </w:rPr>
              <w:t xml:space="preserve">l’article </w:t>
            </w:r>
            <w:r w:rsidR="00602348" w:rsidRPr="00602348">
              <w:rPr>
                <w:highlight w:val="yellow"/>
              </w:rPr>
              <w:t>XX</w:t>
            </w:r>
            <w:r w:rsidRPr="00602348">
              <w:rPr>
                <w:highlight w:val="yellow"/>
              </w:rPr>
              <w:t xml:space="preserve"> du CCAP</w:t>
            </w:r>
            <w:r w:rsidRPr="00C5333C">
              <w:t xml:space="preserve"> du marché, le Titulaire subira la pénalité ci-contre.</w:t>
            </w:r>
          </w:p>
        </w:tc>
        <w:tc>
          <w:tcPr>
            <w:tcW w:w="3021" w:type="dxa"/>
          </w:tcPr>
          <w:p w14:paraId="6FC1DE42" w14:textId="6028E9E4" w:rsidR="00C5333C" w:rsidRDefault="00602348" w:rsidP="002728F0">
            <w:pPr>
              <w:jc w:val="center"/>
            </w:pPr>
            <w:r>
              <w:t>2</w:t>
            </w:r>
            <w:r w:rsidR="00C5333C" w:rsidRPr="00C5333C">
              <w:t xml:space="preserve"> 000 euros hors taxes par jour calendaire de retard</w:t>
            </w:r>
          </w:p>
        </w:tc>
      </w:tr>
      <w:tr w:rsidR="00C5333C" w14:paraId="38275DC3" w14:textId="77777777" w:rsidTr="009B002C">
        <w:tc>
          <w:tcPr>
            <w:tcW w:w="562" w:type="dxa"/>
          </w:tcPr>
          <w:p w14:paraId="76C7BD45" w14:textId="1D2154C7" w:rsidR="00C5333C" w:rsidRDefault="00C5333C" w:rsidP="002728F0">
            <w:pPr>
              <w:jc w:val="center"/>
            </w:pPr>
            <w:r>
              <w:t>2</w:t>
            </w:r>
            <w:r w:rsidR="00DD2D98">
              <w:t>5</w:t>
            </w:r>
          </w:p>
        </w:tc>
        <w:tc>
          <w:tcPr>
            <w:tcW w:w="5479" w:type="dxa"/>
          </w:tcPr>
          <w:p w14:paraId="40B4E299" w14:textId="6BE7E47F" w:rsidR="00C5333C" w:rsidRPr="00C5333C" w:rsidRDefault="00C5333C" w:rsidP="004C7783">
            <w:pPr>
              <w:jc w:val="both"/>
              <w:rPr>
                <w:b/>
                <w:bCs/>
              </w:rPr>
            </w:pPr>
            <w:r w:rsidRPr="00C5333C">
              <w:rPr>
                <w:b/>
                <w:bCs/>
              </w:rPr>
              <w:t xml:space="preserve">Pénalités pour non-respect de la date de réception des </w:t>
            </w:r>
            <w:r w:rsidR="004C7783">
              <w:rPr>
                <w:b/>
                <w:bCs/>
              </w:rPr>
              <w:t>T</w:t>
            </w:r>
            <w:r w:rsidRPr="00C5333C">
              <w:rPr>
                <w:b/>
                <w:bCs/>
              </w:rPr>
              <w:t xml:space="preserve">ravaux </w:t>
            </w:r>
            <w:r w:rsidR="004C7783">
              <w:rPr>
                <w:b/>
                <w:bCs/>
              </w:rPr>
              <w:t xml:space="preserve">d’Aménagement </w:t>
            </w:r>
          </w:p>
          <w:p w14:paraId="56594058" w14:textId="6CE4183D" w:rsidR="00C5333C" w:rsidRPr="008A1C9A" w:rsidRDefault="00C5333C" w:rsidP="004C7783">
            <w:pPr>
              <w:jc w:val="both"/>
              <w:rPr>
                <w:color w:val="000000" w:themeColor="text1"/>
              </w:rPr>
            </w:pPr>
            <w:r w:rsidRPr="00C5333C">
              <w:t xml:space="preserve">En cas de </w:t>
            </w:r>
            <w:r w:rsidRPr="004C7783">
              <w:rPr>
                <w:color w:val="000000" w:themeColor="text1"/>
              </w:rPr>
              <w:t>non-</w:t>
            </w:r>
            <w:r w:rsidR="004C7783" w:rsidRPr="004C7783">
              <w:rPr>
                <w:color w:val="000000" w:themeColor="text1"/>
              </w:rPr>
              <w:t>respect</w:t>
            </w:r>
            <w:r w:rsidRPr="004C7783">
              <w:rPr>
                <w:color w:val="000000" w:themeColor="text1"/>
              </w:rPr>
              <w:t xml:space="preserve"> </w:t>
            </w:r>
            <w:r w:rsidRPr="00C5333C">
              <w:t xml:space="preserve">de la date de réception des </w:t>
            </w:r>
            <w:r w:rsidR="004C7783">
              <w:t>T</w:t>
            </w:r>
            <w:r w:rsidRPr="00C5333C">
              <w:t xml:space="preserve">ravaux </w:t>
            </w:r>
            <w:r w:rsidR="004C7783">
              <w:t>d’Aménagement</w:t>
            </w:r>
            <w:r w:rsidRPr="00C5333C">
              <w:t xml:space="preserve"> figurant au planning enveloppe tel que décrit à </w:t>
            </w:r>
            <w:r w:rsidRPr="004C7783">
              <w:rPr>
                <w:highlight w:val="yellow"/>
              </w:rPr>
              <w:t xml:space="preserve">l’article </w:t>
            </w:r>
            <w:r w:rsidR="004C7783" w:rsidRPr="004C7783">
              <w:rPr>
                <w:highlight w:val="yellow"/>
              </w:rPr>
              <w:t>XX</w:t>
            </w:r>
            <w:r w:rsidRPr="004C7783">
              <w:rPr>
                <w:highlight w:val="yellow"/>
              </w:rPr>
              <w:t xml:space="preserve"> du CCAP</w:t>
            </w:r>
            <w:r w:rsidRPr="00C5333C">
              <w:t xml:space="preserve"> du marché, le </w:t>
            </w:r>
            <w:r w:rsidRPr="008A1C9A">
              <w:rPr>
                <w:color w:val="000000" w:themeColor="text1"/>
              </w:rPr>
              <w:t>Titulaire subira la pénalité ci-contre.</w:t>
            </w:r>
          </w:p>
          <w:p w14:paraId="67B4E79D" w14:textId="421A0139" w:rsidR="00C5333C" w:rsidRDefault="00C5333C" w:rsidP="004C7783">
            <w:pPr>
              <w:jc w:val="both"/>
            </w:pPr>
            <w:r w:rsidRPr="008A1C9A">
              <w:rPr>
                <w:color w:val="000000" w:themeColor="text1"/>
              </w:rPr>
              <w:t xml:space="preserve">Cet article déroge à l’article </w:t>
            </w:r>
            <w:r w:rsidR="008A1C9A" w:rsidRPr="008A1C9A">
              <w:rPr>
                <w:color w:val="000000" w:themeColor="text1"/>
                <w:highlight w:val="yellow"/>
              </w:rPr>
              <w:t>XX</w:t>
            </w:r>
            <w:r w:rsidRPr="008A1C9A">
              <w:rPr>
                <w:color w:val="000000" w:themeColor="text1"/>
                <w:highlight w:val="yellow"/>
              </w:rPr>
              <w:t xml:space="preserve"> du CCAG Travaux</w:t>
            </w:r>
            <w:r w:rsidRPr="008A1C9A">
              <w:rPr>
                <w:color w:val="000000" w:themeColor="text1"/>
              </w:rPr>
              <w:t>.</w:t>
            </w:r>
          </w:p>
        </w:tc>
        <w:tc>
          <w:tcPr>
            <w:tcW w:w="3021" w:type="dxa"/>
          </w:tcPr>
          <w:p w14:paraId="22267370" w14:textId="162053E0" w:rsidR="00C5333C" w:rsidRDefault="007823E2" w:rsidP="002728F0">
            <w:pPr>
              <w:jc w:val="center"/>
            </w:pPr>
            <w:r>
              <w:t>7</w:t>
            </w:r>
            <w:r w:rsidR="00C5333C" w:rsidRPr="00C5333C">
              <w:t xml:space="preserve"> 000 euros hors taxes par jour calendaire de retard</w:t>
            </w:r>
          </w:p>
        </w:tc>
      </w:tr>
      <w:tr w:rsidR="00C5333C" w14:paraId="3054292F" w14:textId="77777777" w:rsidTr="009B002C">
        <w:tc>
          <w:tcPr>
            <w:tcW w:w="562" w:type="dxa"/>
          </w:tcPr>
          <w:p w14:paraId="1152150A" w14:textId="7374CF1A" w:rsidR="00C5333C" w:rsidRDefault="00C5333C" w:rsidP="002728F0">
            <w:pPr>
              <w:jc w:val="center"/>
            </w:pPr>
            <w:r>
              <w:t>2</w:t>
            </w:r>
            <w:r w:rsidR="00DD2D98">
              <w:t>6</w:t>
            </w:r>
          </w:p>
        </w:tc>
        <w:tc>
          <w:tcPr>
            <w:tcW w:w="5479" w:type="dxa"/>
          </w:tcPr>
          <w:p w14:paraId="47777D77" w14:textId="5F83625E" w:rsidR="00C5333C" w:rsidRPr="00C5333C" w:rsidRDefault="00C5333C" w:rsidP="00F843F6">
            <w:pPr>
              <w:jc w:val="both"/>
              <w:rPr>
                <w:b/>
                <w:bCs/>
              </w:rPr>
            </w:pPr>
            <w:r w:rsidRPr="00C5333C">
              <w:rPr>
                <w:b/>
                <w:bCs/>
              </w:rPr>
              <w:t>Pénalités pour non-repliement des installations de chantier, enlèvement des déchets de chantier et remise en état des lieux</w:t>
            </w:r>
          </w:p>
          <w:p w14:paraId="14FDEB30" w14:textId="2785F2BB" w:rsidR="00C5333C" w:rsidRDefault="00C5333C" w:rsidP="00F843F6">
            <w:pPr>
              <w:jc w:val="both"/>
            </w:pPr>
            <w:r w:rsidRPr="00C5333C">
              <w:t xml:space="preserve">Le repliement des installations de chantier, l’enlèvement des déchets de chantier et la remise en état des emplacements qui auront été occupés par le chantier sont compris dans le délai d'exécution. En cas de retard, ces opérations seront faites aux frais du Titulaire dans les conditions stipulées à </w:t>
            </w:r>
            <w:r w:rsidRPr="00F843F6">
              <w:rPr>
                <w:highlight w:val="yellow"/>
              </w:rPr>
              <w:t xml:space="preserve">l’Article </w:t>
            </w:r>
            <w:r w:rsidR="00F843F6" w:rsidRPr="00F843F6">
              <w:rPr>
                <w:highlight w:val="yellow"/>
              </w:rPr>
              <w:t>XX</w:t>
            </w:r>
            <w:r w:rsidRPr="00F843F6">
              <w:rPr>
                <w:highlight w:val="yellow"/>
              </w:rPr>
              <w:t xml:space="preserve"> du CCAG Travaux</w:t>
            </w:r>
            <w:r w:rsidRPr="00C5333C">
              <w:t xml:space="preserve">, avec application de la pénalité ci-contre. Ces pénalités seront encourues du simple fait de la constatation du retard par </w:t>
            </w:r>
            <w:r w:rsidR="00F843F6">
              <w:t>la MOE</w:t>
            </w:r>
            <w:r w:rsidRPr="00C5333C">
              <w:t xml:space="preserve"> sans mise en demeure préalable, et ne constituent pas des provisions dans le cas où il serait nécessaire de faire intervenir une entreprise de nettoyage aux frais et risques du </w:t>
            </w:r>
            <w:r w:rsidR="00F843F6">
              <w:t>Titulaire</w:t>
            </w:r>
            <w:r w:rsidRPr="00C5333C">
              <w:t xml:space="preserve">. Cet article déroge à </w:t>
            </w:r>
            <w:r w:rsidRPr="00F843F6">
              <w:rPr>
                <w:highlight w:val="yellow"/>
              </w:rPr>
              <w:t xml:space="preserve">l’article </w:t>
            </w:r>
            <w:r w:rsidR="00F843F6" w:rsidRPr="00F843F6">
              <w:rPr>
                <w:highlight w:val="yellow"/>
              </w:rPr>
              <w:t>XX</w:t>
            </w:r>
            <w:r w:rsidRPr="00F843F6">
              <w:rPr>
                <w:highlight w:val="yellow"/>
              </w:rPr>
              <w:t xml:space="preserve"> du CCAG Travaux</w:t>
            </w:r>
            <w:r w:rsidRPr="00C5333C">
              <w:t>.</w:t>
            </w:r>
          </w:p>
        </w:tc>
        <w:tc>
          <w:tcPr>
            <w:tcW w:w="3021" w:type="dxa"/>
          </w:tcPr>
          <w:p w14:paraId="6C346002" w14:textId="01018749" w:rsidR="00C5333C" w:rsidRDefault="00C5333C" w:rsidP="002728F0">
            <w:pPr>
              <w:jc w:val="center"/>
            </w:pPr>
            <w:r w:rsidRPr="00C5333C">
              <w:t>3 000 euros hors taxes par jour calendaire de retard</w:t>
            </w:r>
          </w:p>
        </w:tc>
      </w:tr>
      <w:tr w:rsidR="00C5333C" w14:paraId="528CA123" w14:textId="77777777" w:rsidTr="009B002C">
        <w:tc>
          <w:tcPr>
            <w:tcW w:w="562" w:type="dxa"/>
          </w:tcPr>
          <w:p w14:paraId="46B41B63" w14:textId="43EDAB37" w:rsidR="00C5333C" w:rsidRDefault="00270962" w:rsidP="002728F0">
            <w:pPr>
              <w:jc w:val="center"/>
            </w:pPr>
            <w:r>
              <w:t>2</w:t>
            </w:r>
            <w:r w:rsidR="00DD2D98">
              <w:t>7</w:t>
            </w:r>
          </w:p>
        </w:tc>
        <w:tc>
          <w:tcPr>
            <w:tcW w:w="5479" w:type="dxa"/>
          </w:tcPr>
          <w:p w14:paraId="3B54CA15" w14:textId="13B1AA24" w:rsidR="002728F0" w:rsidRPr="002728F0" w:rsidRDefault="002728F0" w:rsidP="00B41D06">
            <w:pPr>
              <w:jc w:val="both"/>
              <w:rPr>
                <w:b/>
                <w:bCs/>
              </w:rPr>
            </w:pPr>
            <w:r w:rsidRPr="002728F0">
              <w:rPr>
                <w:b/>
                <w:bCs/>
              </w:rPr>
              <w:t>Pénalités pour retard dans la levée des réserves assorties à la réception</w:t>
            </w:r>
          </w:p>
          <w:p w14:paraId="068B86AD" w14:textId="4679897D" w:rsidR="00C5333C" w:rsidRDefault="002728F0" w:rsidP="00D30313">
            <w:pPr>
              <w:jc w:val="both"/>
            </w:pPr>
            <w:r w:rsidRPr="002728F0">
              <w:t xml:space="preserve">Le Titulaire du </w:t>
            </w:r>
            <w:r w:rsidRPr="00D30313">
              <w:rPr>
                <w:color w:val="000000" w:themeColor="text1"/>
              </w:rPr>
              <w:t>marché a un délai</w:t>
            </w:r>
            <w:r w:rsidRPr="00D30313">
              <w:rPr>
                <w:strike/>
                <w:color w:val="000000" w:themeColor="text1"/>
              </w:rPr>
              <w:t xml:space="preserve"> </w:t>
            </w:r>
            <w:r w:rsidRPr="002728F0">
              <w:t xml:space="preserve">pour lever les réserves mentionnées aux articles </w:t>
            </w:r>
            <w:r w:rsidR="00D30313" w:rsidRPr="00D30313">
              <w:rPr>
                <w:highlight w:val="yellow"/>
              </w:rPr>
              <w:t>XX</w:t>
            </w:r>
            <w:r w:rsidRPr="002728F0">
              <w:t xml:space="preserve"> (prestations prévues non exécutées) et </w:t>
            </w:r>
            <w:r w:rsidR="00D30313" w:rsidRPr="00D30313">
              <w:rPr>
                <w:highlight w:val="yellow"/>
              </w:rPr>
              <w:t>XX</w:t>
            </w:r>
            <w:r w:rsidRPr="002728F0">
              <w:t xml:space="preserve"> (imperfections et malfaçons) du </w:t>
            </w:r>
            <w:r w:rsidRPr="00D30313">
              <w:rPr>
                <w:highlight w:val="yellow"/>
              </w:rPr>
              <w:t>CCAG travaux</w:t>
            </w:r>
            <w:r w:rsidRPr="002728F0">
              <w:t xml:space="preserve">. En cas de dépassement de ce délai, le Titulaire encourt la pénalité </w:t>
            </w:r>
            <w:r w:rsidR="00D30313" w:rsidRPr="002728F0">
              <w:t>ci-contre</w:t>
            </w:r>
            <w:r w:rsidR="00D30313">
              <w:t xml:space="preserve">. </w:t>
            </w:r>
            <w:r w:rsidRPr="002728F0">
              <w:t xml:space="preserve">Ces pénalités seront encourues du simple fait de la constatation du </w:t>
            </w:r>
            <w:r w:rsidRPr="002728F0">
              <w:lastRenderedPageBreak/>
              <w:t xml:space="preserve">retard par </w:t>
            </w:r>
            <w:r w:rsidR="00D30313">
              <w:t>la MOE</w:t>
            </w:r>
            <w:r w:rsidRPr="002728F0">
              <w:t xml:space="preserve">. Cet article déroge à </w:t>
            </w:r>
            <w:r w:rsidRPr="00D30313">
              <w:rPr>
                <w:highlight w:val="yellow"/>
              </w:rPr>
              <w:t xml:space="preserve">l’article </w:t>
            </w:r>
            <w:r w:rsidR="00D30313" w:rsidRPr="00D30313">
              <w:rPr>
                <w:highlight w:val="yellow"/>
              </w:rPr>
              <w:t>XX</w:t>
            </w:r>
            <w:r w:rsidRPr="00D30313">
              <w:rPr>
                <w:highlight w:val="yellow"/>
              </w:rPr>
              <w:t xml:space="preserve"> du CCAG Travaux</w:t>
            </w:r>
            <w:r w:rsidR="00D30313">
              <w:t>.</w:t>
            </w:r>
          </w:p>
        </w:tc>
        <w:tc>
          <w:tcPr>
            <w:tcW w:w="3021" w:type="dxa"/>
          </w:tcPr>
          <w:p w14:paraId="31BA48EE" w14:textId="73645CB6" w:rsidR="00C5333C" w:rsidRDefault="002728F0" w:rsidP="002728F0">
            <w:pPr>
              <w:jc w:val="center"/>
            </w:pPr>
            <w:r w:rsidRPr="00B41D06">
              <w:rPr>
                <w:color w:val="000000" w:themeColor="text1"/>
              </w:rPr>
              <w:lastRenderedPageBreak/>
              <w:t xml:space="preserve">5 000 </w:t>
            </w:r>
            <w:r w:rsidRPr="002728F0">
              <w:t xml:space="preserve">euros hors taxes par jour calendaire de retard </w:t>
            </w:r>
          </w:p>
        </w:tc>
      </w:tr>
      <w:tr w:rsidR="00C5333C" w14:paraId="2B029A95" w14:textId="77777777" w:rsidTr="009B002C">
        <w:tc>
          <w:tcPr>
            <w:tcW w:w="562" w:type="dxa"/>
          </w:tcPr>
          <w:p w14:paraId="780E8AE9" w14:textId="490A8DC8" w:rsidR="00C5333C" w:rsidRDefault="008C49CA" w:rsidP="002728F0">
            <w:pPr>
              <w:jc w:val="center"/>
            </w:pPr>
            <w:r>
              <w:t>2</w:t>
            </w:r>
            <w:r w:rsidR="00EA4100">
              <w:t>8</w:t>
            </w:r>
          </w:p>
        </w:tc>
        <w:tc>
          <w:tcPr>
            <w:tcW w:w="5479" w:type="dxa"/>
          </w:tcPr>
          <w:p w14:paraId="412B7AAD" w14:textId="15E97AE9" w:rsidR="00C5333C" w:rsidRPr="00C5333C" w:rsidRDefault="00C5333C" w:rsidP="001B5512">
            <w:pPr>
              <w:jc w:val="both"/>
              <w:rPr>
                <w:b/>
                <w:bCs/>
              </w:rPr>
            </w:pPr>
            <w:r w:rsidRPr="00C5333C">
              <w:rPr>
                <w:b/>
                <w:bCs/>
              </w:rPr>
              <w:t>Pénalités pour défaut de transmission ou incomplétude du dossier des ouvrages exécutés</w:t>
            </w:r>
          </w:p>
          <w:p w14:paraId="60F40C9F" w14:textId="6924602C" w:rsidR="00C5333C" w:rsidRDefault="00C5333C" w:rsidP="001B5512">
            <w:pPr>
              <w:jc w:val="both"/>
            </w:pPr>
            <w:r w:rsidRPr="00C5333C">
              <w:t xml:space="preserve">En cas de défaut de transmission ou incomplétude du dossier des ouvrages exécutés tel que décrit à </w:t>
            </w:r>
            <w:r w:rsidRPr="001B5512">
              <w:rPr>
                <w:highlight w:val="yellow"/>
              </w:rPr>
              <w:t xml:space="preserve">l’article </w:t>
            </w:r>
            <w:r w:rsidR="001B5512" w:rsidRPr="001B5512">
              <w:rPr>
                <w:highlight w:val="yellow"/>
              </w:rPr>
              <w:t>XX</w:t>
            </w:r>
            <w:r w:rsidRPr="001B5512">
              <w:rPr>
                <w:highlight w:val="yellow"/>
              </w:rPr>
              <w:t xml:space="preserve"> du CCAP</w:t>
            </w:r>
            <w:r w:rsidRPr="00C5333C">
              <w:t xml:space="preserve"> du marché, le Titulaire subira la pénalité ci-contre</w:t>
            </w:r>
          </w:p>
        </w:tc>
        <w:tc>
          <w:tcPr>
            <w:tcW w:w="3021" w:type="dxa"/>
          </w:tcPr>
          <w:p w14:paraId="0D9512E5" w14:textId="50D4F97C" w:rsidR="00C5333C" w:rsidRDefault="00C5333C" w:rsidP="002728F0">
            <w:pPr>
              <w:jc w:val="center"/>
            </w:pPr>
            <w:r w:rsidRPr="00C5333C">
              <w:t xml:space="preserve">5 000 euros hors taxes par jour calendaire de retard dans la transmission du DOE </w:t>
            </w:r>
          </w:p>
        </w:tc>
      </w:tr>
    </w:tbl>
    <w:p w14:paraId="1251D19E" w14:textId="77777777" w:rsidR="00DC13F1" w:rsidRDefault="00DC13F1"/>
    <w:p w14:paraId="262087D7" w14:textId="77777777" w:rsidR="002728F0" w:rsidRDefault="002728F0"/>
    <w:p w14:paraId="55CCF2C9" w14:textId="77777777" w:rsidR="002728F0" w:rsidRDefault="002728F0"/>
    <w:p w14:paraId="16C3315D" w14:textId="7E761401" w:rsidR="002728F0" w:rsidRPr="004E4CCA" w:rsidRDefault="002728F0" w:rsidP="004E4CCA">
      <w:pPr>
        <w:jc w:val="center"/>
        <w:rPr>
          <w:b/>
          <w:bCs/>
          <w:sz w:val="36"/>
          <w:szCs w:val="36"/>
          <w:u w:val="single"/>
        </w:rPr>
      </w:pPr>
      <w:r w:rsidRPr="004E4CCA">
        <w:rPr>
          <w:b/>
          <w:bCs/>
          <w:sz w:val="36"/>
          <w:szCs w:val="36"/>
          <w:u w:val="single"/>
        </w:rPr>
        <w:t xml:space="preserve">Pénalités relatives au non-respect des </w:t>
      </w:r>
      <w:r w:rsidR="004E4CCA" w:rsidRPr="004E4CCA">
        <w:rPr>
          <w:b/>
          <w:bCs/>
          <w:sz w:val="36"/>
          <w:szCs w:val="36"/>
          <w:u w:val="single"/>
        </w:rPr>
        <w:t xml:space="preserve">engagements </w:t>
      </w:r>
      <w:r w:rsidRPr="004E4CCA">
        <w:rPr>
          <w:b/>
          <w:bCs/>
          <w:sz w:val="36"/>
          <w:szCs w:val="36"/>
          <w:u w:val="single"/>
        </w:rPr>
        <w:t xml:space="preserve">de performance </w:t>
      </w:r>
    </w:p>
    <w:p w14:paraId="3567FA2F" w14:textId="77777777" w:rsidR="00CA2B66" w:rsidRDefault="00CA2B66" w:rsidP="00C41EBE">
      <w:pPr>
        <w:jc w:val="center"/>
      </w:pPr>
    </w:p>
    <w:tbl>
      <w:tblPr>
        <w:tblW w:w="10650" w:type="dxa"/>
        <w:tblInd w:w="-714" w:type="dxa"/>
        <w:tblLayout w:type="fixed"/>
        <w:tblCellMar>
          <w:left w:w="70" w:type="dxa"/>
          <w:right w:w="70" w:type="dxa"/>
        </w:tblCellMar>
        <w:tblLook w:val="04A0" w:firstRow="1" w:lastRow="0" w:firstColumn="1" w:lastColumn="0" w:noHBand="0" w:noVBand="1"/>
      </w:tblPr>
      <w:tblGrid>
        <w:gridCol w:w="2552"/>
        <w:gridCol w:w="4111"/>
        <w:gridCol w:w="3827"/>
        <w:gridCol w:w="160"/>
      </w:tblGrid>
      <w:tr w:rsidR="00FC7E72" w:rsidRPr="00FC7E72" w14:paraId="4278392F" w14:textId="77777777" w:rsidTr="00FC7E72">
        <w:trPr>
          <w:gridAfter w:val="1"/>
          <w:wAfter w:w="160" w:type="dxa"/>
          <w:trHeight w:val="1200"/>
        </w:trPr>
        <w:tc>
          <w:tcPr>
            <w:tcW w:w="2552" w:type="dxa"/>
            <w:tcBorders>
              <w:top w:val="single" w:sz="4" w:space="0" w:color="auto"/>
              <w:left w:val="single" w:sz="4" w:space="0" w:color="auto"/>
              <w:bottom w:val="single" w:sz="4" w:space="0" w:color="auto"/>
              <w:right w:val="single" w:sz="4" w:space="0" w:color="auto"/>
            </w:tcBorders>
            <w:shd w:val="clear" w:color="000000" w:fill="F2CEEF"/>
            <w:vAlign w:val="center"/>
            <w:hideMark/>
          </w:tcPr>
          <w:p w14:paraId="5309A6F3" w14:textId="77777777" w:rsidR="00FB0D57" w:rsidRPr="00FC7E72" w:rsidRDefault="00FB0D57" w:rsidP="00FC7E72">
            <w:pPr>
              <w:jc w:val="center"/>
              <w:rPr>
                <w:rFonts w:ascii="Aptos Narrow" w:hAnsi="Aptos Narrow"/>
                <w:b/>
                <w:bCs/>
                <w:color w:val="000000"/>
                <w:sz w:val="22"/>
                <w:szCs w:val="22"/>
              </w:rPr>
            </w:pPr>
            <w:r w:rsidRPr="00FC7E72">
              <w:rPr>
                <w:rFonts w:ascii="Aptos Narrow" w:hAnsi="Aptos Narrow"/>
                <w:b/>
                <w:bCs/>
                <w:color w:val="000000"/>
                <w:sz w:val="22"/>
                <w:szCs w:val="22"/>
              </w:rPr>
              <w:t>Thèmes ou sous-thème</w:t>
            </w:r>
          </w:p>
        </w:tc>
        <w:tc>
          <w:tcPr>
            <w:tcW w:w="4111" w:type="dxa"/>
            <w:tcBorders>
              <w:top w:val="single" w:sz="4" w:space="0" w:color="auto"/>
              <w:left w:val="nil"/>
              <w:bottom w:val="single" w:sz="4" w:space="0" w:color="auto"/>
              <w:right w:val="single" w:sz="4" w:space="0" w:color="auto"/>
            </w:tcBorders>
            <w:shd w:val="clear" w:color="000000" w:fill="F2CEEF"/>
            <w:vAlign w:val="center"/>
            <w:hideMark/>
          </w:tcPr>
          <w:p w14:paraId="34569F4E" w14:textId="77777777" w:rsidR="00FB0D57" w:rsidRPr="00FC7E72" w:rsidRDefault="00FB0D57" w:rsidP="00FC7E72">
            <w:pPr>
              <w:jc w:val="center"/>
              <w:rPr>
                <w:rFonts w:ascii="Aptos Narrow" w:hAnsi="Aptos Narrow"/>
                <w:b/>
                <w:bCs/>
                <w:color w:val="000000"/>
                <w:sz w:val="22"/>
                <w:szCs w:val="22"/>
              </w:rPr>
            </w:pPr>
            <w:r w:rsidRPr="00FC7E72">
              <w:rPr>
                <w:rFonts w:ascii="Aptos Narrow" w:hAnsi="Aptos Narrow"/>
                <w:b/>
                <w:bCs/>
                <w:color w:val="000000"/>
                <w:sz w:val="22"/>
                <w:szCs w:val="22"/>
              </w:rPr>
              <w:t>Désignation et description de la pénalité (correspondant au tableau des engagements de performance)</w:t>
            </w:r>
          </w:p>
        </w:tc>
        <w:tc>
          <w:tcPr>
            <w:tcW w:w="3827" w:type="dxa"/>
            <w:tcBorders>
              <w:top w:val="single" w:sz="4" w:space="0" w:color="auto"/>
              <w:left w:val="nil"/>
              <w:bottom w:val="single" w:sz="4" w:space="0" w:color="auto"/>
              <w:right w:val="single" w:sz="4" w:space="0" w:color="auto"/>
            </w:tcBorders>
            <w:shd w:val="clear" w:color="000000" w:fill="F2CEEF"/>
            <w:vAlign w:val="center"/>
            <w:hideMark/>
          </w:tcPr>
          <w:p w14:paraId="7A2A43CE" w14:textId="77777777" w:rsidR="00FB0D57" w:rsidRPr="00FC7E72" w:rsidRDefault="00FB0D57">
            <w:pPr>
              <w:jc w:val="center"/>
              <w:rPr>
                <w:rFonts w:ascii="Aptos Narrow" w:hAnsi="Aptos Narrow"/>
                <w:b/>
                <w:bCs/>
                <w:color w:val="000000"/>
                <w:sz w:val="22"/>
                <w:szCs w:val="22"/>
              </w:rPr>
            </w:pPr>
            <w:r w:rsidRPr="00FC7E72">
              <w:rPr>
                <w:rFonts w:ascii="Aptos Narrow" w:hAnsi="Aptos Narrow"/>
                <w:b/>
                <w:bCs/>
                <w:color w:val="000000"/>
                <w:sz w:val="22"/>
                <w:szCs w:val="22"/>
              </w:rPr>
              <w:t>Pénalité</w:t>
            </w:r>
          </w:p>
        </w:tc>
      </w:tr>
      <w:tr w:rsidR="00FC7E72" w:rsidRPr="00FC7E72" w14:paraId="61229C01" w14:textId="77777777" w:rsidTr="00FB0D57">
        <w:trPr>
          <w:gridAfter w:val="1"/>
          <w:wAfter w:w="160" w:type="dxa"/>
          <w:trHeight w:val="380"/>
        </w:trPr>
        <w:tc>
          <w:tcPr>
            <w:tcW w:w="10490" w:type="dxa"/>
            <w:gridSpan w:val="3"/>
            <w:tcBorders>
              <w:top w:val="single" w:sz="4" w:space="0" w:color="auto"/>
              <w:left w:val="single" w:sz="4" w:space="0" w:color="auto"/>
              <w:bottom w:val="single" w:sz="4" w:space="0" w:color="auto"/>
              <w:right w:val="single" w:sz="4" w:space="0" w:color="auto"/>
            </w:tcBorders>
            <w:shd w:val="clear" w:color="000000" w:fill="C0E6F5"/>
            <w:vAlign w:val="center"/>
            <w:hideMark/>
          </w:tcPr>
          <w:p w14:paraId="1936A9F3" w14:textId="77777777" w:rsidR="00FB0D57" w:rsidRPr="00FC7E72" w:rsidRDefault="00FB0D57">
            <w:pPr>
              <w:jc w:val="center"/>
              <w:rPr>
                <w:rFonts w:ascii="Aptos Narrow" w:hAnsi="Aptos Narrow"/>
                <w:b/>
                <w:bCs/>
                <w:color w:val="000000"/>
                <w:sz w:val="22"/>
                <w:szCs w:val="22"/>
              </w:rPr>
            </w:pPr>
            <w:r w:rsidRPr="00FC7E72">
              <w:rPr>
                <w:rFonts w:ascii="Aptos Narrow" w:hAnsi="Aptos Narrow"/>
                <w:b/>
                <w:bCs/>
                <w:color w:val="000000"/>
                <w:sz w:val="22"/>
                <w:szCs w:val="22"/>
              </w:rPr>
              <w:t>Qualité de la construction</w:t>
            </w:r>
          </w:p>
        </w:tc>
      </w:tr>
      <w:tr w:rsidR="00FC7E72" w:rsidRPr="00FC7E72" w14:paraId="5A78389D" w14:textId="77777777" w:rsidTr="00FC7E72">
        <w:trPr>
          <w:gridAfter w:val="1"/>
          <w:wAfter w:w="160" w:type="dxa"/>
          <w:trHeight w:val="320"/>
        </w:trPr>
        <w:tc>
          <w:tcPr>
            <w:tcW w:w="2552" w:type="dxa"/>
            <w:vMerge w:val="restart"/>
            <w:tcBorders>
              <w:top w:val="nil"/>
              <w:left w:val="single" w:sz="4" w:space="0" w:color="auto"/>
              <w:bottom w:val="single" w:sz="4" w:space="0" w:color="000000"/>
              <w:right w:val="single" w:sz="4" w:space="0" w:color="auto"/>
            </w:tcBorders>
            <w:shd w:val="clear" w:color="auto" w:fill="auto"/>
            <w:vAlign w:val="center"/>
            <w:hideMark/>
          </w:tcPr>
          <w:p w14:paraId="07C7AC35" w14:textId="77777777" w:rsidR="00FB0D57" w:rsidRPr="00FC7E72" w:rsidRDefault="00FB0D57">
            <w:pPr>
              <w:rPr>
                <w:rFonts w:ascii="Aptos Narrow" w:hAnsi="Aptos Narrow"/>
                <w:b/>
                <w:bCs/>
                <w:color w:val="000000"/>
                <w:sz w:val="22"/>
                <w:szCs w:val="22"/>
              </w:rPr>
            </w:pPr>
            <w:r w:rsidRPr="00FC7E72">
              <w:rPr>
                <w:rFonts w:ascii="Aptos Narrow" w:hAnsi="Aptos Narrow"/>
                <w:b/>
                <w:bCs/>
                <w:color w:val="000000"/>
                <w:sz w:val="22"/>
                <w:szCs w:val="22"/>
              </w:rPr>
              <w:t>Impact climatique</w:t>
            </w:r>
          </w:p>
        </w:tc>
        <w:tc>
          <w:tcPr>
            <w:tcW w:w="4111" w:type="dxa"/>
            <w:tcBorders>
              <w:top w:val="nil"/>
              <w:left w:val="nil"/>
              <w:bottom w:val="single" w:sz="4" w:space="0" w:color="auto"/>
              <w:right w:val="single" w:sz="4" w:space="0" w:color="auto"/>
            </w:tcBorders>
            <w:shd w:val="clear" w:color="auto" w:fill="auto"/>
            <w:vAlign w:val="center"/>
            <w:hideMark/>
          </w:tcPr>
          <w:p w14:paraId="12261891" w14:textId="77777777"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Part de matière biosourcée</w:t>
            </w:r>
          </w:p>
        </w:tc>
        <w:tc>
          <w:tcPr>
            <w:tcW w:w="3827" w:type="dxa"/>
            <w:tcBorders>
              <w:top w:val="nil"/>
              <w:left w:val="nil"/>
              <w:bottom w:val="single" w:sz="4" w:space="0" w:color="auto"/>
              <w:right w:val="single" w:sz="4" w:space="0" w:color="auto"/>
            </w:tcBorders>
            <w:shd w:val="clear" w:color="auto" w:fill="auto"/>
            <w:hideMark/>
          </w:tcPr>
          <w:p w14:paraId="5A8925B3" w14:textId="25A79265"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 </w:t>
            </w:r>
            <w:r w:rsidR="00D818CA" w:rsidRPr="00D818CA">
              <w:rPr>
                <w:rFonts w:ascii="Aptos Narrow" w:hAnsi="Aptos Narrow"/>
                <w:color w:val="000000"/>
                <w:sz w:val="22"/>
                <w:szCs w:val="22"/>
              </w:rPr>
              <w:t>€HT par point de % de valorisation en dessous de la cible proposée par le Titulaire</w:t>
            </w:r>
          </w:p>
        </w:tc>
      </w:tr>
      <w:tr w:rsidR="00FC7E72" w:rsidRPr="00FC7E72" w14:paraId="097559C0" w14:textId="77777777" w:rsidTr="00FC7E72">
        <w:trPr>
          <w:gridAfter w:val="1"/>
          <w:wAfter w:w="160" w:type="dxa"/>
          <w:trHeight w:val="320"/>
        </w:trPr>
        <w:tc>
          <w:tcPr>
            <w:tcW w:w="2552" w:type="dxa"/>
            <w:vMerge/>
            <w:tcBorders>
              <w:top w:val="nil"/>
              <w:left w:val="single" w:sz="4" w:space="0" w:color="auto"/>
              <w:bottom w:val="single" w:sz="4" w:space="0" w:color="000000"/>
              <w:right w:val="single" w:sz="4" w:space="0" w:color="auto"/>
            </w:tcBorders>
            <w:vAlign w:val="center"/>
            <w:hideMark/>
          </w:tcPr>
          <w:p w14:paraId="5120D126" w14:textId="77777777" w:rsidR="00FB0D57" w:rsidRPr="00FC7E72" w:rsidRDefault="00FB0D57">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vAlign w:val="center"/>
            <w:hideMark/>
          </w:tcPr>
          <w:p w14:paraId="73049124" w14:textId="77777777"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Performance carbone</w:t>
            </w:r>
          </w:p>
        </w:tc>
        <w:tc>
          <w:tcPr>
            <w:tcW w:w="3827" w:type="dxa"/>
            <w:tcBorders>
              <w:top w:val="nil"/>
              <w:left w:val="nil"/>
              <w:bottom w:val="single" w:sz="4" w:space="0" w:color="auto"/>
              <w:right w:val="single" w:sz="4" w:space="0" w:color="auto"/>
            </w:tcBorders>
            <w:shd w:val="clear" w:color="auto" w:fill="auto"/>
            <w:hideMark/>
          </w:tcPr>
          <w:p w14:paraId="11411954" w14:textId="28A7FB38"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 </w:t>
            </w:r>
            <w:r w:rsidR="00D818CA" w:rsidRPr="00D818CA">
              <w:rPr>
                <w:rFonts w:ascii="Aptos Narrow" w:hAnsi="Aptos Narrow"/>
                <w:color w:val="000000"/>
                <w:sz w:val="22"/>
                <w:szCs w:val="22"/>
              </w:rPr>
              <w:t>€HT par point de % de valorisation en dessous de la cible proposée par le Titulaire</w:t>
            </w:r>
          </w:p>
        </w:tc>
      </w:tr>
      <w:tr w:rsidR="00FC7E72" w:rsidRPr="00FC7E72" w14:paraId="71270A1A" w14:textId="77777777" w:rsidTr="00D454F4">
        <w:trPr>
          <w:gridAfter w:val="1"/>
          <w:wAfter w:w="160" w:type="dxa"/>
          <w:trHeight w:val="128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600D0FF" w14:textId="77777777" w:rsidR="00FB0D57" w:rsidRPr="00FC7E72" w:rsidRDefault="00FB0D57">
            <w:pPr>
              <w:rPr>
                <w:rFonts w:ascii="Aptos Narrow" w:hAnsi="Aptos Narrow"/>
                <w:b/>
                <w:bCs/>
                <w:color w:val="000000"/>
                <w:sz w:val="22"/>
                <w:szCs w:val="22"/>
              </w:rPr>
            </w:pPr>
            <w:r w:rsidRPr="00FC7E72">
              <w:rPr>
                <w:rFonts w:ascii="Aptos Narrow" w:hAnsi="Aptos Narrow"/>
                <w:b/>
                <w:bCs/>
                <w:color w:val="000000"/>
                <w:sz w:val="22"/>
                <w:szCs w:val="22"/>
              </w:rPr>
              <w:t>Valorisation des déchets</w:t>
            </w:r>
          </w:p>
        </w:tc>
        <w:tc>
          <w:tcPr>
            <w:tcW w:w="4111" w:type="dxa"/>
            <w:tcBorders>
              <w:top w:val="nil"/>
              <w:left w:val="nil"/>
              <w:bottom w:val="single" w:sz="4" w:space="0" w:color="auto"/>
              <w:right w:val="single" w:sz="4" w:space="0" w:color="auto"/>
            </w:tcBorders>
            <w:shd w:val="clear" w:color="auto" w:fill="auto"/>
            <w:vAlign w:val="center"/>
            <w:hideMark/>
          </w:tcPr>
          <w:p w14:paraId="185EB3F6" w14:textId="77777777"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Taux de valorisation matière des déchets de chantier (en masse, y compris démolition)</w:t>
            </w:r>
          </w:p>
        </w:tc>
        <w:tc>
          <w:tcPr>
            <w:tcW w:w="3827" w:type="dxa"/>
            <w:tcBorders>
              <w:top w:val="nil"/>
              <w:left w:val="nil"/>
              <w:bottom w:val="single" w:sz="4" w:space="0" w:color="auto"/>
              <w:right w:val="single" w:sz="4" w:space="0" w:color="auto"/>
            </w:tcBorders>
            <w:shd w:val="clear" w:color="auto" w:fill="auto"/>
            <w:hideMark/>
          </w:tcPr>
          <w:p w14:paraId="042A9872" w14:textId="4F5D549B" w:rsidR="00FB0D57" w:rsidRPr="00FC7E72" w:rsidRDefault="00FB0D57">
            <w:pPr>
              <w:rPr>
                <w:rFonts w:ascii="Aptos Narrow" w:hAnsi="Aptos Narrow"/>
                <w:color w:val="000000"/>
                <w:sz w:val="22"/>
                <w:szCs w:val="22"/>
              </w:rPr>
            </w:pPr>
            <w:r w:rsidRPr="00FC7E72">
              <w:rPr>
                <w:rFonts w:ascii="Aptos Narrow" w:hAnsi="Aptos Narrow"/>
                <w:color w:val="000000"/>
                <w:sz w:val="22"/>
                <w:szCs w:val="22"/>
              </w:rPr>
              <w:t> </w:t>
            </w:r>
            <w:r w:rsidR="003C7701" w:rsidRPr="003C7701">
              <w:rPr>
                <w:rFonts w:ascii="Aptos Narrow" w:hAnsi="Aptos Narrow"/>
                <w:color w:val="000000"/>
                <w:sz w:val="22"/>
                <w:szCs w:val="22"/>
              </w:rPr>
              <w:t>€HT par point de % de valorisation en dessous de la cible fixée</w:t>
            </w:r>
          </w:p>
        </w:tc>
      </w:tr>
      <w:tr w:rsidR="00D454F4" w:rsidRPr="00FC7E72" w14:paraId="3E95C01E" w14:textId="77777777" w:rsidTr="00D454F4">
        <w:trPr>
          <w:gridAfter w:val="1"/>
          <w:wAfter w:w="160" w:type="dxa"/>
          <w:trHeight w:val="1840"/>
        </w:trPr>
        <w:tc>
          <w:tcPr>
            <w:tcW w:w="2552" w:type="dxa"/>
            <w:tcBorders>
              <w:top w:val="nil"/>
              <w:left w:val="single" w:sz="4" w:space="0" w:color="auto"/>
              <w:bottom w:val="nil"/>
              <w:right w:val="single" w:sz="4" w:space="0" w:color="auto"/>
            </w:tcBorders>
            <w:shd w:val="clear" w:color="auto" w:fill="auto"/>
            <w:vAlign w:val="center"/>
            <w:hideMark/>
          </w:tcPr>
          <w:p w14:paraId="01BB8C99" w14:textId="77777777" w:rsidR="00D454F4" w:rsidRPr="00FC7E72" w:rsidRDefault="00D454F4">
            <w:pPr>
              <w:jc w:val="center"/>
              <w:rPr>
                <w:rFonts w:ascii="Aptos Narrow" w:hAnsi="Aptos Narrow"/>
                <w:b/>
                <w:bCs/>
                <w:color w:val="000000"/>
                <w:sz w:val="22"/>
                <w:szCs w:val="22"/>
              </w:rPr>
            </w:pPr>
            <w:r w:rsidRPr="00FC7E72">
              <w:rPr>
                <w:rFonts w:ascii="Aptos Narrow" w:hAnsi="Aptos Narrow"/>
                <w:b/>
                <w:bCs/>
                <w:color w:val="000000"/>
                <w:sz w:val="22"/>
                <w:szCs w:val="22"/>
              </w:rPr>
              <w:t>Qualité sanitaire de</w:t>
            </w:r>
            <w:r w:rsidRPr="00FC7E72">
              <w:rPr>
                <w:rFonts w:ascii="Aptos Narrow" w:hAnsi="Aptos Narrow"/>
                <w:b/>
                <w:bCs/>
                <w:color w:val="000000"/>
                <w:sz w:val="22"/>
                <w:szCs w:val="22"/>
              </w:rPr>
              <w:br/>
              <w:t>l'air intérieur</w:t>
            </w:r>
          </w:p>
        </w:tc>
        <w:tc>
          <w:tcPr>
            <w:tcW w:w="4111" w:type="dxa"/>
            <w:tcBorders>
              <w:top w:val="nil"/>
              <w:left w:val="single" w:sz="4" w:space="0" w:color="auto"/>
              <w:bottom w:val="single" w:sz="4" w:space="0" w:color="000000"/>
              <w:right w:val="single" w:sz="4" w:space="0" w:color="auto"/>
            </w:tcBorders>
            <w:shd w:val="clear" w:color="auto" w:fill="auto"/>
            <w:vAlign w:val="center"/>
            <w:hideMark/>
          </w:tcPr>
          <w:p w14:paraId="130D7485" w14:textId="77777777" w:rsidR="00D454F4" w:rsidRPr="00FC7E72" w:rsidRDefault="00D454F4">
            <w:pPr>
              <w:rPr>
                <w:rFonts w:ascii="Aptos Narrow" w:hAnsi="Aptos Narrow"/>
                <w:color w:val="000000"/>
                <w:sz w:val="22"/>
                <w:szCs w:val="22"/>
              </w:rPr>
            </w:pPr>
            <w:r w:rsidRPr="00FC7E72">
              <w:rPr>
                <w:rFonts w:ascii="Aptos Narrow" w:hAnsi="Aptos Narrow"/>
                <w:color w:val="000000"/>
                <w:sz w:val="22"/>
                <w:szCs w:val="22"/>
              </w:rPr>
              <w:t>Niveaux de polluants mesurés à réception dans les locaux à occupation prolongée</w:t>
            </w:r>
          </w:p>
        </w:tc>
        <w:tc>
          <w:tcPr>
            <w:tcW w:w="3827" w:type="dxa"/>
            <w:tcBorders>
              <w:top w:val="single" w:sz="4" w:space="0" w:color="auto"/>
              <w:left w:val="nil"/>
              <w:bottom w:val="single" w:sz="4" w:space="0" w:color="auto"/>
              <w:right w:val="single" w:sz="4" w:space="0" w:color="auto"/>
            </w:tcBorders>
            <w:shd w:val="clear" w:color="auto" w:fill="auto"/>
            <w:hideMark/>
          </w:tcPr>
          <w:p w14:paraId="32FE36A0" w14:textId="498DC2F9" w:rsidR="00D454F4" w:rsidRPr="00FC7E72" w:rsidRDefault="00D454F4">
            <w:pPr>
              <w:rPr>
                <w:rFonts w:ascii="Aptos Narrow" w:hAnsi="Aptos Narrow"/>
                <w:color w:val="000000"/>
                <w:sz w:val="22"/>
                <w:szCs w:val="22"/>
              </w:rPr>
            </w:pPr>
            <w:r w:rsidRPr="00FC7E72">
              <w:rPr>
                <w:rFonts w:ascii="Aptos Narrow" w:hAnsi="Aptos Narrow"/>
                <w:color w:val="000000"/>
                <w:sz w:val="22"/>
                <w:szCs w:val="22"/>
              </w:rPr>
              <w:t> </w:t>
            </w:r>
          </w:p>
          <w:p w14:paraId="5D825C15" w14:textId="71A263E5" w:rsidR="00D454F4" w:rsidRPr="00FC7E72" w:rsidRDefault="00D454F4">
            <w:pPr>
              <w:rPr>
                <w:rFonts w:ascii="Aptos Narrow" w:hAnsi="Aptos Narrow"/>
                <w:color w:val="000000"/>
                <w:sz w:val="22"/>
                <w:szCs w:val="22"/>
              </w:rPr>
            </w:pPr>
            <w:r w:rsidRPr="00FC7E72">
              <w:rPr>
                <w:rFonts w:ascii="Aptos Narrow" w:hAnsi="Aptos Narrow"/>
                <w:color w:val="000000"/>
                <w:sz w:val="22"/>
                <w:szCs w:val="22"/>
              </w:rPr>
              <w:t> </w:t>
            </w:r>
            <w:r w:rsidRPr="00D454F4">
              <w:rPr>
                <w:rFonts w:ascii="Aptos Narrow" w:hAnsi="Aptos Narrow"/>
                <w:color w:val="000000"/>
                <w:sz w:val="22"/>
                <w:szCs w:val="22"/>
              </w:rPr>
              <w:t>Régime de levée des réserves avec application d’une pénalité spécifique de 500€HT par pièce, par polluant et classe non atteinte </w:t>
            </w:r>
          </w:p>
          <w:p w14:paraId="063BC8DF" w14:textId="6D13882A" w:rsidR="00D454F4" w:rsidRPr="00FC7E72" w:rsidRDefault="00D454F4" w:rsidP="000E0E4F">
            <w:pPr>
              <w:rPr>
                <w:rFonts w:ascii="Aptos Narrow" w:hAnsi="Aptos Narrow"/>
                <w:color w:val="000000"/>
                <w:sz w:val="22"/>
                <w:szCs w:val="22"/>
              </w:rPr>
            </w:pPr>
            <w:r w:rsidRPr="00FC7E72">
              <w:rPr>
                <w:rFonts w:ascii="Aptos Narrow" w:hAnsi="Aptos Narrow"/>
                <w:color w:val="000000"/>
                <w:sz w:val="22"/>
                <w:szCs w:val="22"/>
              </w:rPr>
              <w:t> </w:t>
            </w:r>
          </w:p>
        </w:tc>
      </w:tr>
      <w:tr w:rsidR="00D454F4" w:rsidRPr="00FC7E72" w14:paraId="0E643FD2" w14:textId="77777777" w:rsidTr="00D454F4">
        <w:trPr>
          <w:gridAfter w:val="1"/>
          <w:wAfter w:w="160" w:type="dxa"/>
          <w:trHeight w:val="610"/>
        </w:trPr>
        <w:tc>
          <w:tcPr>
            <w:tcW w:w="255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AAF0E2B" w14:textId="77777777" w:rsidR="00D454F4" w:rsidRPr="00FC7E72" w:rsidRDefault="00D454F4">
            <w:pPr>
              <w:rPr>
                <w:rFonts w:ascii="Aptos Narrow" w:hAnsi="Aptos Narrow"/>
                <w:b/>
                <w:bCs/>
                <w:color w:val="000000"/>
                <w:sz w:val="22"/>
                <w:szCs w:val="22"/>
              </w:rPr>
            </w:pPr>
            <w:r w:rsidRPr="00FC7E72">
              <w:rPr>
                <w:rFonts w:ascii="Aptos Narrow" w:hAnsi="Aptos Narrow"/>
                <w:b/>
                <w:bCs/>
                <w:color w:val="000000"/>
                <w:sz w:val="22"/>
                <w:szCs w:val="22"/>
              </w:rPr>
              <w:t>Qualité sanitaire de</w:t>
            </w:r>
            <w:r w:rsidRPr="00FC7E72">
              <w:rPr>
                <w:rFonts w:ascii="Aptos Narrow" w:hAnsi="Aptos Narrow"/>
                <w:b/>
                <w:bCs/>
                <w:color w:val="000000"/>
                <w:sz w:val="22"/>
                <w:szCs w:val="22"/>
              </w:rPr>
              <w:br/>
              <w:t>l'eau</w:t>
            </w:r>
          </w:p>
        </w:tc>
        <w:tc>
          <w:tcPr>
            <w:tcW w:w="4111" w:type="dxa"/>
            <w:tcBorders>
              <w:top w:val="nil"/>
              <w:left w:val="single" w:sz="4" w:space="0" w:color="auto"/>
              <w:bottom w:val="single" w:sz="4" w:space="0" w:color="000000"/>
              <w:right w:val="single" w:sz="4" w:space="0" w:color="auto"/>
            </w:tcBorders>
            <w:shd w:val="clear" w:color="auto" w:fill="auto"/>
            <w:vAlign w:val="center"/>
            <w:hideMark/>
          </w:tcPr>
          <w:p w14:paraId="78BF4536" w14:textId="77777777" w:rsidR="00D454F4" w:rsidRPr="00FC7E72" w:rsidRDefault="00D454F4">
            <w:pPr>
              <w:rPr>
                <w:rFonts w:ascii="Aptos Narrow" w:hAnsi="Aptos Narrow"/>
                <w:color w:val="000000"/>
                <w:sz w:val="22"/>
                <w:szCs w:val="22"/>
              </w:rPr>
            </w:pPr>
            <w:r w:rsidRPr="00FC7E72">
              <w:rPr>
                <w:rFonts w:ascii="Aptos Narrow" w:hAnsi="Aptos Narrow"/>
                <w:color w:val="000000"/>
                <w:sz w:val="22"/>
                <w:szCs w:val="22"/>
              </w:rPr>
              <w:t>Niveaux de polluants mesurés à réception</w:t>
            </w:r>
          </w:p>
        </w:tc>
        <w:tc>
          <w:tcPr>
            <w:tcW w:w="3827" w:type="dxa"/>
            <w:tcBorders>
              <w:top w:val="single" w:sz="4" w:space="0" w:color="auto"/>
              <w:left w:val="nil"/>
              <w:bottom w:val="single" w:sz="4" w:space="0" w:color="auto"/>
              <w:right w:val="single" w:sz="4" w:space="0" w:color="auto"/>
            </w:tcBorders>
            <w:shd w:val="clear" w:color="auto" w:fill="auto"/>
            <w:hideMark/>
          </w:tcPr>
          <w:p w14:paraId="47BE0F2A" w14:textId="77777777" w:rsidR="00D454F4" w:rsidRPr="00FC7E72" w:rsidRDefault="00D454F4">
            <w:pPr>
              <w:rPr>
                <w:rFonts w:ascii="Aptos Narrow" w:hAnsi="Aptos Narrow"/>
                <w:color w:val="000000"/>
                <w:sz w:val="22"/>
                <w:szCs w:val="22"/>
              </w:rPr>
            </w:pPr>
            <w:r w:rsidRPr="00FC7E72">
              <w:rPr>
                <w:rFonts w:ascii="Aptos Narrow" w:hAnsi="Aptos Narrow"/>
                <w:color w:val="000000"/>
                <w:sz w:val="22"/>
                <w:szCs w:val="22"/>
              </w:rPr>
              <w:t> </w:t>
            </w:r>
          </w:p>
          <w:p w14:paraId="5CCF0E4B" w14:textId="1966522E" w:rsidR="00D454F4" w:rsidRPr="00FC7E72" w:rsidRDefault="00D454F4" w:rsidP="001C3A0D">
            <w:pPr>
              <w:rPr>
                <w:rFonts w:ascii="Aptos Narrow" w:hAnsi="Aptos Narrow"/>
                <w:color w:val="000000"/>
                <w:sz w:val="22"/>
                <w:szCs w:val="22"/>
              </w:rPr>
            </w:pPr>
            <w:r w:rsidRPr="00FC7E72">
              <w:rPr>
                <w:rFonts w:ascii="Aptos Narrow" w:hAnsi="Aptos Narrow"/>
                <w:color w:val="000000"/>
                <w:sz w:val="22"/>
                <w:szCs w:val="22"/>
              </w:rPr>
              <w:t> </w:t>
            </w:r>
            <w:r w:rsidR="00FE18D0" w:rsidRPr="00FE18D0">
              <w:rPr>
                <w:rFonts w:ascii="Aptos Narrow" w:hAnsi="Aptos Narrow"/>
                <w:color w:val="000000"/>
                <w:sz w:val="22"/>
                <w:szCs w:val="22"/>
              </w:rPr>
              <w:t>Cf Annexe n°4 du Descriptif technique "Descriptif technique Programmatique Exploitation, Maintenance et Commissionnement"  </w:t>
            </w:r>
          </w:p>
        </w:tc>
      </w:tr>
      <w:tr w:rsidR="007C77B0" w:rsidRPr="00FC7E72" w14:paraId="227418B8" w14:textId="77777777" w:rsidTr="007D239E">
        <w:trPr>
          <w:gridAfter w:val="1"/>
          <w:wAfter w:w="160" w:type="dxa"/>
          <w:trHeight w:val="768"/>
        </w:trPr>
        <w:tc>
          <w:tcPr>
            <w:tcW w:w="2552" w:type="dxa"/>
            <w:vMerge w:val="restart"/>
            <w:tcBorders>
              <w:top w:val="nil"/>
              <w:left w:val="single" w:sz="4" w:space="0" w:color="auto"/>
              <w:bottom w:val="single" w:sz="4" w:space="0" w:color="000000"/>
              <w:right w:val="single" w:sz="4" w:space="0" w:color="auto"/>
            </w:tcBorders>
            <w:shd w:val="clear" w:color="auto" w:fill="auto"/>
            <w:vAlign w:val="center"/>
            <w:hideMark/>
          </w:tcPr>
          <w:p w14:paraId="300730FC"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Confort Acoustique</w:t>
            </w:r>
          </w:p>
        </w:tc>
        <w:tc>
          <w:tcPr>
            <w:tcW w:w="4111" w:type="dxa"/>
            <w:vMerge w:val="restart"/>
            <w:tcBorders>
              <w:top w:val="nil"/>
              <w:left w:val="single" w:sz="4" w:space="0" w:color="auto"/>
              <w:bottom w:val="single" w:sz="4" w:space="0" w:color="000000"/>
              <w:right w:val="single" w:sz="4" w:space="0" w:color="auto"/>
            </w:tcBorders>
            <w:shd w:val="clear" w:color="auto" w:fill="auto"/>
            <w:vAlign w:val="center"/>
            <w:hideMark/>
          </w:tcPr>
          <w:p w14:paraId="1EEEF603"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Niveau de confort acoustique</w:t>
            </w:r>
          </w:p>
        </w:tc>
        <w:tc>
          <w:tcPr>
            <w:tcW w:w="3827" w:type="dxa"/>
            <w:vMerge w:val="restart"/>
            <w:tcBorders>
              <w:top w:val="single" w:sz="4" w:space="0" w:color="auto"/>
              <w:left w:val="nil"/>
              <w:bottom w:val="nil"/>
              <w:right w:val="single" w:sz="4" w:space="0" w:color="auto"/>
            </w:tcBorders>
            <w:shd w:val="clear" w:color="auto" w:fill="auto"/>
            <w:hideMark/>
          </w:tcPr>
          <w:p w14:paraId="506088FC" w14:textId="3E970927" w:rsidR="007C77B0" w:rsidRPr="007C77B0" w:rsidRDefault="007C77B0" w:rsidP="007C77B0">
            <w:pPr>
              <w:rPr>
                <w:rFonts w:ascii="Aptos Narrow" w:hAnsi="Aptos Narrow"/>
                <w:color w:val="000000"/>
                <w:sz w:val="22"/>
                <w:szCs w:val="22"/>
              </w:rPr>
            </w:pPr>
            <w:r w:rsidRPr="007C77B0">
              <w:rPr>
                <w:rFonts w:ascii="Aptos Narrow" w:hAnsi="Aptos Narrow"/>
                <w:color w:val="000000"/>
                <w:sz w:val="22"/>
                <w:szCs w:val="22"/>
              </w:rPr>
              <w:t>Régime de levée des réserves avec application d’une pénalité forfaitaire de 3 000€HT </w:t>
            </w:r>
            <w:r w:rsidRPr="007C77B0">
              <w:rPr>
                <w:rFonts w:ascii="Aptos Narrow" w:hAnsi="Aptos Narrow"/>
                <w:color w:val="000000"/>
                <w:sz w:val="22"/>
                <w:szCs w:val="22"/>
              </w:rPr>
              <w:t>par écart constaté</w:t>
            </w:r>
          </w:p>
        </w:tc>
      </w:tr>
      <w:tr w:rsidR="007C77B0" w:rsidRPr="00FC7E72" w14:paraId="57FCD0AC" w14:textId="77777777" w:rsidTr="007D239E">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3A131385" w14:textId="77777777" w:rsidR="007C77B0" w:rsidRPr="00FC7E72" w:rsidRDefault="007C77B0" w:rsidP="007C77B0">
            <w:pPr>
              <w:rPr>
                <w:rFonts w:ascii="Aptos Narrow" w:hAnsi="Aptos Narrow"/>
                <w:b/>
                <w:bCs/>
                <w:color w:val="000000"/>
                <w:sz w:val="22"/>
                <w:szCs w:val="22"/>
              </w:rPr>
            </w:pPr>
          </w:p>
        </w:tc>
        <w:tc>
          <w:tcPr>
            <w:tcW w:w="4111" w:type="dxa"/>
            <w:vMerge/>
            <w:tcBorders>
              <w:top w:val="nil"/>
              <w:left w:val="single" w:sz="4" w:space="0" w:color="auto"/>
              <w:bottom w:val="single" w:sz="4" w:space="0" w:color="000000"/>
              <w:right w:val="single" w:sz="4" w:space="0" w:color="auto"/>
            </w:tcBorders>
            <w:vAlign w:val="center"/>
            <w:hideMark/>
          </w:tcPr>
          <w:p w14:paraId="08E0A6C4" w14:textId="77777777" w:rsidR="007C77B0" w:rsidRPr="00FC7E72" w:rsidRDefault="007C77B0" w:rsidP="007C77B0">
            <w:pPr>
              <w:rPr>
                <w:rFonts w:ascii="Aptos Narrow" w:hAnsi="Aptos Narrow"/>
                <w:color w:val="000000"/>
                <w:sz w:val="22"/>
                <w:szCs w:val="22"/>
              </w:rPr>
            </w:pPr>
          </w:p>
        </w:tc>
        <w:tc>
          <w:tcPr>
            <w:tcW w:w="3827" w:type="dxa"/>
            <w:vMerge/>
            <w:tcBorders>
              <w:left w:val="single" w:sz="4" w:space="0" w:color="auto"/>
              <w:right w:val="single" w:sz="4" w:space="0" w:color="auto"/>
            </w:tcBorders>
            <w:vAlign w:val="center"/>
            <w:hideMark/>
          </w:tcPr>
          <w:p w14:paraId="2D6A71B0" w14:textId="3EE4CECD" w:rsidR="007C77B0" w:rsidRPr="00FC7E72" w:rsidRDefault="007C77B0" w:rsidP="007C77B0">
            <w:pPr>
              <w:rPr>
                <w:rFonts w:ascii="Aptos Narrow" w:hAnsi="Aptos Narrow"/>
                <w:color w:val="000000"/>
                <w:sz w:val="22"/>
                <w:szCs w:val="22"/>
              </w:rPr>
            </w:pPr>
          </w:p>
        </w:tc>
        <w:tc>
          <w:tcPr>
            <w:tcW w:w="160" w:type="dxa"/>
            <w:tcBorders>
              <w:top w:val="nil"/>
              <w:left w:val="nil"/>
              <w:bottom w:val="nil"/>
              <w:right w:val="nil"/>
            </w:tcBorders>
            <w:shd w:val="clear" w:color="auto" w:fill="auto"/>
            <w:noWrap/>
            <w:vAlign w:val="bottom"/>
            <w:hideMark/>
          </w:tcPr>
          <w:p w14:paraId="67984786" w14:textId="77777777" w:rsidR="007C77B0" w:rsidRPr="00FC7E72" w:rsidRDefault="007C77B0" w:rsidP="007C77B0">
            <w:pPr>
              <w:rPr>
                <w:rFonts w:ascii="Aptos Narrow" w:hAnsi="Aptos Narrow"/>
                <w:color w:val="000000"/>
                <w:sz w:val="22"/>
                <w:szCs w:val="22"/>
              </w:rPr>
            </w:pPr>
          </w:p>
        </w:tc>
      </w:tr>
      <w:tr w:rsidR="007C77B0" w:rsidRPr="00FC7E72" w14:paraId="2B66233A" w14:textId="77777777" w:rsidTr="00696C66">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18DE2D07" w14:textId="77777777" w:rsidR="007C77B0" w:rsidRPr="00FC7E72" w:rsidRDefault="007C77B0" w:rsidP="007C77B0">
            <w:pPr>
              <w:rPr>
                <w:rFonts w:ascii="Aptos Narrow" w:hAnsi="Aptos Narrow"/>
                <w:b/>
                <w:bCs/>
                <w:color w:val="000000"/>
                <w:sz w:val="22"/>
                <w:szCs w:val="22"/>
              </w:rPr>
            </w:pPr>
          </w:p>
        </w:tc>
        <w:tc>
          <w:tcPr>
            <w:tcW w:w="4111" w:type="dxa"/>
            <w:vMerge/>
            <w:tcBorders>
              <w:top w:val="nil"/>
              <w:left w:val="single" w:sz="4" w:space="0" w:color="auto"/>
              <w:bottom w:val="single" w:sz="4" w:space="0" w:color="auto"/>
              <w:right w:val="single" w:sz="4" w:space="0" w:color="auto"/>
            </w:tcBorders>
            <w:vAlign w:val="center"/>
            <w:hideMark/>
          </w:tcPr>
          <w:p w14:paraId="1E723784" w14:textId="77777777" w:rsidR="007C77B0" w:rsidRPr="00FC7E72" w:rsidRDefault="007C77B0" w:rsidP="007C77B0">
            <w:pPr>
              <w:rPr>
                <w:rFonts w:ascii="Aptos Narrow" w:hAnsi="Aptos Narrow"/>
                <w:color w:val="000000"/>
                <w:sz w:val="22"/>
                <w:szCs w:val="22"/>
              </w:rPr>
            </w:pPr>
          </w:p>
        </w:tc>
        <w:tc>
          <w:tcPr>
            <w:tcW w:w="3827" w:type="dxa"/>
            <w:vMerge/>
            <w:tcBorders>
              <w:left w:val="nil"/>
              <w:bottom w:val="single" w:sz="4" w:space="0" w:color="auto"/>
              <w:right w:val="single" w:sz="4" w:space="0" w:color="auto"/>
            </w:tcBorders>
            <w:shd w:val="clear" w:color="auto" w:fill="auto"/>
            <w:hideMark/>
          </w:tcPr>
          <w:p w14:paraId="1EC891DB" w14:textId="0C2ACF47" w:rsidR="007C77B0" w:rsidRPr="00FC7E72" w:rsidRDefault="007C77B0" w:rsidP="007C77B0">
            <w:pPr>
              <w:rPr>
                <w:rFonts w:ascii="Aptos Narrow" w:hAnsi="Aptos Narrow"/>
                <w:color w:val="000000"/>
                <w:sz w:val="22"/>
                <w:szCs w:val="22"/>
              </w:rPr>
            </w:pPr>
          </w:p>
        </w:tc>
        <w:tc>
          <w:tcPr>
            <w:tcW w:w="160" w:type="dxa"/>
            <w:vAlign w:val="center"/>
            <w:hideMark/>
          </w:tcPr>
          <w:p w14:paraId="0F903C4E" w14:textId="77777777" w:rsidR="007C77B0" w:rsidRPr="00FC7E72" w:rsidRDefault="007C77B0" w:rsidP="007C77B0">
            <w:pPr>
              <w:rPr>
                <w:sz w:val="22"/>
                <w:szCs w:val="22"/>
              </w:rPr>
            </w:pPr>
          </w:p>
        </w:tc>
      </w:tr>
      <w:tr w:rsidR="00696C66" w:rsidRPr="00FC7E72" w14:paraId="62571049" w14:textId="77777777" w:rsidTr="00696C66">
        <w:trPr>
          <w:trHeight w:val="300"/>
        </w:trPr>
        <w:tc>
          <w:tcPr>
            <w:tcW w:w="2552" w:type="dxa"/>
            <w:vMerge w:val="restart"/>
            <w:tcBorders>
              <w:top w:val="nil"/>
              <w:left w:val="single" w:sz="4" w:space="0" w:color="auto"/>
              <w:bottom w:val="single" w:sz="4" w:space="0" w:color="000000"/>
              <w:right w:val="single" w:sz="4" w:space="0" w:color="auto"/>
            </w:tcBorders>
            <w:shd w:val="clear" w:color="auto" w:fill="auto"/>
            <w:vAlign w:val="center"/>
            <w:hideMark/>
          </w:tcPr>
          <w:p w14:paraId="086225F7" w14:textId="77777777" w:rsidR="00696C66" w:rsidRPr="00FC7E72" w:rsidRDefault="00696C66" w:rsidP="007C77B0">
            <w:pPr>
              <w:rPr>
                <w:rFonts w:ascii="Aptos Narrow" w:hAnsi="Aptos Narrow"/>
                <w:b/>
                <w:bCs/>
                <w:color w:val="000000"/>
                <w:sz w:val="22"/>
                <w:szCs w:val="22"/>
              </w:rPr>
            </w:pPr>
            <w:r w:rsidRPr="00FC7E72">
              <w:rPr>
                <w:rFonts w:ascii="Aptos Narrow" w:hAnsi="Aptos Narrow"/>
                <w:b/>
                <w:bCs/>
                <w:color w:val="000000"/>
                <w:sz w:val="22"/>
                <w:szCs w:val="22"/>
              </w:rPr>
              <w:t>Ventilation</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7298E" w14:textId="77777777"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Renouvellement d'air neuf hygiénique</w:t>
            </w:r>
          </w:p>
        </w:tc>
        <w:tc>
          <w:tcPr>
            <w:tcW w:w="3827" w:type="dxa"/>
            <w:vMerge w:val="restart"/>
            <w:tcBorders>
              <w:top w:val="single" w:sz="4" w:space="0" w:color="auto"/>
              <w:left w:val="nil"/>
              <w:bottom w:val="single" w:sz="4" w:space="0" w:color="auto"/>
              <w:right w:val="single" w:sz="4" w:space="0" w:color="auto"/>
            </w:tcBorders>
            <w:shd w:val="clear" w:color="auto" w:fill="auto"/>
            <w:hideMark/>
          </w:tcPr>
          <w:p w14:paraId="21821BA0" w14:textId="77777777"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 </w:t>
            </w:r>
          </w:p>
          <w:p w14:paraId="176A8346" w14:textId="2DBA2B55"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 </w:t>
            </w:r>
            <w:r w:rsidRPr="00696C66">
              <w:rPr>
                <w:rFonts w:ascii="Aptos Narrow" w:hAnsi="Aptos Narrow"/>
                <w:color w:val="000000"/>
                <w:sz w:val="22"/>
                <w:szCs w:val="22"/>
              </w:rPr>
              <w:t>1 000€HT par défaut constaté </w:t>
            </w:r>
          </w:p>
          <w:p w14:paraId="02E2089A" w14:textId="6C3AC61B"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lastRenderedPageBreak/>
              <w:t> </w:t>
            </w:r>
          </w:p>
        </w:tc>
        <w:tc>
          <w:tcPr>
            <w:tcW w:w="160" w:type="dxa"/>
            <w:vAlign w:val="center"/>
            <w:hideMark/>
          </w:tcPr>
          <w:p w14:paraId="3470B185" w14:textId="77777777" w:rsidR="00696C66" w:rsidRPr="00FC7E72" w:rsidRDefault="00696C66" w:rsidP="007C77B0">
            <w:pPr>
              <w:rPr>
                <w:sz w:val="22"/>
                <w:szCs w:val="22"/>
              </w:rPr>
            </w:pPr>
          </w:p>
        </w:tc>
      </w:tr>
      <w:tr w:rsidR="00696C66" w:rsidRPr="00FC7E72" w14:paraId="759F3466" w14:textId="77777777" w:rsidTr="00696C66">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4118B09D" w14:textId="77777777" w:rsidR="00696C66" w:rsidRPr="00FC7E72" w:rsidRDefault="00696C66" w:rsidP="007C77B0">
            <w:pPr>
              <w:rPr>
                <w:rFonts w:ascii="Aptos Narrow" w:hAnsi="Aptos Narrow"/>
                <w:b/>
                <w:bCs/>
                <w:color w:val="000000"/>
                <w:sz w:val="22"/>
                <w:szCs w:val="22"/>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6B3C46AE" w14:textId="77777777" w:rsidR="00696C66" w:rsidRPr="00FC7E72" w:rsidRDefault="00696C66" w:rsidP="007C77B0">
            <w:pPr>
              <w:rPr>
                <w:rFonts w:ascii="Aptos Narrow" w:hAnsi="Aptos Narrow"/>
                <w:color w:val="000000"/>
                <w:sz w:val="22"/>
                <w:szCs w:val="22"/>
              </w:rPr>
            </w:pPr>
          </w:p>
        </w:tc>
        <w:tc>
          <w:tcPr>
            <w:tcW w:w="3827" w:type="dxa"/>
            <w:vMerge/>
            <w:tcBorders>
              <w:top w:val="single" w:sz="4" w:space="0" w:color="auto"/>
              <w:left w:val="nil"/>
              <w:bottom w:val="single" w:sz="4" w:space="0" w:color="auto"/>
              <w:right w:val="single" w:sz="4" w:space="0" w:color="auto"/>
            </w:tcBorders>
            <w:shd w:val="clear" w:color="auto" w:fill="auto"/>
            <w:hideMark/>
          </w:tcPr>
          <w:p w14:paraId="027084A4" w14:textId="4339F53E" w:rsidR="00696C66" w:rsidRPr="00FC7E72" w:rsidRDefault="00696C66" w:rsidP="007C77B0">
            <w:pPr>
              <w:rPr>
                <w:rFonts w:ascii="Aptos Narrow" w:hAnsi="Aptos Narrow"/>
                <w:color w:val="000000"/>
                <w:sz w:val="22"/>
                <w:szCs w:val="22"/>
              </w:rPr>
            </w:pPr>
          </w:p>
        </w:tc>
        <w:tc>
          <w:tcPr>
            <w:tcW w:w="160" w:type="dxa"/>
            <w:vAlign w:val="center"/>
            <w:hideMark/>
          </w:tcPr>
          <w:p w14:paraId="319D2B9F" w14:textId="77777777" w:rsidR="00696C66" w:rsidRPr="00FC7E72" w:rsidRDefault="00696C66" w:rsidP="007C77B0">
            <w:pPr>
              <w:rPr>
                <w:sz w:val="22"/>
                <w:szCs w:val="22"/>
              </w:rPr>
            </w:pPr>
          </w:p>
        </w:tc>
      </w:tr>
      <w:tr w:rsidR="00696C66" w:rsidRPr="00FC7E72" w14:paraId="70E53CF7" w14:textId="77777777" w:rsidTr="00696C66">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77AA2264" w14:textId="77777777" w:rsidR="00696C66" w:rsidRPr="00FC7E72" w:rsidRDefault="00696C66" w:rsidP="007C77B0">
            <w:pPr>
              <w:rPr>
                <w:rFonts w:ascii="Aptos Narrow" w:hAnsi="Aptos Narrow"/>
                <w:b/>
                <w:bCs/>
                <w:color w:val="000000"/>
                <w:sz w:val="22"/>
                <w:szCs w:val="22"/>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54F64166" w14:textId="77777777" w:rsidR="00696C66" w:rsidRPr="00FC7E72" w:rsidRDefault="00696C66" w:rsidP="007C77B0">
            <w:pPr>
              <w:rPr>
                <w:rFonts w:ascii="Aptos Narrow" w:hAnsi="Aptos Narrow"/>
                <w:color w:val="000000"/>
                <w:sz w:val="22"/>
                <w:szCs w:val="22"/>
              </w:rPr>
            </w:pPr>
          </w:p>
        </w:tc>
        <w:tc>
          <w:tcPr>
            <w:tcW w:w="3827" w:type="dxa"/>
            <w:vMerge/>
            <w:tcBorders>
              <w:top w:val="single" w:sz="4" w:space="0" w:color="auto"/>
              <w:left w:val="nil"/>
              <w:bottom w:val="single" w:sz="4" w:space="0" w:color="auto"/>
              <w:right w:val="single" w:sz="4" w:space="0" w:color="auto"/>
            </w:tcBorders>
            <w:shd w:val="clear" w:color="auto" w:fill="auto"/>
            <w:hideMark/>
          </w:tcPr>
          <w:p w14:paraId="0637D5A0" w14:textId="1B7552B1" w:rsidR="00696C66" w:rsidRPr="00FC7E72" w:rsidRDefault="00696C66" w:rsidP="007C77B0">
            <w:pPr>
              <w:rPr>
                <w:rFonts w:ascii="Aptos Narrow" w:hAnsi="Aptos Narrow"/>
                <w:color w:val="000000"/>
                <w:sz w:val="22"/>
                <w:szCs w:val="22"/>
              </w:rPr>
            </w:pPr>
          </w:p>
        </w:tc>
        <w:tc>
          <w:tcPr>
            <w:tcW w:w="160" w:type="dxa"/>
            <w:vAlign w:val="center"/>
            <w:hideMark/>
          </w:tcPr>
          <w:p w14:paraId="270B205C" w14:textId="77777777" w:rsidR="00696C66" w:rsidRPr="00FC7E72" w:rsidRDefault="00696C66" w:rsidP="007C77B0">
            <w:pPr>
              <w:rPr>
                <w:sz w:val="22"/>
                <w:szCs w:val="22"/>
              </w:rPr>
            </w:pPr>
          </w:p>
        </w:tc>
      </w:tr>
      <w:tr w:rsidR="00696C66" w:rsidRPr="00FC7E72" w14:paraId="37FC79E4" w14:textId="77777777" w:rsidTr="00696C66">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2560BDE1" w14:textId="77777777" w:rsidR="00696C66" w:rsidRPr="00FC7E72" w:rsidRDefault="00696C66" w:rsidP="007C77B0">
            <w:pPr>
              <w:rPr>
                <w:rFonts w:ascii="Aptos Narrow" w:hAnsi="Aptos Narrow"/>
                <w:b/>
                <w:bCs/>
                <w:color w:val="000000"/>
                <w:sz w:val="22"/>
                <w:szCs w:val="22"/>
              </w:rPr>
            </w:pP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114AB" w14:textId="77777777"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Vitesse d'air</w:t>
            </w:r>
          </w:p>
        </w:tc>
        <w:tc>
          <w:tcPr>
            <w:tcW w:w="3827" w:type="dxa"/>
            <w:vMerge w:val="restart"/>
            <w:tcBorders>
              <w:top w:val="single" w:sz="4" w:space="0" w:color="auto"/>
              <w:left w:val="nil"/>
              <w:bottom w:val="single" w:sz="4" w:space="0" w:color="auto"/>
              <w:right w:val="single" w:sz="4" w:space="0" w:color="auto"/>
            </w:tcBorders>
            <w:shd w:val="clear" w:color="auto" w:fill="auto"/>
            <w:hideMark/>
          </w:tcPr>
          <w:p w14:paraId="3DE0859F" w14:textId="77777777"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 </w:t>
            </w:r>
          </w:p>
          <w:p w14:paraId="266292E1" w14:textId="76105649" w:rsidR="00696C66"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 </w:t>
            </w:r>
            <w:r w:rsidRPr="00696C66">
              <w:rPr>
                <w:rFonts w:ascii="Aptos Narrow" w:hAnsi="Aptos Narrow"/>
                <w:color w:val="000000"/>
                <w:sz w:val="22"/>
                <w:szCs w:val="22"/>
              </w:rPr>
              <w:t>1 000€HT par défaut constaté </w:t>
            </w:r>
          </w:p>
        </w:tc>
        <w:tc>
          <w:tcPr>
            <w:tcW w:w="160" w:type="dxa"/>
            <w:vAlign w:val="center"/>
            <w:hideMark/>
          </w:tcPr>
          <w:p w14:paraId="2EA98267" w14:textId="77777777" w:rsidR="00696C66" w:rsidRPr="00FC7E72" w:rsidRDefault="00696C66" w:rsidP="007C77B0">
            <w:pPr>
              <w:rPr>
                <w:sz w:val="22"/>
                <w:szCs w:val="22"/>
              </w:rPr>
            </w:pPr>
          </w:p>
        </w:tc>
      </w:tr>
      <w:tr w:rsidR="00696C66" w:rsidRPr="00FC7E72" w14:paraId="417345CD" w14:textId="77777777" w:rsidTr="00696C66">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6BDCFCD0" w14:textId="77777777" w:rsidR="00696C66" w:rsidRPr="00FC7E72" w:rsidRDefault="00696C66" w:rsidP="007C77B0">
            <w:pPr>
              <w:rPr>
                <w:rFonts w:ascii="Aptos Narrow" w:hAnsi="Aptos Narrow"/>
                <w:b/>
                <w:bCs/>
                <w:color w:val="000000"/>
                <w:sz w:val="22"/>
                <w:szCs w:val="22"/>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17DBA15D" w14:textId="77777777" w:rsidR="00696C66" w:rsidRPr="00FC7E72" w:rsidRDefault="00696C66" w:rsidP="007C77B0">
            <w:pPr>
              <w:rPr>
                <w:rFonts w:ascii="Aptos Narrow" w:hAnsi="Aptos Narrow"/>
                <w:color w:val="000000"/>
                <w:sz w:val="22"/>
                <w:szCs w:val="22"/>
              </w:rPr>
            </w:pPr>
          </w:p>
        </w:tc>
        <w:tc>
          <w:tcPr>
            <w:tcW w:w="3827" w:type="dxa"/>
            <w:vMerge/>
            <w:tcBorders>
              <w:top w:val="single" w:sz="4" w:space="0" w:color="auto"/>
              <w:left w:val="nil"/>
              <w:bottom w:val="single" w:sz="4" w:space="0" w:color="auto"/>
              <w:right w:val="single" w:sz="4" w:space="0" w:color="auto"/>
            </w:tcBorders>
            <w:shd w:val="clear" w:color="auto" w:fill="auto"/>
            <w:hideMark/>
          </w:tcPr>
          <w:p w14:paraId="5FCA328B" w14:textId="66A0B22E" w:rsidR="00696C66" w:rsidRPr="00FC7E72" w:rsidRDefault="00696C66" w:rsidP="007C77B0">
            <w:pPr>
              <w:rPr>
                <w:rFonts w:ascii="Aptos Narrow" w:hAnsi="Aptos Narrow"/>
                <w:color w:val="000000"/>
                <w:sz w:val="22"/>
                <w:szCs w:val="22"/>
              </w:rPr>
            </w:pPr>
          </w:p>
        </w:tc>
        <w:tc>
          <w:tcPr>
            <w:tcW w:w="160" w:type="dxa"/>
            <w:vAlign w:val="center"/>
            <w:hideMark/>
          </w:tcPr>
          <w:p w14:paraId="6B01DC74" w14:textId="77777777" w:rsidR="00696C66" w:rsidRPr="00FC7E72" w:rsidRDefault="00696C66" w:rsidP="007C77B0">
            <w:pPr>
              <w:rPr>
                <w:sz w:val="22"/>
                <w:szCs w:val="22"/>
              </w:rPr>
            </w:pPr>
          </w:p>
        </w:tc>
      </w:tr>
      <w:tr w:rsidR="007C77B0" w:rsidRPr="00FC7E72" w14:paraId="038B2883" w14:textId="77777777" w:rsidTr="00696C66">
        <w:trPr>
          <w:trHeight w:val="32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E49A675"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Confort visuel</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6A83C04D" w14:textId="52F25A66" w:rsidR="007C77B0" w:rsidRPr="00FC7E72" w:rsidRDefault="00696C66" w:rsidP="007C77B0">
            <w:pPr>
              <w:rPr>
                <w:rFonts w:ascii="Aptos Narrow" w:hAnsi="Aptos Narrow"/>
                <w:color w:val="000000"/>
                <w:sz w:val="22"/>
                <w:szCs w:val="22"/>
              </w:rPr>
            </w:pPr>
            <w:r w:rsidRPr="00FC7E72">
              <w:rPr>
                <w:rFonts w:ascii="Aptos Narrow" w:hAnsi="Aptos Narrow"/>
                <w:color w:val="000000"/>
                <w:sz w:val="22"/>
                <w:szCs w:val="22"/>
              </w:rPr>
              <w:t>Éclairage</w:t>
            </w:r>
          </w:p>
        </w:tc>
        <w:tc>
          <w:tcPr>
            <w:tcW w:w="3827" w:type="dxa"/>
            <w:tcBorders>
              <w:top w:val="single" w:sz="4" w:space="0" w:color="auto"/>
              <w:left w:val="nil"/>
              <w:bottom w:val="single" w:sz="4" w:space="0" w:color="auto"/>
              <w:right w:val="single" w:sz="4" w:space="0" w:color="auto"/>
            </w:tcBorders>
            <w:shd w:val="clear" w:color="auto" w:fill="auto"/>
            <w:hideMark/>
          </w:tcPr>
          <w:p w14:paraId="5B753618" w14:textId="2E9350CB" w:rsidR="007C77B0" w:rsidRPr="00FC7E72" w:rsidRDefault="00696C66" w:rsidP="007C77B0">
            <w:pPr>
              <w:rPr>
                <w:rFonts w:ascii="Aptos Narrow" w:hAnsi="Aptos Narrow"/>
                <w:color w:val="000000"/>
                <w:sz w:val="22"/>
                <w:szCs w:val="22"/>
              </w:rPr>
            </w:pPr>
            <w:r w:rsidRPr="00696C66">
              <w:rPr>
                <w:rFonts w:ascii="Aptos Narrow" w:hAnsi="Aptos Narrow"/>
                <w:color w:val="000000"/>
                <w:sz w:val="22"/>
                <w:szCs w:val="22"/>
              </w:rPr>
              <w:t>Régime de levée des réserves avec application d’une pénalité forfaitaire de 1 000€HT par défaut constaté</w:t>
            </w:r>
            <w:r w:rsidR="007C77B0" w:rsidRPr="00FC7E72">
              <w:rPr>
                <w:rFonts w:ascii="Aptos Narrow" w:hAnsi="Aptos Narrow"/>
                <w:color w:val="000000"/>
                <w:sz w:val="22"/>
                <w:szCs w:val="22"/>
              </w:rPr>
              <w:t> </w:t>
            </w:r>
          </w:p>
        </w:tc>
        <w:tc>
          <w:tcPr>
            <w:tcW w:w="160" w:type="dxa"/>
            <w:vAlign w:val="center"/>
            <w:hideMark/>
          </w:tcPr>
          <w:p w14:paraId="3AA914AE" w14:textId="77777777" w:rsidR="007C77B0" w:rsidRPr="00FC7E72" w:rsidRDefault="007C77B0" w:rsidP="007C77B0">
            <w:pPr>
              <w:rPr>
                <w:sz w:val="22"/>
                <w:szCs w:val="22"/>
              </w:rPr>
            </w:pPr>
          </w:p>
        </w:tc>
      </w:tr>
      <w:tr w:rsidR="007C77B0" w:rsidRPr="00FC7E72" w14:paraId="37F2A1BD" w14:textId="77777777" w:rsidTr="00FB0D57">
        <w:trPr>
          <w:trHeight w:val="380"/>
        </w:trPr>
        <w:tc>
          <w:tcPr>
            <w:tcW w:w="10490" w:type="dxa"/>
            <w:gridSpan w:val="3"/>
            <w:tcBorders>
              <w:top w:val="single" w:sz="4" w:space="0" w:color="auto"/>
              <w:left w:val="single" w:sz="4" w:space="0" w:color="auto"/>
              <w:bottom w:val="single" w:sz="4" w:space="0" w:color="auto"/>
              <w:right w:val="single" w:sz="4" w:space="0" w:color="auto"/>
            </w:tcBorders>
            <w:shd w:val="clear" w:color="000000" w:fill="C0E6F5"/>
            <w:vAlign w:val="center"/>
            <w:hideMark/>
          </w:tcPr>
          <w:p w14:paraId="0C9DE024" w14:textId="77777777" w:rsidR="007C77B0" w:rsidRPr="00FC7E72" w:rsidRDefault="007C77B0" w:rsidP="007C77B0">
            <w:pPr>
              <w:jc w:val="center"/>
              <w:rPr>
                <w:rFonts w:ascii="Aptos Narrow" w:hAnsi="Aptos Narrow"/>
                <w:b/>
                <w:bCs/>
                <w:color w:val="000000"/>
                <w:sz w:val="22"/>
                <w:szCs w:val="22"/>
              </w:rPr>
            </w:pPr>
            <w:r w:rsidRPr="00FC7E72">
              <w:rPr>
                <w:rFonts w:ascii="Aptos Narrow" w:hAnsi="Aptos Narrow"/>
                <w:b/>
                <w:bCs/>
                <w:color w:val="000000"/>
                <w:sz w:val="22"/>
                <w:szCs w:val="22"/>
              </w:rPr>
              <w:t xml:space="preserve">Performance énergétique </w:t>
            </w:r>
          </w:p>
        </w:tc>
        <w:tc>
          <w:tcPr>
            <w:tcW w:w="160" w:type="dxa"/>
            <w:vAlign w:val="center"/>
            <w:hideMark/>
          </w:tcPr>
          <w:p w14:paraId="1FAC818C" w14:textId="77777777" w:rsidR="007C77B0" w:rsidRPr="00FC7E72" w:rsidRDefault="007C77B0" w:rsidP="007C77B0">
            <w:pPr>
              <w:rPr>
                <w:sz w:val="22"/>
                <w:szCs w:val="22"/>
              </w:rPr>
            </w:pPr>
          </w:p>
        </w:tc>
      </w:tr>
      <w:tr w:rsidR="007C77B0" w:rsidRPr="00FC7E72" w14:paraId="611E40A5" w14:textId="77777777" w:rsidTr="00FC7E72">
        <w:trPr>
          <w:trHeight w:val="320"/>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7233AD3E"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Performance de consommation</w:t>
            </w:r>
          </w:p>
        </w:tc>
        <w:tc>
          <w:tcPr>
            <w:tcW w:w="4111" w:type="dxa"/>
            <w:tcBorders>
              <w:top w:val="nil"/>
              <w:left w:val="nil"/>
              <w:bottom w:val="single" w:sz="4" w:space="0" w:color="auto"/>
              <w:right w:val="single" w:sz="4" w:space="0" w:color="auto"/>
            </w:tcBorders>
            <w:shd w:val="clear" w:color="auto" w:fill="auto"/>
            <w:vAlign w:val="center"/>
            <w:hideMark/>
          </w:tcPr>
          <w:p w14:paraId="438A1EB5"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Engagement énergétique</w:t>
            </w:r>
          </w:p>
        </w:tc>
        <w:tc>
          <w:tcPr>
            <w:tcW w:w="3827" w:type="dxa"/>
            <w:tcBorders>
              <w:top w:val="nil"/>
              <w:left w:val="nil"/>
              <w:bottom w:val="single" w:sz="4" w:space="0" w:color="auto"/>
              <w:right w:val="single" w:sz="4" w:space="0" w:color="auto"/>
            </w:tcBorders>
            <w:shd w:val="clear" w:color="auto" w:fill="auto"/>
            <w:hideMark/>
          </w:tcPr>
          <w:p w14:paraId="24C8D0E9" w14:textId="17AE75C7" w:rsidR="007C77B0" w:rsidRPr="00C27237" w:rsidRDefault="007C77B0" w:rsidP="007C77B0">
            <w:pPr>
              <w:rPr>
                <w:rFonts w:asciiTheme="minorHAnsi" w:hAnsiTheme="minorHAnsi" w:cs="Arial"/>
                <w:sz w:val="22"/>
                <w:szCs w:val="22"/>
              </w:rPr>
            </w:pPr>
            <w:r w:rsidRPr="00C27237">
              <w:rPr>
                <w:rFonts w:asciiTheme="minorHAnsi" w:hAnsiTheme="minorHAnsi" w:cs="Arial"/>
                <w:sz w:val="22"/>
                <w:szCs w:val="22"/>
              </w:rPr>
              <w:t> </w:t>
            </w:r>
            <w:r w:rsidR="00C27237"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4703353D" w14:textId="77777777" w:rsidR="007C77B0" w:rsidRPr="00FC7E72" w:rsidRDefault="007C77B0" w:rsidP="007C77B0">
            <w:pPr>
              <w:rPr>
                <w:sz w:val="22"/>
                <w:szCs w:val="22"/>
              </w:rPr>
            </w:pPr>
          </w:p>
        </w:tc>
      </w:tr>
      <w:tr w:rsidR="007C77B0" w:rsidRPr="00FC7E72" w14:paraId="076A07F3" w14:textId="77777777" w:rsidTr="00FC7E72">
        <w:trPr>
          <w:trHeight w:val="640"/>
        </w:trPr>
        <w:tc>
          <w:tcPr>
            <w:tcW w:w="2552" w:type="dxa"/>
            <w:vMerge/>
            <w:tcBorders>
              <w:top w:val="nil"/>
              <w:left w:val="single" w:sz="4" w:space="0" w:color="auto"/>
              <w:bottom w:val="single" w:sz="4" w:space="0" w:color="auto"/>
              <w:right w:val="single" w:sz="4" w:space="0" w:color="auto"/>
            </w:tcBorders>
            <w:vAlign w:val="center"/>
            <w:hideMark/>
          </w:tcPr>
          <w:p w14:paraId="60A2F1D3"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vAlign w:val="center"/>
            <w:hideMark/>
          </w:tcPr>
          <w:p w14:paraId="66241D77"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Engagement consommation d'eau</w:t>
            </w:r>
          </w:p>
        </w:tc>
        <w:tc>
          <w:tcPr>
            <w:tcW w:w="3827" w:type="dxa"/>
            <w:tcBorders>
              <w:top w:val="nil"/>
              <w:left w:val="nil"/>
              <w:bottom w:val="single" w:sz="4" w:space="0" w:color="auto"/>
              <w:right w:val="single" w:sz="4" w:space="0" w:color="auto"/>
            </w:tcBorders>
            <w:shd w:val="clear" w:color="auto" w:fill="auto"/>
            <w:hideMark/>
          </w:tcPr>
          <w:p w14:paraId="128B5B10" w14:textId="439FC1CA" w:rsidR="007C77B0" w:rsidRPr="00FC7E72" w:rsidRDefault="007C77B0" w:rsidP="007C77B0">
            <w:pPr>
              <w:rPr>
                <w:rFonts w:ascii="Arial" w:hAnsi="Arial" w:cs="Arial"/>
                <w:sz w:val="22"/>
                <w:szCs w:val="22"/>
              </w:rPr>
            </w:pPr>
            <w:r w:rsidRPr="00FC7E72">
              <w:rPr>
                <w:rFonts w:ascii="Arial" w:hAnsi="Arial" w:cs="Arial"/>
                <w:sz w:val="22"/>
                <w:szCs w:val="22"/>
              </w:rPr>
              <w:t> </w:t>
            </w:r>
            <w:r w:rsidR="00C27237" w:rsidRPr="00C27237">
              <w:rPr>
                <w:rFonts w:asciiTheme="minorHAnsi" w:hAnsiTheme="minorHAnsi" w:cs="Arial"/>
                <w:sz w:val="22"/>
                <w:szCs w:val="22"/>
              </w:rPr>
              <w:t> Cf Annexe n°4 du Descriptif technique "Descriptif technique Programmatique Exploitation, Maintenance et Commissionnement"</w:t>
            </w:r>
          </w:p>
        </w:tc>
        <w:tc>
          <w:tcPr>
            <w:tcW w:w="160" w:type="dxa"/>
            <w:vAlign w:val="center"/>
            <w:hideMark/>
          </w:tcPr>
          <w:p w14:paraId="07313FD2" w14:textId="77777777" w:rsidR="007C77B0" w:rsidRPr="00FC7E72" w:rsidRDefault="007C77B0" w:rsidP="007C77B0">
            <w:pPr>
              <w:rPr>
                <w:sz w:val="22"/>
                <w:szCs w:val="22"/>
              </w:rPr>
            </w:pPr>
          </w:p>
        </w:tc>
      </w:tr>
      <w:tr w:rsidR="007C77B0" w:rsidRPr="00FC7E72" w14:paraId="2E41C7F9" w14:textId="77777777" w:rsidTr="00FC7E72">
        <w:trPr>
          <w:trHeight w:val="256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9BFB2A6"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Energie</w:t>
            </w:r>
          </w:p>
        </w:tc>
        <w:tc>
          <w:tcPr>
            <w:tcW w:w="4111" w:type="dxa"/>
            <w:tcBorders>
              <w:top w:val="nil"/>
              <w:left w:val="nil"/>
              <w:bottom w:val="single" w:sz="4" w:space="0" w:color="auto"/>
              <w:right w:val="single" w:sz="4" w:space="0" w:color="auto"/>
            </w:tcBorders>
            <w:shd w:val="clear" w:color="auto" w:fill="auto"/>
            <w:vAlign w:val="center"/>
            <w:hideMark/>
          </w:tcPr>
          <w:p w14:paraId="1A3534B7" w14:textId="25760422" w:rsidR="007C77B0" w:rsidRPr="00FC7E72" w:rsidRDefault="00C27237" w:rsidP="007C77B0">
            <w:pPr>
              <w:rPr>
                <w:rFonts w:ascii="Aptos Narrow" w:hAnsi="Aptos Narrow"/>
                <w:color w:val="000000"/>
                <w:sz w:val="22"/>
                <w:szCs w:val="22"/>
              </w:rPr>
            </w:pPr>
            <w:r w:rsidRPr="00FC7E72">
              <w:rPr>
                <w:rFonts w:ascii="Aptos Narrow" w:hAnsi="Aptos Narrow"/>
                <w:color w:val="000000"/>
                <w:sz w:val="22"/>
                <w:szCs w:val="22"/>
              </w:rPr>
              <w:t>Étanchéité</w:t>
            </w:r>
            <w:r w:rsidR="007C77B0" w:rsidRPr="00FC7E72">
              <w:rPr>
                <w:rFonts w:ascii="Aptos Narrow" w:hAnsi="Aptos Narrow"/>
                <w:color w:val="000000"/>
                <w:sz w:val="22"/>
                <w:szCs w:val="22"/>
              </w:rPr>
              <w:t xml:space="preserve"> à l'air des réseaux sur :</w:t>
            </w:r>
            <w:r w:rsidR="007C77B0" w:rsidRPr="00FC7E72">
              <w:rPr>
                <w:rFonts w:ascii="Aptos Narrow" w:hAnsi="Aptos Narrow"/>
                <w:color w:val="000000"/>
                <w:sz w:val="22"/>
                <w:szCs w:val="22"/>
              </w:rPr>
              <w:br/>
            </w:r>
            <w:proofErr w:type="gramStart"/>
            <w:r w:rsidR="007C77B0" w:rsidRPr="00FC7E72">
              <w:rPr>
                <w:rFonts w:ascii="Aptos Narrow" w:hAnsi="Aptos Narrow"/>
                <w:color w:val="000000"/>
                <w:sz w:val="22"/>
                <w:szCs w:val="22"/>
              </w:rPr>
              <w:t>-  réseaux</w:t>
            </w:r>
            <w:proofErr w:type="gramEnd"/>
            <w:r w:rsidR="007C77B0" w:rsidRPr="00FC7E72">
              <w:rPr>
                <w:rFonts w:ascii="Aptos Narrow" w:hAnsi="Aptos Narrow"/>
                <w:color w:val="000000"/>
                <w:sz w:val="22"/>
                <w:szCs w:val="22"/>
              </w:rPr>
              <w:t xml:space="preserve"> aérauliques raccordés sur réseaux de la VEFA,</w:t>
            </w:r>
            <w:r w:rsidR="007C77B0" w:rsidRPr="00FC7E72">
              <w:rPr>
                <w:rFonts w:ascii="Aptos Narrow" w:hAnsi="Aptos Narrow"/>
                <w:color w:val="000000"/>
                <w:sz w:val="22"/>
                <w:szCs w:val="22"/>
              </w:rPr>
              <w:br/>
              <w:t>- réseaux aérauliques non raccordés sur réseaux de la VEFA,</w:t>
            </w:r>
          </w:p>
        </w:tc>
        <w:tc>
          <w:tcPr>
            <w:tcW w:w="3827" w:type="dxa"/>
            <w:tcBorders>
              <w:top w:val="nil"/>
              <w:left w:val="nil"/>
              <w:bottom w:val="single" w:sz="4" w:space="0" w:color="auto"/>
              <w:right w:val="single" w:sz="4" w:space="0" w:color="auto"/>
            </w:tcBorders>
            <w:shd w:val="clear" w:color="auto" w:fill="auto"/>
            <w:vAlign w:val="center"/>
            <w:hideMark/>
          </w:tcPr>
          <w:p w14:paraId="063422FB" w14:textId="355A7595" w:rsidR="007C77B0" w:rsidRPr="00FC7E72" w:rsidRDefault="007C77B0" w:rsidP="00C27237">
            <w:pPr>
              <w:rPr>
                <w:rFonts w:ascii="Aptos Narrow" w:hAnsi="Aptos Narrow"/>
                <w:color w:val="000000"/>
                <w:sz w:val="22"/>
                <w:szCs w:val="22"/>
              </w:rPr>
            </w:pPr>
            <w:r w:rsidRPr="00FC7E72">
              <w:rPr>
                <w:rFonts w:ascii="Aptos Narrow" w:hAnsi="Aptos Narrow"/>
                <w:color w:val="000000"/>
                <w:sz w:val="22"/>
                <w:szCs w:val="22"/>
              </w:rPr>
              <w:t> </w:t>
            </w:r>
            <w:r w:rsidR="00C27237" w:rsidRPr="00C27237">
              <w:rPr>
                <w:rFonts w:ascii="Aptos Narrow" w:hAnsi="Aptos Narrow"/>
                <w:color w:val="000000"/>
                <w:sz w:val="22"/>
                <w:szCs w:val="22"/>
              </w:rPr>
              <w:t>Régime de levée des réserves avec application d’une pénalité spécifique de 20€HT par mètre linéaire de réseaux dépassant la</w:t>
            </w:r>
            <w:r w:rsidR="00C27237">
              <w:rPr>
                <w:rFonts w:ascii="Aptos Narrow" w:hAnsi="Aptos Narrow"/>
                <w:color w:val="000000"/>
                <w:sz w:val="22"/>
                <w:szCs w:val="22"/>
              </w:rPr>
              <w:t xml:space="preserve"> </w:t>
            </w:r>
            <w:r w:rsidR="00C27237" w:rsidRPr="00C27237">
              <w:rPr>
                <w:rFonts w:ascii="Aptos Narrow" w:hAnsi="Aptos Narrow"/>
                <w:color w:val="000000"/>
                <w:sz w:val="22"/>
                <w:szCs w:val="22"/>
              </w:rPr>
              <w:t>classe d’étanchéité</w:t>
            </w:r>
          </w:p>
        </w:tc>
        <w:tc>
          <w:tcPr>
            <w:tcW w:w="160" w:type="dxa"/>
            <w:vAlign w:val="center"/>
            <w:hideMark/>
          </w:tcPr>
          <w:p w14:paraId="192EAA23" w14:textId="77777777" w:rsidR="007C77B0" w:rsidRPr="00FC7E72" w:rsidRDefault="007C77B0" w:rsidP="007C77B0">
            <w:pPr>
              <w:rPr>
                <w:sz w:val="22"/>
                <w:szCs w:val="22"/>
              </w:rPr>
            </w:pPr>
          </w:p>
        </w:tc>
      </w:tr>
      <w:tr w:rsidR="007C77B0" w:rsidRPr="00FC7E72" w14:paraId="4951BE16" w14:textId="77777777" w:rsidTr="00FB0D57">
        <w:trPr>
          <w:trHeight w:val="380"/>
        </w:trPr>
        <w:tc>
          <w:tcPr>
            <w:tcW w:w="10490" w:type="dxa"/>
            <w:gridSpan w:val="3"/>
            <w:tcBorders>
              <w:top w:val="single" w:sz="4" w:space="0" w:color="auto"/>
              <w:left w:val="single" w:sz="4" w:space="0" w:color="auto"/>
              <w:bottom w:val="single" w:sz="4" w:space="0" w:color="auto"/>
              <w:right w:val="single" w:sz="4" w:space="0" w:color="auto"/>
            </w:tcBorders>
            <w:shd w:val="clear" w:color="000000" w:fill="C0E6F5"/>
            <w:vAlign w:val="center"/>
            <w:hideMark/>
          </w:tcPr>
          <w:p w14:paraId="2CA16B55" w14:textId="77777777" w:rsidR="007C77B0" w:rsidRPr="00FC7E72" w:rsidRDefault="007C77B0" w:rsidP="007C77B0">
            <w:pPr>
              <w:jc w:val="center"/>
              <w:rPr>
                <w:rFonts w:ascii="Aptos Narrow" w:hAnsi="Aptos Narrow"/>
                <w:b/>
                <w:bCs/>
                <w:color w:val="000000"/>
                <w:sz w:val="22"/>
                <w:szCs w:val="22"/>
              </w:rPr>
            </w:pPr>
            <w:r w:rsidRPr="00FC7E72">
              <w:rPr>
                <w:rFonts w:ascii="Aptos Narrow" w:hAnsi="Aptos Narrow"/>
                <w:b/>
                <w:bCs/>
                <w:color w:val="000000"/>
                <w:sz w:val="22"/>
                <w:szCs w:val="22"/>
              </w:rPr>
              <w:t>Performance de mise en œuvre des réaménagements en phase exploitation-maintenance</w:t>
            </w:r>
          </w:p>
        </w:tc>
        <w:tc>
          <w:tcPr>
            <w:tcW w:w="160" w:type="dxa"/>
            <w:vAlign w:val="center"/>
            <w:hideMark/>
          </w:tcPr>
          <w:p w14:paraId="479F677B" w14:textId="77777777" w:rsidR="007C77B0" w:rsidRPr="00FC7E72" w:rsidRDefault="007C77B0" w:rsidP="007C77B0">
            <w:pPr>
              <w:rPr>
                <w:sz w:val="22"/>
                <w:szCs w:val="22"/>
              </w:rPr>
            </w:pPr>
          </w:p>
        </w:tc>
      </w:tr>
      <w:tr w:rsidR="007C77B0" w:rsidRPr="00FC7E72" w14:paraId="293C69DF" w14:textId="77777777" w:rsidTr="00FC7E72">
        <w:trPr>
          <w:trHeight w:val="640"/>
        </w:trPr>
        <w:tc>
          <w:tcPr>
            <w:tcW w:w="2552" w:type="dxa"/>
            <w:vMerge w:val="restart"/>
            <w:tcBorders>
              <w:top w:val="nil"/>
              <w:left w:val="single" w:sz="4" w:space="0" w:color="auto"/>
              <w:bottom w:val="single" w:sz="4" w:space="0" w:color="000000"/>
              <w:right w:val="single" w:sz="4" w:space="0" w:color="auto"/>
            </w:tcBorders>
            <w:shd w:val="clear" w:color="auto" w:fill="auto"/>
            <w:vAlign w:val="center"/>
            <w:hideMark/>
          </w:tcPr>
          <w:p w14:paraId="5FF63B1D"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 xml:space="preserve">Travaux </w:t>
            </w:r>
            <w:proofErr w:type="spellStart"/>
            <w:r w:rsidRPr="00FC7E72">
              <w:rPr>
                <w:rFonts w:ascii="Aptos Narrow" w:hAnsi="Aptos Narrow"/>
                <w:b/>
                <w:bCs/>
                <w:color w:val="000000"/>
                <w:sz w:val="22"/>
                <w:szCs w:val="22"/>
              </w:rPr>
              <w:t>réamménagements</w:t>
            </w:r>
            <w:proofErr w:type="spellEnd"/>
            <w:r w:rsidRPr="00FC7E72">
              <w:rPr>
                <w:rFonts w:ascii="Aptos Narrow" w:hAnsi="Aptos Narrow"/>
                <w:b/>
                <w:bCs/>
                <w:color w:val="000000"/>
                <w:sz w:val="22"/>
                <w:szCs w:val="22"/>
              </w:rPr>
              <w:t xml:space="preserve"> "micro-zoning" en période d'E&amp;M</w:t>
            </w:r>
          </w:p>
        </w:tc>
        <w:tc>
          <w:tcPr>
            <w:tcW w:w="4111" w:type="dxa"/>
            <w:tcBorders>
              <w:top w:val="nil"/>
              <w:left w:val="nil"/>
              <w:bottom w:val="single" w:sz="4" w:space="0" w:color="auto"/>
              <w:right w:val="single" w:sz="4" w:space="0" w:color="auto"/>
            </w:tcBorders>
            <w:shd w:val="clear" w:color="auto" w:fill="auto"/>
            <w:vAlign w:val="center"/>
            <w:hideMark/>
          </w:tcPr>
          <w:p w14:paraId="0446C1AC"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Réactivité de réponse sur la faisabilité technique</w:t>
            </w:r>
          </w:p>
        </w:tc>
        <w:tc>
          <w:tcPr>
            <w:tcW w:w="3827" w:type="dxa"/>
            <w:tcBorders>
              <w:top w:val="nil"/>
              <w:left w:val="nil"/>
              <w:bottom w:val="single" w:sz="4" w:space="0" w:color="auto"/>
              <w:right w:val="single" w:sz="4" w:space="0" w:color="auto"/>
            </w:tcBorders>
            <w:shd w:val="clear" w:color="auto" w:fill="auto"/>
            <w:hideMark/>
          </w:tcPr>
          <w:p w14:paraId="298099CF" w14:textId="56EA17AF" w:rsidR="007C77B0" w:rsidRPr="00FC7E72" w:rsidRDefault="007C77B0" w:rsidP="007C77B0">
            <w:pPr>
              <w:rPr>
                <w:rFonts w:ascii="Arial" w:hAnsi="Arial" w:cs="Arial"/>
                <w:color w:val="000000"/>
                <w:sz w:val="22"/>
                <w:szCs w:val="22"/>
              </w:rPr>
            </w:pPr>
            <w:r w:rsidRPr="00FC7E72">
              <w:rPr>
                <w:rFonts w:ascii="Arial" w:hAnsi="Arial" w:cs="Arial"/>
                <w:color w:val="000000"/>
                <w:sz w:val="22"/>
                <w:szCs w:val="22"/>
              </w:rPr>
              <w:t> </w:t>
            </w:r>
            <w:r w:rsidR="00770DEC"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45996820" w14:textId="77777777" w:rsidR="007C77B0" w:rsidRPr="00FC7E72" w:rsidRDefault="007C77B0" w:rsidP="007C77B0">
            <w:pPr>
              <w:rPr>
                <w:sz w:val="22"/>
                <w:szCs w:val="22"/>
              </w:rPr>
            </w:pPr>
          </w:p>
        </w:tc>
      </w:tr>
      <w:tr w:rsidR="007C77B0" w:rsidRPr="00FC7E72" w14:paraId="756624A9" w14:textId="77777777" w:rsidTr="00FC7E72">
        <w:trPr>
          <w:trHeight w:val="2560"/>
        </w:trPr>
        <w:tc>
          <w:tcPr>
            <w:tcW w:w="2552" w:type="dxa"/>
            <w:vMerge/>
            <w:tcBorders>
              <w:top w:val="nil"/>
              <w:left w:val="single" w:sz="4" w:space="0" w:color="auto"/>
              <w:bottom w:val="single" w:sz="4" w:space="0" w:color="000000"/>
              <w:right w:val="single" w:sz="4" w:space="0" w:color="auto"/>
            </w:tcBorders>
            <w:vAlign w:val="center"/>
            <w:hideMark/>
          </w:tcPr>
          <w:p w14:paraId="0DB6461D"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hideMark/>
          </w:tcPr>
          <w:p w14:paraId="24AC7F8F"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Délais de mise en œuvre des modifications d'implantation de postes de travail, bureau individuel, salles de réunions ou locaux spécifiques "métiers" avec mouvement de cloisons</w:t>
            </w:r>
          </w:p>
        </w:tc>
        <w:tc>
          <w:tcPr>
            <w:tcW w:w="3827" w:type="dxa"/>
            <w:tcBorders>
              <w:top w:val="nil"/>
              <w:left w:val="nil"/>
              <w:bottom w:val="single" w:sz="4" w:space="0" w:color="auto"/>
              <w:right w:val="single" w:sz="4" w:space="0" w:color="auto"/>
            </w:tcBorders>
            <w:shd w:val="clear" w:color="auto" w:fill="auto"/>
            <w:hideMark/>
          </w:tcPr>
          <w:p w14:paraId="08A64D32" w14:textId="6D9B6A24" w:rsidR="007C77B0" w:rsidRPr="00FC7E72" w:rsidRDefault="007C77B0" w:rsidP="007C77B0">
            <w:pPr>
              <w:rPr>
                <w:rFonts w:ascii="Arial" w:hAnsi="Arial" w:cs="Arial"/>
                <w:color w:val="000000"/>
                <w:sz w:val="22"/>
                <w:szCs w:val="22"/>
              </w:rPr>
            </w:pPr>
            <w:r w:rsidRPr="00FC7E72">
              <w:rPr>
                <w:rFonts w:ascii="Arial" w:hAnsi="Arial" w:cs="Arial"/>
                <w:color w:val="000000"/>
                <w:sz w:val="22"/>
                <w:szCs w:val="22"/>
              </w:rPr>
              <w:t> </w:t>
            </w:r>
            <w:r w:rsidR="00770DEC"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6EEC2C23" w14:textId="77777777" w:rsidR="007C77B0" w:rsidRPr="00FC7E72" w:rsidRDefault="007C77B0" w:rsidP="007C77B0">
            <w:pPr>
              <w:rPr>
                <w:sz w:val="22"/>
                <w:szCs w:val="22"/>
              </w:rPr>
            </w:pPr>
          </w:p>
        </w:tc>
      </w:tr>
      <w:tr w:rsidR="007C77B0" w:rsidRPr="00FC7E72" w14:paraId="5BA7C58D" w14:textId="77777777" w:rsidTr="00770DEC">
        <w:trPr>
          <w:trHeight w:val="2560"/>
        </w:trPr>
        <w:tc>
          <w:tcPr>
            <w:tcW w:w="2552" w:type="dxa"/>
            <w:vMerge/>
            <w:tcBorders>
              <w:top w:val="nil"/>
              <w:left w:val="single" w:sz="4" w:space="0" w:color="auto"/>
              <w:bottom w:val="single" w:sz="4" w:space="0" w:color="000000"/>
              <w:right w:val="single" w:sz="4" w:space="0" w:color="auto"/>
            </w:tcBorders>
            <w:vAlign w:val="center"/>
            <w:hideMark/>
          </w:tcPr>
          <w:p w14:paraId="6A996173"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hideMark/>
          </w:tcPr>
          <w:p w14:paraId="193C74F0"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Délais de mise en œuvre des modifications d'implantation de postes de travail, bureau individuel, salles de réunions ou locaux spécifiques "métiers" sans mouvement de cloisons</w:t>
            </w:r>
          </w:p>
        </w:tc>
        <w:tc>
          <w:tcPr>
            <w:tcW w:w="3827" w:type="dxa"/>
            <w:tcBorders>
              <w:top w:val="nil"/>
              <w:left w:val="nil"/>
              <w:bottom w:val="single" w:sz="4" w:space="0" w:color="auto"/>
              <w:right w:val="single" w:sz="4" w:space="0" w:color="auto"/>
            </w:tcBorders>
            <w:shd w:val="clear" w:color="auto" w:fill="auto"/>
            <w:hideMark/>
          </w:tcPr>
          <w:p w14:paraId="3F5ECDD7" w14:textId="3B475C4B" w:rsidR="007C77B0" w:rsidRPr="00FC7E72" w:rsidRDefault="007C77B0" w:rsidP="007C77B0">
            <w:pPr>
              <w:rPr>
                <w:rFonts w:ascii="Arial" w:hAnsi="Arial" w:cs="Arial"/>
                <w:color w:val="000000"/>
                <w:sz w:val="22"/>
                <w:szCs w:val="22"/>
              </w:rPr>
            </w:pPr>
            <w:r w:rsidRPr="00FC7E72">
              <w:rPr>
                <w:rFonts w:ascii="Arial" w:hAnsi="Arial" w:cs="Arial"/>
                <w:color w:val="000000"/>
                <w:sz w:val="22"/>
                <w:szCs w:val="22"/>
              </w:rPr>
              <w:t> </w:t>
            </w:r>
            <w:r w:rsidR="00770DEC"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330B82DA" w14:textId="77777777" w:rsidR="007C77B0" w:rsidRPr="00FC7E72" w:rsidRDefault="007C77B0" w:rsidP="007C77B0">
            <w:pPr>
              <w:rPr>
                <w:sz w:val="22"/>
                <w:szCs w:val="22"/>
              </w:rPr>
            </w:pPr>
          </w:p>
        </w:tc>
      </w:tr>
      <w:tr w:rsidR="007C77B0" w:rsidRPr="00FC7E72" w14:paraId="23D12933" w14:textId="77777777" w:rsidTr="00770DEC">
        <w:trPr>
          <w:trHeight w:val="3840"/>
        </w:trPr>
        <w:tc>
          <w:tcPr>
            <w:tcW w:w="2552" w:type="dxa"/>
            <w:vMerge/>
            <w:tcBorders>
              <w:top w:val="nil"/>
              <w:left w:val="single" w:sz="4" w:space="0" w:color="auto"/>
              <w:bottom w:val="single" w:sz="4" w:space="0" w:color="000000"/>
              <w:right w:val="single" w:sz="4" w:space="0" w:color="auto"/>
            </w:tcBorders>
            <w:vAlign w:val="center"/>
            <w:hideMark/>
          </w:tcPr>
          <w:p w14:paraId="4E52A2B1" w14:textId="77777777" w:rsidR="007C77B0" w:rsidRPr="00FC7E72" w:rsidRDefault="007C77B0" w:rsidP="007C77B0">
            <w:pPr>
              <w:rPr>
                <w:rFonts w:ascii="Aptos Narrow" w:hAnsi="Aptos Narrow"/>
                <w:b/>
                <w:bCs/>
                <w:color w:val="000000"/>
                <w:sz w:val="22"/>
                <w:szCs w:val="22"/>
              </w:rPr>
            </w:pP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53382C6D"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 xml:space="preserve">Délais de mise en œuvre des modifications d'implantation de postes de travail, bureau individuel, salles de réunions ou locaux spécifiques "métiers" nécessitant </w:t>
            </w:r>
            <w:proofErr w:type="gramStart"/>
            <w:r w:rsidRPr="00FC7E72">
              <w:rPr>
                <w:rFonts w:ascii="Aptos Narrow" w:hAnsi="Aptos Narrow"/>
                <w:color w:val="000000"/>
                <w:sz w:val="22"/>
                <w:szCs w:val="22"/>
              </w:rPr>
              <w:t>a</w:t>
            </w:r>
            <w:proofErr w:type="gramEnd"/>
            <w:r w:rsidRPr="00FC7E72">
              <w:rPr>
                <w:rFonts w:ascii="Aptos Narrow" w:hAnsi="Aptos Narrow"/>
                <w:color w:val="000000"/>
                <w:sz w:val="22"/>
                <w:szCs w:val="22"/>
              </w:rPr>
              <w:t xml:space="preserve"> minima de la fourniture de matériels techniques et/ou pose de portes et/ou cloisonnements complémentaires</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D406B" w14:textId="3BAC77B2" w:rsidR="007C77B0" w:rsidRPr="00FC7E72" w:rsidRDefault="007C77B0" w:rsidP="007C77B0">
            <w:pPr>
              <w:rPr>
                <w:rFonts w:ascii="Arial" w:hAnsi="Arial" w:cs="Arial"/>
                <w:color w:val="000000"/>
                <w:sz w:val="22"/>
                <w:szCs w:val="22"/>
              </w:rPr>
            </w:pPr>
            <w:r w:rsidRPr="00FC7E72">
              <w:rPr>
                <w:rFonts w:ascii="Arial" w:hAnsi="Arial" w:cs="Arial"/>
                <w:color w:val="000000"/>
                <w:sz w:val="22"/>
                <w:szCs w:val="22"/>
              </w:rPr>
              <w:t> </w:t>
            </w:r>
            <w:r w:rsidR="00770DEC" w:rsidRPr="00C27237">
              <w:rPr>
                <w:rFonts w:asciiTheme="minorHAnsi" w:hAnsiTheme="minorHAnsi" w:cs="Arial"/>
                <w:sz w:val="22"/>
                <w:szCs w:val="22"/>
              </w:rPr>
              <w:t>Cf Annexe n°4 du Descriptif technique "Descriptif technique Programmatique Exploitation, Maintenance et Commissionnement"</w:t>
            </w:r>
          </w:p>
        </w:tc>
        <w:tc>
          <w:tcPr>
            <w:tcW w:w="160" w:type="dxa"/>
            <w:tcBorders>
              <w:left w:val="single" w:sz="4" w:space="0" w:color="auto"/>
            </w:tcBorders>
            <w:vAlign w:val="center"/>
            <w:hideMark/>
          </w:tcPr>
          <w:p w14:paraId="706D1525" w14:textId="77777777" w:rsidR="007C77B0" w:rsidRPr="00FC7E72" w:rsidRDefault="007C77B0" w:rsidP="007C77B0">
            <w:pPr>
              <w:rPr>
                <w:sz w:val="22"/>
                <w:szCs w:val="22"/>
              </w:rPr>
            </w:pPr>
          </w:p>
        </w:tc>
      </w:tr>
      <w:tr w:rsidR="007C77B0" w:rsidRPr="00FC7E72" w14:paraId="52B30363" w14:textId="77777777" w:rsidTr="00FB0D57">
        <w:trPr>
          <w:trHeight w:val="380"/>
        </w:trPr>
        <w:tc>
          <w:tcPr>
            <w:tcW w:w="10490" w:type="dxa"/>
            <w:gridSpan w:val="3"/>
            <w:tcBorders>
              <w:top w:val="single" w:sz="4" w:space="0" w:color="auto"/>
              <w:left w:val="single" w:sz="4" w:space="0" w:color="auto"/>
              <w:bottom w:val="single" w:sz="4" w:space="0" w:color="auto"/>
              <w:right w:val="single" w:sz="4" w:space="0" w:color="auto"/>
            </w:tcBorders>
            <w:shd w:val="clear" w:color="000000" w:fill="C0E6F5"/>
            <w:vAlign w:val="center"/>
            <w:hideMark/>
          </w:tcPr>
          <w:p w14:paraId="2A264DA4" w14:textId="77777777" w:rsidR="007C77B0" w:rsidRPr="00FC7E72" w:rsidRDefault="007C77B0" w:rsidP="007C77B0">
            <w:pPr>
              <w:jc w:val="center"/>
              <w:rPr>
                <w:rFonts w:ascii="Aptos Narrow" w:hAnsi="Aptos Narrow"/>
                <w:b/>
                <w:bCs/>
                <w:color w:val="000000"/>
                <w:sz w:val="22"/>
                <w:szCs w:val="22"/>
              </w:rPr>
            </w:pPr>
            <w:r w:rsidRPr="00FC7E72">
              <w:rPr>
                <w:rFonts w:ascii="Aptos Narrow" w:hAnsi="Aptos Narrow"/>
                <w:b/>
                <w:bCs/>
                <w:color w:val="000000"/>
                <w:sz w:val="22"/>
                <w:szCs w:val="22"/>
              </w:rPr>
              <w:t>Niveaux de service et de confort</w:t>
            </w:r>
          </w:p>
        </w:tc>
        <w:tc>
          <w:tcPr>
            <w:tcW w:w="160" w:type="dxa"/>
            <w:vAlign w:val="center"/>
            <w:hideMark/>
          </w:tcPr>
          <w:p w14:paraId="1A7D4454" w14:textId="77777777" w:rsidR="007C77B0" w:rsidRPr="00FC7E72" w:rsidRDefault="007C77B0" w:rsidP="007C77B0">
            <w:pPr>
              <w:rPr>
                <w:sz w:val="22"/>
                <w:szCs w:val="22"/>
              </w:rPr>
            </w:pPr>
          </w:p>
        </w:tc>
      </w:tr>
      <w:tr w:rsidR="00287E90" w:rsidRPr="00FC7E72" w14:paraId="5CFE727E" w14:textId="77777777" w:rsidTr="00B17150">
        <w:trPr>
          <w:trHeight w:val="300"/>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3895C1A2" w14:textId="77777777" w:rsidR="00287E90" w:rsidRPr="00FC7E72" w:rsidRDefault="00287E90" w:rsidP="007C77B0">
            <w:pPr>
              <w:rPr>
                <w:rFonts w:ascii="Aptos Narrow" w:hAnsi="Aptos Narrow"/>
                <w:b/>
                <w:bCs/>
                <w:color w:val="000000"/>
                <w:sz w:val="22"/>
                <w:szCs w:val="22"/>
              </w:rPr>
            </w:pPr>
            <w:r w:rsidRPr="00FC7E72">
              <w:rPr>
                <w:rFonts w:ascii="Aptos Narrow" w:hAnsi="Aptos Narrow"/>
                <w:b/>
                <w:bCs/>
                <w:color w:val="000000"/>
                <w:sz w:val="22"/>
                <w:szCs w:val="22"/>
              </w:rPr>
              <w:t>Taux de disponibilité</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14:paraId="6432476E" w14:textId="77777777" w:rsidR="00287E90" w:rsidRPr="00FC7E72" w:rsidRDefault="00287E90" w:rsidP="007C77B0">
            <w:pPr>
              <w:rPr>
                <w:rFonts w:ascii="Aptos Narrow" w:hAnsi="Aptos Narrow"/>
                <w:color w:val="000000"/>
                <w:sz w:val="22"/>
                <w:szCs w:val="22"/>
              </w:rPr>
            </w:pPr>
            <w:r w:rsidRPr="00FC7E72">
              <w:rPr>
                <w:rFonts w:ascii="Aptos Narrow" w:hAnsi="Aptos Narrow"/>
                <w:color w:val="000000"/>
                <w:sz w:val="22"/>
                <w:szCs w:val="22"/>
              </w:rPr>
              <w:t>Température de confort</w:t>
            </w:r>
          </w:p>
        </w:tc>
        <w:tc>
          <w:tcPr>
            <w:tcW w:w="3827" w:type="dxa"/>
            <w:vMerge w:val="restart"/>
            <w:tcBorders>
              <w:top w:val="nil"/>
              <w:left w:val="nil"/>
              <w:right w:val="single" w:sz="4" w:space="0" w:color="auto"/>
            </w:tcBorders>
            <w:shd w:val="clear" w:color="auto" w:fill="auto"/>
            <w:hideMark/>
          </w:tcPr>
          <w:p w14:paraId="0D52A673" w14:textId="77777777" w:rsidR="00287E90" w:rsidRPr="00FC7E72" w:rsidRDefault="00287E90" w:rsidP="007C77B0">
            <w:pPr>
              <w:rPr>
                <w:rFonts w:ascii="Aptos Narrow" w:hAnsi="Aptos Narrow"/>
                <w:color w:val="000000"/>
                <w:sz w:val="22"/>
                <w:szCs w:val="22"/>
              </w:rPr>
            </w:pPr>
            <w:r w:rsidRPr="00FC7E72">
              <w:rPr>
                <w:rFonts w:ascii="Aptos Narrow" w:hAnsi="Aptos Narrow"/>
                <w:color w:val="000000"/>
                <w:sz w:val="22"/>
                <w:szCs w:val="22"/>
              </w:rPr>
              <w:t> </w:t>
            </w:r>
          </w:p>
          <w:p w14:paraId="77EB3028" w14:textId="36C842CC" w:rsidR="00287E90" w:rsidRPr="00FC7E72" w:rsidRDefault="00287E90" w:rsidP="007C77B0">
            <w:pPr>
              <w:rPr>
                <w:rFonts w:ascii="Aptos Narrow" w:hAnsi="Aptos Narrow"/>
                <w:color w:val="000000"/>
                <w:sz w:val="22"/>
                <w:szCs w:val="22"/>
              </w:rPr>
            </w:pPr>
            <w:r w:rsidRPr="00FC7E72">
              <w:rPr>
                <w:rFonts w:ascii="Aptos Narrow" w:hAnsi="Aptos Narrow"/>
                <w:color w:val="000000"/>
                <w:sz w:val="22"/>
                <w:szCs w:val="22"/>
              </w:rPr>
              <w:t> </w:t>
            </w:r>
            <w:r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14A36FA3" w14:textId="77777777" w:rsidR="00287E90" w:rsidRPr="00FC7E72" w:rsidRDefault="00287E90" w:rsidP="007C77B0">
            <w:pPr>
              <w:rPr>
                <w:sz w:val="22"/>
                <w:szCs w:val="22"/>
              </w:rPr>
            </w:pPr>
          </w:p>
        </w:tc>
      </w:tr>
      <w:tr w:rsidR="00287E90" w:rsidRPr="00FC7E72" w14:paraId="5ECCDD5D" w14:textId="77777777" w:rsidTr="00B17150">
        <w:trPr>
          <w:trHeight w:val="300"/>
        </w:trPr>
        <w:tc>
          <w:tcPr>
            <w:tcW w:w="2552" w:type="dxa"/>
            <w:vMerge/>
            <w:tcBorders>
              <w:top w:val="nil"/>
              <w:left w:val="single" w:sz="4" w:space="0" w:color="auto"/>
              <w:bottom w:val="single" w:sz="4" w:space="0" w:color="auto"/>
              <w:right w:val="single" w:sz="4" w:space="0" w:color="auto"/>
            </w:tcBorders>
            <w:vAlign w:val="center"/>
            <w:hideMark/>
          </w:tcPr>
          <w:p w14:paraId="287B210B" w14:textId="77777777" w:rsidR="00287E90" w:rsidRPr="00FC7E72" w:rsidRDefault="00287E90" w:rsidP="007C77B0">
            <w:pPr>
              <w:rPr>
                <w:rFonts w:ascii="Aptos Narrow" w:hAnsi="Aptos Narrow"/>
                <w:b/>
                <w:bCs/>
                <w:color w:val="000000"/>
                <w:sz w:val="22"/>
                <w:szCs w:val="22"/>
              </w:rPr>
            </w:pPr>
          </w:p>
        </w:tc>
        <w:tc>
          <w:tcPr>
            <w:tcW w:w="4111" w:type="dxa"/>
            <w:vMerge/>
            <w:tcBorders>
              <w:top w:val="nil"/>
              <w:left w:val="single" w:sz="4" w:space="0" w:color="auto"/>
              <w:bottom w:val="single" w:sz="4" w:space="0" w:color="auto"/>
              <w:right w:val="single" w:sz="4" w:space="0" w:color="auto"/>
            </w:tcBorders>
            <w:vAlign w:val="center"/>
            <w:hideMark/>
          </w:tcPr>
          <w:p w14:paraId="16AF7199" w14:textId="77777777" w:rsidR="00287E90" w:rsidRPr="00FC7E72" w:rsidRDefault="00287E90" w:rsidP="007C77B0">
            <w:pPr>
              <w:rPr>
                <w:rFonts w:ascii="Aptos Narrow" w:hAnsi="Aptos Narrow"/>
                <w:color w:val="000000"/>
                <w:sz w:val="22"/>
                <w:szCs w:val="22"/>
              </w:rPr>
            </w:pPr>
          </w:p>
        </w:tc>
        <w:tc>
          <w:tcPr>
            <w:tcW w:w="3827" w:type="dxa"/>
            <w:vMerge/>
            <w:tcBorders>
              <w:left w:val="nil"/>
              <w:bottom w:val="single" w:sz="4" w:space="0" w:color="auto"/>
              <w:right w:val="single" w:sz="4" w:space="0" w:color="auto"/>
            </w:tcBorders>
            <w:shd w:val="clear" w:color="auto" w:fill="auto"/>
            <w:hideMark/>
          </w:tcPr>
          <w:p w14:paraId="63A5C2D0" w14:textId="56A4DA2C" w:rsidR="00287E90" w:rsidRPr="00FC7E72" w:rsidRDefault="00287E90" w:rsidP="007C77B0">
            <w:pPr>
              <w:rPr>
                <w:rFonts w:ascii="Aptos Narrow" w:hAnsi="Aptos Narrow"/>
                <w:color w:val="000000"/>
                <w:sz w:val="22"/>
                <w:szCs w:val="22"/>
              </w:rPr>
            </w:pPr>
          </w:p>
        </w:tc>
        <w:tc>
          <w:tcPr>
            <w:tcW w:w="160" w:type="dxa"/>
            <w:vAlign w:val="center"/>
            <w:hideMark/>
          </w:tcPr>
          <w:p w14:paraId="692F834C" w14:textId="77777777" w:rsidR="00287E90" w:rsidRPr="00FC7E72" w:rsidRDefault="00287E90" w:rsidP="007C77B0">
            <w:pPr>
              <w:rPr>
                <w:sz w:val="22"/>
                <w:szCs w:val="22"/>
              </w:rPr>
            </w:pPr>
          </w:p>
        </w:tc>
      </w:tr>
      <w:tr w:rsidR="007C77B0" w:rsidRPr="00FC7E72" w14:paraId="4DB43CCD" w14:textId="77777777" w:rsidTr="00FC7E72">
        <w:trPr>
          <w:trHeight w:val="640"/>
        </w:trPr>
        <w:tc>
          <w:tcPr>
            <w:tcW w:w="2552" w:type="dxa"/>
            <w:vMerge/>
            <w:tcBorders>
              <w:top w:val="nil"/>
              <w:left w:val="single" w:sz="4" w:space="0" w:color="auto"/>
              <w:bottom w:val="single" w:sz="4" w:space="0" w:color="auto"/>
              <w:right w:val="single" w:sz="4" w:space="0" w:color="auto"/>
            </w:tcBorders>
            <w:vAlign w:val="center"/>
            <w:hideMark/>
          </w:tcPr>
          <w:p w14:paraId="7455220E"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vAlign w:val="center"/>
            <w:hideMark/>
          </w:tcPr>
          <w:p w14:paraId="01087B29"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Renouvellement d’air hygiénique</w:t>
            </w:r>
          </w:p>
        </w:tc>
        <w:tc>
          <w:tcPr>
            <w:tcW w:w="3827" w:type="dxa"/>
            <w:tcBorders>
              <w:top w:val="nil"/>
              <w:left w:val="nil"/>
              <w:bottom w:val="single" w:sz="4" w:space="0" w:color="auto"/>
              <w:right w:val="single" w:sz="4" w:space="0" w:color="auto"/>
            </w:tcBorders>
            <w:shd w:val="clear" w:color="auto" w:fill="auto"/>
            <w:hideMark/>
          </w:tcPr>
          <w:p w14:paraId="3D6981FA" w14:textId="5F4C3F0C" w:rsidR="007C77B0" w:rsidRPr="00FC7E72" w:rsidRDefault="007C77B0" w:rsidP="007C77B0">
            <w:pPr>
              <w:rPr>
                <w:rFonts w:ascii="Arial" w:hAnsi="Arial" w:cs="Arial"/>
                <w:color w:val="000000"/>
                <w:sz w:val="22"/>
                <w:szCs w:val="22"/>
              </w:rPr>
            </w:pPr>
            <w:r w:rsidRPr="00FC7E72">
              <w:rPr>
                <w:rFonts w:ascii="Arial" w:hAnsi="Arial" w:cs="Arial"/>
                <w:color w:val="000000"/>
                <w:sz w:val="22"/>
                <w:szCs w:val="22"/>
              </w:rPr>
              <w:t> </w:t>
            </w:r>
            <w:r w:rsidR="007569E9"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13AC2280" w14:textId="77777777" w:rsidR="007C77B0" w:rsidRPr="00FC7E72" w:rsidRDefault="007C77B0" w:rsidP="007C77B0">
            <w:pPr>
              <w:rPr>
                <w:sz w:val="22"/>
                <w:szCs w:val="22"/>
              </w:rPr>
            </w:pPr>
          </w:p>
        </w:tc>
      </w:tr>
      <w:tr w:rsidR="007569E9" w:rsidRPr="00FC7E72" w14:paraId="0393F36D" w14:textId="77777777" w:rsidTr="00616D66">
        <w:trPr>
          <w:trHeight w:val="300"/>
        </w:trPr>
        <w:tc>
          <w:tcPr>
            <w:tcW w:w="2552" w:type="dxa"/>
            <w:vMerge/>
            <w:tcBorders>
              <w:top w:val="nil"/>
              <w:left w:val="single" w:sz="4" w:space="0" w:color="auto"/>
              <w:bottom w:val="single" w:sz="4" w:space="0" w:color="auto"/>
              <w:right w:val="single" w:sz="4" w:space="0" w:color="auto"/>
            </w:tcBorders>
            <w:vAlign w:val="center"/>
            <w:hideMark/>
          </w:tcPr>
          <w:p w14:paraId="168D5613" w14:textId="77777777" w:rsidR="007569E9" w:rsidRPr="00FC7E72" w:rsidRDefault="007569E9" w:rsidP="007C77B0">
            <w:pPr>
              <w:rPr>
                <w:rFonts w:ascii="Aptos Narrow" w:hAnsi="Aptos Narrow"/>
                <w:b/>
                <w:bCs/>
                <w:color w:val="000000"/>
                <w:sz w:val="22"/>
                <w:szCs w:val="22"/>
              </w:rPr>
            </w:pP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14:paraId="472BC2F6" w14:textId="41D270B5" w:rsidR="007569E9" w:rsidRPr="00FC7E72" w:rsidRDefault="007569E9" w:rsidP="007C77B0">
            <w:pPr>
              <w:rPr>
                <w:rFonts w:ascii="Aptos Narrow" w:hAnsi="Aptos Narrow"/>
                <w:color w:val="000000"/>
                <w:sz w:val="22"/>
                <w:szCs w:val="22"/>
              </w:rPr>
            </w:pPr>
            <w:r w:rsidRPr="00FC7E72">
              <w:rPr>
                <w:rFonts w:ascii="Aptos Narrow" w:hAnsi="Aptos Narrow"/>
                <w:color w:val="000000"/>
                <w:sz w:val="22"/>
                <w:szCs w:val="22"/>
              </w:rPr>
              <w:t>Électricité</w:t>
            </w:r>
          </w:p>
        </w:tc>
        <w:tc>
          <w:tcPr>
            <w:tcW w:w="3827" w:type="dxa"/>
            <w:vMerge w:val="restart"/>
            <w:tcBorders>
              <w:top w:val="nil"/>
              <w:left w:val="nil"/>
              <w:right w:val="single" w:sz="4" w:space="0" w:color="auto"/>
            </w:tcBorders>
            <w:shd w:val="clear" w:color="auto" w:fill="auto"/>
            <w:hideMark/>
          </w:tcPr>
          <w:p w14:paraId="74E329B6" w14:textId="637FCCBC" w:rsidR="007569E9" w:rsidRPr="00FC7E72" w:rsidRDefault="007569E9" w:rsidP="007C77B0">
            <w:pPr>
              <w:rPr>
                <w:rFonts w:ascii="Aptos Narrow" w:hAnsi="Aptos Narrow"/>
                <w:color w:val="000000"/>
                <w:sz w:val="22"/>
                <w:szCs w:val="22"/>
              </w:rPr>
            </w:pPr>
            <w:r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49C41CDC" w14:textId="77777777" w:rsidR="007569E9" w:rsidRPr="00FC7E72" w:rsidRDefault="007569E9" w:rsidP="007C77B0">
            <w:pPr>
              <w:rPr>
                <w:sz w:val="22"/>
                <w:szCs w:val="22"/>
              </w:rPr>
            </w:pPr>
          </w:p>
        </w:tc>
      </w:tr>
      <w:tr w:rsidR="007569E9" w:rsidRPr="00FC7E72" w14:paraId="52230571" w14:textId="77777777" w:rsidTr="00616D66">
        <w:trPr>
          <w:trHeight w:val="300"/>
        </w:trPr>
        <w:tc>
          <w:tcPr>
            <w:tcW w:w="2552" w:type="dxa"/>
            <w:vMerge/>
            <w:tcBorders>
              <w:top w:val="nil"/>
              <w:left w:val="single" w:sz="4" w:space="0" w:color="auto"/>
              <w:bottom w:val="single" w:sz="4" w:space="0" w:color="auto"/>
              <w:right w:val="single" w:sz="4" w:space="0" w:color="auto"/>
            </w:tcBorders>
            <w:vAlign w:val="center"/>
            <w:hideMark/>
          </w:tcPr>
          <w:p w14:paraId="5DEE455B" w14:textId="77777777" w:rsidR="007569E9" w:rsidRPr="00FC7E72" w:rsidRDefault="007569E9" w:rsidP="007C77B0">
            <w:pPr>
              <w:rPr>
                <w:rFonts w:ascii="Aptos Narrow" w:hAnsi="Aptos Narrow"/>
                <w:b/>
                <w:bCs/>
                <w:color w:val="000000"/>
                <w:sz w:val="22"/>
                <w:szCs w:val="22"/>
              </w:rPr>
            </w:pPr>
          </w:p>
        </w:tc>
        <w:tc>
          <w:tcPr>
            <w:tcW w:w="4111" w:type="dxa"/>
            <w:vMerge/>
            <w:tcBorders>
              <w:top w:val="nil"/>
              <w:left w:val="single" w:sz="4" w:space="0" w:color="auto"/>
              <w:bottom w:val="single" w:sz="4" w:space="0" w:color="auto"/>
              <w:right w:val="single" w:sz="4" w:space="0" w:color="auto"/>
            </w:tcBorders>
            <w:vAlign w:val="center"/>
            <w:hideMark/>
          </w:tcPr>
          <w:p w14:paraId="18E7AD12" w14:textId="77777777" w:rsidR="007569E9" w:rsidRPr="00FC7E72" w:rsidRDefault="007569E9" w:rsidP="007C77B0">
            <w:pPr>
              <w:rPr>
                <w:rFonts w:ascii="Aptos Narrow" w:hAnsi="Aptos Narrow"/>
                <w:color w:val="000000"/>
                <w:sz w:val="22"/>
                <w:szCs w:val="22"/>
              </w:rPr>
            </w:pPr>
          </w:p>
        </w:tc>
        <w:tc>
          <w:tcPr>
            <w:tcW w:w="3827" w:type="dxa"/>
            <w:vMerge/>
            <w:tcBorders>
              <w:left w:val="nil"/>
              <w:bottom w:val="single" w:sz="4" w:space="0" w:color="auto"/>
              <w:right w:val="single" w:sz="4" w:space="0" w:color="auto"/>
            </w:tcBorders>
            <w:shd w:val="clear" w:color="auto" w:fill="auto"/>
            <w:hideMark/>
          </w:tcPr>
          <w:p w14:paraId="0AE74C6E" w14:textId="79216AE3" w:rsidR="007569E9" w:rsidRPr="00FC7E72" w:rsidRDefault="007569E9" w:rsidP="007C77B0">
            <w:pPr>
              <w:rPr>
                <w:rFonts w:ascii="Aptos Narrow" w:hAnsi="Aptos Narrow"/>
                <w:color w:val="000000"/>
                <w:sz w:val="22"/>
                <w:szCs w:val="22"/>
              </w:rPr>
            </w:pPr>
          </w:p>
        </w:tc>
        <w:tc>
          <w:tcPr>
            <w:tcW w:w="160" w:type="dxa"/>
            <w:vAlign w:val="center"/>
            <w:hideMark/>
          </w:tcPr>
          <w:p w14:paraId="666BD6F9" w14:textId="77777777" w:rsidR="007569E9" w:rsidRPr="00FC7E72" w:rsidRDefault="007569E9" w:rsidP="007C77B0">
            <w:pPr>
              <w:rPr>
                <w:sz w:val="22"/>
                <w:szCs w:val="22"/>
              </w:rPr>
            </w:pPr>
          </w:p>
        </w:tc>
      </w:tr>
      <w:tr w:rsidR="007C77B0" w:rsidRPr="00FC7E72" w14:paraId="3D535DD7" w14:textId="77777777" w:rsidTr="00FC7E72">
        <w:trPr>
          <w:trHeight w:val="1280"/>
        </w:trPr>
        <w:tc>
          <w:tcPr>
            <w:tcW w:w="2552" w:type="dxa"/>
            <w:vMerge/>
            <w:tcBorders>
              <w:top w:val="nil"/>
              <w:left w:val="single" w:sz="4" w:space="0" w:color="auto"/>
              <w:bottom w:val="single" w:sz="4" w:space="0" w:color="auto"/>
              <w:right w:val="single" w:sz="4" w:space="0" w:color="auto"/>
            </w:tcBorders>
            <w:vAlign w:val="center"/>
            <w:hideMark/>
          </w:tcPr>
          <w:p w14:paraId="2494AAFA"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vAlign w:val="center"/>
            <w:hideMark/>
          </w:tcPr>
          <w:p w14:paraId="766FF403"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Fonctionnement du système d’occultation en fonction du programme fonctionnel</w:t>
            </w:r>
          </w:p>
        </w:tc>
        <w:tc>
          <w:tcPr>
            <w:tcW w:w="3827" w:type="dxa"/>
            <w:tcBorders>
              <w:top w:val="nil"/>
              <w:left w:val="nil"/>
              <w:bottom w:val="single" w:sz="4" w:space="0" w:color="auto"/>
              <w:right w:val="single" w:sz="4" w:space="0" w:color="auto"/>
            </w:tcBorders>
            <w:shd w:val="clear" w:color="auto" w:fill="auto"/>
            <w:hideMark/>
          </w:tcPr>
          <w:p w14:paraId="02FBF8B9" w14:textId="77777777" w:rsidR="007C77B0" w:rsidRDefault="007C77B0" w:rsidP="007C77B0">
            <w:pPr>
              <w:rPr>
                <w:rFonts w:ascii="Aptos Narrow" w:hAnsi="Aptos Narrow"/>
                <w:color w:val="000000"/>
                <w:sz w:val="22"/>
                <w:szCs w:val="22"/>
              </w:rPr>
            </w:pPr>
            <w:r w:rsidRPr="00FC7E72">
              <w:rPr>
                <w:rFonts w:ascii="Aptos Narrow" w:hAnsi="Aptos Narrow"/>
                <w:color w:val="000000"/>
                <w:sz w:val="22"/>
                <w:szCs w:val="22"/>
              </w:rPr>
              <w:t> </w:t>
            </w:r>
          </w:p>
          <w:p w14:paraId="5D05D3AE" w14:textId="6A001AB3" w:rsidR="007569E9" w:rsidRDefault="007569E9" w:rsidP="007569E9">
            <w:pPr>
              <w:tabs>
                <w:tab w:val="left" w:pos="1107"/>
              </w:tabs>
              <w:rPr>
                <w:rFonts w:ascii="Aptos Narrow" w:hAnsi="Aptos Narrow"/>
                <w:color w:val="000000"/>
                <w:sz w:val="22"/>
                <w:szCs w:val="22"/>
              </w:rPr>
            </w:pPr>
            <w:r w:rsidRPr="00C27237">
              <w:rPr>
                <w:rFonts w:asciiTheme="minorHAnsi" w:hAnsiTheme="minorHAnsi" w:cs="Arial"/>
                <w:sz w:val="22"/>
                <w:szCs w:val="22"/>
              </w:rPr>
              <w:t>Cf Annexe n°4 du Descriptif technique "Descriptif technique Programmatique Exploitation, Maintenance et Commissionnement"</w:t>
            </w:r>
          </w:p>
          <w:p w14:paraId="3FF103F6" w14:textId="77777777" w:rsidR="007569E9" w:rsidRPr="007569E9" w:rsidRDefault="007569E9" w:rsidP="007569E9">
            <w:pPr>
              <w:rPr>
                <w:rFonts w:ascii="Aptos Narrow" w:hAnsi="Aptos Narrow"/>
                <w:sz w:val="22"/>
                <w:szCs w:val="22"/>
              </w:rPr>
            </w:pPr>
          </w:p>
        </w:tc>
        <w:tc>
          <w:tcPr>
            <w:tcW w:w="160" w:type="dxa"/>
            <w:vAlign w:val="center"/>
            <w:hideMark/>
          </w:tcPr>
          <w:p w14:paraId="1C31CB5D" w14:textId="77777777" w:rsidR="007C77B0" w:rsidRPr="00FC7E72" w:rsidRDefault="007C77B0" w:rsidP="007C77B0">
            <w:pPr>
              <w:rPr>
                <w:sz w:val="22"/>
                <w:szCs w:val="22"/>
              </w:rPr>
            </w:pPr>
          </w:p>
        </w:tc>
      </w:tr>
      <w:tr w:rsidR="007C77B0" w:rsidRPr="00FC7E72" w14:paraId="7CAFB58C" w14:textId="77777777" w:rsidTr="00FC7E72">
        <w:trPr>
          <w:trHeight w:val="960"/>
        </w:trPr>
        <w:tc>
          <w:tcPr>
            <w:tcW w:w="2552" w:type="dxa"/>
            <w:vMerge/>
            <w:tcBorders>
              <w:top w:val="nil"/>
              <w:left w:val="single" w:sz="4" w:space="0" w:color="auto"/>
              <w:bottom w:val="single" w:sz="4" w:space="0" w:color="auto"/>
              <w:right w:val="single" w:sz="4" w:space="0" w:color="auto"/>
            </w:tcBorders>
            <w:vAlign w:val="center"/>
            <w:hideMark/>
          </w:tcPr>
          <w:p w14:paraId="4243DDA4" w14:textId="77777777" w:rsidR="007C77B0" w:rsidRPr="00FC7E72" w:rsidRDefault="007C77B0" w:rsidP="007C77B0">
            <w:pPr>
              <w:rPr>
                <w:rFonts w:ascii="Aptos Narrow" w:hAnsi="Aptos Narrow"/>
                <w:b/>
                <w:bCs/>
                <w:color w:val="000000"/>
                <w:sz w:val="22"/>
                <w:szCs w:val="22"/>
              </w:rPr>
            </w:pPr>
          </w:p>
        </w:tc>
        <w:tc>
          <w:tcPr>
            <w:tcW w:w="4111" w:type="dxa"/>
            <w:tcBorders>
              <w:top w:val="nil"/>
              <w:left w:val="nil"/>
              <w:bottom w:val="single" w:sz="4" w:space="0" w:color="auto"/>
              <w:right w:val="single" w:sz="4" w:space="0" w:color="auto"/>
            </w:tcBorders>
            <w:shd w:val="clear" w:color="auto" w:fill="auto"/>
            <w:vAlign w:val="center"/>
            <w:hideMark/>
          </w:tcPr>
          <w:p w14:paraId="409AC2EE"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Disponibilité des équipements majeurs de l’ouvrage</w:t>
            </w:r>
          </w:p>
        </w:tc>
        <w:tc>
          <w:tcPr>
            <w:tcW w:w="3827" w:type="dxa"/>
            <w:tcBorders>
              <w:top w:val="nil"/>
              <w:left w:val="nil"/>
              <w:bottom w:val="single" w:sz="4" w:space="0" w:color="auto"/>
              <w:right w:val="single" w:sz="4" w:space="0" w:color="auto"/>
            </w:tcBorders>
            <w:shd w:val="clear" w:color="auto" w:fill="auto"/>
            <w:hideMark/>
          </w:tcPr>
          <w:p w14:paraId="0C3502F3" w14:textId="58537893" w:rsidR="007C77B0" w:rsidRPr="00FC7E72" w:rsidRDefault="007C77B0" w:rsidP="007C77B0">
            <w:pPr>
              <w:rPr>
                <w:rFonts w:ascii="Arial" w:hAnsi="Arial" w:cs="Arial"/>
                <w:sz w:val="22"/>
                <w:szCs w:val="22"/>
              </w:rPr>
            </w:pPr>
            <w:r w:rsidRPr="00FC7E72">
              <w:rPr>
                <w:rFonts w:ascii="Arial" w:hAnsi="Arial" w:cs="Arial"/>
                <w:sz w:val="22"/>
                <w:szCs w:val="22"/>
              </w:rPr>
              <w:t> </w:t>
            </w:r>
            <w:r w:rsidR="00D51F0C"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68BED9A0" w14:textId="77777777" w:rsidR="007C77B0" w:rsidRPr="00FC7E72" w:rsidRDefault="007C77B0" w:rsidP="007C77B0">
            <w:pPr>
              <w:rPr>
                <w:sz w:val="22"/>
                <w:szCs w:val="22"/>
              </w:rPr>
            </w:pPr>
          </w:p>
        </w:tc>
      </w:tr>
      <w:tr w:rsidR="007C77B0" w:rsidRPr="00FC7E72" w14:paraId="4C5517D9" w14:textId="77777777" w:rsidTr="00FC7E72">
        <w:trPr>
          <w:trHeight w:val="64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BD4C7AC" w14:textId="77777777" w:rsidR="007C77B0" w:rsidRPr="00FC7E72" w:rsidRDefault="007C77B0" w:rsidP="007C77B0">
            <w:pPr>
              <w:rPr>
                <w:rFonts w:ascii="Aptos Narrow" w:hAnsi="Aptos Narrow"/>
                <w:b/>
                <w:bCs/>
                <w:color w:val="000000"/>
                <w:sz w:val="22"/>
                <w:szCs w:val="22"/>
              </w:rPr>
            </w:pPr>
            <w:r w:rsidRPr="00FC7E72">
              <w:rPr>
                <w:rFonts w:ascii="Aptos Narrow" w:hAnsi="Aptos Narrow"/>
                <w:b/>
                <w:bCs/>
                <w:color w:val="000000"/>
                <w:sz w:val="22"/>
                <w:szCs w:val="22"/>
              </w:rPr>
              <w:t xml:space="preserve">Maintien en service des équipements techniques </w:t>
            </w:r>
          </w:p>
        </w:tc>
        <w:tc>
          <w:tcPr>
            <w:tcW w:w="4111" w:type="dxa"/>
            <w:tcBorders>
              <w:top w:val="nil"/>
              <w:left w:val="nil"/>
              <w:bottom w:val="single" w:sz="4" w:space="0" w:color="auto"/>
              <w:right w:val="single" w:sz="4" w:space="0" w:color="auto"/>
            </w:tcBorders>
            <w:shd w:val="clear" w:color="auto" w:fill="auto"/>
            <w:vAlign w:val="center"/>
            <w:hideMark/>
          </w:tcPr>
          <w:p w14:paraId="2CFD0F71" w14:textId="77777777" w:rsidR="007C77B0" w:rsidRPr="00FC7E72" w:rsidRDefault="007C77B0" w:rsidP="007C77B0">
            <w:pPr>
              <w:rPr>
                <w:rFonts w:ascii="Aptos Narrow" w:hAnsi="Aptos Narrow"/>
                <w:color w:val="000000"/>
                <w:sz w:val="22"/>
                <w:szCs w:val="22"/>
              </w:rPr>
            </w:pPr>
            <w:r w:rsidRPr="00FC7E72">
              <w:rPr>
                <w:rFonts w:ascii="Aptos Narrow" w:hAnsi="Aptos Narrow"/>
                <w:color w:val="000000"/>
                <w:sz w:val="22"/>
                <w:szCs w:val="22"/>
              </w:rPr>
              <w:t>GTB</w:t>
            </w:r>
          </w:p>
        </w:tc>
        <w:tc>
          <w:tcPr>
            <w:tcW w:w="3827" w:type="dxa"/>
            <w:tcBorders>
              <w:top w:val="nil"/>
              <w:left w:val="nil"/>
              <w:bottom w:val="single" w:sz="4" w:space="0" w:color="auto"/>
              <w:right w:val="single" w:sz="4" w:space="0" w:color="auto"/>
            </w:tcBorders>
            <w:shd w:val="clear" w:color="auto" w:fill="auto"/>
            <w:hideMark/>
          </w:tcPr>
          <w:p w14:paraId="03462291" w14:textId="15459378" w:rsidR="007C77B0" w:rsidRPr="00FC7E72" w:rsidRDefault="007C77B0" w:rsidP="007C77B0">
            <w:pPr>
              <w:rPr>
                <w:rFonts w:ascii="Arial" w:hAnsi="Arial" w:cs="Arial"/>
                <w:sz w:val="22"/>
                <w:szCs w:val="22"/>
              </w:rPr>
            </w:pPr>
            <w:r w:rsidRPr="00FC7E72">
              <w:rPr>
                <w:rFonts w:ascii="Arial" w:hAnsi="Arial" w:cs="Arial"/>
                <w:sz w:val="22"/>
                <w:szCs w:val="22"/>
              </w:rPr>
              <w:t> </w:t>
            </w:r>
            <w:r w:rsidR="00D51F0C" w:rsidRPr="00C27237">
              <w:rPr>
                <w:rFonts w:asciiTheme="minorHAnsi" w:hAnsiTheme="minorHAnsi" w:cs="Arial"/>
                <w:sz w:val="22"/>
                <w:szCs w:val="22"/>
              </w:rPr>
              <w:t>Cf Annexe n°4 du Descriptif technique "Descriptif technique Programmatique Exploitation, Maintenance et Commissionnement"</w:t>
            </w:r>
          </w:p>
        </w:tc>
        <w:tc>
          <w:tcPr>
            <w:tcW w:w="160" w:type="dxa"/>
            <w:vAlign w:val="center"/>
            <w:hideMark/>
          </w:tcPr>
          <w:p w14:paraId="34A8D737" w14:textId="77777777" w:rsidR="007C77B0" w:rsidRPr="00FC7E72" w:rsidRDefault="007C77B0" w:rsidP="007C77B0">
            <w:pPr>
              <w:rPr>
                <w:sz w:val="22"/>
                <w:szCs w:val="22"/>
              </w:rPr>
            </w:pPr>
          </w:p>
        </w:tc>
      </w:tr>
    </w:tbl>
    <w:p w14:paraId="1A18A77B" w14:textId="77777777" w:rsidR="00CA2B66" w:rsidRDefault="00CA2B66" w:rsidP="00C41EBE">
      <w:pPr>
        <w:jc w:val="center"/>
      </w:pPr>
    </w:p>
    <w:p w14:paraId="5F50A157" w14:textId="77777777" w:rsidR="00CA2B66" w:rsidRDefault="00CA2B66" w:rsidP="00C41EBE">
      <w:pPr>
        <w:jc w:val="center"/>
      </w:pPr>
    </w:p>
    <w:p w14:paraId="3BFF76D0" w14:textId="77777777" w:rsidR="004F0692" w:rsidRDefault="004F0692" w:rsidP="00C41EBE">
      <w:pPr>
        <w:jc w:val="center"/>
      </w:pPr>
    </w:p>
    <w:p w14:paraId="41BAC167" w14:textId="77777777" w:rsidR="004F0692" w:rsidRDefault="004F0692" w:rsidP="00C41EBE">
      <w:pPr>
        <w:jc w:val="center"/>
      </w:pPr>
    </w:p>
    <w:p w14:paraId="20B99604" w14:textId="77777777" w:rsidR="004F0692" w:rsidRDefault="004F0692" w:rsidP="00C41EBE">
      <w:pPr>
        <w:jc w:val="center"/>
      </w:pPr>
    </w:p>
    <w:p w14:paraId="485FBBB4" w14:textId="77777777" w:rsidR="00CA2B66" w:rsidRDefault="00CA2B66" w:rsidP="00C41EBE">
      <w:pPr>
        <w:jc w:val="center"/>
      </w:pPr>
    </w:p>
    <w:p w14:paraId="6A2BBFAB" w14:textId="77777777" w:rsidR="00CA2B66" w:rsidRDefault="00CA2B66" w:rsidP="00C41EBE">
      <w:pPr>
        <w:jc w:val="center"/>
      </w:pPr>
    </w:p>
    <w:p w14:paraId="5AADF64F" w14:textId="77777777" w:rsidR="00CA2B66" w:rsidRDefault="00CA2B66" w:rsidP="00C41EBE">
      <w:pPr>
        <w:jc w:val="center"/>
      </w:pPr>
    </w:p>
    <w:p w14:paraId="4B30B5FD" w14:textId="77777777" w:rsidR="00CA2B66" w:rsidRDefault="00CA2B66" w:rsidP="00C41EBE">
      <w:pPr>
        <w:jc w:val="center"/>
      </w:pPr>
    </w:p>
    <w:p w14:paraId="12A7662E" w14:textId="77777777" w:rsidR="00CA2B66" w:rsidRDefault="00CA2B66" w:rsidP="00C41EBE">
      <w:pPr>
        <w:jc w:val="center"/>
      </w:pPr>
    </w:p>
    <w:p w14:paraId="2FCA0DC0" w14:textId="77777777" w:rsidR="00CA2B66" w:rsidRDefault="00CA2B66" w:rsidP="00C41EBE">
      <w:pPr>
        <w:jc w:val="center"/>
      </w:pPr>
    </w:p>
    <w:p w14:paraId="06791FD0" w14:textId="77777777" w:rsidR="00CA2B66" w:rsidRDefault="00CA2B66" w:rsidP="00C41EBE">
      <w:pPr>
        <w:jc w:val="center"/>
      </w:pPr>
    </w:p>
    <w:p w14:paraId="0CC1C47D" w14:textId="319EB49D" w:rsidR="00F60ED9" w:rsidRDefault="00F60ED9" w:rsidP="00C41EBE">
      <w:pPr>
        <w:jc w:val="center"/>
        <w:rPr>
          <w:b/>
          <w:bCs/>
          <w:sz w:val="36"/>
          <w:szCs w:val="36"/>
          <w:u w:val="single"/>
        </w:rPr>
      </w:pPr>
      <w:r w:rsidRPr="00CA2B66">
        <w:rPr>
          <w:b/>
          <w:bCs/>
          <w:sz w:val="36"/>
          <w:szCs w:val="36"/>
          <w:u w:val="single"/>
        </w:rPr>
        <w:t>Pénalités relatives à la phase exploitation-maintenance</w:t>
      </w:r>
    </w:p>
    <w:p w14:paraId="09264E1A" w14:textId="77777777" w:rsidR="004F0692" w:rsidRPr="00CA2B66" w:rsidRDefault="004F0692" w:rsidP="00C41EBE">
      <w:pPr>
        <w:jc w:val="center"/>
        <w:rPr>
          <w:b/>
          <w:bCs/>
          <w:sz w:val="36"/>
          <w:szCs w:val="36"/>
          <w:u w:val="single"/>
        </w:rPr>
      </w:pPr>
    </w:p>
    <w:tbl>
      <w:tblPr>
        <w:tblStyle w:val="Grilledutableau"/>
        <w:tblW w:w="10251" w:type="dxa"/>
        <w:tblInd w:w="-714" w:type="dxa"/>
        <w:tblLayout w:type="fixed"/>
        <w:tblLook w:val="04A0" w:firstRow="1" w:lastRow="0" w:firstColumn="1" w:lastColumn="0" w:noHBand="0" w:noVBand="1"/>
      </w:tblPr>
      <w:tblGrid>
        <w:gridCol w:w="645"/>
        <w:gridCol w:w="1709"/>
        <w:gridCol w:w="3995"/>
        <w:gridCol w:w="1129"/>
        <w:gridCol w:w="2773"/>
      </w:tblGrid>
      <w:tr w:rsidR="00CA2B66" w:rsidRPr="00CA2B66" w14:paraId="3C274959" w14:textId="77777777" w:rsidTr="00CA2B66">
        <w:trPr>
          <w:trHeight w:val="560"/>
        </w:trPr>
        <w:tc>
          <w:tcPr>
            <w:tcW w:w="645" w:type="dxa"/>
            <w:hideMark/>
          </w:tcPr>
          <w:p w14:paraId="0BEA7680" w14:textId="77777777" w:rsidR="00CA2B66" w:rsidRPr="00CA2B66" w:rsidRDefault="00CA2B66">
            <w:pPr>
              <w:jc w:val="center"/>
              <w:rPr>
                <w:b/>
                <w:bCs/>
                <w:sz w:val="21"/>
                <w:szCs w:val="21"/>
              </w:rPr>
            </w:pPr>
            <w:r w:rsidRPr="00CA2B66">
              <w:rPr>
                <w:b/>
                <w:bCs/>
                <w:sz w:val="21"/>
                <w:szCs w:val="21"/>
              </w:rPr>
              <w:t>N°</w:t>
            </w:r>
          </w:p>
        </w:tc>
        <w:tc>
          <w:tcPr>
            <w:tcW w:w="1709" w:type="dxa"/>
            <w:hideMark/>
          </w:tcPr>
          <w:p w14:paraId="3CD0C047" w14:textId="77777777" w:rsidR="00CA2B66" w:rsidRPr="00CA2B66" w:rsidRDefault="00CA2B66" w:rsidP="00CA2B66">
            <w:pPr>
              <w:jc w:val="center"/>
              <w:rPr>
                <w:b/>
                <w:bCs/>
                <w:sz w:val="21"/>
                <w:szCs w:val="21"/>
              </w:rPr>
            </w:pPr>
            <w:r w:rsidRPr="00CA2B66">
              <w:rPr>
                <w:b/>
                <w:bCs/>
                <w:sz w:val="21"/>
                <w:szCs w:val="21"/>
              </w:rPr>
              <w:t>Définition</w:t>
            </w:r>
          </w:p>
        </w:tc>
        <w:tc>
          <w:tcPr>
            <w:tcW w:w="3995" w:type="dxa"/>
            <w:hideMark/>
          </w:tcPr>
          <w:p w14:paraId="2F6D367A" w14:textId="77777777" w:rsidR="00CA2B66" w:rsidRPr="00CA2B66" w:rsidRDefault="00CA2B66" w:rsidP="00CA2B66">
            <w:pPr>
              <w:jc w:val="center"/>
              <w:rPr>
                <w:b/>
                <w:bCs/>
                <w:sz w:val="21"/>
                <w:szCs w:val="21"/>
              </w:rPr>
            </w:pPr>
            <w:r w:rsidRPr="00CA2B66">
              <w:rPr>
                <w:b/>
                <w:bCs/>
                <w:sz w:val="21"/>
                <w:szCs w:val="21"/>
              </w:rPr>
              <w:t>Tolérance et Objectif</w:t>
            </w:r>
          </w:p>
        </w:tc>
        <w:tc>
          <w:tcPr>
            <w:tcW w:w="1129" w:type="dxa"/>
            <w:hideMark/>
          </w:tcPr>
          <w:p w14:paraId="0BCFBDEA" w14:textId="77777777" w:rsidR="00CA2B66" w:rsidRPr="00CA2B66" w:rsidRDefault="00CA2B66" w:rsidP="00CA2B66">
            <w:pPr>
              <w:jc w:val="center"/>
              <w:rPr>
                <w:b/>
                <w:bCs/>
                <w:sz w:val="21"/>
                <w:szCs w:val="21"/>
              </w:rPr>
            </w:pPr>
            <w:r w:rsidRPr="00CA2B66">
              <w:rPr>
                <w:b/>
                <w:bCs/>
                <w:sz w:val="21"/>
                <w:szCs w:val="21"/>
              </w:rPr>
              <w:t>Applicable en phase</w:t>
            </w:r>
          </w:p>
        </w:tc>
        <w:tc>
          <w:tcPr>
            <w:tcW w:w="2773" w:type="dxa"/>
            <w:hideMark/>
          </w:tcPr>
          <w:p w14:paraId="3BB57A72" w14:textId="77777777" w:rsidR="00CA2B66" w:rsidRPr="00CA2B66" w:rsidRDefault="00CA2B66" w:rsidP="00CA2B66">
            <w:pPr>
              <w:jc w:val="center"/>
              <w:rPr>
                <w:b/>
                <w:bCs/>
                <w:sz w:val="21"/>
                <w:szCs w:val="21"/>
              </w:rPr>
            </w:pPr>
            <w:r w:rsidRPr="00CA2B66">
              <w:rPr>
                <w:b/>
                <w:bCs/>
                <w:sz w:val="21"/>
                <w:szCs w:val="21"/>
              </w:rPr>
              <w:t>Pénalité</w:t>
            </w:r>
          </w:p>
        </w:tc>
      </w:tr>
      <w:tr w:rsidR="00CA2B66" w:rsidRPr="00CA2B66" w14:paraId="10334847" w14:textId="77777777" w:rsidTr="00CA2B66">
        <w:trPr>
          <w:trHeight w:val="841"/>
        </w:trPr>
        <w:tc>
          <w:tcPr>
            <w:tcW w:w="645" w:type="dxa"/>
            <w:hideMark/>
          </w:tcPr>
          <w:p w14:paraId="4A359E51" w14:textId="77777777" w:rsidR="00CA2B66" w:rsidRPr="00CA2B66" w:rsidRDefault="00CA2B66">
            <w:pPr>
              <w:jc w:val="center"/>
              <w:rPr>
                <w:b/>
                <w:bCs/>
                <w:sz w:val="21"/>
                <w:szCs w:val="21"/>
              </w:rPr>
            </w:pPr>
            <w:r w:rsidRPr="00CA2B66">
              <w:rPr>
                <w:b/>
                <w:bCs/>
                <w:sz w:val="21"/>
                <w:szCs w:val="21"/>
              </w:rPr>
              <w:t>1</w:t>
            </w:r>
          </w:p>
        </w:tc>
        <w:tc>
          <w:tcPr>
            <w:tcW w:w="1709" w:type="dxa"/>
            <w:hideMark/>
          </w:tcPr>
          <w:p w14:paraId="0607721B" w14:textId="77777777" w:rsidR="00CA2B66" w:rsidRPr="00CA2B66" w:rsidRDefault="00CA2B66" w:rsidP="00CA2B66">
            <w:pPr>
              <w:jc w:val="center"/>
              <w:rPr>
                <w:sz w:val="21"/>
                <w:szCs w:val="21"/>
              </w:rPr>
            </w:pPr>
            <w:r w:rsidRPr="00CA2B66">
              <w:rPr>
                <w:sz w:val="21"/>
                <w:szCs w:val="21"/>
              </w:rPr>
              <w:t xml:space="preserve">Réalisation des opérations de maintenance préventive planifiées dans le mois </w:t>
            </w:r>
          </w:p>
        </w:tc>
        <w:tc>
          <w:tcPr>
            <w:tcW w:w="3995" w:type="dxa"/>
            <w:hideMark/>
          </w:tcPr>
          <w:p w14:paraId="66B11FC4" w14:textId="436F1627" w:rsidR="00CA2B66" w:rsidRPr="00CA2B66" w:rsidRDefault="00CA2B66" w:rsidP="00CA2B66">
            <w:pPr>
              <w:jc w:val="center"/>
              <w:rPr>
                <w:sz w:val="21"/>
                <w:szCs w:val="21"/>
              </w:rPr>
            </w:pPr>
            <w:r w:rsidRPr="00CA2B66">
              <w:rPr>
                <w:sz w:val="21"/>
                <w:szCs w:val="21"/>
              </w:rPr>
              <w:t xml:space="preserve">90% réalisé mensuellement selon indicateur 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341C979E"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47F15413" w14:textId="1607D66B" w:rsidR="00CA2B66" w:rsidRPr="00CA2B66" w:rsidRDefault="00CA2B66" w:rsidP="00CA2B66">
            <w:pPr>
              <w:jc w:val="center"/>
              <w:rPr>
                <w:sz w:val="21"/>
                <w:szCs w:val="21"/>
              </w:rPr>
            </w:pPr>
            <w:r w:rsidRPr="00CA2B66">
              <w:rPr>
                <w:sz w:val="21"/>
                <w:szCs w:val="21"/>
              </w:rPr>
              <w:t xml:space="preserve">2000€HT/ % en </w:t>
            </w:r>
            <w:r w:rsidR="00776FF9" w:rsidRPr="00CA2B66">
              <w:rPr>
                <w:sz w:val="21"/>
                <w:szCs w:val="21"/>
              </w:rPr>
              <w:t>deçà</w:t>
            </w:r>
            <w:r w:rsidRPr="00CA2B66">
              <w:rPr>
                <w:sz w:val="21"/>
                <w:szCs w:val="21"/>
              </w:rPr>
              <w:t xml:space="preserve"> de l'objectif</w:t>
            </w:r>
          </w:p>
        </w:tc>
      </w:tr>
      <w:tr w:rsidR="00CA2B66" w:rsidRPr="00CA2B66" w14:paraId="36FB64F2" w14:textId="77777777" w:rsidTr="00CA2B66">
        <w:trPr>
          <w:trHeight w:val="841"/>
        </w:trPr>
        <w:tc>
          <w:tcPr>
            <w:tcW w:w="645" w:type="dxa"/>
            <w:hideMark/>
          </w:tcPr>
          <w:p w14:paraId="1A688A70" w14:textId="77777777" w:rsidR="00CA2B66" w:rsidRPr="00CA2B66" w:rsidRDefault="00CA2B66">
            <w:pPr>
              <w:jc w:val="center"/>
              <w:rPr>
                <w:b/>
                <w:bCs/>
                <w:sz w:val="21"/>
                <w:szCs w:val="21"/>
              </w:rPr>
            </w:pPr>
            <w:r w:rsidRPr="00CA2B66">
              <w:rPr>
                <w:b/>
                <w:bCs/>
                <w:sz w:val="21"/>
                <w:szCs w:val="21"/>
              </w:rPr>
              <w:t>1</w:t>
            </w:r>
          </w:p>
        </w:tc>
        <w:tc>
          <w:tcPr>
            <w:tcW w:w="1709" w:type="dxa"/>
            <w:hideMark/>
          </w:tcPr>
          <w:p w14:paraId="37939878" w14:textId="77777777" w:rsidR="00CA2B66" w:rsidRPr="00CA2B66" w:rsidRDefault="00CA2B66" w:rsidP="00CA2B66">
            <w:pPr>
              <w:jc w:val="center"/>
              <w:rPr>
                <w:sz w:val="21"/>
                <w:szCs w:val="21"/>
              </w:rPr>
            </w:pPr>
            <w:r w:rsidRPr="00CA2B66">
              <w:rPr>
                <w:sz w:val="21"/>
                <w:szCs w:val="21"/>
              </w:rPr>
              <w:t>Réalisation des opérations de maintenance préventive planifiées dans l'année</w:t>
            </w:r>
          </w:p>
        </w:tc>
        <w:tc>
          <w:tcPr>
            <w:tcW w:w="3995" w:type="dxa"/>
            <w:hideMark/>
          </w:tcPr>
          <w:p w14:paraId="344D0CC2" w14:textId="5488C0B8" w:rsidR="00CA2B66" w:rsidRPr="00CA2B66" w:rsidRDefault="00CA2B66" w:rsidP="00CA2B66">
            <w:pPr>
              <w:jc w:val="center"/>
              <w:rPr>
                <w:sz w:val="21"/>
                <w:szCs w:val="21"/>
              </w:rPr>
            </w:pPr>
            <w:r w:rsidRPr="00CA2B66">
              <w:rPr>
                <w:sz w:val="21"/>
                <w:szCs w:val="21"/>
              </w:rPr>
              <w:t xml:space="preserve">100% réalisé annuellement selon indicateur 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0AEF4E2A"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19965303" w14:textId="0E112658" w:rsidR="00CA2B66" w:rsidRPr="00CA2B66" w:rsidRDefault="00CA2B66" w:rsidP="00CA2B66">
            <w:pPr>
              <w:jc w:val="center"/>
              <w:rPr>
                <w:sz w:val="21"/>
                <w:szCs w:val="21"/>
              </w:rPr>
            </w:pPr>
            <w:r w:rsidRPr="00CA2B66">
              <w:rPr>
                <w:sz w:val="21"/>
                <w:szCs w:val="21"/>
              </w:rPr>
              <w:t xml:space="preserve">5000€HT/ % en </w:t>
            </w:r>
            <w:r w:rsidR="00776FF9" w:rsidRPr="00CA2B66">
              <w:rPr>
                <w:sz w:val="21"/>
                <w:szCs w:val="21"/>
              </w:rPr>
              <w:t>deçà</w:t>
            </w:r>
            <w:r w:rsidRPr="00CA2B66">
              <w:rPr>
                <w:sz w:val="21"/>
                <w:szCs w:val="21"/>
              </w:rPr>
              <w:t xml:space="preserve"> de l'objectif</w:t>
            </w:r>
          </w:p>
        </w:tc>
      </w:tr>
      <w:tr w:rsidR="00CA2B66" w:rsidRPr="00CA2B66" w14:paraId="13057B78" w14:textId="77777777" w:rsidTr="00CA2B66">
        <w:trPr>
          <w:trHeight w:val="1602"/>
        </w:trPr>
        <w:tc>
          <w:tcPr>
            <w:tcW w:w="645" w:type="dxa"/>
            <w:hideMark/>
          </w:tcPr>
          <w:p w14:paraId="655C5CFF" w14:textId="77777777" w:rsidR="00CA2B66" w:rsidRPr="00CA2B66" w:rsidRDefault="00CA2B66">
            <w:pPr>
              <w:jc w:val="center"/>
              <w:rPr>
                <w:b/>
                <w:bCs/>
                <w:sz w:val="21"/>
                <w:szCs w:val="21"/>
              </w:rPr>
            </w:pPr>
            <w:r w:rsidRPr="00CA2B66">
              <w:rPr>
                <w:b/>
                <w:bCs/>
                <w:sz w:val="21"/>
                <w:szCs w:val="21"/>
              </w:rPr>
              <w:t>2a</w:t>
            </w:r>
          </w:p>
        </w:tc>
        <w:tc>
          <w:tcPr>
            <w:tcW w:w="1709" w:type="dxa"/>
            <w:hideMark/>
          </w:tcPr>
          <w:p w14:paraId="23688E9C" w14:textId="77777777" w:rsidR="00CA2B66" w:rsidRPr="00CA2B66" w:rsidRDefault="00CA2B66" w:rsidP="00CA2B66">
            <w:pPr>
              <w:jc w:val="center"/>
              <w:rPr>
                <w:sz w:val="21"/>
                <w:szCs w:val="21"/>
              </w:rPr>
            </w:pPr>
            <w:r w:rsidRPr="00CA2B66">
              <w:rPr>
                <w:sz w:val="21"/>
                <w:szCs w:val="21"/>
              </w:rPr>
              <w:t>Respect des durées d’intervention</w:t>
            </w:r>
          </w:p>
        </w:tc>
        <w:tc>
          <w:tcPr>
            <w:tcW w:w="3995" w:type="dxa"/>
            <w:hideMark/>
          </w:tcPr>
          <w:p w14:paraId="7D33C6B1" w14:textId="02D2F8B0"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465A7434"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1728CB21" w14:textId="77777777" w:rsidR="00CA2B66" w:rsidRPr="00CA2B66" w:rsidRDefault="00CA2B66" w:rsidP="00CA2B66">
            <w:pPr>
              <w:jc w:val="center"/>
              <w:rPr>
                <w:sz w:val="21"/>
                <w:szCs w:val="21"/>
              </w:rPr>
            </w:pPr>
            <w:r w:rsidRPr="00CA2B66">
              <w:rPr>
                <w:sz w:val="21"/>
                <w:szCs w:val="21"/>
              </w:rPr>
              <w:t xml:space="preserve">Fonction criticité en €HT/h de dépassement au prorata </w:t>
            </w:r>
            <w:proofErr w:type="spellStart"/>
            <w:r w:rsidRPr="00CA2B66">
              <w:rPr>
                <w:sz w:val="21"/>
                <w:szCs w:val="21"/>
              </w:rPr>
              <w:t>temporis</w:t>
            </w:r>
            <w:proofErr w:type="spellEnd"/>
            <w:r w:rsidRPr="00CA2B66">
              <w:rPr>
                <w:sz w:val="21"/>
                <w:szCs w:val="21"/>
              </w:rPr>
              <w:br/>
              <w:t>- C1 : 200€HT/h</w:t>
            </w:r>
            <w:r w:rsidRPr="00CA2B66">
              <w:rPr>
                <w:sz w:val="21"/>
                <w:szCs w:val="21"/>
              </w:rPr>
              <w:br/>
              <w:t>- C2 : 100€HT/h</w:t>
            </w:r>
            <w:r w:rsidRPr="00CA2B66">
              <w:rPr>
                <w:sz w:val="21"/>
                <w:szCs w:val="21"/>
              </w:rPr>
              <w:br/>
              <w:t>- C3 : 50€HT/h</w:t>
            </w:r>
          </w:p>
        </w:tc>
      </w:tr>
      <w:tr w:rsidR="00CA2B66" w:rsidRPr="00CA2B66" w14:paraId="08AFF74A" w14:textId="77777777" w:rsidTr="00CA2B66">
        <w:trPr>
          <w:trHeight w:val="1602"/>
        </w:trPr>
        <w:tc>
          <w:tcPr>
            <w:tcW w:w="645" w:type="dxa"/>
            <w:hideMark/>
          </w:tcPr>
          <w:p w14:paraId="545E7333" w14:textId="77777777" w:rsidR="00CA2B66" w:rsidRPr="00CA2B66" w:rsidRDefault="00CA2B66">
            <w:pPr>
              <w:jc w:val="center"/>
              <w:rPr>
                <w:b/>
                <w:bCs/>
                <w:sz w:val="21"/>
                <w:szCs w:val="21"/>
              </w:rPr>
            </w:pPr>
            <w:r w:rsidRPr="00CA2B66">
              <w:rPr>
                <w:b/>
                <w:bCs/>
                <w:sz w:val="21"/>
                <w:szCs w:val="21"/>
              </w:rPr>
              <w:t>2b</w:t>
            </w:r>
          </w:p>
        </w:tc>
        <w:tc>
          <w:tcPr>
            <w:tcW w:w="1709" w:type="dxa"/>
            <w:hideMark/>
          </w:tcPr>
          <w:p w14:paraId="467645BE" w14:textId="77777777" w:rsidR="00CA2B66" w:rsidRPr="00CA2B66" w:rsidRDefault="00CA2B66" w:rsidP="00CA2B66">
            <w:pPr>
              <w:jc w:val="center"/>
              <w:rPr>
                <w:sz w:val="21"/>
                <w:szCs w:val="21"/>
              </w:rPr>
            </w:pPr>
            <w:r w:rsidRPr="00CA2B66">
              <w:rPr>
                <w:sz w:val="21"/>
                <w:szCs w:val="21"/>
              </w:rPr>
              <w:t>Respect des délais de remise en service</w:t>
            </w:r>
          </w:p>
        </w:tc>
        <w:tc>
          <w:tcPr>
            <w:tcW w:w="3995" w:type="dxa"/>
            <w:hideMark/>
          </w:tcPr>
          <w:p w14:paraId="425E582D" w14:textId="4D34833B"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38697B22"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41A59773" w14:textId="77777777" w:rsidR="00CA2B66" w:rsidRPr="00CA2B66" w:rsidRDefault="00CA2B66" w:rsidP="00CA2B66">
            <w:pPr>
              <w:jc w:val="center"/>
              <w:rPr>
                <w:sz w:val="21"/>
                <w:szCs w:val="21"/>
              </w:rPr>
            </w:pPr>
            <w:r w:rsidRPr="00CA2B66">
              <w:rPr>
                <w:sz w:val="21"/>
                <w:szCs w:val="21"/>
              </w:rPr>
              <w:t xml:space="preserve">Fonction criticité en €HT/h de dépassement au prorata </w:t>
            </w:r>
            <w:proofErr w:type="spellStart"/>
            <w:r w:rsidRPr="00CA2B66">
              <w:rPr>
                <w:sz w:val="21"/>
                <w:szCs w:val="21"/>
              </w:rPr>
              <w:t>temporis</w:t>
            </w:r>
            <w:proofErr w:type="spellEnd"/>
            <w:r w:rsidRPr="00CA2B66">
              <w:rPr>
                <w:sz w:val="21"/>
                <w:szCs w:val="21"/>
              </w:rPr>
              <w:br/>
              <w:t>- C1 : 400€HT/h</w:t>
            </w:r>
            <w:r w:rsidRPr="00CA2B66">
              <w:rPr>
                <w:sz w:val="21"/>
                <w:szCs w:val="21"/>
              </w:rPr>
              <w:br/>
              <w:t>- C2 : 200€HT/h</w:t>
            </w:r>
            <w:r w:rsidRPr="00CA2B66">
              <w:rPr>
                <w:sz w:val="21"/>
                <w:szCs w:val="21"/>
              </w:rPr>
              <w:br/>
              <w:t>- C3 : 100€HT/h</w:t>
            </w:r>
          </w:p>
        </w:tc>
      </w:tr>
      <w:tr w:rsidR="00CA2B66" w:rsidRPr="00CA2B66" w14:paraId="1B151F51" w14:textId="77777777" w:rsidTr="00CA2B66">
        <w:trPr>
          <w:trHeight w:val="1602"/>
        </w:trPr>
        <w:tc>
          <w:tcPr>
            <w:tcW w:w="645" w:type="dxa"/>
            <w:hideMark/>
          </w:tcPr>
          <w:p w14:paraId="61AE838F" w14:textId="77777777" w:rsidR="00CA2B66" w:rsidRPr="00CA2B66" w:rsidRDefault="00CA2B66">
            <w:pPr>
              <w:jc w:val="center"/>
              <w:rPr>
                <w:b/>
                <w:bCs/>
                <w:sz w:val="21"/>
                <w:szCs w:val="21"/>
              </w:rPr>
            </w:pPr>
            <w:r w:rsidRPr="00CA2B66">
              <w:rPr>
                <w:b/>
                <w:bCs/>
                <w:sz w:val="21"/>
                <w:szCs w:val="21"/>
              </w:rPr>
              <w:t>2c</w:t>
            </w:r>
          </w:p>
        </w:tc>
        <w:tc>
          <w:tcPr>
            <w:tcW w:w="1709" w:type="dxa"/>
            <w:hideMark/>
          </w:tcPr>
          <w:p w14:paraId="7EF9EF32" w14:textId="77777777" w:rsidR="00CA2B66" w:rsidRPr="00CA2B66" w:rsidRDefault="00CA2B66" w:rsidP="00CA2B66">
            <w:pPr>
              <w:jc w:val="center"/>
              <w:rPr>
                <w:sz w:val="21"/>
                <w:szCs w:val="21"/>
              </w:rPr>
            </w:pPr>
            <w:r w:rsidRPr="00CA2B66">
              <w:rPr>
                <w:sz w:val="21"/>
                <w:szCs w:val="21"/>
              </w:rPr>
              <w:t>Respect des délais de remise en service</w:t>
            </w:r>
          </w:p>
        </w:tc>
        <w:tc>
          <w:tcPr>
            <w:tcW w:w="3995" w:type="dxa"/>
            <w:hideMark/>
          </w:tcPr>
          <w:p w14:paraId="555A40BB" w14:textId="4EA734EF"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0272319C"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71E5E1D2" w14:textId="77777777" w:rsidR="00CA2B66" w:rsidRPr="00CA2B66" w:rsidRDefault="00CA2B66" w:rsidP="00CA2B66">
            <w:pPr>
              <w:jc w:val="center"/>
              <w:rPr>
                <w:sz w:val="21"/>
                <w:szCs w:val="21"/>
              </w:rPr>
            </w:pPr>
            <w:r w:rsidRPr="00CA2B66">
              <w:rPr>
                <w:sz w:val="21"/>
                <w:szCs w:val="21"/>
              </w:rPr>
              <w:t xml:space="preserve">Fonction criticité en €HT/h de dépassement au </w:t>
            </w:r>
            <w:r w:rsidRPr="00776FF9">
              <w:rPr>
                <w:i/>
                <w:iCs/>
                <w:sz w:val="21"/>
                <w:szCs w:val="21"/>
              </w:rPr>
              <w:t xml:space="preserve">prorata </w:t>
            </w:r>
            <w:proofErr w:type="spellStart"/>
            <w:r w:rsidRPr="00776FF9">
              <w:rPr>
                <w:i/>
                <w:iCs/>
                <w:sz w:val="21"/>
                <w:szCs w:val="21"/>
              </w:rPr>
              <w:t>temporis</w:t>
            </w:r>
            <w:proofErr w:type="spellEnd"/>
            <w:r w:rsidRPr="00CA2B66">
              <w:rPr>
                <w:sz w:val="21"/>
                <w:szCs w:val="21"/>
              </w:rPr>
              <w:br/>
              <w:t>- C1 : 400€HT/h</w:t>
            </w:r>
            <w:r w:rsidRPr="00CA2B66">
              <w:rPr>
                <w:sz w:val="21"/>
                <w:szCs w:val="21"/>
              </w:rPr>
              <w:br/>
              <w:t>- C2 : 200€HT/h</w:t>
            </w:r>
            <w:r w:rsidRPr="00CA2B66">
              <w:rPr>
                <w:sz w:val="21"/>
                <w:szCs w:val="21"/>
              </w:rPr>
              <w:br/>
              <w:t>- C3 : 100€HT/h</w:t>
            </w:r>
          </w:p>
        </w:tc>
      </w:tr>
      <w:tr w:rsidR="00CA2B66" w:rsidRPr="00CA2B66" w14:paraId="4175B01C" w14:textId="77777777" w:rsidTr="00CA2B66">
        <w:trPr>
          <w:trHeight w:val="300"/>
        </w:trPr>
        <w:tc>
          <w:tcPr>
            <w:tcW w:w="645" w:type="dxa"/>
            <w:hideMark/>
          </w:tcPr>
          <w:p w14:paraId="145F31BB" w14:textId="77777777" w:rsidR="00CA2B66" w:rsidRPr="00CA2B66" w:rsidRDefault="00CA2B66">
            <w:pPr>
              <w:jc w:val="center"/>
              <w:rPr>
                <w:b/>
                <w:bCs/>
                <w:sz w:val="21"/>
                <w:szCs w:val="21"/>
              </w:rPr>
            </w:pPr>
            <w:r w:rsidRPr="00CA2B66">
              <w:rPr>
                <w:b/>
                <w:bCs/>
                <w:sz w:val="21"/>
                <w:szCs w:val="21"/>
              </w:rPr>
              <w:t>3</w:t>
            </w:r>
          </w:p>
        </w:tc>
        <w:tc>
          <w:tcPr>
            <w:tcW w:w="1709" w:type="dxa"/>
            <w:hideMark/>
          </w:tcPr>
          <w:p w14:paraId="23039B77" w14:textId="77777777" w:rsidR="00CA2B66" w:rsidRPr="00CA2B66" w:rsidRDefault="00CA2B66" w:rsidP="00CA2B66">
            <w:pPr>
              <w:jc w:val="center"/>
              <w:rPr>
                <w:b/>
                <w:bCs/>
                <w:sz w:val="21"/>
                <w:szCs w:val="21"/>
                <w:u w:val="single"/>
              </w:rPr>
            </w:pPr>
            <w:r w:rsidRPr="00CA2B66">
              <w:rPr>
                <w:b/>
                <w:bCs/>
                <w:sz w:val="21"/>
                <w:szCs w:val="21"/>
                <w:u w:val="single"/>
              </w:rPr>
              <w:t>Taux de disponibilité</w:t>
            </w:r>
          </w:p>
        </w:tc>
        <w:tc>
          <w:tcPr>
            <w:tcW w:w="3995" w:type="dxa"/>
            <w:hideMark/>
          </w:tcPr>
          <w:p w14:paraId="5C6FF779" w14:textId="77777777" w:rsidR="00CA2B66" w:rsidRPr="00CA2B66" w:rsidRDefault="00CA2B66" w:rsidP="00CA2B66">
            <w:pPr>
              <w:jc w:val="center"/>
              <w:rPr>
                <w:sz w:val="21"/>
                <w:szCs w:val="21"/>
              </w:rPr>
            </w:pPr>
            <w:r w:rsidRPr="00CA2B66">
              <w:rPr>
                <w:sz w:val="21"/>
                <w:szCs w:val="21"/>
              </w:rPr>
              <w:t> </w:t>
            </w:r>
          </w:p>
        </w:tc>
        <w:tc>
          <w:tcPr>
            <w:tcW w:w="1129" w:type="dxa"/>
            <w:noWrap/>
            <w:hideMark/>
          </w:tcPr>
          <w:p w14:paraId="4E75D597" w14:textId="77777777" w:rsidR="00CA2B66" w:rsidRPr="00CA2B66" w:rsidRDefault="00CA2B66" w:rsidP="00CA2B66">
            <w:pPr>
              <w:jc w:val="center"/>
              <w:rPr>
                <w:sz w:val="21"/>
                <w:szCs w:val="21"/>
              </w:rPr>
            </w:pPr>
            <w:r w:rsidRPr="00CA2B66">
              <w:rPr>
                <w:sz w:val="21"/>
                <w:szCs w:val="21"/>
              </w:rPr>
              <w:t> </w:t>
            </w:r>
          </w:p>
        </w:tc>
        <w:tc>
          <w:tcPr>
            <w:tcW w:w="2773" w:type="dxa"/>
            <w:noWrap/>
            <w:hideMark/>
          </w:tcPr>
          <w:p w14:paraId="198FECA2" w14:textId="77777777" w:rsidR="00CA2B66" w:rsidRPr="00CA2B66" w:rsidRDefault="00CA2B66" w:rsidP="00CA2B66">
            <w:pPr>
              <w:jc w:val="center"/>
              <w:rPr>
                <w:sz w:val="21"/>
                <w:szCs w:val="21"/>
              </w:rPr>
            </w:pPr>
            <w:r w:rsidRPr="00CA2B66">
              <w:rPr>
                <w:sz w:val="21"/>
                <w:szCs w:val="21"/>
              </w:rPr>
              <w:t> </w:t>
            </w:r>
          </w:p>
        </w:tc>
      </w:tr>
      <w:tr w:rsidR="00CA2B66" w:rsidRPr="00CA2B66" w14:paraId="765FC9A0" w14:textId="77777777" w:rsidTr="00CA2B66">
        <w:trPr>
          <w:trHeight w:val="640"/>
        </w:trPr>
        <w:tc>
          <w:tcPr>
            <w:tcW w:w="645" w:type="dxa"/>
            <w:hideMark/>
          </w:tcPr>
          <w:p w14:paraId="5AF1F0EC" w14:textId="77777777" w:rsidR="00CA2B66" w:rsidRPr="00CA2B66" w:rsidRDefault="00CA2B66" w:rsidP="00CA2B66">
            <w:pPr>
              <w:jc w:val="center"/>
              <w:rPr>
                <w:sz w:val="21"/>
                <w:szCs w:val="21"/>
              </w:rPr>
            </w:pPr>
            <w:r w:rsidRPr="00CA2B66">
              <w:rPr>
                <w:sz w:val="21"/>
                <w:szCs w:val="21"/>
              </w:rPr>
              <w:t>3a</w:t>
            </w:r>
          </w:p>
        </w:tc>
        <w:tc>
          <w:tcPr>
            <w:tcW w:w="1709" w:type="dxa"/>
            <w:hideMark/>
          </w:tcPr>
          <w:p w14:paraId="0EB463E8" w14:textId="77777777" w:rsidR="00CA2B66" w:rsidRPr="00CA2B66" w:rsidRDefault="00CA2B66" w:rsidP="00CA2B66">
            <w:pPr>
              <w:jc w:val="center"/>
              <w:rPr>
                <w:sz w:val="21"/>
                <w:szCs w:val="21"/>
              </w:rPr>
            </w:pPr>
            <w:r w:rsidRPr="00CA2B66">
              <w:rPr>
                <w:sz w:val="21"/>
                <w:szCs w:val="21"/>
              </w:rPr>
              <w:t>Température des locaux conforme au programme fonctionnel</w:t>
            </w:r>
          </w:p>
        </w:tc>
        <w:tc>
          <w:tcPr>
            <w:tcW w:w="3995" w:type="dxa"/>
            <w:hideMark/>
          </w:tcPr>
          <w:p w14:paraId="39696A69" w14:textId="0F78571B"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1C2421A7"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312BBF89" w14:textId="09632F76" w:rsidR="00CA2B66" w:rsidRPr="00CA2B66" w:rsidRDefault="00CA2B66" w:rsidP="00CA2B66">
            <w:pPr>
              <w:jc w:val="center"/>
              <w:rPr>
                <w:sz w:val="21"/>
                <w:szCs w:val="21"/>
              </w:rPr>
            </w:pPr>
            <w:r w:rsidRPr="00CA2B66">
              <w:rPr>
                <w:sz w:val="21"/>
                <w:szCs w:val="21"/>
              </w:rPr>
              <w:t xml:space="preserve">5000€HT/ % en </w:t>
            </w:r>
            <w:r w:rsidR="00776FF9" w:rsidRPr="00CA2B66">
              <w:rPr>
                <w:sz w:val="21"/>
                <w:szCs w:val="21"/>
              </w:rPr>
              <w:t>deçà</w:t>
            </w:r>
            <w:r w:rsidRPr="00CA2B66">
              <w:rPr>
                <w:sz w:val="21"/>
                <w:szCs w:val="21"/>
              </w:rPr>
              <w:t xml:space="preserve"> de l'objectif sur locaux communs</w:t>
            </w:r>
            <w:r w:rsidRPr="00CA2B66">
              <w:rPr>
                <w:sz w:val="21"/>
                <w:szCs w:val="21"/>
              </w:rPr>
              <w:br/>
              <w:t xml:space="preserve">20000€HT/ % en </w:t>
            </w:r>
            <w:r w:rsidR="00776FF9" w:rsidRPr="00CA2B66">
              <w:rPr>
                <w:sz w:val="21"/>
                <w:szCs w:val="21"/>
              </w:rPr>
              <w:t>deçà</w:t>
            </w:r>
            <w:r w:rsidRPr="00CA2B66">
              <w:rPr>
                <w:sz w:val="21"/>
                <w:szCs w:val="21"/>
              </w:rPr>
              <w:t xml:space="preserve"> de l'objectif sur salles data et LAD</w:t>
            </w:r>
          </w:p>
        </w:tc>
      </w:tr>
      <w:tr w:rsidR="00CA2B66" w:rsidRPr="00CA2B66" w14:paraId="3D071D33" w14:textId="77777777" w:rsidTr="00CA2B66">
        <w:trPr>
          <w:trHeight w:val="640"/>
        </w:trPr>
        <w:tc>
          <w:tcPr>
            <w:tcW w:w="645" w:type="dxa"/>
            <w:hideMark/>
          </w:tcPr>
          <w:p w14:paraId="53C6FDAE" w14:textId="77777777" w:rsidR="00CA2B66" w:rsidRPr="00CA2B66" w:rsidRDefault="00CA2B66" w:rsidP="00CA2B66">
            <w:pPr>
              <w:jc w:val="center"/>
              <w:rPr>
                <w:sz w:val="21"/>
                <w:szCs w:val="21"/>
              </w:rPr>
            </w:pPr>
            <w:r w:rsidRPr="00CA2B66">
              <w:rPr>
                <w:sz w:val="21"/>
                <w:szCs w:val="21"/>
              </w:rPr>
              <w:t>3b</w:t>
            </w:r>
          </w:p>
        </w:tc>
        <w:tc>
          <w:tcPr>
            <w:tcW w:w="1709" w:type="dxa"/>
            <w:hideMark/>
          </w:tcPr>
          <w:p w14:paraId="13FECE1C" w14:textId="3F749712" w:rsidR="00CA2B66" w:rsidRPr="00CA2B66" w:rsidRDefault="00776FF9" w:rsidP="00CA2B66">
            <w:pPr>
              <w:jc w:val="center"/>
              <w:rPr>
                <w:sz w:val="21"/>
                <w:szCs w:val="21"/>
              </w:rPr>
            </w:pPr>
            <w:r w:rsidRPr="00CA2B66">
              <w:rPr>
                <w:sz w:val="21"/>
                <w:szCs w:val="21"/>
              </w:rPr>
              <w:t>Éclairage</w:t>
            </w:r>
          </w:p>
        </w:tc>
        <w:tc>
          <w:tcPr>
            <w:tcW w:w="3995" w:type="dxa"/>
            <w:hideMark/>
          </w:tcPr>
          <w:p w14:paraId="3135D01B" w14:textId="693A68D9"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787D5DAB"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7C7F5C5C" w14:textId="6D668985" w:rsidR="00CA2B66" w:rsidRPr="00CA2B66" w:rsidRDefault="00CA2B66" w:rsidP="00CA2B66">
            <w:pPr>
              <w:jc w:val="center"/>
              <w:rPr>
                <w:sz w:val="21"/>
                <w:szCs w:val="21"/>
              </w:rPr>
            </w:pPr>
            <w:r w:rsidRPr="00CA2B66">
              <w:rPr>
                <w:sz w:val="21"/>
                <w:szCs w:val="21"/>
              </w:rPr>
              <w:t xml:space="preserve">2000€HT/ % en </w:t>
            </w:r>
            <w:r w:rsidR="00776FF9" w:rsidRPr="00CA2B66">
              <w:rPr>
                <w:sz w:val="21"/>
                <w:szCs w:val="21"/>
              </w:rPr>
              <w:t>deçà</w:t>
            </w:r>
            <w:r w:rsidRPr="00CA2B66">
              <w:rPr>
                <w:sz w:val="21"/>
                <w:szCs w:val="21"/>
              </w:rPr>
              <w:t xml:space="preserve"> de l'objectif sur locaux communs</w:t>
            </w:r>
          </w:p>
        </w:tc>
      </w:tr>
      <w:tr w:rsidR="00CA2B66" w:rsidRPr="00CA2B66" w14:paraId="6532D57F" w14:textId="77777777" w:rsidTr="00CA2B66">
        <w:trPr>
          <w:trHeight w:val="640"/>
        </w:trPr>
        <w:tc>
          <w:tcPr>
            <w:tcW w:w="645" w:type="dxa"/>
            <w:hideMark/>
          </w:tcPr>
          <w:p w14:paraId="54F7F708" w14:textId="77777777" w:rsidR="00CA2B66" w:rsidRPr="00CA2B66" w:rsidRDefault="00CA2B66" w:rsidP="00CA2B66">
            <w:pPr>
              <w:jc w:val="center"/>
              <w:rPr>
                <w:sz w:val="21"/>
                <w:szCs w:val="21"/>
              </w:rPr>
            </w:pPr>
            <w:r w:rsidRPr="00CA2B66">
              <w:rPr>
                <w:sz w:val="21"/>
                <w:szCs w:val="21"/>
              </w:rPr>
              <w:t>3b</w:t>
            </w:r>
          </w:p>
        </w:tc>
        <w:tc>
          <w:tcPr>
            <w:tcW w:w="1709" w:type="dxa"/>
            <w:hideMark/>
          </w:tcPr>
          <w:p w14:paraId="47CCCF03" w14:textId="0A56D85B" w:rsidR="00CA2B66" w:rsidRPr="00CA2B66" w:rsidRDefault="00776FF9" w:rsidP="00CA2B66">
            <w:pPr>
              <w:jc w:val="center"/>
              <w:rPr>
                <w:sz w:val="21"/>
                <w:szCs w:val="21"/>
              </w:rPr>
            </w:pPr>
            <w:r w:rsidRPr="00CA2B66">
              <w:rPr>
                <w:sz w:val="21"/>
                <w:szCs w:val="21"/>
              </w:rPr>
              <w:t>Électricité</w:t>
            </w:r>
            <w:r w:rsidR="00CA2B66" w:rsidRPr="00CA2B66">
              <w:rPr>
                <w:sz w:val="21"/>
                <w:szCs w:val="21"/>
              </w:rPr>
              <w:t xml:space="preserve"> (NQ et HQ)</w:t>
            </w:r>
          </w:p>
        </w:tc>
        <w:tc>
          <w:tcPr>
            <w:tcW w:w="3995" w:type="dxa"/>
            <w:hideMark/>
          </w:tcPr>
          <w:p w14:paraId="172E8F84" w14:textId="7EDADB62"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7044843B"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0F91BE01" w14:textId="5361E4FF" w:rsidR="00CA2B66" w:rsidRPr="00CA2B66" w:rsidRDefault="00CA2B66" w:rsidP="00CA2B66">
            <w:pPr>
              <w:jc w:val="center"/>
              <w:rPr>
                <w:sz w:val="21"/>
                <w:szCs w:val="21"/>
              </w:rPr>
            </w:pPr>
            <w:r w:rsidRPr="00CA2B66">
              <w:rPr>
                <w:sz w:val="21"/>
                <w:szCs w:val="21"/>
              </w:rPr>
              <w:t xml:space="preserve">10000€HT/ % en </w:t>
            </w:r>
            <w:r w:rsidR="00776FF9" w:rsidRPr="00CA2B66">
              <w:rPr>
                <w:sz w:val="21"/>
                <w:szCs w:val="21"/>
              </w:rPr>
              <w:t>deçà</w:t>
            </w:r>
            <w:r w:rsidRPr="00CA2B66">
              <w:rPr>
                <w:sz w:val="21"/>
                <w:szCs w:val="21"/>
              </w:rPr>
              <w:t xml:space="preserve"> de l'objectif sur locaux communs</w:t>
            </w:r>
            <w:r w:rsidRPr="00CA2B66">
              <w:rPr>
                <w:sz w:val="21"/>
                <w:szCs w:val="21"/>
              </w:rPr>
              <w:br/>
              <w:t xml:space="preserve">20000€HT/ % en </w:t>
            </w:r>
            <w:r w:rsidR="00776FF9" w:rsidRPr="00CA2B66">
              <w:rPr>
                <w:sz w:val="21"/>
                <w:szCs w:val="21"/>
              </w:rPr>
              <w:t>deçà</w:t>
            </w:r>
            <w:r w:rsidRPr="00CA2B66">
              <w:rPr>
                <w:sz w:val="21"/>
                <w:szCs w:val="21"/>
              </w:rPr>
              <w:t xml:space="preserve"> de </w:t>
            </w:r>
            <w:r w:rsidRPr="00CA2B66">
              <w:rPr>
                <w:sz w:val="21"/>
                <w:szCs w:val="21"/>
              </w:rPr>
              <w:lastRenderedPageBreak/>
              <w:t>l'objectif sur salles data et LAD</w:t>
            </w:r>
          </w:p>
        </w:tc>
      </w:tr>
      <w:tr w:rsidR="00CA2B66" w:rsidRPr="00CA2B66" w14:paraId="292CFEEE" w14:textId="77777777" w:rsidTr="00CA2B66">
        <w:trPr>
          <w:trHeight w:val="640"/>
        </w:trPr>
        <w:tc>
          <w:tcPr>
            <w:tcW w:w="645" w:type="dxa"/>
            <w:hideMark/>
          </w:tcPr>
          <w:p w14:paraId="6A355E9F" w14:textId="77777777" w:rsidR="00CA2B66" w:rsidRPr="00CA2B66" w:rsidRDefault="00CA2B66" w:rsidP="00CA2B66">
            <w:pPr>
              <w:jc w:val="center"/>
              <w:rPr>
                <w:sz w:val="21"/>
                <w:szCs w:val="21"/>
              </w:rPr>
            </w:pPr>
            <w:r w:rsidRPr="00CA2B66">
              <w:rPr>
                <w:sz w:val="21"/>
                <w:szCs w:val="21"/>
              </w:rPr>
              <w:lastRenderedPageBreak/>
              <w:t>3c</w:t>
            </w:r>
          </w:p>
        </w:tc>
        <w:tc>
          <w:tcPr>
            <w:tcW w:w="1709" w:type="dxa"/>
            <w:hideMark/>
          </w:tcPr>
          <w:p w14:paraId="1C7BF2C6" w14:textId="77777777" w:rsidR="00CA2B66" w:rsidRPr="00CA2B66" w:rsidRDefault="00CA2B66" w:rsidP="00CA2B66">
            <w:pPr>
              <w:jc w:val="center"/>
              <w:rPr>
                <w:sz w:val="21"/>
                <w:szCs w:val="21"/>
              </w:rPr>
            </w:pPr>
            <w:r w:rsidRPr="00CA2B66">
              <w:rPr>
                <w:sz w:val="21"/>
                <w:szCs w:val="21"/>
              </w:rPr>
              <w:t>Renouvellement d’air hygiénique conforme au règlement sanitaire départemental</w:t>
            </w:r>
          </w:p>
        </w:tc>
        <w:tc>
          <w:tcPr>
            <w:tcW w:w="3995" w:type="dxa"/>
            <w:hideMark/>
          </w:tcPr>
          <w:p w14:paraId="5A1D56D1" w14:textId="77777777" w:rsidR="00CA2B66" w:rsidRPr="00CA2B66" w:rsidRDefault="00CA2B66" w:rsidP="00CA2B66">
            <w:pPr>
              <w:jc w:val="center"/>
              <w:rPr>
                <w:sz w:val="21"/>
                <w:szCs w:val="21"/>
              </w:rPr>
            </w:pPr>
            <w:r w:rsidRPr="00CA2B66">
              <w:rPr>
                <w:sz w:val="21"/>
                <w:szCs w:val="21"/>
              </w:rPr>
              <w:t>+20% à -5% à la bouche par rapport aux §"Conditions intérieures détaillées – débits de ventilation" de la pièces écrites CVC</w:t>
            </w:r>
          </w:p>
        </w:tc>
        <w:tc>
          <w:tcPr>
            <w:tcW w:w="1129" w:type="dxa"/>
            <w:noWrap/>
            <w:hideMark/>
          </w:tcPr>
          <w:p w14:paraId="3298754E"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1DD901F6" w14:textId="77777777" w:rsidR="00CA2B66" w:rsidRPr="00CA2B66" w:rsidRDefault="00CA2B66" w:rsidP="00CA2B66">
            <w:pPr>
              <w:jc w:val="center"/>
              <w:rPr>
                <w:sz w:val="21"/>
                <w:szCs w:val="21"/>
              </w:rPr>
            </w:pPr>
            <w:r w:rsidRPr="00CA2B66">
              <w:rPr>
                <w:sz w:val="21"/>
                <w:szCs w:val="21"/>
              </w:rPr>
              <w:t>1500€HT/constat/CTA</w:t>
            </w:r>
          </w:p>
        </w:tc>
      </w:tr>
      <w:tr w:rsidR="00CA2B66" w:rsidRPr="00CA2B66" w14:paraId="0228E58F" w14:textId="77777777" w:rsidTr="00CA2B66">
        <w:trPr>
          <w:trHeight w:val="640"/>
        </w:trPr>
        <w:tc>
          <w:tcPr>
            <w:tcW w:w="645" w:type="dxa"/>
            <w:hideMark/>
          </w:tcPr>
          <w:p w14:paraId="3E3CABA8" w14:textId="77777777" w:rsidR="00CA2B66" w:rsidRPr="00CA2B66" w:rsidRDefault="00CA2B66" w:rsidP="00CA2B66">
            <w:pPr>
              <w:jc w:val="center"/>
              <w:rPr>
                <w:sz w:val="21"/>
                <w:szCs w:val="21"/>
              </w:rPr>
            </w:pPr>
            <w:r w:rsidRPr="00CA2B66">
              <w:rPr>
                <w:sz w:val="21"/>
                <w:szCs w:val="21"/>
              </w:rPr>
              <w:t>3d</w:t>
            </w:r>
          </w:p>
        </w:tc>
        <w:tc>
          <w:tcPr>
            <w:tcW w:w="1709" w:type="dxa"/>
            <w:hideMark/>
          </w:tcPr>
          <w:p w14:paraId="3892128A" w14:textId="77777777" w:rsidR="00CA2B66" w:rsidRPr="00CA2B66" w:rsidRDefault="00CA2B66" w:rsidP="00CA2B66">
            <w:pPr>
              <w:jc w:val="center"/>
              <w:rPr>
                <w:sz w:val="21"/>
                <w:szCs w:val="21"/>
              </w:rPr>
            </w:pPr>
            <w:r w:rsidRPr="00CA2B66">
              <w:rPr>
                <w:sz w:val="21"/>
                <w:szCs w:val="21"/>
              </w:rPr>
              <w:t>Fonctionnement du système d’occultation en fonction du programme fonctionnel</w:t>
            </w:r>
          </w:p>
        </w:tc>
        <w:tc>
          <w:tcPr>
            <w:tcW w:w="3995" w:type="dxa"/>
            <w:hideMark/>
          </w:tcPr>
          <w:p w14:paraId="56DE0F0C" w14:textId="77777777" w:rsidR="00CA2B66" w:rsidRPr="00CA2B66" w:rsidRDefault="00CA2B66" w:rsidP="00CA2B66">
            <w:pPr>
              <w:jc w:val="center"/>
              <w:rPr>
                <w:sz w:val="21"/>
                <w:szCs w:val="21"/>
              </w:rPr>
            </w:pPr>
            <w:r w:rsidRPr="00CA2B66">
              <w:rPr>
                <w:sz w:val="21"/>
                <w:szCs w:val="21"/>
              </w:rPr>
              <w:t>100% fonctionnel</w:t>
            </w:r>
          </w:p>
        </w:tc>
        <w:tc>
          <w:tcPr>
            <w:tcW w:w="1129" w:type="dxa"/>
            <w:noWrap/>
            <w:hideMark/>
          </w:tcPr>
          <w:p w14:paraId="1FF4342D"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76825CA4" w14:textId="77777777" w:rsidR="00CA2B66" w:rsidRPr="00CA2B66" w:rsidRDefault="00CA2B66" w:rsidP="00CA2B66">
            <w:pPr>
              <w:jc w:val="center"/>
              <w:rPr>
                <w:sz w:val="21"/>
                <w:szCs w:val="21"/>
              </w:rPr>
            </w:pPr>
            <w:r w:rsidRPr="00CA2B66">
              <w:rPr>
                <w:sz w:val="21"/>
                <w:szCs w:val="21"/>
              </w:rPr>
              <w:t>1500€HT/constat</w:t>
            </w:r>
          </w:p>
        </w:tc>
      </w:tr>
      <w:tr w:rsidR="00CA2B66" w:rsidRPr="00CA2B66" w14:paraId="67CDEDBE" w14:textId="77777777" w:rsidTr="00CA2B66">
        <w:trPr>
          <w:trHeight w:val="640"/>
        </w:trPr>
        <w:tc>
          <w:tcPr>
            <w:tcW w:w="645" w:type="dxa"/>
            <w:hideMark/>
          </w:tcPr>
          <w:p w14:paraId="75FB5AAA" w14:textId="77777777" w:rsidR="00CA2B66" w:rsidRPr="00CA2B66" w:rsidRDefault="00CA2B66">
            <w:pPr>
              <w:jc w:val="center"/>
              <w:rPr>
                <w:b/>
                <w:bCs/>
                <w:sz w:val="21"/>
                <w:szCs w:val="21"/>
              </w:rPr>
            </w:pPr>
            <w:r w:rsidRPr="00CA2B66">
              <w:rPr>
                <w:b/>
                <w:bCs/>
                <w:sz w:val="21"/>
                <w:szCs w:val="21"/>
              </w:rPr>
              <w:t>4</w:t>
            </w:r>
          </w:p>
        </w:tc>
        <w:tc>
          <w:tcPr>
            <w:tcW w:w="1709" w:type="dxa"/>
            <w:hideMark/>
          </w:tcPr>
          <w:p w14:paraId="46D2230C" w14:textId="77777777" w:rsidR="00CA2B66" w:rsidRPr="00CA2B66" w:rsidRDefault="00CA2B66" w:rsidP="00CA2B66">
            <w:pPr>
              <w:jc w:val="center"/>
              <w:rPr>
                <w:sz w:val="21"/>
                <w:szCs w:val="21"/>
              </w:rPr>
            </w:pPr>
            <w:r w:rsidRPr="00CA2B66">
              <w:rPr>
                <w:sz w:val="21"/>
                <w:szCs w:val="21"/>
              </w:rPr>
              <w:t>Disponibilité des équipements majeurs de l’ouvrage.</w:t>
            </w:r>
          </w:p>
        </w:tc>
        <w:tc>
          <w:tcPr>
            <w:tcW w:w="3995" w:type="dxa"/>
            <w:hideMark/>
          </w:tcPr>
          <w:p w14:paraId="0697545C" w14:textId="62B97F30"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768C0E75"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761391D1" w14:textId="26545E55" w:rsidR="00CA2B66" w:rsidRPr="00CA2B66" w:rsidRDefault="00CA2B66" w:rsidP="00CA2B66">
            <w:pPr>
              <w:jc w:val="center"/>
              <w:rPr>
                <w:sz w:val="21"/>
                <w:szCs w:val="21"/>
              </w:rPr>
            </w:pPr>
            <w:r w:rsidRPr="00CA2B66">
              <w:rPr>
                <w:sz w:val="21"/>
                <w:szCs w:val="21"/>
              </w:rPr>
              <w:t xml:space="preserve">10000€HT/ % en </w:t>
            </w:r>
            <w:r w:rsidR="00776FF9" w:rsidRPr="00CA2B66">
              <w:rPr>
                <w:sz w:val="21"/>
                <w:szCs w:val="21"/>
              </w:rPr>
              <w:t>deçà</w:t>
            </w:r>
            <w:r w:rsidRPr="00CA2B66">
              <w:rPr>
                <w:sz w:val="21"/>
                <w:szCs w:val="21"/>
              </w:rPr>
              <w:t xml:space="preserve"> de l'objectif</w:t>
            </w:r>
          </w:p>
        </w:tc>
      </w:tr>
      <w:tr w:rsidR="00CA2B66" w:rsidRPr="00CA2B66" w14:paraId="323F4B6F" w14:textId="77777777" w:rsidTr="00CA2B66">
        <w:trPr>
          <w:trHeight w:val="640"/>
        </w:trPr>
        <w:tc>
          <w:tcPr>
            <w:tcW w:w="645" w:type="dxa"/>
            <w:hideMark/>
          </w:tcPr>
          <w:p w14:paraId="622684BD" w14:textId="77777777" w:rsidR="00CA2B66" w:rsidRPr="00CA2B66" w:rsidRDefault="00CA2B66">
            <w:pPr>
              <w:jc w:val="center"/>
              <w:rPr>
                <w:b/>
                <w:bCs/>
                <w:sz w:val="21"/>
                <w:szCs w:val="21"/>
              </w:rPr>
            </w:pPr>
            <w:r w:rsidRPr="00CA2B66">
              <w:rPr>
                <w:b/>
                <w:bCs/>
                <w:sz w:val="21"/>
                <w:szCs w:val="21"/>
              </w:rPr>
              <w:t>5</w:t>
            </w:r>
          </w:p>
        </w:tc>
        <w:tc>
          <w:tcPr>
            <w:tcW w:w="1709" w:type="dxa"/>
            <w:hideMark/>
          </w:tcPr>
          <w:p w14:paraId="7ABF2404" w14:textId="77777777" w:rsidR="00CA2B66" w:rsidRPr="00CA2B66" w:rsidRDefault="00CA2B66" w:rsidP="00CA2B66">
            <w:pPr>
              <w:jc w:val="center"/>
              <w:rPr>
                <w:sz w:val="21"/>
                <w:szCs w:val="21"/>
              </w:rPr>
            </w:pPr>
            <w:r w:rsidRPr="00CA2B66">
              <w:rPr>
                <w:sz w:val="21"/>
                <w:szCs w:val="21"/>
              </w:rPr>
              <w:t>Maintien de l’activité du site pendant toute la période de travaux prévus au plan de G.</w:t>
            </w:r>
            <w:proofErr w:type="gramStart"/>
            <w:r w:rsidRPr="00CA2B66">
              <w:rPr>
                <w:sz w:val="21"/>
                <w:szCs w:val="21"/>
              </w:rPr>
              <w:t>E.R</w:t>
            </w:r>
            <w:proofErr w:type="gramEnd"/>
          </w:p>
        </w:tc>
        <w:tc>
          <w:tcPr>
            <w:tcW w:w="3995" w:type="dxa"/>
            <w:hideMark/>
          </w:tcPr>
          <w:p w14:paraId="11D5BA19" w14:textId="77777777" w:rsidR="00CA2B66" w:rsidRPr="00CA2B66" w:rsidRDefault="00CA2B66" w:rsidP="00CA2B66">
            <w:pPr>
              <w:jc w:val="center"/>
              <w:rPr>
                <w:sz w:val="21"/>
                <w:szCs w:val="21"/>
              </w:rPr>
            </w:pPr>
            <w:proofErr w:type="gramStart"/>
            <w:r w:rsidRPr="00CA2B66">
              <w:rPr>
                <w:sz w:val="21"/>
                <w:szCs w:val="21"/>
              </w:rPr>
              <w:t>idem</w:t>
            </w:r>
            <w:proofErr w:type="gramEnd"/>
            <w:r w:rsidRPr="00CA2B66">
              <w:rPr>
                <w:sz w:val="21"/>
                <w:szCs w:val="21"/>
              </w:rPr>
              <w:t xml:space="preserve"> taux de disponibilité des utilités par espaces</w:t>
            </w:r>
          </w:p>
        </w:tc>
        <w:tc>
          <w:tcPr>
            <w:tcW w:w="1129" w:type="dxa"/>
            <w:noWrap/>
            <w:hideMark/>
          </w:tcPr>
          <w:p w14:paraId="4F51024F"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71D27780" w14:textId="0163A557" w:rsidR="00CA2B66" w:rsidRPr="00CA2B66" w:rsidRDefault="00CA2B66" w:rsidP="00CA2B66">
            <w:pPr>
              <w:jc w:val="center"/>
              <w:rPr>
                <w:sz w:val="21"/>
                <w:szCs w:val="21"/>
              </w:rPr>
            </w:pPr>
            <w:r w:rsidRPr="00CA2B66">
              <w:rPr>
                <w:sz w:val="21"/>
                <w:szCs w:val="21"/>
              </w:rPr>
              <w:t xml:space="preserve">5000€HT/ % en </w:t>
            </w:r>
            <w:r w:rsidR="00776FF9" w:rsidRPr="00CA2B66">
              <w:rPr>
                <w:sz w:val="21"/>
                <w:szCs w:val="21"/>
              </w:rPr>
              <w:t>deçà</w:t>
            </w:r>
            <w:r w:rsidRPr="00CA2B66">
              <w:rPr>
                <w:sz w:val="21"/>
                <w:szCs w:val="21"/>
              </w:rPr>
              <w:t xml:space="preserve"> de l'objectif sur locaux communs</w:t>
            </w:r>
            <w:r w:rsidRPr="00CA2B66">
              <w:rPr>
                <w:sz w:val="21"/>
                <w:szCs w:val="21"/>
              </w:rPr>
              <w:br/>
              <w:t xml:space="preserve">20000€HT/ % en </w:t>
            </w:r>
            <w:r w:rsidR="00776FF9" w:rsidRPr="00CA2B66">
              <w:rPr>
                <w:sz w:val="21"/>
                <w:szCs w:val="21"/>
              </w:rPr>
              <w:t>deçà</w:t>
            </w:r>
            <w:r w:rsidRPr="00CA2B66">
              <w:rPr>
                <w:sz w:val="21"/>
                <w:szCs w:val="21"/>
              </w:rPr>
              <w:t xml:space="preserve"> de l'objectif sur salles data et LAD</w:t>
            </w:r>
          </w:p>
        </w:tc>
      </w:tr>
      <w:tr w:rsidR="00CA2B66" w:rsidRPr="00CA2B66" w14:paraId="6E580938" w14:textId="77777777" w:rsidTr="00CA2B66">
        <w:trPr>
          <w:trHeight w:val="640"/>
        </w:trPr>
        <w:tc>
          <w:tcPr>
            <w:tcW w:w="645" w:type="dxa"/>
            <w:hideMark/>
          </w:tcPr>
          <w:p w14:paraId="413DA463" w14:textId="77777777" w:rsidR="00CA2B66" w:rsidRPr="00CA2B66" w:rsidRDefault="00CA2B66">
            <w:pPr>
              <w:jc w:val="center"/>
              <w:rPr>
                <w:b/>
                <w:bCs/>
                <w:sz w:val="21"/>
                <w:szCs w:val="21"/>
              </w:rPr>
            </w:pPr>
            <w:r w:rsidRPr="00CA2B66">
              <w:rPr>
                <w:b/>
                <w:bCs/>
                <w:sz w:val="21"/>
                <w:szCs w:val="21"/>
              </w:rPr>
              <w:t>6</w:t>
            </w:r>
          </w:p>
        </w:tc>
        <w:tc>
          <w:tcPr>
            <w:tcW w:w="1709" w:type="dxa"/>
            <w:hideMark/>
          </w:tcPr>
          <w:p w14:paraId="74D8333E" w14:textId="77777777" w:rsidR="00CA2B66" w:rsidRPr="00CA2B66" w:rsidRDefault="00CA2B66" w:rsidP="00CA2B66">
            <w:pPr>
              <w:jc w:val="center"/>
              <w:rPr>
                <w:sz w:val="21"/>
                <w:szCs w:val="21"/>
              </w:rPr>
            </w:pPr>
            <w:r w:rsidRPr="00CA2B66">
              <w:rPr>
                <w:sz w:val="21"/>
                <w:szCs w:val="21"/>
              </w:rPr>
              <w:t>Retard à la réalisation du plan de G.</w:t>
            </w:r>
            <w:proofErr w:type="gramStart"/>
            <w:r w:rsidRPr="00CA2B66">
              <w:rPr>
                <w:sz w:val="21"/>
                <w:szCs w:val="21"/>
              </w:rPr>
              <w:t>E.R</w:t>
            </w:r>
            <w:proofErr w:type="gramEnd"/>
          </w:p>
        </w:tc>
        <w:tc>
          <w:tcPr>
            <w:tcW w:w="3995" w:type="dxa"/>
            <w:hideMark/>
          </w:tcPr>
          <w:p w14:paraId="2532C417" w14:textId="77777777" w:rsidR="00CA2B66" w:rsidRPr="00CA2B66" w:rsidRDefault="00CA2B66" w:rsidP="00CA2B66">
            <w:pPr>
              <w:jc w:val="center"/>
              <w:rPr>
                <w:sz w:val="21"/>
                <w:szCs w:val="21"/>
              </w:rPr>
            </w:pPr>
            <w:r w:rsidRPr="00CA2B66">
              <w:rPr>
                <w:sz w:val="21"/>
                <w:szCs w:val="21"/>
              </w:rPr>
              <w:t>Plan de G.E.R transmis et actualisé</w:t>
            </w:r>
          </w:p>
        </w:tc>
        <w:tc>
          <w:tcPr>
            <w:tcW w:w="1129" w:type="dxa"/>
            <w:noWrap/>
            <w:hideMark/>
          </w:tcPr>
          <w:p w14:paraId="279975DB"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454B21AF" w14:textId="77777777" w:rsidR="00CA2B66" w:rsidRPr="00CA2B66" w:rsidRDefault="00CA2B66" w:rsidP="00CA2B66">
            <w:pPr>
              <w:jc w:val="center"/>
              <w:rPr>
                <w:sz w:val="21"/>
                <w:szCs w:val="21"/>
              </w:rPr>
            </w:pPr>
            <w:r w:rsidRPr="00CA2B66">
              <w:rPr>
                <w:sz w:val="21"/>
                <w:szCs w:val="21"/>
              </w:rPr>
              <w:t>500€/jours par rapport à la date planifiée de remise du plan</w:t>
            </w:r>
          </w:p>
        </w:tc>
      </w:tr>
      <w:tr w:rsidR="00CA2B66" w:rsidRPr="00CA2B66" w14:paraId="570CB3C5" w14:textId="77777777" w:rsidTr="00CA2B66">
        <w:trPr>
          <w:trHeight w:val="1602"/>
        </w:trPr>
        <w:tc>
          <w:tcPr>
            <w:tcW w:w="645" w:type="dxa"/>
            <w:hideMark/>
          </w:tcPr>
          <w:p w14:paraId="42669098" w14:textId="77777777" w:rsidR="00CA2B66" w:rsidRPr="00CA2B66" w:rsidRDefault="00CA2B66">
            <w:pPr>
              <w:jc w:val="center"/>
              <w:rPr>
                <w:b/>
                <w:bCs/>
                <w:sz w:val="21"/>
                <w:szCs w:val="21"/>
              </w:rPr>
            </w:pPr>
            <w:r w:rsidRPr="00CA2B66">
              <w:rPr>
                <w:b/>
                <w:bCs/>
                <w:sz w:val="21"/>
                <w:szCs w:val="21"/>
              </w:rPr>
              <w:t>7</w:t>
            </w:r>
          </w:p>
        </w:tc>
        <w:tc>
          <w:tcPr>
            <w:tcW w:w="1709" w:type="dxa"/>
            <w:hideMark/>
          </w:tcPr>
          <w:p w14:paraId="73C5FC98" w14:textId="77777777" w:rsidR="00CA2B66" w:rsidRPr="00CA2B66" w:rsidRDefault="00CA2B66" w:rsidP="00CA2B66">
            <w:pPr>
              <w:jc w:val="center"/>
              <w:rPr>
                <w:sz w:val="21"/>
                <w:szCs w:val="21"/>
              </w:rPr>
            </w:pPr>
            <w:r w:rsidRPr="00CA2B66">
              <w:rPr>
                <w:sz w:val="21"/>
                <w:szCs w:val="21"/>
              </w:rPr>
              <w:t>Traitement des levées de réserves réglementaires</w:t>
            </w:r>
          </w:p>
        </w:tc>
        <w:tc>
          <w:tcPr>
            <w:tcW w:w="3995" w:type="dxa"/>
            <w:hideMark/>
          </w:tcPr>
          <w:p w14:paraId="0D784A35" w14:textId="77777777" w:rsidR="00CA2B66" w:rsidRPr="00CA2B66" w:rsidRDefault="00CA2B66" w:rsidP="00CA2B66">
            <w:pPr>
              <w:jc w:val="center"/>
              <w:rPr>
                <w:sz w:val="21"/>
                <w:szCs w:val="21"/>
              </w:rPr>
            </w:pPr>
            <w:r w:rsidRPr="00CA2B66">
              <w:rPr>
                <w:sz w:val="21"/>
                <w:szCs w:val="21"/>
              </w:rPr>
              <w:t>100% de traitement des levées de réserves issues des contrôles périodiques réglementaires.</w:t>
            </w:r>
          </w:p>
        </w:tc>
        <w:tc>
          <w:tcPr>
            <w:tcW w:w="1129" w:type="dxa"/>
            <w:noWrap/>
            <w:hideMark/>
          </w:tcPr>
          <w:p w14:paraId="5AC397D0" w14:textId="77777777" w:rsidR="00CA2B66" w:rsidRPr="00CA2B66" w:rsidRDefault="00CA2B66" w:rsidP="00CA2B66">
            <w:pPr>
              <w:jc w:val="center"/>
              <w:rPr>
                <w:sz w:val="21"/>
                <w:szCs w:val="21"/>
              </w:rPr>
            </w:pPr>
            <w:r w:rsidRPr="00CA2B66">
              <w:rPr>
                <w:sz w:val="21"/>
                <w:szCs w:val="21"/>
              </w:rPr>
              <w:t>Travaux + Post-Travaux</w:t>
            </w:r>
          </w:p>
        </w:tc>
        <w:tc>
          <w:tcPr>
            <w:tcW w:w="2773" w:type="dxa"/>
            <w:hideMark/>
          </w:tcPr>
          <w:p w14:paraId="1CA3E81F" w14:textId="77777777" w:rsidR="00CA2B66" w:rsidRPr="00CA2B66" w:rsidRDefault="00CA2B66" w:rsidP="00CA2B66">
            <w:pPr>
              <w:jc w:val="center"/>
              <w:rPr>
                <w:sz w:val="21"/>
                <w:szCs w:val="21"/>
              </w:rPr>
            </w:pPr>
            <w:proofErr w:type="gramStart"/>
            <w:r w:rsidRPr="00CA2B66">
              <w:rPr>
                <w:sz w:val="21"/>
                <w:szCs w:val="21"/>
              </w:rPr>
              <w:t>fonction</w:t>
            </w:r>
            <w:proofErr w:type="gramEnd"/>
            <w:r w:rsidRPr="00CA2B66">
              <w:rPr>
                <w:sz w:val="21"/>
                <w:szCs w:val="21"/>
              </w:rPr>
              <w:t xml:space="preserve"> criticité, en €HT/jrs de dépassement p/r planning de levée</w:t>
            </w:r>
            <w:r w:rsidRPr="00CA2B66">
              <w:rPr>
                <w:sz w:val="21"/>
                <w:szCs w:val="21"/>
              </w:rPr>
              <w:br/>
              <w:t>- N1 : 400€HT/jrs</w:t>
            </w:r>
            <w:r w:rsidRPr="00CA2B66">
              <w:rPr>
                <w:sz w:val="21"/>
                <w:szCs w:val="21"/>
              </w:rPr>
              <w:br/>
              <w:t>- N2 : 200€HT/jrs</w:t>
            </w:r>
            <w:r w:rsidRPr="00CA2B66">
              <w:rPr>
                <w:sz w:val="21"/>
                <w:szCs w:val="21"/>
              </w:rPr>
              <w:br/>
              <w:t>- N3 : 100€HT/jrs</w:t>
            </w:r>
          </w:p>
        </w:tc>
      </w:tr>
      <w:tr w:rsidR="00CA2B66" w:rsidRPr="00CA2B66" w14:paraId="2B6FF1F0" w14:textId="77777777" w:rsidTr="00CA2B66">
        <w:trPr>
          <w:trHeight w:val="961"/>
        </w:trPr>
        <w:tc>
          <w:tcPr>
            <w:tcW w:w="645" w:type="dxa"/>
            <w:hideMark/>
          </w:tcPr>
          <w:p w14:paraId="1D59637C" w14:textId="77777777" w:rsidR="00CA2B66" w:rsidRPr="00CA2B66" w:rsidRDefault="00CA2B66">
            <w:pPr>
              <w:jc w:val="center"/>
              <w:rPr>
                <w:b/>
                <w:bCs/>
                <w:sz w:val="21"/>
                <w:szCs w:val="21"/>
              </w:rPr>
            </w:pPr>
            <w:r w:rsidRPr="00CA2B66">
              <w:rPr>
                <w:b/>
                <w:bCs/>
                <w:sz w:val="21"/>
                <w:szCs w:val="21"/>
              </w:rPr>
              <w:t>8</w:t>
            </w:r>
          </w:p>
        </w:tc>
        <w:tc>
          <w:tcPr>
            <w:tcW w:w="1709" w:type="dxa"/>
            <w:hideMark/>
          </w:tcPr>
          <w:p w14:paraId="094A5A80" w14:textId="77777777" w:rsidR="00CA2B66" w:rsidRPr="00CA2B66" w:rsidRDefault="00CA2B66" w:rsidP="00CA2B66">
            <w:pPr>
              <w:jc w:val="center"/>
              <w:rPr>
                <w:sz w:val="21"/>
                <w:szCs w:val="21"/>
              </w:rPr>
            </w:pPr>
            <w:r w:rsidRPr="00CA2B66">
              <w:rPr>
                <w:sz w:val="21"/>
                <w:szCs w:val="21"/>
              </w:rPr>
              <w:t>Qualité de l’air</w:t>
            </w:r>
          </w:p>
        </w:tc>
        <w:tc>
          <w:tcPr>
            <w:tcW w:w="3995" w:type="dxa"/>
            <w:hideMark/>
          </w:tcPr>
          <w:p w14:paraId="047E9ACC" w14:textId="77777777" w:rsidR="00CA2B66" w:rsidRPr="00CA2B66" w:rsidRDefault="00CA2B66" w:rsidP="00CA2B66">
            <w:pPr>
              <w:jc w:val="center"/>
              <w:rPr>
                <w:sz w:val="21"/>
                <w:szCs w:val="21"/>
              </w:rPr>
            </w:pPr>
            <w:r w:rsidRPr="00CA2B66">
              <w:rPr>
                <w:sz w:val="21"/>
                <w:szCs w:val="21"/>
              </w:rPr>
              <w:t>100% des contrôles sont conformes aux niveaux exigés</w:t>
            </w:r>
          </w:p>
        </w:tc>
        <w:tc>
          <w:tcPr>
            <w:tcW w:w="1129" w:type="dxa"/>
            <w:noWrap/>
            <w:hideMark/>
          </w:tcPr>
          <w:p w14:paraId="080543BA"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4D03F236" w14:textId="77777777" w:rsidR="00CA2B66" w:rsidRPr="00CA2B66" w:rsidRDefault="00CA2B66" w:rsidP="00CA2B66">
            <w:pPr>
              <w:jc w:val="center"/>
              <w:rPr>
                <w:sz w:val="21"/>
                <w:szCs w:val="21"/>
              </w:rPr>
            </w:pPr>
            <w:r w:rsidRPr="00CA2B66">
              <w:rPr>
                <w:sz w:val="21"/>
                <w:szCs w:val="21"/>
              </w:rPr>
              <w:t>500€HT/constat</w:t>
            </w:r>
          </w:p>
        </w:tc>
      </w:tr>
      <w:tr w:rsidR="00CA2B66" w:rsidRPr="00CA2B66" w14:paraId="303DFE5B" w14:textId="77777777" w:rsidTr="00CA2B66">
        <w:trPr>
          <w:trHeight w:val="961"/>
        </w:trPr>
        <w:tc>
          <w:tcPr>
            <w:tcW w:w="645" w:type="dxa"/>
            <w:hideMark/>
          </w:tcPr>
          <w:p w14:paraId="00A14262" w14:textId="77777777" w:rsidR="00CA2B66" w:rsidRPr="00CA2B66" w:rsidRDefault="00CA2B66">
            <w:pPr>
              <w:jc w:val="center"/>
              <w:rPr>
                <w:b/>
                <w:bCs/>
                <w:sz w:val="21"/>
                <w:szCs w:val="21"/>
              </w:rPr>
            </w:pPr>
            <w:r w:rsidRPr="00CA2B66">
              <w:rPr>
                <w:b/>
                <w:bCs/>
                <w:sz w:val="21"/>
                <w:szCs w:val="21"/>
              </w:rPr>
              <w:t>9</w:t>
            </w:r>
          </w:p>
        </w:tc>
        <w:tc>
          <w:tcPr>
            <w:tcW w:w="1709" w:type="dxa"/>
            <w:hideMark/>
          </w:tcPr>
          <w:p w14:paraId="457C53F0" w14:textId="77777777" w:rsidR="00CA2B66" w:rsidRPr="00CA2B66" w:rsidRDefault="00CA2B66" w:rsidP="00CA2B66">
            <w:pPr>
              <w:jc w:val="center"/>
              <w:rPr>
                <w:sz w:val="21"/>
                <w:szCs w:val="21"/>
              </w:rPr>
            </w:pPr>
            <w:r w:rsidRPr="00CA2B66">
              <w:rPr>
                <w:sz w:val="21"/>
                <w:szCs w:val="21"/>
              </w:rPr>
              <w:t>Qualité de l’eau chaude sanitaire</w:t>
            </w:r>
          </w:p>
        </w:tc>
        <w:tc>
          <w:tcPr>
            <w:tcW w:w="3995" w:type="dxa"/>
            <w:hideMark/>
          </w:tcPr>
          <w:p w14:paraId="4DACE9B7" w14:textId="77777777" w:rsidR="00CA2B66" w:rsidRPr="00CA2B66" w:rsidRDefault="00CA2B66" w:rsidP="00CA2B66">
            <w:pPr>
              <w:jc w:val="center"/>
              <w:rPr>
                <w:sz w:val="21"/>
                <w:szCs w:val="21"/>
              </w:rPr>
            </w:pPr>
            <w:r w:rsidRPr="00CA2B66">
              <w:rPr>
                <w:sz w:val="21"/>
                <w:szCs w:val="21"/>
              </w:rPr>
              <w:t>100% des contrôles sont conformes aux niveaux exigés</w:t>
            </w:r>
          </w:p>
        </w:tc>
        <w:tc>
          <w:tcPr>
            <w:tcW w:w="1129" w:type="dxa"/>
            <w:noWrap/>
            <w:hideMark/>
          </w:tcPr>
          <w:p w14:paraId="7D8EFA60"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71284077" w14:textId="77777777" w:rsidR="00CA2B66" w:rsidRPr="00CA2B66" w:rsidRDefault="00CA2B66" w:rsidP="00CA2B66">
            <w:pPr>
              <w:jc w:val="center"/>
              <w:rPr>
                <w:sz w:val="21"/>
                <w:szCs w:val="21"/>
              </w:rPr>
            </w:pPr>
            <w:r w:rsidRPr="00CA2B66">
              <w:rPr>
                <w:sz w:val="21"/>
                <w:szCs w:val="21"/>
              </w:rPr>
              <w:t>500€HT/constat</w:t>
            </w:r>
          </w:p>
        </w:tc>
      </w:tr>
      <w:tr w:rsidR="00CA2B66" w:rsidRPr="00CA2B66" w14:paraId="1D67636C" w14:textId="77777777" w:rsidTr="00CA2B66">
        <w:trPr>
          <w:trHeight w:val="961"/>
        </w:trPr>
        <w:tc>
          <w:tcPr>
            <w:tcW w:w="645" w:type="dxa"/>
            <w:hideMark/>
          </w:tcPr>
          <w:p w14:paraId="5553BCE7" w14:textId="77777777" w:rsidR="00CA2B66" w:rsidRPr="00CA2B66" w:rsidRDefault="00CA2B66">
            <w:pPr>
              <w:jc w:val="center"/>
              <w:rPr>
                <w:b/>
                <w:bCs/>
                <w:sz w:val="21"/>
                <w:szCs w:val="21"/>
              </w:rPr>
            </w:pPr>
            <w:r w:rsidRPr="00CA2B66">
              <w:rPr>
                <w:b/>
                <w:bCs/>
                <w:sz w:val="21"/>
                <w:szCs w:val="21"/>
              </w:rPr>
              <w:t>10</w:t>
            </w:r>
          </w:p>
        </w:tc>
        <w:tc>
          <w:tcPr>
            <w:tcW w:w="1709" w:type="dxa"/>
            <w:hideMark/>
          </w:tcPr>
          <w:p w14:paraId="0882CD94" w14:textId="77777777" w:rsidR="00CA2B66" w:rsidRPr="00CA2B66" w:rsidRDefault="00CA2B66" w:rsidP="00CA2B66">
            <w:pPr>
              <w:jc w:val="center"/>
              <w:rPr>
                <w:sz w:val="21"/>
                <w:szCs w:val="21"/>
              </w:rPr>
            </w:pPr>
            <w:r w:rsidRPr="00CA2B66">
              <w:rPr>
                <w:sz w:val="21"/>
                <w:szCs w:val="21"/>
              </w:rPr>
              <w:t>Qualité de l’eau technique</w:t>
            </w:r>
          </w:p>
        </w:tc>
        <w:tc>
          <w:tcPr>
            <w:tcW w:w="3995" w:type="dxa"/>
            <w:hideMark/>
          </w:tcPr>
          <w:p w14:paraId="1D154A36" w14:textId="77777777" w:rsidR="00CA2B66" w:rsidRPr="00CA2B66" w:rsidRDefault="00CA2B66" w:rsidP="00CA2B66">
            <w:pPr>
              <w:jc w:val="center"/>
              <w:rPr>
                <w:sz w:val="21"/>
                <w:szCs w:val="21"/>
              </w:rPr>
            </w:pPr>
            <w:r w:rsidRPr="00CA2B66">
              <w:rPr>
                <w:sz w:val="21"/>
                <w:szCs w:val="21"/>
              </w:rPr>
              <w:t>100% des contrôles sont conformes aux niveaux exigés</w:t>
            </w:r>
          </w:p>
        </w:tc>
        <w:tc>
          <w:tcPr>
            <w:tcW w:w="1129" w:type="dxa"/>
            <w:noWrap/>
            <w:hideMark/>
          </w:tcPr>
          <w:p w14:paraId="54CCA9DF"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4A9DA8F4" w14:textId="77777777" w:rsidR="00CA2B66" w:rsidRPr="00CA2B66" w:rsidRDefault="00CA2B66" w:rsidP="00CA2B66">
            <w:pPr>
              <w:jc w:val="center"/>
              <w:rPr>
                <w:sz w:val="21"/>
                <w:szCs w:val="21"/>
              </w:rPr>
            </w:pPr>
            <w:r w:rsidRPr="00CA2B66">
              <w:rPr>
                <w:sz w:val="21"/>
                <w:szCs w:val="21"/>
              </w:rPr>
              <w:t>500€HT/constat</w:t>
            </w:r>
          </w:p>
        </w:tc>
      </w:tr>
      <w:tr w:rsidR="00CA2B66" w:rsidRPr="00CA2B66" w14:paraId="728D4735" w14:textId="77777777" w:rsidTr="00CA2B66">
        <w:trPr>
          <w:trHeight w:val="961"/>
        </w:trPr>
        <w:tc>
          <w:tcPr>
            <w:tcW w:w="645" w:type="dxa"/>
            <w:hideMark/>
          </w:tcPr>
          <w:p w14:paraId="225DE45A" w14:textId="77777777" w:rsidR="00CA2B66" w:rsidRPr="00CA2B66" w:rsidRDefault="00CA2B66">
            <w:pPr>
              <w:jc w:val="center"/>
              <w:rPr>
                <w:b/>
                <w:bCs/>
                <w:sz w:val="21"/>
                <w:szCs w:val="21"/>
              </w:rPr>
            </w:pPr>
            <w:r w:rsidRPr="00CA2B66">
              <w:rPr>
                <w:b/>
                <w:bCs/>
                <w:sz w:val="21"/>
                <w:szCs w:val="21"/>
              </w:rPr>
              <w:t>11</w:t>
            </w:r>
          </w:p>
        </w:tc>
        <w:tc>
          <w:tcPr>
            <w:tcW w:w="1709" w:type="dxa"/>
            <w:hideMark/>
          </w:tcPr>
          <w:p w14:paraId="070E1A6E" w14:textId="77777777" w:rsidR="00CA2B66" w:rsidRPr="00CA2B66" w:rsidRDefault="00CA2B66" w:rsidP="00CA2B66">
            <w:pPr>
              <w:jc w:val="center"/>
              <w:rPr>
                <w:sz w:val="21"/>
                <w:szCs w:val="21"/>
              </w:rPr>
            </w:pPr>
            <w:r w:rsidRPr="00CA2B66">
              <w:rPr>
                <w:sz w:val="21"/>
                <w:szCs w:val="21"/>
              </w:rPr>
              <w:t>Qualité de l’eau potable</w:t>
            </w:r>
          </w:p>
        </w:tc>
        <w:tc>
          <w:tcPr>
            <w:tcW w:w="3995" w:type="dxa"/>
            <w:hideMark/>
          </w:tcPr>
          <w:p w14:paraId="4318973F" w14:textId="77777777" w:rsidR="00CA2B66" w:rsidRPr="00CA2B66" w:rsidRDefault="00CA2B66" w:rsidP="00CA2B66">
            <w:pPr>
              <w:jc w:val="center"/>
              <w:rPr>
                <w:sz w:val="21"/>
                <w:szCs w:val="21"/>
              </w:rPr>
            </w:pPr>
            <w:r w:rsidRPr="00CA2B66">
              <w:rPr>
                <w:sz w:val="21"/>
                <w:szCs w:val="21"/>
              </w:rPr>
              <w:t>100% des contrôles sont conformes aux niveaux exigés</w:t>
            </w:r>
          </w:p>
        </w:tc>
        <w:tc>
          <w:tcPr>
            <w:tcW w:w="1129" w:type="dxa"/>
            <w:noWrap/>
            <w:hideMark/>
          </w:tcPr>
          <w:p w14:paraId="216F28F3"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4082BCAE" w14:textId="77777777" w:rsidR="00CA2B66" w:rsidRPr="00CA2B66" w:rsidRDefault="00CA2B66" w:rsidP="00CA2B66">
            <w:pPr>
              <w:jc w:val="center"/>
              <w:rPr>
                <w:sz w:val="21"/>
                <w:szCs w:val="21"/>
              </w:rPr>
            </w:pPr>
            <w:r w:rsidRPr="00CA2B66">
              <w:rPr>
                <w:sz w:val="21"/>
                <w:szCs w:val="21"/>
              </w:rPr>
              <w:t>500€HT/constat</w:t>
            </w:r>
          </w:p>
        </w:tc>
      </w:tr>
      <w:tr w:rsidR="00CA2B66" w:rsidRPr="00CA2B66" w14:paraId="7EAEBEF2" w14:textId="77777777" w:rsidTr="00CA2B66">
        <w:trPr>
          <w:trHeight w:val="300"/>
        </w:trPr>
        <w:tc>
          <w:tcPr>
            <w:tcW w:w="645" w:type="dxa"/>
            <w:hideMark/>
          </w:tcPr>
          <w:p w14:paraId="30F1C0F4" w14:textId="77777777" w:rsidR="00CA2B66" w:rsidRPr="00CA2B66" w:rsidRDefault="00CA2B66">
            <w:pPr>
              <w:jc w:val="center"/>
              <w:rPr>
                <w:b/>
                <w:bCs/>
                <w:sz w:val="21"/>
                <w:szCs w:val="21"/>
              </w:rPr>
            </w:pPr>
            <w:r w:rsidRPr="00CA2B66">
              <w:rPr>
                <w:b/>
                <w:bCs/>
                <w:sz w:val="21"/>
                <w:szCs w:val="21"/>
              </w:rPr>
              <w:t>12</w:t>
            </w:r>
          </w:p>
        </w:tc>
        <w:tc>
          <w:tcPr>
            <w:tcW w:w="1709" w:type="dxa"/>
            <w:hideMark/>
          </w:tcPr>
          <w:p w14:paraId="45841E7E" w14:textId="77777777" w:rsidR="00CA2B66" w:rsidRPr="00CA2B66" w:rsidRDefault="00CA2B66" w:rsidP="00CA2B66">
            <w:pPr>
              <w:jc w:val="center"/>
              <w:rPr>
                <w:b/>
                <w:bCs/>
                <w:sz w:val="21"/>
                <w:szCs w:val="21"/>
                <w:u w:val="single"/>
              </w:rPr>
            </w:pPr>
            <w:r w:rsidRPr="00CA2B66">
              <w:rPr>
                <w:b/>
                <w:bCs/>
                <w:sz w:val="21"/>
                <w:szCs w:val="21"/>
                <w:u w:val="single"/>
              </w:rPr>
              <w:t>Performance de consommation</w:t>
            </w:r>
          </w:p>
        </w:tc>
        <w:tc>
          <w:tcPr>
            <w:tcW w:w="3995" w:type="dxa"/>
            <w:hideMark/>
          </w:tcPr>
          <w:p w14:paraId="7892970B" w14:textId="77777777" w:rsidR="00CA2B66" w:rsidRPr="00CA2B66" w:rsidRDefault="00CA2B66" w:rsidP="00CA2B66">
            <w:pPr>
              <w:jc w:val="center"/>
              <w:rPr>
                <w:sz w:val="21"/>
                <w:szCs w:val="21"/>
              </w:rPr>
            </w:pPr>
            <w:r w:rsidRPr="00CA2B66">
              <w:rPr>
                <w:sz w:val="21"/>
                <w:szCs w:val="21"/>
              </w:rPr>
              <w:t> </w:t>
            </w:r>
          </w:p>
        </w:tc>
        <w:tc>
          <w:tcPr>
            <w:tcW w:w="1129" w:type="dxa"/>
            <w:noWrap/>
            <w:hideMark/>
          </w:tcPr>
          <w:p w14:paraId="2AB987F2" w14:textId="77777777" w:rsidR="00CA2B66" w:rsidRPr="00CA2B66" w:rsidRDefault="00CA2B66" w:rsidP="00CA2B66">
            <w:pPr>
              <w:jc w:val="center"/>
              <w:rPr>
                <w:sz w:val="21"/>
                <w:szCs w:val="21"/>
              </w:rPr>
            </w:pPr>
            <w:r w:rsidRPr="00CA2B66">
              <w:rPr>
                <w:sz w:val="21"/>
                <w:szCs w:val="21"/>
              </w:rPr>
              <w:t> </w:t>
            </w:r>
          </w:p>
        </w:tc>
        <w:tc>
          <w:tcPr>
            <w:tcW w:w="2773" w:type="dxa"/>
            <w:noWrap/>
            <w:hideMark/>
          </w:tcPr>
          <w:p w14:paraId="2AA107A3" w14:textId="77777777" w:rsidR="00CA2B66" w:rsidRPr="00CA2B66" w:rsidRDefault="00CA2B66" w:rsidP="00CA2B66">
            <w:pPr>
              <w:jc w:val="center"/>
              <w:rPr>
                <w:sz w:val="21"/>
                <w:szCs w:val="21"/>
              </w:rPr>
            </w:pPr>
            <w:r w:rsidRPr="00CA2B66">
              <w:rPr>
                <w:sz w:val="21"/>
                <w:szCs w:val="21"/>
              </w:rPr>
              <w:t> </w:t>
            </w:r>
          </w:p>
        </w:tc>
      </w:tr>
      <w:tr w:rsidR="00CA2B66" w:rsidRPr="00CA2B66" w14:paraId="4BCC5B98" w14:textId="77777777" w:rsidTr="00CA2B66">
        <w:trPr>
          <w:trHeight w:val="841"/>
        </w:trPr>
        <w:tc>
          <w:tcPr>
            <w:tcW w:w="645" w:type="dxa"/>
            <w:hideMark/>
          </w:tcPr>
          <w:p w14:paraId="10E035BD" w14:textId="77777777" w:rsidR="00CA2B66" w:rsidRPr="00CA2B66" w:rsidRDefault="00CA2B66">
            <w:pPr>
              <w:jc w:val="center"/>
              <w:rPr>
                <w:sz w:val="21"/>
                <w:szCs w:val="21"/>
              </w:rPr>
            </w:pPr>
            <w:r w:rsidRPr="00CA2B66">
              <w:rPr>
                <w:sz w:val="21"/>
                <w:szCs w:val="21"/>
              </w:rPr>
              <w:t>12a</w:t>
            </w:r>
          </w:p>
        </w:tc>
        <w:tc>
          <w:tcPr>
            <w:tcW w:w="1709" w:type="dxa"/>
            <w:hideMark/>
          </w:tcPr>
          <w:p w14:paraId="047A55D3" w14:textId="77777777" w:rsidR="00CA2B66" w:rsidRPr="00CA2B66" w:rsidRDefault="00CA2B66" w:rsidP="00CA2B66">
            <w:pPr>
              <w:jc w:val="center"/>
              <w:rPr>
                <w:sz w:val="21"/>
                <w:szCs w:val="21"/>
              </w:rPr>
            </w:pPr>
            <w:r w:rsidRPr="00CA2B66">
              <w:rPr>
                <w:sz w:val="21"/>
                <w:szCs w:val="21"/>
              </w:rPr>
              <w:t>Engagement énergétique</w:t>
            </w:r>
          </w:p>
        </w:tc>
        <w:tc>
          <w:tcPr>
            <w:tcW w:w="3995" w:type="dxa"/>
            <w:hideMark/>
          </w:tcPr>
          <w:p w14:paraId="643B4209" w14:textId="02AADAB4"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506150EC"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406A5F07" w14:textId="51328609"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r>
      <w:tr w:rsidR="00CA2B66" w:rsidRPr="00CA2B66" w14:paraId="0CB5269A" w14:textId="77777777" w:rsidTr="00CA2B66">
        <w:trPr>
          <w:trHeight w:val="841"/>
        </w:trPr>
        <w:tc>
          <w:tcPr>
            <w:tcW w:w="645" w:type="dxa"/>
            <w:hideMark/>
          </w:tcPr>
          <w:p w14:paraId="79E2BE11" w14:textId="77777777" w:rsidR="00CA2B66" w:rsidRPr="00CA2B66" w:rsidRDefault="00CA2B66">
            <w:pPr>
              <w:jc w:val="center"/>
              <w:rPr>
                <w:sz w:val="21"/>
                <w:szCs w:val="21"/>
              </w:rPr>
            </w:pPr>
            <w:r w:rsidRPr="00CA2B66">
              <w:rPr>
                <w:sz w:val="21"/>
                <w:szCs w:val="21"/>
              </w:rPr>
              <w:lastRenderedPageBreak/>
              <w:t>12b</w:t>
            </w:r>
          </w:p>
        </w:tc>
        <w:tc>
          <w:tcPr>
            <w:tcW w:w="1709" w:type="dxa"/>
            <w:hideMark/>
          </w:tcPr>
          <w:p w14:paraId="0AA288F1" w14:textId="77777777" w:rsidR="00CA2B66" w:rsidRPr="00CA2B66" w:rsidRDefault="00CA2B66" w:rsidP="00CA2B66">
            <w:pPr>
              <w:jc w:val="center"/>
              <w:rPr>
                <w:sz w:val="21"/>
                <w:szCs w:val="21"/>
              </w:rPr>
            </w:pPr>
            <w:r w:rsidRPr="00CA2B66">
              <w:rPr>
                <w:sz w:val="21"/>
                <w:szCs w:val="21"/>
              </w:rPr>
              <w:t>Engagement consommation d'eau</w:t>
            </w:r>
          </w:p>
        </w:tc>
        <w:tc>
          <w:tcPr>
            <w:tcW w:w="3995" w:type="dxa"/>
            <w:hideMark/>
          </w:tcPr>
          <w:p w14:paraId="186C3548" w14:textId="3F5186CE"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0A44D9AF" w14:textId="77777777" w:rsidR="00CA2B66" w:rsidRPr="00CA2B66" w:rsidRDefault="00CA2B66" w:rsidP="00CA2B66">
            <w:pPr>
              <w:jc w:val="center"/>
              <w:rPr>
                <w:sz w:val="21"/>
                <w:szCs w:val="21"/>
              </w:rPr>
            </w:pPr>
            <w:r w:rsidRPr="00CA2B66">
              <w:rPr>
                <w:sz w:val="21"/>
                <w:szCs w:val="21"/>
              </w:rPr>
              <w:t>Post-Travaux</w:t>
            </w:r>
          </w:p>
        </w:tc>
        <w:tc>
          <w:tcPr>
            <w:tcW w:w="2773" w:type="dxa"/>
            <w:hideMark/>
          </w:tcPr>
          <w:p w14:paraId="0E5FCFD7" w14:textId="07635933"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r>
      <w:tr w:rsidR="00CA2B66" w:rsidRPr="00CA2B66" w14:paraId="23716553" w14:textId="77777777" w:rsidTr="00CA2B66">
        <w:trPr>
          <w:trHeight w:val="640"/>
        </w:trPr>
        <w:tc>
          <w:tcPr>
            <w:tcW w:w="645" w:type="dxa"/>
            <w:hideMark/>
          </w:tcPr>
          <w:p w14:paraId="1C969DF7" w14:textId="77777777" w:rsidR="00CA2B66" w:rsidRPr="00CA2B66" w:rsidRDefault="00CA2B66">
            <w:pPr>
              <w:jc w:val="center"/>
              <w:rPr>
                <w:b/>
                <w:bCs/>
                <w:sz w:val="21"/>
                <w:szCs w:val="21"/>
              </w:rPr>
            </w:pPr>
            <w:r w:rsidRPr="00CA2B66">
              <w:rPr>
                <w:b/>
                <w:bCs/>
                <w:sz w:val="21"/>
                <w:szCs w:val="21"/>
              </w:rPr>
              <w:t>13</w:t>
            </w:r>
          </w:p>
        </w:tc>
        <w:tc>
          <w:tcPr>
            <w:tcW w:w="1709" w:type="dxa"/>
            <w:hideMark/>
          </w:tcPr>
          <w:p w14:paraId="5936D329" w14:textId="77777777" w:rsidR="00CA2B66" w:rsidRPr="00CA2B66" w:rsidRDefault="00CA2B66" w:rsidP="00CA2B66">
            <w:pPr>
              <w:jc w:val="center"/>
              <w:rPr>
                <w:sz w:val="21"/>
                <w:szCs w:val="21"/>
              </w:rPr>
            </w:pPr>
            <w:r w:rsidRPr="00CA2B66">
              <w:rPr>
                <w:sz w:val="21"/>
                <w:szCs w:val="21"/>
              </w:rPr>
              <w:t>Tenue et maintien du plan de comptage pour chaque poste de consommation.</w:t>
            </w:r>
          </w:p>
        </w:tc>
        <w:tc>
          <w:tcPr>
            <w:tcW w:w="3995" w:type="dxa"/>
            <w:hideMark/>
          </w:tcPr>
          <w:p w14:paraId="274FC235" w14:textId="77777777" w:rsidR="00CA2B66" w:rsidRPr="00CA2B66" w:rsidRDefault="00CA2B66" w:rsidP="00CA2B66">
            <w:pPr>
              <w:jc w:val="center"/>
              <w:rPr>
                <w:sz w:val="21"/>
                <w:szCs w:val="21"/>
              </w:rPr>
            </w:pPr>
            <w:r w:rsidRPr="00CA2B66">
              <w:rPr>
                <w:sz w:val="21"/>
                <w:szCs w:val="21"/>
              </w:rPr>
              <w:t>Plan de comptage à jour par usages et zones fonctionnelles.</w:t>
            </w:r>
          </w:p>
        </w:tc>
        <w:tc>
          <w:tcPr>
            <w:tcW w:w="1129" w:type="dxa"/>
            <w:noWrap/>
            <w:hideMark/>
          </w:tcPr>
          <w:p w14:paraId="39DA3DD3"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0482A7F0" w14:textId="77777777" w:rsidR="00CA2B66" w:rsidRPr="00CA2B66" w:rsidRDefault="00CA2B66" w:rsidP="00CA2B66">
            <w:pPr>
              <w:jc w:val="center"/>
              <w:rPr>
                <w:sz w:val="21"/>
                <w:szCs w:val="21"/>
              </w:rPr>
            </w:pPr>
            <w:r w:rsidRPr="00CA2B66">
              <w:rPr>
                <w:sz w:val="21"/>
                <w:szCs w:val="21"/>
              </w:rPr>
              <w:t>500€HT/constat</w:t>
            </w:r>
          </w:p>
        </w:tc>
      </w:tr>
      <w:tr w:rsidR="00CA2B66" w:rsidRPr="00CA2B66" w14:paraId="2CC16621" w14:textId="77777777" w:rsidTr="00CA2B66">
        <w:trPr>
          <w:trHeight w:val="841"/>
        </w:trPr>
        <w:tc>
          <w:tcPr>
            <w:tcW w:w="645" w:type="dxa"/>
            <w:hideMark/>
          </w:tcPr>
          <w:p w14:paraId="5048F166" w14:textId="77777777" w:rsidR="00CA2B66" w:rsidRPr="00CA2B66" w:rsidRDefault="00CA2B66">
            <w:pPr>
              <w:jc w:val="center"/>
              <w:rPr>
                <w:b/>
                <w:bCs/>
                <w:sz w:val="21"/>
                <w:szCs w:val="21"/>
              </w:rPr>
            </w:pPr>
            <w:r w:rsidRPr="00CA2B66">
              <w:rPr>
                <w:b/>
                <w:bCs/>
                <w:sz w:val="21"/>
                <w:szCs w:val="21"/>
              </w:rPr>
              <w:t>14</w:t>
            </w:r>
          </w:p>
        </w:tc>
        <w:tc>
          <w:tcPr>
            <w:tcW w:w="1709" w:type="dxa"/>
            <w:hideMark/>
          </w:tcPr>
          <w:p w14:paraId="1961C480" w14:textId="6DCA06FB" w:rsidR="00CA2B66" w:rsidRPr="00CA2B66" w:rsidRDefault="00CA2B66" w:rsidP="00CA2B66">
            <w:pPr>
              <w:jc w:val="center"/>
              <w:rPr>
                <w:sz w:val="21"/>
                <w:szCs w:val="21"/>
              </w:rPr>
            </w:pPr>
            <w:r w:rsidRPr="00CA2B66">
              <w:rPr>
                <w:sz w:val="21"/>
                <w:szCs w:val="21"/>
              </w:rPr>
              <w:t xml:space="preserve">Transmission des rapports d’exploitation, maintenance et documents </w:t>
            </w:r>
            <w:r w:rsidR="00776FF9" w:rsidRPr="00CA2B66">
              <w:rPr>
                <w:sz w:val="21"/>
                <w:szCs w:val="21"/>
              </w:rPr>
              <w:t>dus</w:t>
            </w:r>
            <w:r w:rsidRPr="00CA2B66">
              <w:rPr>
                <w:sz w:val="21"/>
                <w:szCs w:val="21"/>
              </w:rPr>
              <w:t xml:space="preserve"> au titre de la mise en place du contrat (Cf programme E&amp;M)</w:t>
            </w:r>
          </w:p>
        </w:tc>
        <w:tc>
          <w:tcPr>
            <w:tcW w:w="3995" w:type="dxa"/>
            <w:hideMark/>
          </w:tcPr>
          <w:p w14:paraId="56BC324C" w14:textId="77777777" w:rsidR="00CA2B66" w:rsidRPr="00CA2B66" w:rsidRDefault="00CA2B66" w:rsidP="00CA2B66">
            <w:pPr>
              <w:jc w:val="center"/>
              <w:rPr>
                <w:sz w:val="21"/>
                <w:szCs w:val="21"/>
              </w:rPr>
            </w:pPr>
            <w:r w:rsidRPr="00CA2B66">
              <w:rPr>
                <w:sz w:val="21"/>
                <w:szCs w:val="21"/>
              </w:rPr>
              <w:t>100% des documents d’exploitations transmis dans les délais.</w:t>
            </w:r>
          </w:p>
        </w:tc>
        <w:tc>
          <w:tcPr>
            <w:tcW w:w="1129" w:type="dxa"/>
            <w:noWrap/>
            <w:hideMark/>
          </w:tcPr>
          <w:p w14:paraId="0CE2789C"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6739BAD5" w14:textId="77777777" w:rsidR="00CA2B66" w:rsidRPr="00CA2B66" w:rsidRDefault="00CA2B66" w:rsidP="00CA2B66">
            <w:pPr>
              <w:jc w:val="center"/>
              <w:rPr>
                <w:sz w:val="21"/>
                <w:szCs w:val="21"/>
              </w:rPr>
            </w:pPr>
            <w:r w:rsidRPr="00CA2B66">
              <w:rPr>
                <w:sz w:val="21"/>
                <w:szCs w:val="21"/>
              </w:rPr>
              <w:t>50€HT/constat/jrs de dépassement</w:t>
            </w:r>
          </w:p>
        </w:tc>
      </w:tr>
      <w:tr w:rsidR="00CA2B66" w:rsidRPr="00CA2B66" w14:paraId="3ECB6B74" w14:textId="77777777" w:rsidTr="00CA2B66">
        <w:trPr>
          <w:trHeight w:val="640"/>
        </w:trPr>
        <w:tc>
          <w:tcPr>
            <w:tcW w:w="645" w:type="dxa"/>
            <w:hideMark/>
          </w:tcPr>
          <w:p w14:paraId="1277D748" w14:textId="77777777" w:rsidR="00CA2B66" w:rsidRPr="00CA2B66" w:rsidRDefault="00CA2B66">
            <w:pPr>
              <w:jc w:val="center"/>
              <w:rPr>
                <w:b/>
                <w:bCs/>
                <w:sz w:val="21"/>
                <w:szCs w:val="21"/>
              </w:rPr>
            </w:pPr>
            <w:r w:rsidRPr="00CA2B66">
              <w:rPr>
                <w:b/>
                <w:bCs/>
                <w:sz w:val="21"/>
                <w:szCs w:val="21"/>
              </w:rPr>
              <w:t>15</w:t>
            </w:r>
          </w:p>
        </w:tc>
        <w:tc>
          <w:tcPr>
            <w:tcW w:w="1709" w:type="dxa"/>
            <w:hideMark/>
          </w:tcPr>
          <w:p w14:paraId="1A8AB016" w14:textId="77777777" w:rsidR="00CA2B66" w:rsidRPr="00CA2B66" w:rsidRDefault="00CA2B66" w:rsidP="00CA2B66">
            <w:pPr>
              <w:jc w:val="center"/>
              <w:rPr>
                <w:sz w:val="21"/>
                <w:szCs w:val="21"/>
              </w:rPr>
            </w:pPr>
            <w:r w:rsidRPr="00CA2B66">
              <w:rPr>
                <w:sz w:val="21"/>
                <w:szCs w:val="21"/>
              </w:rPr>
              <w:t>Transmission des rapports d'intervention sur les opérations de maintenance constructeur</w:t>
            </w:r>
          </w:p>
        </w:tc>
        <w:tc>
          <w:tcPr>
            <w:tcW w:w="3995" w:type="dxa"/>
            <w:hideMark/>
          </w:tcPr>
          <w:p w14:paraId="5592080B" w14:textId="77777777" w:rsidR="00CA2B66" w:rsidRPr="00CA2B66" w:rsidRDefault="00CA2B66" w:rsidP="00CA2B66">
            <w:pPr>
              <w:jc w:val="center"/>
              <w:rPr>
                <w:sz w:val="21"/>
                <w:szCs w:val="21"/>
              </w:rPr>
            </w:pPr>
            <w:r w:rsidRPr="00CA2B66">
              <w:rPr>
                <w:sz w:val="21"/>
                <w:szCs w:val="21"/>
              </w:rPr>
              <w:t>100% des documents d’exploitations transmis dans les délais.</w:t>
            </w:r>
          </w:p>
        </w:tc>
        <w:tc>
          <w:tcPr>
            <w:tcW w:w="1129" w:type="dxa"/>
            <w:noWrap/>
            <w:hideMark/>
          </w:tcPr>
          <w:p w14:paraId="5E4B75D8"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0FF4D63C" w14:textId="77777777" w:rsidR="00CA2B66" w:rsidRPr="00CA2B66" w:rsidRDefault="00CA2B66" w:rsidP="00CA2B66">
            <w:pPr>
              <w:jc w:val="center"/>
              <w:rPr>
                <w:sz w:val="21"/>
                <w:szCs w:val="21"/>
              </w:rPr>
            </w:pPr>
            <w:r w:rsidRPr="00CA2B66">
              <w:rPr>
                <w:sz w:val="21"/>
                <w:szCs w:val="21"/>
              </w:rPr>
              <w:t>50€HT/constat/jrs de dépassement</w:t>
            </w:r>
          </w:p>
        </w:tc>
      </w:tr>
      <w:tr w:rsidR="00CA2B66" w:rsidRPr="00CA2B66" w14:paraId="2A557E35" w14:textId="77777777" w:rsidTr="00CA2B66">
        <w:trPr>
          <w:trHeight w:val="961"/>
        </w:trPr>
        <w:tc>
          <w:tcPr>
            <w:tcW w:w="645" w:type="dxa"/>
            <w:hideMark/>
          </w:tcPr>
          <w:p w14:paraId="1CE608B3" w14:textId="77777777" w:rsidR="00CA2B66" w:rsidRPr="00CA2B66" w:rsidRDefault="00CA2B66">
            <w:pPr>
              <w:jc w:val="center"/>
              <w:rPr>
                <w:b/>
                <w:bCs/>
                <w:sz w:val="21"/>
                <w:szCs w:val="21"/>
              </w:rPr>
            </w:pPr>
            <w:r w:rsidRPr="00CA2B66">
              <w:rPr>
                <w:b/>
                <w:bCs/>
                <w:sz w:val="21"/>
                <w:szCs w:val="21"/>
              </w:rPr>
              <w:t>16</w:t>
            </w:r>
          </w:p>
        </w:tc>
        <w:tc>
          <w:tcPr>
            <w:tcW w:w="1709" w:type="dxa"/>
            <w:hideMark/>
          </w:tcPr>
          <w:p w14:paraId="3FE88069" w14:textId="77777777" w:rsidR="00CA2B66" w:rsidRPr="00CA2B66" w:rsidRDefault="00CA2B66" w:rsidP="00CA2B66">
            <w:pPr>
              <w:jc w:val="center"/>
              <w:rPr>
                <w:sz w:val="21"/>
                <w:szCs w:val="21"/>
              </w:rPr>
            </w:pPr>
            <w:r w:rsidRPr="00CA2B66">
              <w:rPr>
                <w:sz w:val="21"/>
                <w:szCs w:val="21"/>
              </w:rPr>
              <w:t xml:space="preserve">Outils de gestions Exploitation </w:t>
            </w:r>
            <w:r w:rsidRPr="00CA2B66">
              <w:rPr>
                <w:sz w:val="21"/>
                <w:szCs w:val="21"/>
              </w:rPr>
              <w:br/>
              <w:t xml:space="preserve">Maintenance </w:t>
            </w:r>
          </w:p>
        </w:tc>
        <w:tc>
          <w:tcPr>
            <w:tcW w:w="3995" w:type="dxa"/>
            <w:hideMark/>
          </w:tcPr>
          <w:p w14:paraId="55931DA0" w14:textId="77777777" w:rsidR="00CA2B66" w:rsidRPr="00CA2B66" w:rsidRDefault="00CA2B66" w:rsidP="00CA2B66">
            <w:pPr>
              <w:jc w:val="center"/>
              <w:rPr>
                <w:sz w:val="21"/>
                <w:szCs w:val="21"/>
              </w:rPr>
            </w:pPr>
            <w:r w:rsidRPr="00CA2B66">
              <w:rPr>
                <w:sz w:val="21"/>
                <w:szCs w:val="21"/>
              </w:rPr>
              <w:t xml:space="preserve">100% des outils de gestion mis en place et fonctionnels. </w:t>
            </w:r>
          </w:p>
        </w:tc>
        <w:tc>
          <w:tcPr>
            <w:tcW w:w="1129" w:type="dxa"/>
            <w:noWrap/>
            <w:hideMark/>
          </w:tcPr>
          <w:p w14:paraId="07E46908"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609E0C94" w14:textId="77777777" w:rsidR="00CA2B66" w:rsidRPr="00CA2B66" w:rsidRDefault="00CA2B66" w:rsidP="00CA2B66">
            <w:pPr>
              <w:jc w:val="center"/>
              <w:rPr>
                <w:sz w:val="21"/>
                <w:szCs w:val="21"/>
              </w:rPr>
            </w:pPr>
            <w:r w:rsidRPr="00CA2B66">
              <w:rPr>
                <w:sz w:val="21"/>
                <w:szCs w:val="21"/>
              </w:rPr>
              <w:t>500€HT/constat/jrs de dépassement</w:t>
            </w:r>
          </w:p>
        </w:tc>
      </w:tr>
      <w:tr w:rsidR="00CA2B66" w:rsidRPr="00CA2B66" w14:paraId="20652938" w14:textId="77777777" w:rsidTr="00CA2B66">
        <w:trPr>
          <w:trHeight w:val="640"/>
        </w:trPr>
        <w:tc>
          <w:tcPr>
            <w:tcW w:w="645" w:type="dxa"/>
            <w:hideMark/>
          </w:tcPr>
          <w:p w14:paraId="2CD77512" w14:textId="77777777" w:rsidR="00CA2B66" w:rsidRPr="00CA2B66" w:rsidRDefault="00CA2B66">
            <w:pPr>
              <w:jc w:val="center"/>
              <w:rPr>
                <w:b/>
                <w:bCs/>
                <w:sz w:val="21"/>
                <w:szCs w:val="21"/>
              </w:rPr>
            </w:pPr>
            <w:r w:rsidRPr="00CA2B66">
              <w:rPr>
                <w:b/>
                <w:bCs/>
                <w:sz w:val="21"/>
                <w:szCs w:val="21"/>
              </w:rPr>
              <w:t>17</w:t>
            </w:r>
          </w:p>
        </w:tc>
        <w:tc>
          <w:tcPr>
            <w:tcW w:w="1709" w:type="dxa"/>
            <w:hideMark/>
          </w:tcPr>
          <w:p w14:paraId="60B307C2" w14:textId="77777777" w:rsidR="00CA2B66" w:rsidRPr="00CA2B66" w:rsidRDefault="00CA2B66" w:rsidP="00CA2B66">
            <w:pPr>
              <w:jc w:val="center"/>
              <w:rPr>
                <w:sz w:val="21"/>
                <w:szCs w:val="21"/>
              </w:rPr>
            </w:pPr>
            <w:r w:rsidRPr="00CA2B66">
              <w:rPr>
                <w:sz w:val="21"/>
                <w:szCs w:val="21"/>
              </w:rPr>
              <w:t xml:space="preserve">Outils de gestions Exploitation </w:t>
            </w:r>
            <w:r w:rsidRPr="00CA2B66">
              <w:rPr>
                <w:sz w:val="21"/>
                <w:szCs w:val="21"/>
              </w:rPr>
              <w:br/>
              <w:t xml:space="preserve">Maintenance </w:t>
            </w:r>
          </w:p>
        </w:tc>
        <w:tc>
          <w:tcPr>
            <w:tcW w:w="3995" w:type="dxa"/>
            <w:hideMark/>
          </w:tcPr>
          <w:p w14:paraId="4F3D7D9C" w14:textId="77777777" w:rsidR="00CA2B66" w:rsidRPr="00CA2B66" w:rsidRDefault="00CA2B66" w:rsidP="00CA2B66">
            <w:pPr>
              <w:jc w:val="center"/>
              <w:rPr>
                <w:sz w:val="21"/>
                <w:szCs w:val="21"/>
              </w:rPr>
            </w:pPr>
            <w:r w:rsidRPr="00CA2B66">
              <w:rPr>
                <w:sz w:val="21"/>
                <w:szCs w:val="21"/>
              </w:rPr>
              <w:t xml:space="preserve">99,9% de disponibilité des outils aux heures ouvrées par an.  </w:t>
            </w:r>
          </w:p>
        </w:tc>
        <w:tc>
          <w:tcPr>
            <w:tcW w:w="1129" w:type="dxa"/>
            <w:noWrap/>
            <w:hideMark/>
          </w:tcPr>
          <w:p w14:paraId="0508A53D" w14:textId="77777777" w:rsidR="00CA2B66" w:rsidRPr="00CA2B66" w:rsidRDefault="00CA2B66" w:rsidP="00CA2B66">
            <w:pPr>
              <w:jc w:val="center"/>
              <w:rPr>
                <w:sz w:val="21"/>
                <w:szCs w:val="21"/>
              </w:rPr>
            </w:pPr>
            <w:r w:rsidRPr="00CA2B66">
              <w:rPr>
                <w:sz w:val="21"/>
                <w:szCs w:val="21"/>
              </w:rPr>
              <w:t>Travaux + Post-Travaux</w:t>
            </w:r>
          </w:p>
        </w:tc>
        <w:tc>
          <w:tcPr>
            <w:tcW w:w="2773" w:type="dxa"/>
            <w:noWrap/>
            <w:hideMark/>
          </w:tcPr>
          <w:p w14:paraId="37B7C74A" w14:textId="77777777" w:rsidR="00CA2B66" w:rsidRPr="00CA2B66" w:rsidRDefault="00CA2B66" w:rsidP="00CA2B66">
            <w:pPr>
              <w:jc w:val="center"/>
              <w:rPr>
                <w:sz w:val="21"/>
                <w:szCs w:val="21"/>
              </w:rPr>
            </w:pPr>
            <w:r w:rsidRPr="00CA2B66">
              <w:rPr>
                <w:sz w:val="21"/>
                <w:szCs w:val="21"/>
              </w:rPr>
              <w:t>500€HT/constat/jrs de dépassement</w:t>
            </w:r>
          </w:p>
        </w:tc>
      </w:tr>
      <w:tr w:rsidR="00CA2B66" w:rsidRPr="00CA2B66" w14:paraId="4853C729" w14:textId="77777777" w:rsidTr="00CA2B66">
        <w:trPr>
          <w:trHeight w:val="640"/>
        </w:trPr>
        <w:tc>
          <w:tcPr>
            <w:tcW w:w="645" w:type="dxa"/>
            <w:hideMark/>
          </w:tcPr>
          <w:p w14:paraId="63EAF9D2" w14:textId="77777777" w:rsidR="00CA2B66" w:rsidRPr="00CA2B66" w:rsidRDefault="00CA2B66">
            <w:pPr>
              <w:jc w:val="center"/>
              <w:rPr>
                <w:b/>
                <w:bCs/>
                <w:sz w:val="21"/>
                <w:szCs w:val="21"/>
              </w:rPr>
            </w:pPr>
            <w:r w:rsidRPr="00CA2B66">
              <w:rPr>
                <w:b/>
                <w:bCs/>
                <w:sz w:val="21"/>
                <w:szCs w:val="21"/>
              </w:rPr>
              <w:t>18</w:t>
            </w:r>
          </w:p>
        </w:tc>
        <w:tc>
          <w:tcPr>
            <w:tcW w:w="1709" w:type="dxa"/>
            <w:hideMark/>
          </w:tcPr>
          <w:p w14:paraId="487EDB22" w14:textId="77777777" w:rsidR="00CA2B66" w:rsidRPr="00CA2B66" w:rsidRDefault="00CA2B66" w:rsidP="00CA2B66">
            <w:pPr>
              <w:jc w:val="center"/>
              <w:rPr>
                <w:sz w:val="21"/>
                <w:szCs w:val="21"/>
              </w:rPr>
            </w:pPr>
            <w:r w:rsidRPr="00CA2B66">
              <w:rPr>
                <w:sz w:val="21"/>
                <w:szCs w:val="21"/>
              </w:rPr>
              <w:t>Outils GTB</w:t>
            </w:r>
          </w:p>
        </w:tc>
        <w:tc>
          <w:tcPr>
            <w:tcW w:w="3995" w:type="dxa"/>
            <w:hideMark/>
          </w:tcPr>
          <w:p w14:paraId="45A98C21" w14:textId="6CB372BB" w:rsidR="00CA2B66" w:rsidRPr="00CA2B66" w:rsidRDefault="00CA2B66" w:rsidP="00CA2B66">
            <w:pPr>
              <w:jc w:val="center"/>
              <w:rPr>
                <w:sz w:val="21"/>
                <w:szCs w:val="21"/>
              </w:rPr>
            </w:pPr>
            <w:r w:rsidRPr="00CA2B66">
              <w:rPr>
                <w:sz w:val="21"/>
                <w:szCs w:val="21"/>
              </w:rPr>
              <w:t xml:space="preserve">Nombre alarme actives et </w:t>
            </w:r>
            <w:r w:rsidR="00776FF9" w:rsidRPr="00CA2B66">
              <w:rPr>
                <w:sz w:val="21"/>
                <w:szCs w:val="21"/>
              </w:rPr>
              <w:t>récurrentes</w:t>
            </w:r>
            <w:r w:rsidRPr="00CA2B66">
              <w:rPr>
                <w:sz w:val="21"/>
                <w:szCs w:val="21"/>
              </w:rPr>
              <w:t xml:space="preserve"> &lt; 20 alarmes</w:t>
            </w:r>
          </w:p>
        </w:tc>
        <w:tc>
          <w:tcPr>
            <w:tcW w:w="1129" w:type="dxa"/>
            <w:noWrap/>
            <w:hideMark/>
          </w:tcPr>
          <w:p w14:paraId="1471B398"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69038D62" w14:textId="77777777" w:rsidR="00CA2B66" w:rsidRPr="00CA2B66" w:rsidRDefault="00CA2B66" w:rsidP="00CA2B66">
            <w:pPr>
              <w:jc w:val="center"/>
              <w:rPr>
                <w:sz w:val="21"/>
                <w:szCs w:val="21"/>
              </w:rPr>
            </w:pPr>
            <w:r w:rsidRPr="00CA2B66">
              <w:rPr>
                <w:sz w:val="21"/>
                <w:szCs w:val="21"/>
              </w:rPr>
              <w:t>500€HT/constat</w:t>
            </w:r>
          </w:p>
        </w:tc>
      </w:tr>
      <w:tr w:rsidR="00CA2B66" w:rsidRPr="00CA2B66" w14:paraId="24CD1F03" w14:textId="77777777" w:rsidTr="00CA2B66">
        <w:trPr>
          <w:trHeight w:val="560"/>
        </w:trPr>
        <w:tc>
          <w:tcPr>
            <w:tcW w:w="645" w:type="dxa"/>
            <w:hideMark/>
          </w:tcPr>
          <w:p w14:paraId="510C5293" w14:textId="77777777" w:rsidR="00CA2B66" w:rsidRPr="00CA2B66" w:rsidRDefault="00CA2B66">
            <w:pPr>
              <w:jc w:val="center"/>
              <w:rPr>
                <w:b/>
                <w:bCs/>
                <w:sz w:val="21"/>
                <w:szCs w:val="21"/>
              </w:rPr>
            </w:pPr>
            <w:r w:rsidRPr="00CA2B66">
              <w:rPr>
                <w:b/>
                <w:bCs/>
                <w:sz w:val="21"/>
                <w:szCs w:val="21"/>
              </w:rPr>
              <w:t>19</w:t>
            </w:r>
          </w:p>
        </w:tc>
        <w:tc>
          <w:tcPr>
            <w:tcW w:w="1709" w:type="dxa"/>
            <w:hideMark/>
          </w:tcPr>
          <w:p w14:paraId="60C8B3B5" w14:textId="77E30F09" w:rsidR="00CA2B66" w:rsidRPr="00CA2B66" w:rsidRDefault="00CA2B66" w:rsidP="00CA2B66">
            <w:pPr>
              <w:jc w:val="center"/>
              <w:rPr>
                <w:b/>
                <w:bCs/>
                <w:sz w:val="21"/>
                <w:szCs w:val="21"/>
                <w:u w:val="single"/>
              </w:rPr>
            </w:pPr>
            <w:r w:rsidRPr="00CA2B66">
              <w:rPr>
                <w:b/>
                <w:bCs/>
                <w:sz w:val="21"/>
                <w:szCs w:val="21"/>
                <w:u w:val="single"/>
              </w:rPr>
              <w:t xml:space="preserve">Travaux </w:t>
            </w:r>
            <w:r w:rsidR="00776FF9" w:rsidRPr="00CA2B66">
              <w:rPr>
                <w:b/>
                <w:bCs/>
                <w:sz w:val="21"/>
                <w:szCs w:val="21"/>
                <w:u w:val="single"/>
              </w:rPr>
              <w:t>réaménagements</w:t>
            </w:r>
            <w:r w:rsidRPr="00CA2B66">
              <w:rPr>
                <w:b/>
                <w:bCs/>
                <w:sz w:val="21"/>
                <w:szCs w:val="21"/>
                <w:u w:val="single"/>
              </w:rPr>
              <w:t xml:space="preserve"> techniques en période d'E&amp;M</w:t>
            </w:r>
          </w:p>
        </w:tc>
        <w:tc>
          <w:tcPr>
            <w:tcW w:w="3995" w:type="dxa"/>
            <w:hideMark/>
          </w:tcPr>
          <w:p w14:paraId="0EA30C96" w14:textId="77777777" w:rsidR="00CA2B66" w:rsidRPr="00CA2B66" w:rsidRDefault="00CA2B66" w:rsidP="00CA2B66">
            <w:pPr>
              <w:jc w:val="center"/>
              <w:rPr>
                <w:sz w:val="21"/>
                <w:szCs w:val="21"/>
              </w:rPr>
            </w:pPr>
            <w:r w:rsidRPr="00CA2B66">
              <w:rPr>
                <w:sz w:val="21"/>
                <w:szCs w:val="21"/>
              </w:rPr>
              <w:t> </w:t>
            </w:r>
          </w:p>
        </w:tc>
        <w:tc>
          <w:tcPr>
            <w:tcW w:w="1129" w:type="dxa"/>
            <w:noWrap/>
            <w:hideMark/>
          </w:tcPr>
          <w:p w14:paraId="20268433" w14:textId="77777777" w:rsidR="00CA2B66" w:rsidRPr="00CA2B66" w:rsidRDefault="00CA2B66" w:rsidP="00CA2B66">
            <w:pPr>
              <w:jc w:val="center"/>
              <w:rPr>
                <w:sz w:val="21"/>
                <w:szCs w:val="21"/>
              </w:rPr>
            </w:pPr>
            <w:r w:rsidRPr="00CA2B66">
              <w:rPr>
                <w:sz w:val="21"/>
                <w:szCs w:val="21"/>
              </w:rPr>
              <w:t> </w:t>
            </w:r>
          </w:p>
        </w:tc>
        <w:tc>
          <w:tcPr>
            <w:tcW w:w="2773" w:type="dxa"/>
            <w:noWrap/>
            <w:hideMark/>
          </w:tcPr>
          <w:p w14:paraId="00AA6ABA" w14:textId="77777777" w:rsidR="00CA2B66" w:rsidRPr="00CA2B66" w:rsidRDefault="00CA2B66" w:rsidP="00CA2B66">
            <w:pPr>
              <w:jc w:val="center"/>
              <w:rPr>
                <w:sz w:val="21"/>
                <w:szCs w:val="21"/>
              </w:rPr>
            </w:pPr>
            <w:r w:rsidRPr="00CA2B66">
              <w:rPr>
                <w:sz w:val="21"/>
                <w:szCs w:val="21"/>
              </w:rPr>
              <w:t> </w:t>
            </w:r>
          </w:p>
        </w:tc>
      </w:tr>
      <w:tr w:rsidR="00CA2B66" w:rsidRPr="00CA2B66" w14:paraId="110EF635" w14:textId="77777777" w:rsidTr="00CA2B66">
        <w:trPr>
          <w:trHeight w:val="560"/>
        </w:trPr>
        <w:tc>
          <w:tcPr>
            <w:tcW w:w="645" w:type="dxa"/>
            <w:hideMark/>
          </w:tcPr>
          <w:p w14:paraId="6C2B8DD4" w14:textId="77777777" w:rsidR="00CA2B66" w:rsidRPr="00CA2B66" w:rsidRDefault="00CA2B66" w:rsidP="00CA2B66">
            <w:pPr>
              <w:jc w:val="center"/>
              <w:rPr>
                <w:sz w:val="21"/>
                <w:szCs w:val="21"/>
              </w:rPr>
            </w:pPr>
            <w:r w:rsidRPr="00CA2B66">
              <w:rPr>
                <w:sz w:val="21"/>
                <w:szCs w:val="21"/>
              </w:rPr>
              <w:t>19a</w:t>
            </w:r>
          </w:p>
        </w:tc>
        <w:tc>
          <w:tcPr>
            <w:tcW w:w="1709" w:type="dxa"/>
            <w:hideMark/>
          </w:tcPr>
          <w:p w14:paraId="5DECFE41" w14:textId="77777777" w:rsidR="00CA2B66" w:rsidRPr="00CA2B66" w:rsidRDefault="00CA2B66" w:rsidP="00CA2B66">
            <w:pPr>
              <w:jc w:val="center"/>
              <w:rPr>
                <w:sz w:val="21"/>
                <w:szCs w:val="21"/>
              </w:rPr>
            </w:pPr>
            <w:r w:rsidRPr="00CA2B66">
              <w:rPr>
                <w:sz w:val="21"/>
                <w:szCs w:val="21"/>
              </w:rPr>
              <w:t>Réactivité de réalisation des études</w:t>
            </w:r>
          </w:p>
        </w:tc>
        <w:tc>
          <w:tcPr>
            <w:tcW w:w="3995" w:type="dxa"/>
            <w:hideMark/>
          </w:tcPr>
          <w:p w14:paraId="67E2EBFC" w14:textId="4B01C478"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078423BA" w14:textId="77777777" w:rsidR="00CA2B66" w:rsidRPr="00CA2B66" w:rsidRDefault="00CA2B66" w:rsidP="00CA2B66">
            <w:pPr>
              <w:jc w:val="center"/>
              <w:rPr>
                <w:sz w:val="21"/>
                <w:szCs w:val="21"/>
              </w:rPr>
            </w:pPr>
            <w:r w:rsidRPr="00CA2B66">
              <w:rPr>
                <w:sz w:val="21"/>
                <w:szCs w:val="21"/>
              </w:rPr>
              <w:t>Travaux en période E&amp;M</w:t>
            </w:r>
          </w:p>
        </w:tc>
        <w:tc>
          <w:tcPr>
            <w:tcW w:w="2773" w:type="dxa"/>
            <w:noWrap/>
            <w:hideMark/>
          </w:tcPr>
          <w:p w14:paraId="735B4FBD" w14:textId="77777777" w:rsidR="00CA2B66" w:rsidRPr="00CA2B66" w:rsidRDefault="00CA2B66" w:rsidP="00CA2B66">
            <w:pPr>
              <w:jc w:val="center"/>
              <w:rPr>
                <w:sz w:val="21"/>
                <w:szCs w:val="21"/>
              </w:rPr>
            </w:pPr>
            <w:r w:rsidRPr="00CA2B66">
              <w:rPr>
                <w:sz w:val="21"/>
                <w:szCs w:val="21"/>
              </w:rPr>
              <w:t>1000€HT/constat/jrs de dépassement</w:t>
            </w:r>
          </w:p>
        </w:tc>
      </w:tr>
      <w:tr w:rsidR="00CA2B66" w:rsidRPr="00CA2B66" w14:paraId="2534B470" w14:textId="77777777" w:rsidTr="00CA2B66">
        <w:trPr>
          <w:trHeight w:val="640"/>
        </w:trPr>
        <w:tc>
          <w:tcPr>
            <w:tcW w:w="645" w:type="dxa"/>
            <w:hideMark/>
          </w:tcPr>
          <w:p w14:paraId="0607FBFD" w14:textId="77777777" w:rsidR="00CA2B66" w:rsidRPr="00CA2B66" w:rsidRDefault="00CA2B66" w:rsidP="00CA2B66">
            <w:pPr>
              <w:jc w:val="center"/>
              <w:rPr>
                <w:sz w:val="21"/>
                <w:szCs w:val="21"/>
              </w:rPr>
            </w:pPr>
            <w:r w:rsidRPr="00CA2B66">
              <w:rPr>
                <w:sz w:val="21"/>
                <w:szCs w:val="21"/>
              </w:rPr>
              <w:t>19b</w:t>
            </w:r>
          </w:p>
        </w:tc>
        <w:tc>
          <w:tcPr>
            <w:tcW w:w="1709" w:type="dxa"/>
            <w:hideMark/>
          </w:tcPr>
          <w:p w14:paraId="7B5ADD3E" w14:textId="77777777" w:rsidR="00CA2B66" w:rsidRPr="00CA2B66" w:rsidRDefault="00CA2B66" w:rsidP="00CA2B66">
            <w:pPr>
              <w:jc w:val="center"/>
              <w:rPr>
                <w:sz w:val="21"/>
                <w:szCs w:val="21"/>
              </w:rPr>
            </w:pPr>
            <w:r w:rsidRPr="00CA2B66">
              <w:rPr>
                <w:sz w:val="21"/>
                <w:szCs w:val="21"/>
              </w:rPr>
              <w:t>Modifications implantation postes de travail avec mouvement de cloisons</w:t>
            </w:r>
          </w:p>
        </w:tc>
        <w:tc>
          <w:tcPr>
            <w:tcW w:w="3995" w:type="dxa"/>
            <w:hideMark/>
          </w:tcPr>
          <w:p w14:paraId="67E68689" w14:textId="2AD99C22"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11C42F15" w14:textId="77777777" w:rsidR="00CA2B66" w:rsidRPr="00CA2B66" w:rsidRDefault="00CA2B66" w:rsidP="00CA2B66">
            <w:pPr>
              <w:jc w:val="center"/>
              <w:rPr>
                <w:sz w:val="21"/>
                <w:szCs w:val="21"/>
              </w:rPr>
            </w:pPr>
            <w:r w:rsidRPr="00CA2B66">
              <w:rPr>
                <w:sz w:val="21"/>
                <w:szCs w:val="21"/>
              </w:rPr>
              <w:t>Travaux en période E&amp;M</w:t>
            </w:r>
          </w:p>
        </w:tc>
        <w:tc>
          <w:tcPr>
            <w:tcW w:w="2773" w:type="dxa"/>
            <w:noWrap/>
            <w:hideMark/>
          </w:tcPr>
          <w:p w14:paraId="2E4EEF07" w14:textId="77777777" w:rsidR="00CA2B66" w:rsidRPr="00CA2B66" w:rsidRDefault="00CA2B66" w:rsidP="00CA2B66">
            <w:pPr>
              <w:jc w:val="center"/>
              <w:rPr>
                <w:sz w:val="21"/>
                <w:szCs w:val="21"/>
              </w:rPr>
            </w:pPr>
            <w:r w:rsidRPr="00CA2B66">
              <w:rPr>
                <w:sz w:val="21"/>
                <w:szCs w:val="21"/>
              </w:rPr>
              <w:t>1000€HT/constat/jrs de dépassement</w:t>
            </w:r>
          </w:p>
        </w:tc>
      </w:tr>
      <w:tr w:rsidR="00CA2B66" w:rsidRPr="00CA2B66" w14:paraId="547588D3" w14:textId="77777777" w:rsidTr="00CA2B66">
        <w:trPr>
          <w:trHeight w:val="640"/>
        </w:trPr>
        <w:tc>
          <w:tcPr>
            <w:tcW w:w="645" w:type="dxa"/>
            <w:hideMark/>
          </w:tcPr>
          <w:p w14:paraId="71FAFECE" w14:textId="77777777" w:rsidR="00CA2B66" w:rsidRPr="00CA2B66" w:rsidRDefault="00CA2B66" w:rsidP="00CA2B66">
            <w:pPr>
              <w:jc w:val="center"/>
              <w:rPr>
                <w:sz w:val="21"/>
                <w:szCs w:val="21"/>
              </w:rPr>
            </w:pPr>
            <w:r w:rsidRPr="00CA2B66">
              <w:rPr>
                <w:sz w:val="21"/>
                <w:szCs w:val="21"/>
              </w:rPr>
              <w:t>19c</w:t>
            </w:r>
          </w:p>
        </w:tc>
        <w:tc>
          <w:tcPr>
            <w:tcW w:w="1709" w:type="dxa"/>
            <w:hideMark/>
          </w:tcPr>
          <w:p w14:paraId="450E2809" w14:textId="77777777" w:rsidR="00CA2B66" w:rsidRPr="00CA2B66" w:rsidRDefault="00CA2B66" w:rsidP="00CA2B66">
            <w:pPr>
              <w:jc w:val="center"/>
              <w:rPr>
                <w:sz w:val="21"/>
                <w:szCs w:val="21"/>
              </w:rPr>
            </w:pPr>
            <w:r w:rsidRPr="00CA2B66">
              <w:rPr>
                <w:sz w:val="21"/>
                <w:szCs w:val="21"/>
              </w:rPr>
              <w:t>Modifications implantation postes de travail sans mouvement de cloisons</w:t>
            </w:r>
          </w:p>
        </w:tc>
        <w:tc>
          <w:tcPr>
            <w:tcW w:w="3995" w:type="dxa"/>
            <w:hideMark/>
          </w:tcPr>
          <w:p w14:paraId="4B22BD35" w14:textId="761870B5" w:rsidR="00CA2B66" w:rsidRPr="00CA2B66" w:rsidRDefault="00CA2B66" w:rsidP="00CA2B66">
            <w:pPr>
              <w:jc w:val="center"/>
              <w:rPr>
                <w:sz w:val="21"/>
                <w:szCs w:val="21"/>
              </w:rPr>
            </w:pPr>
            <w:r w:rsidRPr="00CA2B66">
              <w:rPr>
                <w:sz w:val="21"/>
                <w:szCs w:val="21"/>
              </w:rPr>
              <w:t xml:space="preserve">Cf Annexe n°4 du Descriptif technique "Descriptif technique Programmatique </w:t>
            </w:r>
            <w:r w:rsidR="00776FF9" w:rsidRPr="00CA2B66">
              <w:rPr>
                <w:sz w:val="21"/>
                <w:szCs w:val="21"/>
              </w:rPr>
              <w:t>Exploitation Maintenance</w:t>
            </w:r>
            <w:r w:rsidRPr="00CA2B66">
              <w:rPr>
                <w:sz w:val="21"/>
                <w:szCs w:val="21"/>
              </w:rPr>
              <w:t xml:space="preserve"> et Commissionnement" </w:t>
            </w:r>
          </w:p>
        </w:tc>
        <w:tc>
          <w:tcPr>
            <w:tcW w:w="1129" w:type="dxa"/>
            <w:noWrap/>
            <w:hideMark/>
          </w:tcPr>
          <w:p w14:paraId="0EC16F3A" w14:textId="77777777" w:rsidR="00CA2B66" w:rsidRPr="00CA2B66" w:rsidRDefault="00CA2B66" w:rsidP="00CA2B66">
            <w:pPr>
              <w:jc w:val="center"/>
              <w:rPr>
                <w:sz w:val="21"/>
                <w:szCs w:val="21"/>
              </w:rPr>
            </w:pPr>
            <w:r w:rsidRPr="00CA2B66">
              <w:rPr>
                <w:sz w:val="21"/>
                <w:szCs w:val="21"/>
              </w:rPr>
              <w:t>Travaux en période E&amp;M</w:t>
            </w:r>
          </w:p>
        </w:tc>
        <w:tc>
          <w:tcPr>
            <w:tcW w:w="2773" w:type="dxa"/>
            <w:noWrap/>
            <w:hideMark/>
          </w:tcPr>
          <w:p w14:paraId="2DD4B6CC" w14:textId="77777777" w:rsidR="00CA2B66" w:rsidRPr="00CA2B66" w:rsidRDefault="00CA2B66" w:rsidP="00CA2B66">
            <w:pPr>
              <w:jc w:val="center"/>
              <w:rPr>
                <w:sz w:val="21"/>
                <w:szCs w:val="21"/>
              </w:rPr>
            </w:pPr>
            <w:r w:rsidRPr="00CA2B66">
              <w:rPr>
                <w:sz w:val="21"/>
                <w:szCs w:val="21"/>
              </w:rPr>
              <w:t>1000€HT/constat/jrs de dépassement</w:t>
            </w:r>
          </w:p>
        </w:tc>
      </w:tr>
      <w:tr w:rsidR="00CA2B66" w:rsidRPr="00CA2B66" w14:paraId="046AAEBD" w14:textId="77777777" w:rsidTr="00CA2B66">
        <w:trPr>
          <w:trHeight w:val="961"/>
        </w:trPr>
        <w:tc>
          <w:tcPr>
            <w:tcW w:w="645" w:type="dxa"/>
            <w:hideMark/>
          </w:tcPr>
          <w:p w14:paraId="3C0EE2E4" w14:textId="77777777" w:rsidR="00CA2B66" w:rsidRPr="00CA2B66" w:rsidRDefault="00CA2B66">
            <w:pPr>
              <w:jc w:val="center"/>
              <w:rPr>
                <w:b/>
                <w:bCs/>
                <w:sz w:val="21"/>
                <w:szCs w:val="21"/>
              </w:rPr>
            </w:pPr>
            <w:r w:rsidRPr="00CA2B66">
              <w:rPr>
                <w:b/>
                <w:bCs/>
                <w:sz w:val="21"/>
                <w:szCs w:val="21"/>
              </w:rPr>
              <w:lastRenderedPageBreak/>
              <w:t>20</w:t>
            </w:r>
          </w:p>
        </w:tc>
        <w:tc>
          <w:tcPr>
            <w:tcW w:w="1709" w:type="dxa"/>
            <w:noWrap/>
            <w:hideMark/>
          </w:tcPr>
          <w:p w14:paraId="22230F4F" w14:textId="77777777" w:rsidR="00CA2B66" w:rsidRPr="00CA2B66" w:rsidRDefault="00CA2B66" w:rsidP="00CA2B66">
            <w:pPr>
              <w:jc w:val="center"/>
              <w:rPr>
                <w:sz w:val="21"/>
                <w:szCs w:val="21"/>
              </w:rPr>
            </w:pPr>
            <w:r w:rsidRPr="00CA2B66">
              <w:rPr>
                <w:sz w:val="21"/>
                <w:szCs w:val="21"/>
              </w:rPr>
              <w:t>Valorisation des déchets d'exploitation</w:t>
            </w:r>
          </w:p>
        </w:tc>
        <w:tc>
          <w:tcPr>
            <w:tcW w:w="3995" w:type="dxa"/>
            <w:hideMark/>
          </w:tcPr>
          <w:p w14:paraId="360F124E" w14:textId="77777777" w:rsidR="00CA2B66" w:rsidRPr="00CA2B66" w:rsidRDefault="00CA2B66" w:rsidP="00CA2B66">
            <w:pPr>
              <w:jc w:val="center"/>
              <w:rPr>
                <w:sz w:val="21"/>
                <w:szCs w:val="21"/>
              </w:rPr>
            </w:pPr>
            <w:r w:rsidRPr="00CA2B66">
              <w:rPr>
                <w:sz w:val="21"/>
                <w:szCs w:val="21"/>
              </w:rPr>
              <w:t>Valorisation énergétique de 3 familles de déchets</w:t>
            </w:r>
            <w:r w:rsidRPr="00CA2B66">
              <w:rPr>
                <w:sz w:val="21"/>
                <w:szCs w:val="21"/>
              </w:rPr>
              <w:br/>
              <w:t>Valorisation matière de 3 familles de déchets</w:t>
            </w:r>
          </w:p>
        </w:tc>
        <w:tc>
          <w:tcPr>
            <w:tcW w:w="1129" w:type="dxa"/>
            <w:hideMark/>
          </w:tcPr>
          <w:p w14:paraId="7B3E148C" w14:textId="77777777" w:rsidR="00CA2B66" w:rsidRPr="00CA2B66" w:rsidRDefault="00CA2B66" w:rsidP="00CA2B66">
            <w:pPr>
              <w:jc w:val="center"/>
              <w:rPr>
                <w:sz w:val="21"/>
                <w:szCs w:val="21"/>
              </w:rPr>
            </w:pPr>
            <w:r w:rsidRPr="00CA2B66">
              <w:rPr>
                <w:sz w:val="21"/>
                <w:szCs w:val="21"/>
              </w:rPr>
              <w:t>Post-Travaux</w:t>
            </w:r>
          </w:p>
        </w:tc>
        <w:tc>
          <w:tcPr>
            <w:tcW w:w="2773" w:type="dxa"/>
            <w:noWrap/>
            <w:hideMark/>
          </w:tcPr>
          <w:p w14:paraId="17A73360" w14:textId="77777777" w:rsidR="00CA2B66" w:rsidRPr="00CA2B66" w:rsidRDefault="00CA2B66" w:rsidP="00CA2B66">
            <w:pPr>
              <w:jc w:val="center"/>
              <w:rPr>
                <w:sz w:val="21"/>
                <w:szCs w:val="21"/>
              </w:rPr>
            </w:pPr>
            <w:r w:rsidRPr="00CA2B66">
              <w:rPr>
                <w:sz w:val="21"/>
                <w:szCs w:val="21"/>
              </w:rPr>
              <w:t>Montants à ajuster</w:t>
            </w:r>
          </w:p>
        </w:tc>
      </w:tr>
      <w:tr w:rsidR="00CA2B66" w:rsidRPr="00CA2B66" w14:paraId="3CA5A9DF" w14:textId="77777777" w:rsidTr="00CA2B66">
        <w:trPr>
          <w:trHeight w:val="961"/>
        </w:trPr>
        <w:tc>
          <w:tcPr>
            <w:tcW w:w="645" w:type="dxa"/>
            <w:hideMark/>
          </w:tcPr>
          <w:p w14:paraId="0BBE395E" w14:textId="77777777" w:rsidR="00CA2B66" w:rsidRPr="00CA2B66" w:rsidRDefault="00CA2B66">
            <w:pPr>
              <w:jc w:val="center"/>
              <w:rPr>
                <w:b/>
                <w:bCs/>
                <w:sz w:val="21"/>
                <w:szCs w:val="21"/>
              </w:rPr>
            </w:pPr>
            <w:r w:rsidRPr="00CA2B66">
              <w:rPr>
                <w:b/>
                <w:bCs/>
                <w:sz w:val="21"/>
                <w:szCs w:val="21"/>
              </w:rPr>
              <w:t>21</w:t>
            </w:r>
          </w:p>
        </w:tc>
        <w:tc>
          <w:tcPr>
            <w:tcW w:w="1709" w:type="dxa"/>
            <w:hideMark/>
          </w:tcPr>
          <w:p w14:paraId="1BAB812D" w14:textId="1AF0F06E" w:rsidR="00CA2B66" w:rsidRPr="00CA2B66" w:rsidRDefault="00CA2B66" w:rsidP="00CA2B66">
            <w:pPr>
              <w:jc w:val="center"/>
              <w:rPr>
                <w:sz w:val="21"/>
                <w:szCs w:val="21"/>
              </w:rPr>
            </w:pPr>
            <w:r w:rsidRPr="00CA2B66">
              <w:rPr>
                <w:sz w:val="21"/>
                <w:szCs w:val="21"/>
              </w:rPr>
              <w:t>Valorisation des déchets de travaux de réaménagement</w:t>
            </w:r>
          </w:p>
        </w:tc>
        <w:tc>
          <w:tcPr>
            <w:tcW w:w="3995" w:type="dxa"/>
            <w:hideMark/>
          </w:tcPr>
          <w:p w14:paraId="1D874D67" w14:textId="662D0DE5" w:rsidR="00CA2B66" w:rsidRPr="00CA2B66" w:rsidRDefault="00CA2B66" w:rsidP="00CA2B66">
            <w:pPr>
              <w:jc w:val="center"/>
              <w:rPr>
                <w:sz w:val="21"/>
                <w:szCs w:val="21"/>
              </w:rPr>
            </w:pPr>
            <w:r w:rsidRPr="00CA2B66">
              <w:rPr>
                <w:sz w:val="21"/>
                <w:szCs w:val="21"/>
              </w:rPr>
              <w:t>Parmi les déchets générés pendant les travaux de rénovation, pourcentage de déchets valorisés supérieur à   80</w:t>
            </w:r>
            <w:proofErr w:type="gramStart"/>
            <w:r w:rsidRPr="00CA2B66">
              <w:rPr>
                <w:sz w:val="21"/>
                <w:szCs w:val="21"/>
              </w:rPr>
              <w:t>% ,</w:t>
            </w:r>
            <w:proofErr w:type="gramEnd"/>
            <w:r w:rsidRPr="00CA2B66">
              <w:rPr>
                <w:sz w:val="21"/>
                <w:szCs w:val="21"/>
              </w:rPr>
              <w:t xml:space="preserve"> y compris déchets REP (Responsabilité Élargie du Producteur)</w:t>
            </w:r>
          </w:p>
        </w:tc>
        <w:tc>
          <w:tcPr>
            <w:tcW w:w="1129" w:type="dxa"/>
            <w:hideMark/>
          </w:tcPr>
          <w:p w14:paraId="6AB128C7" w14:textId="77777777" w:rsidR="00CA2B66" w:rsidRPr="00CA2B66" w:rsidRDefault="00CA2B66" w:rsidP="00CA2B66">
            <w:pPr>
              <w:jc w:val="center"/>
              <w:rPr>
                <w:sz w:val="21"/>
                <w:szCs w:val="21"/>
              </w:rPr>
            </w:pPr>
            <w:r w:rsidRPr="00CA2B66">
              <w:rPr>
                <w:sz w:val="21"/>
                <w:szCs w:val="21"/>
              </w:rPr>
              <w:t>Travaux en période E&amp;M</w:t>
            </w:r>
          </w:p>
        </w:tc>
        <w:tc>
          <w:tcPr>
            <w:tcW w:w="2773" w:type="dxa"/>
            <w:noWrap/>
            <w:hideMark/>
          </w:tcPr>
          <w:p w14:paraId="29765B9F" w14:textId="77777777" w:rsidR="00CA2B66" w:rsidRPr="00CA2B66" w:rsidRDefault="00CA2B66" w:rsidP="00CA2B66">
            <w:pPr>
              <w:jc w:val="center"/>
              <w:rPr>
                <w:sz w:val="21"/>
                <w:szCs w:val="21"/>
              </w:rPr>
            </w:pPr>
            <w:r w:rsidRPr="00CA2B66">
              <w:rPr>
                <w:sz w:val="21"/>
                <w:szCs w:val="21"/>
              </w:rPr>
              <w:t>Montants à ajuster</w:t>
            </w:r>
          </w:p>
        </w:tc>
      </w:tr>
      <w:tr w:rsidR="00CA2B66" w:rsidRPr="00CA2B66" w14:paraId="36D2D0B2" w14:textId="77777777" w:rsidTr="00CA2B66">
        <w:trPr>
          <w:trHeight w:val="961"/>
        </w:trPr>
        <w:tc>
          <w:tcPr>
            <w:tcW w:w="645" w:type="dxa"/>
          </w:tcPr>
          <w:p w14:paraId="27E9BE8D" w14:textId="1B6C6223" w:rsidR="00CA2B66" w:rsidRPr="00CA2B66" w:rsidRDefault="00CA2B66" w:rsidP="00CA2B66">
            <w:pPr>
              <w:jc w:val="center"/>
              <w:rPr>
                <w:b/>
                <w:bCs/>
                <w:sz w:val="21"/>
                <w:szCs w:val="21"/>
              </w:rPr>
            </w:pPr>
            <w:r w:rsidRPr="00CA2B66">
              <w:rPr>
                <w:b/>
                <w:bCs/>
                <w:sz w:val="21"/>
                <w:szCs w:val="21"/>
              </w:rPr>
              <w:t>22</w:t>
            </w:r>
          </w:p>
        </w:tc>
        <w:tc>
          <w:tcPr>
            <w:tcW w:w="1709" w:type="dxa"/>
          </w:tcPr>
          <w:p w14:paraId="4D3FEE8E" w14:textId="1AD65B46" w:rsidR="00CA2B66" w:rsidRPr="00CA2B66" w:rsidRDefault="00CA2B66" w:rsidP="00CA2B66">
            <w:pPr>
              <w:jc w:val="center"/>
              <w:rPr>
                <w:sz w:val="21"/>
                <w:szCs w:val="21"/>
              </w:rPr>
            </w:pPr>
            <w:r w:rsidRPr="00CA2B66">
              <w:rPr>
                <w:sz w:val="21"/>
                <w:szCs w:val="21"/>
              </w:rPr>
              <w:t>Réutilisation des matériaux in-situ</w:t>
            </w:r>
          </w:p>
        </w:tc>
        <w:tc>
          <w:tcPr>
            <w:tcW w:w="3995" w:type="dxa"/>
          </w:tcPr>
          <w:p w14:paraId="28AF946E" w14:textId="3D2D0E15" w:rsidR="00CA2B66" w:rsidRPr="00CA2B66" w:rsidRDefault="00CA2B66" w:rsidP="00CA2B66">
            <w:pPr>
              <w:jc w:val="center"/>
              <w:rPr>
                <w:sz w:val="21"/>
                <w:szCs w:val="21"/>
              </w:rPr>
            </w:pPr>
            <w:r w:rsidRPr="00CA2B66">
              <w:rPr>
                <w:sz w:val="21"/>
                <w:szCs w:val="21"/>
              </w:rPr>
              <w:t>Réutilisation de 50% des cloisons déjà installées</w:t>
            </w:r>
            <w:r w:rsidRPr="00CA2B66">
              <w:rPr>
                <w:sz w:val="21"/>
                <w:szCs w:val="21"/>
              </w:rPr>
              <w:br/>
              <w:t>Réutilisation de 100% des nourrices déjà installées</w:t>
            </w:r>
          </w:p>
        </w:tc>
        <w:tc>
          <w:tcPr>
            <w:tcW w:w="1129" w:type="dxa"/>
          </w:tcPr>
          <w:p w14:paraId="72DE0771" w14:textId="7E0452F7" w:rsidR="00CA2B66" w:rsidRPr="00CA2B66" w:rsidRDefault="00CA2B66" w:rsidP="00CA2B66">
            <w:pPr>
              <w:jc w:val="center"/>
              <w:rPr>
                <w:sz w:val="21"/>
                <w:szCs w:val="21"/>
              </w:rPr>
            </w:pPr>
            <w:r w:rsidRPr="00CA2B66">
              <w:rPr>
                <w:sz w:val="21"/>
                <w:szCs w:val="21"/>
              </w:rPr>
              <w:t>Travaux en période E&amp;M</w:t>
            </w:r>
          </w:p>
        </w:tc>
        <w:tc>
          <w:tcPr>
            <w:tcW w:w="2773" w:type="dxa"/>
            <w:noWrap/>
          </w:tcPr>
          <w:p w14:paraId="4AD05ED4" w14:textId="3281268D" w:rsidR="00CA2B66" w:rsidRPr="00CA2B66" w:rsidRDefault="00CA2B66" w:rsidP="00CA2B66">
            <w:pPr>
              <w:jc w:val="center"/>
              <w:rPr>
                <w:sz w:val="21"/>
                <w:szCs w:val="21"/>
              </w:rPr>
            </w:pPr>
            <w:r w:rsidRPr="00CA2B66">
              <w:rPr>
                <w:sz w:val="21"/>
                <w:szCs w:val="21"/>
              </w:rPr>
              <w:t>Montants à ajuster</w:t>
            </w:r>
          </w:p>
        </w:tc>
      </w:tr>
    </w:tbl>
    <w:p w14:paraId="1A4FC8E8" w14:textId="77777777" w:rsidR="00F60ED9" w:rsidRDefault="00F60ED9" w:rsidP="00CA2B66">
      <w:pPr>
        <w:ind w:left="-993"/>
        <w:jc w:val="center"/>
        <w:rPr>
          <w:sz w:val="36"/>
          <w:szCs w:val="36"/>
        </w:rPr>
      </w:pPr>
    </w:p>
    <w:p w14:paraId="532EFB8B" w14:textId="5192EA8A" w:rsidR="00C41EBE" w:rsidRDefault="00C41EBE" w:rsidP="00A30035">
      <w:pPr>
        <w:jc w:val="center"/>
        <w:rPr>
          <w:sz w:val="36"/>
          <w:szCs w:val="36"/>
        </w:rPr>
      </w:pPr>
      <w:r w:rsidRPr="00C41EBE">
        <w:rPr>
          <w:sz w:val="36"/>
          <w:szCs w:val="36"/>
        </w:rPr>
        <w:t>Pénalités relatives au non-respect des consommations en phase exploitation</w:t>
      </w:r>
    </w:p>
    <w:p w14:paraId="7EEC845B" w14:textId="0394B91A" w:rsidR="00C41EBE" w:rsidRPr="00F60ED9" w:rsidRDefault="00C41EBE" w:rsidP="00A30035">
      <w:pPr>
        <w:jc w:val="center"/>
        <w:rPr>
          <w:sz w:val="36"/>
          <w:szCs w:val="36"/>
        </w:rPr>
      </w:pPr>
      <w:r w:rsidRPr="00C41EBE">
        <w:rPr>
          <w:sz w:val="36"/>
          <w:szCs w:val="36"/>
        </w:rPr>
        <w:t xml:space="preserve">Les pénalités relatives au non-respect des consommations réelles en exploitation sont la résultante </w:t>
      </w:r>
      <w:r w:rsidR="003F1E26">
        <w:rPr>
          <w:sz w:val="36"/>
          <w:szCs w:val="36"/>
        </w:rPr>
        <w:t xml:space="preserve">de </w:t>
      </w:r>
      <w:r w:rsidR="003F1E26" w:rsidRPr="003F1E26">
        <w:rPr>
          <w:sz w:val="36"/>
          <w:szCs w:val="36"/>
          <w:highlight w:val="yellow"/>
        </w:rPr>
        <w:t>l’article XX du CCTP - Chapitre Exploitation-Maintenance</w:t>
      </w:r>
      <w:r w:rsidRPr="003F1E26">
        <w:rPr>
          <w:sz w:val="36"/>
          <w:szCs w:val="36"/>
          <w:highlight w:val="yellow"/>
        </w:rPr>
        <w:t xml:space="preserve"> – Plan de Mesures et Vérifications.</w:t>
      </w:r>
    </w:p>
    <w:sectPr w:rsidR="00C41EBE" w:rsidRPr="00F60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Narrow">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18E"/>
    <w:rsid w:val="00030372"/>
    <w:rsid w:val="00031B15"/>
    <w:rsid w:val="00052E5F"/>
    <w:rsid w:val="000E7A01"/>
    <w:rsid w:val="00101DD6"/>
    <w:rsid w:val="001204DD"/>
    <w:rsid w:val="00160369"/>
    <w:rsid w:val="00180A9B"/>
    <w:rsid w:val="00180F78"/>
    <w:rsid w:val="00186620"/>
    <w:rsid w:val="001B5512"/>
    <w:rsid w:val="001E3A7B"/>
    <w:rsid w:val="002021A0"/>
    <w:rsid w:val="002132D0"/>
    <w:rsid w:val="002229CC"/>
    <w:rsid w:val="00263D9F"/>
    <w:rsid w:val="00270962"/>
    <w:rsid w:val="002728F0"/>
    <w:rsid w:val="00283249"/>
    <w:rsid w:val="00287E90"/>
    <w:rsid w:val="002D7CAD"/>
    <w:rsid w:val="002E6C84"/>
    <w:rsid w:val="00332973"/>
    <w:rsid w:val="0034113E"/>
    <w:rsid w:val="00375646"/>
    <w:rsid w:val="003917EE"/>
    <w:rsid w:val="00393460"/>
    <w:rsid w:val="003B1382"/>
    <w:rsid w:val="003C4E57"/>
    <w:rsid w:val="003C7701"/>
    <w:rsid w:val="003D5932"/>
    <w:rsid w:val="003F1E26"/>
    <w:rsid w:val="004574D9"/>
    <w:rsid w:val="004C7783"/>
    <w:rsid w:val="004D0B55"/>
    <w:rsid w:val="004D2084"/>
    <w:rsid w:val="004E4CCA"/>
    <w:rsid w:val="004F0692"/>
    <w:rsid w:val="005039C8"/>
    <w:rsid w:val="00555C1F"/>
    <w:rsid w:val="00572FA5"/>
    <w:rsid w:val="005A095E"/>
    <w:rsid w:val="00602348"/>
    <w:rsid w:val="00605EFA"/>
    <w:rsid w:val="00635F1A"/>
    <w:rsid w:val="006441BF"/>
    <w:rsid w:val="00673739"/>
    <w:rsid w:val="00684238"/>
    <w:rsid w:val="00696C66"/>
    <w:rsid w:val="006C11D3"/>
    <w:rsid w:val="006E0170"/>
    <w:rsid w:val="006E1A70"/>
    <w:rsid w:val="007569E9"/>
    <w:rsid w:val="00770DEC"/>
    <w:rsid w:val="00776FF9"/>
    <w:rsid w:val="007823E2"/>
    <w:rsid w:val="007A36A0"/>
    <w:rsid w:val="007C77B0"/>
    <w:rsid w:val="007F51B9"/>
    <w:rsid w:val="008049D1"/>
    <w:rsid w:val="00813699"/>
    <w:rsid w:val="00887CAB"/>
    <w:rsid w:val="008A1C9A"/>
    <w:rsid w:val="008B0FCD"/>
    <w:rsid w:val="008C49CA"/>
    <w:rsid w:val="009110D3"/>
    <w:rsid w:val="0093014D"/>
    <w:rsid w:val="00966EB3"/>
    <w:rsid w:val="0099145A"/>
    <w:rsid w:val="00994DD8"/>
    <w:rsid w:val="009B002C"/>
    <w:rsid w:val="009C4051"/>
    <w:rsid w:val="009C58D3"/>
    <w:rsid w:val="009D5317"/>
    <w:rsid w:val="009D619E"/>
    <w:rsid w:val="00A2284A"/>
    <w:rsid w:val="00A24641"/>
    <w:rsid w:val="00A25FA9"/>
    <w:rsid w:val="00A26948"/>
    <w:rsid w:val="00A30035"/>
    <w:rsid w:val="00A325BC"/>
    <w:rsid w:val="00A52102"/>
    <w:rsid w:val="00A5379E"/>
    <w:rsid w:val="00A540C9"/>
    <w:rsid w:val="00A576CC"/>
    <w:rsid w:val="00B2326F"/>
    <w:rsid w:val="00B418EC"/>
    <w:rsid w:val="00B41D06"/>
    <w:rsid w:val="00B6063A"/>
    <w:rsid w:val="00B70258"/>
    <w:rsid w:val="00B85584"/>
    <w:rsid w:val="00B93151"/>
    <w:rsid w:val="00B94B4D"/>
    <w:rsid w:val="00BA7477"/>
    <w:rsid w:val="00BF24C7"/>
    <w:rsid w:val="00C05BE4"/>
    <w:rsid w:val="00C27237"/>
    <w:rsid w:val="00C41EBE"/>
    <w:rsid w:val="00C477A2"/>
    <w:rsid w:val="00C5333C"/>
    <w:rsid w:val="00C60952"/>
    <w:rsid w:val="00C655CB"/>
    <w:rsid w:val="00C77B7A"/>
    <w:rsid w:val="00C85445"/>
    <w:rsid w:val="00CA2B66"/>
    <w:rsid w:val="00CA3FE6"/>
    <w:rsid w:val="00CA54D6"/>
    <w:rsid w:val="00D30313"/>
    <w:rsid w:val="00D454F4"/>
    <w:rsid w:val="00D51F0C"/>
    <w:rsid w:val="00D71BF3"/>
    <w:rsid w:val="00D818CA"/>
    <w:rsid w:val="00D83A0D"/>
    <w:rsid w:val="00D961C2"/>
    <w:rsid w:val="00DB610C"/>
    <w:rsid w:val="00DC13F1"/>
    <w:rsid w:val="00DC26C6"/>
    <w:rsid w:val="00DD2D98"/>
    <w:rsid w:val="00DF109A"/>
    <w:rsid w:val="00E570E3"/>
    <w:rsid w:val="00E60EB3"/>
    <w:rsid w:val="00E6383F"/>
    <w:rsid w:val="00EA4100"/>
    <w:rsid w:val="00EB01E9"/>
    <w:rsid w:val="00EC218E"/>
    <w:rsid w:val="00F15CD1"/>
    <w:rsid w:val="00F2444F"/>
    <w:rsid w:val="00F35F7D"/>
    <w:rsid w:val="00F60ED9"/>
    <w:rsid w:val="00F843F6"/>
    <w:rsid w:val="00FB0D57"/>
    <w:rsid w:val="00FB14E4"/>
    <w:rsid w:val="00FC7E72"/>
    <w:rsid w:val="00FE1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DF84"/>
  <w15:chartTrackingRefBased/>
  <w15:docId w15:val="{A63E13D6-ACB2-438D-AAB2-09806B13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692"/>
    <w:pPr>
      <w:spacing w:after="0" w:line="240" w:lineRule="auto"/>
    </w:pPr>
    <w:rPr>
      <w:rFonts w:ascii="Times New Roman" w:eastAsia="Times New Roman" w:hAnsi="Times New Roman" w:cs="Times New Roman"/>
      <w:kern w:val="0"/>
      <w:sz w:val="24"/>
      <w:szCs w:val="24"/>
      <w:lang w:eastAsia="fr-FR"/>
      <w14:ligatures w14:val="none"/>
    </w:rPr>
  </w:style>
  <w:style w:type="paragraph" w:styleId="Titre1">
    <w:name w:val="heading 1"/>
    <w:basedOn w:val="Normal"/>
    <w:next w:val="Normal"/>
    <w:link w:val="Titre1Car"/>
    <w:uiPriority w:val="9"/>
    <w:qFormat/>
    <w:rsid w:val="00EC218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EC218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EC218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EC218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itre5">
    <w:name w:val="heading 5"/>
    <w:basedOn w:val="Normal"/>
    <w:next w:val="Normal"/>
    <w:link w:val="Titre5Car"/>
    <w:uiPriority w:val="9"/>
    <w:semiHidden/>
    <w:unhideWhenUsed/>
    <w:qFormat/>
    <w:rsid w:val="00EC218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itre6">
    <w:name w:val="heading 6"/>
    <w:basedOn w:val="Normal"/>
    <w:next w:val="Normal"/>
    <w:link w:val="Titre6Car"/>
    <w:uiPriority w:val="9"/>
    <w:semiHidden/>
    <w:unhideWhenUsed/>
    <w:qFormat/>
    <w:rsid w:val="00EC218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re7">
    <w:name w:val="heading 7"/>
    <w:basedOn w:val="Normal"/>
    <w:next w:val="Normal"/>
    <w:link w:val="Titre7Car"/>
    <w:uiPriority w:val="9"/>
    <w:semiHidden/>
    <w:unhideWhenUsed/>
    <w:qFormat/>
    <w:rsid w:val="00EC218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re8">
    <w:name w:val="heading 8"/>
    <w:basedOn w:val="Normal"/>
    <w:next w:val="Normal"/>
    <w:link w:val="Titre8Car"/>
    <w:uiPriority w:val="9"/>
    <w:semiHidden/>
    <w:unhideWhenUsed/>
    <w:qFormat/>
    <w:rsid w:val="00EC218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re9">
    <w:name w:val="heading 9"/>
    <w:basedOn w:val="Normal"/>
    <w:next w:val="Normal"/>
    <w:link w:val="Titre9Car"/>
    <w:uiPriority w:val="9"/>
    <w:semiHidden/>
    <w:unhideWhenUsed/>
    <w:qFormat/>
    <w:rsid w:val="00EC218E"/>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218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C218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C218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C218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C218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C218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C218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C218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C218E"/>
    <w:rPr>
      <w:rFonts w:eastAsiaTheme="majorEastAsia" w:cstheme="majorBidi"/>
      <w:color w:val="272727" w:themeColor="text1" w:themeTint="D8"/>
    </w:rPr>
  </w:style>
  <w:style w:type="paragraph" w:styleId="Titre">
    <w:name w:val="Title"/>
    <w:basedOn w:val="Normal"/>
    <w:next w:val="Normal"/>
    <w:link w:val="TitreCar"/>
    <w:uiPriority w:val="10"/>
    <w:qFormat/>
    <w:rsid w:val="00EC218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EC218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C218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EC218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C218E"/>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ionCar">
    <w:name w:val="Citation Car"/>
    <w:basedOn w:val="Policepardfaut"/>
    <w:link w:val="Citation"/>
    <w:uiPriority w:val="29"/>
    <w:rsid w:val="00EC218E"/>
    <w:rPr>
      <w:i/>
      <w:iCs/>
      <w:color w:val="404040" w:themeColor="text1" w:themeTint="BF"/>
    </w:rPr>
  </w:style>
  <w:style w:type="paragraph" w:styleId="Paragraphedeliste">
    <w:name w:val="List Paragraph"/>
    <w:basedOn w:val="Normal"/>
    <w:uiPriority w:val="34"/>
    <w:qFormat/>
    <w:rsid w:val="00EC218E"/>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ccentuationintense">
    <w:name w:val="Intense Emphasis"/>
    <w:basedOn w:val="Policepardfaut"/>
    <w:uiPriority w:val="21"/>
    <w:qFormat/>
    <w:rsid w:val="00EC218E"/>
    <w:rPr>
      <w:i/>
      <w:iCs/>
      <w:color w:val="0F4761" w:themeColor="accent1" w:themeShade="BF"/>
    </w:rPr>
  </w:style>
  <w:style w:type="paragraph" w:styleId="Citationintense">
    <w:name w:val="Intense Quote"/>
    <w:basedOn w:val="Normal"/>
    <w:next w:val="Normal"/>
    <w:link w:val="CitationintenseCar"/>
    <w:uiPriority w:val="30"/>
    <w:qFormat/>
    <w:rsid w:val="00EC218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tionintenseCar">
    <w:name w:val="Citation intense Car"/>
    <w:basedOn w:val="Policepardfaut"/>
    <w:link w:val="Citationintense"/>
    <w:uiPriority w:val="30"/>
    <w:rsid w:val="00EC218E"/>
    <w:rPr>
      <w:i/>
      <w:iCs/>
      <w:color w:val="0F4761" w:themeColor="accent1" w:themeShade="BF"/>
    </w:rPr>
  </w:style>
  <w:style w:type="character" w:styleId="Rfrenceintense">
    <w:name w:val="Intense Reference"/>
    <w:basedOn w:val="Policepardfaut"/>
    <w:uiPriority w:val="32"/>
    <w:qFormat/>
    <w:rsid w:val="00EC218E"/>
    <w:rPr>
      <w:b/>
      <w:bCs/>
      <w:smallCaps/>
      <w:color w:val="0F4761" w:themeColor="accent1" w:themeShade="BF"/>
      <w:spacing w:val="5"/>
    </w:rPr>
  </w:style>
  <w:style w:type="table" w:styleId="Grilledutableau">
    <w:name w:val="Table Grid"/>
    <w:basedOn w:val="TableauNormal"/>
    <w:uiPriority w:val="39"/>
    <w:rsid w:val="00BF2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857101">
      <w:bodyDiv w:val="1"/>
      <w:marLeft w:val="0"/>
      <w:marRight w:val="0"/>
      <w:marTop w:val="0"/>
      <w:marBottom w:val="0"/>
      <w:divBdr>
        <w:top w:val="none" w:sz="0" w:space="0" w:color="auto"/>
        <w:left w:val="none" w:sz="0" w:space="0" w:color="auto"/>
        <w:bottom w:val="none" w:sz="0" w:space="0" w:color="auto"/>
        <w:right w:val="none" w:sz="0" w:space="0" w:color="auto"/>
      </w:divBdr>
    </w:div>
    <w:div w:id="279336678">
      <w:bodyDiv w:val="1"/>
      <w:marLeft w:val="0"/>
      <w:marRight w:val="0"/>
      <w:marTop w:val="0"/>
      <w:marBottom w:val="0"/>
      <w:divBdr>
        <w:top w:val="none" w:sz="0" w:space="0" w:color="auto"/>
        <w:left w:val="none" w:sz="0" w:space="0" w:color="auto"/>
        <w:bottom w:val="none" w:sz="0" w:space="0" w:color="auto"/>
        <w:right w:val="none" w:sz="0" w:space="0" w:color="auto"/>
      </w:divBdr>
    </w:div>
    <w:div w:id="1047408749">
      <w:bodyDiv w:val="1"/>
      <w:marLeft w:val="0"/>
      <w:marRight w:val="0"/>
      <w:marTop w:val="0"/>
      <w:marBottom w:val="0"/>
      <w:divBdr>
        <w:top w:val="none" w:sz="0" w:space="0" w:color="auto"/>
        <w:left w:val="none" w:sz="0" w:space="0" w:color="auto"/>
        <w:bottom w:val="none" w:sz="0" w:space="0" w:color="auto"/>
        <w:right w:val="none" w:sz="0" w:space="0" w:color="auto"/>
      </w:divBdr>
    </w:div>
    <w:div w:id="1326595225">
      <w:bodyDiv w:val="1"/>
      <w:marLeft w:val="0"/>
      <w:marRight w:val="0"/>
      <w:marTop w:val="0"/>
      <w:marBottom w:val="0"/>
      <w:divBdr>
        <w:top w:val="none" w:sz="0" w:space="0" w:color="auto"/>
        <w:left w:val="none" w:sz="0" w:space="0" w:color="auto"/>
        <w:bottom w:val="none" w:sz="0" w:space="0" w:color="auto"/>
        <w:right w:val="none" w:sz="0" w:space="0" w:color="auto"/>
      </w:divBdr>
    </w:div>
    <w:div w:id="1873029224">
      <w:bodyDiv w:val="1"/>
      <w:marLeft w:val="0"/>
      <w:marRight w:val="0"/>
      <w:marTop w:val="0"/>
      <w:marBottom w:val="0"/>
      <w:divBdr>
        <w:top w:val="none" w:sz="0" w:space="0" w:color="auto"/>
        <w:left w:val="none" w:sz="0" w:space="0" w:color="auto"/>
        <w:bottom w:val="none" w:sz="0" w:space="0" w:color="auto"/>
        <w:right w:val="none" w:sz="0" w:space="0" w:color="auto"/>
      </w:divBdr>
    </w:div>
    <w:div w:id="187669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F93E4-0050-D746-9AA2-C1AB151F4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15</Pages>
  <Words>4609</Words>
  <Characters>25350</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Mara</dc:creator>
  <cp:keywords/>
  <dc:description/>
  <cp:lastModifiedBy>Paul Michaud</cp:lastModifiedBy>
  <cp:revision>116</cp:revision>
  <dcterms:created xsi:type="dcterms:W3CDTF">2025-01-16T09:36:00Z</dcterms:created>
  <dcterms:modified xsi:type="dcterms:W3CDTF">2025-01-17T15:43:00Z</dcterms:modified>
</cp:coreProperties>
</file>