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Arial" w:hAnsi="Arial" w:cs="Arial"/>
          <w:b w:val="false"/>
          <w:b w:val="false"/>
          <w:i w:val="false"/>
          <w:i w:val="false"/>
          <w:strike w:val="false"/>
          <w:dstrike w:val="false"/>
          <w:outline w:val="false"/>
          <w:shadow w:val="false"/>
          <w:color w:val="auto"/>
          <w:ins w:id="1" w:author="Auteur inconnu" w:date="2024-06-26T13:28:27Z"/>
          <w:sz w:val="20"/>
          <w:szCs w:val="20"/>
          <w:u w:val="none"/>
          <w:em w:val="none"/>
        </w:rPr>
      </w:pPr>
      <w:ins w:id="0" w:author="Auteur inconnu" w:date="2024-06-26T13:28:27Z">
        <w:r>
          <w:rPr>
            <w:rFonts w:cs="Arial" w:ascii="Arial" w:hAnsi="Arial"/>
            <w:b w:val="false"/>
            <w:i w:val="false"/>
            <w:strike w:val="false"/>
            <w:dstrike w:val="false"/>
            <w:outline w:val="false"/>
            <w:shadow w:val="false"/>
            <w:color w:val="auto"/>
            <w:sz w:val="20"/>
            <w:szCs w:val="20"/>
            <w:u w:val="none"/>
            <w:em w:val="none"/>
          </w:rPr>
          <w:drawing>
            <wp:anchor behindDoc="0" distT="0" distB="0" distL="0" distR="0" simplePos="0" locked="0" layoutInCell="1" allowOverlap="1" relativeHeight="6">
              <wp:simplePos x="0" y="0"/>
              <wp:positionH relativeFrom="column">
                <wp:posOffset>29845</wp:posOffset>
              </wp:positionH>
              <wp:positionV relativeFrom="paragraph">
                <wp:posOffset>-66675</wp:posOffset>
              </wp:positionV>
              <wp:extent cx="1163955" cy="10788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163955" cy="1078865"/>
                      </a:xfrm>
                      <a:prstGeom prst="rect">
                        <a:avLst/>
                      </a:prstGeom>
                    </pic:spPr>
                  </pic:pic>
                </a:graphicData>
              </a:graphic>
            </wp:anchor>
          </w:drawing>
        </w:r>
      </w:ins>
    </w:p>
    <w:p>
      <w:pPr>
        <w:pStyle w:val="Normal"/>
        <w:bidi w:val="0"/>
        <w:spacing w:before="60" w:after="60"/>
        <w:jc w:val="center"/>
        <w:rPr>
          <w:rFonts w:ascii="Arial" w:hAnsi="Arial" w:cs="Arial"/>
          <w:b w:val="false"/>
          <w:b w:val="false"/>
          <w:i w:val="false"/>
          <w:i w:val="false"/>
          <w:strike w:val="false"/>
          <w:dstrike w:val="false"/>
          <w:outline w:val="false"/>
          <w:shadow w:val="false"/>
          <w:color w:val="auto"/>
          <w:ins w:id="3" w:author="Auteur inconnu" w:date="2024-06-26T13:28:27Z"/>
          <w:sz w:val="20"/>
          <w:szCs w:val="20"/>
          <w:u w:val="none"/>
          <w:em w:val="none"/>
        </w:rPr>
      </w:pPr>
      <w:ins w:id="2" w:author="Auteur inconnu" w:date="2024-06-26T13:28:27Z">
        <w:r>
          <w:rPr>
            <w:rFonts w:cs="Arial" w:ascii="Arial" w:hAnsi="Arial"/>
            <w:b w:val="false"/>
            <w:i w:val="false"/>
            <w:strike w:val="false"/>
            <w:dstrike w:val="false"/>
            <w:outline w:val="false"/>
            <w:shadow w:val="false"/>
            <w:color w:val="auto"/>
            <w:sz w:val="20"/>
            <w:szCs w:val="20"/>
            <w:u w:val="none"/>
            <w:em w:val="none"/>
          </w:rPr>
        </w:r>
      </w:ins>
    </w:p>
    <w:p>
      <w:pPr>
        <w:pStyle w:val="Normal"/>
        <w:bidi w:val="0"/>
        <w:spacing w:before="60" w:after="60"/>
        <w:jc w:val="center"/>
        <w:rPr>
          <w:rFonts w:ascii="Arial" w:hAnsi="Arial" w:cs="Arial"/>
          <w:b w:val="false"/>
          <w:b w:val="false"/>
          <w:i w:val="false"/>
          <w:i w:val="false"/>
          <w:strike w:val="false"/>
          <w:dstrike w:val="false"/>
          <w:outline w:val="false"/>
          <w:shadow w:val="false"/>
          <w:color w:val="auto"/>
          <w:ins w:id="5" w:author="Auteur inconnu" w:date="2024-06-26T13:28:27Z"/>
          <w:sz w:val="20"/>
          <w:szCs w:val="20"/>
          <w:u w:val="none"/>
          <w:em w:val="none"/>
        </w:rPr>
      </w:pPr>
      <w:ins w:id="4" w:author="Auteur inconnu" w:date="2024-06-26T13:28:27Z">
        <w:r>
          <w:rPr>
            <w:rFonts w:cs="Arial" w:ascii="Arial" w:hAnsi="Arial"/>
            <w:b w:val="false"/>
            <w:i w:val="false"/>
            <w:strike w:val="false"/>
            <w:dstrike w:val="false"/>
            <w:outline w:val="false"/>
            <w:shadow w:val="false"/>
            <w:color w:val="auto"/>
            <w:sz w:val="20"/>
            <w:szCs w:val="20"/>
            <w:u w:val="none"/>
            <w:em w:val="none"/>
          </w:rPr>
        </w:r>
      </w:ins>
    </w:p>
    <w:p>
      <w:pPr>
        <w:pStyle w:val="Normal"/>
        <w:bidi w:val="0"/>
        <w:spacing w:before="60" w:after="60"/>
        <w:jc w:val="center"/>
        <w:rPr>
          <w:rFonts w:ascii="Arial" w:hAnsi="Arial" w:cs="Arial"/>
          <w:b w:val="false"/>
          <w:b w:val="false"/>
          <w:i w:val="false"/>
          <w:i w:val="false"/>
          <w:strike w:val="false"/>
          <w:dstrike w:val="false"/>
          <w:outline w:val="false"/>
          <w:shadow w:val="false"/>
          <w:color w:val="auto"/>
          <w:ins w:id="7" w:author="Auteur inconnu" w:date="2024-06-26T13:28:27Z"/>
          <w:sz w:val="20"/>
          <w:szCs w:val="20"/>
          <w:u w:val="none"/>
          <w:em w:val="none"/>
        </w:rPr>
      </w:pPr>
      <w:ins w:id="6" w:author="Auteur inconnu" w:date="2024-06-26T13:28:27Z">
        <w:r>
          <w:rPr>
            <w:rFonts w:cs="Arial" w:ascii="Arial" w:hAnsi="Arial"/>
            <w:b w:val="false"/>
            <w:i w:val="false"/>
            <w:strike w:val="false"/>
            <w:dstrike w:val="false"/>
            <w:outline w:val="false"/>
            <w:shadow w:val="false"/>
            <w:color w:val="auto"/>
            <w:sz w:val="20"/>
            <w:szCs w:val="20"/>
            <w:u w:val="none"/>
            <w:em w:val="none"/>
          </w:rPr>
        </w:r>
      </w:ins>
    </w:p>
    <w:p>
      <w:pPr>
        <w:pStyle w:val="Normal"/>
        <w:bidi w:val="0"/>
        <w:spacing w:before="60" w:after="60"/>
        <w:jc w:val="center"/>
        <w:rPr>
          <w:rFonts w:ascii="Arial" w:hAnsi="Arial" w:cs="Arial"/>
          <w:b w:val="false"/>
          <w:b w:val="false"/>
          <w:i w:val="false"/>
          <w:i w:val="false"/>
          <w:strike w:val="false"/>
          <w:dstrike w:val="false"/>
          <w:outline w:val="false"/>
          <w:shadow w:val="false"/>
          <w:color w:val="auto"/>
          <w:sz w:val="20"/>
          <w:szCs w:val="20"/>
          <w:u w:val="none"/>
          <w:em w:val="none"/>
        </w:rPr>
      </w:pPr>
      <w:r>
        <w:rPr>
          <w:rFonts w:cs="Arial" w:ascii="Arial" w:hAnsi="Arial"/>
          <w:b w:val="false"/>
          <w:i w:val="false"/>
          <w:strike w:val="false"/>
          <w:dstrike w:val="false"/>
          <w:outline w:val="false"/>
          <w:shadow w:val="false"/>
          <w:color w:val="auto"/>
          <w:sz w:val="20"/>
          <w:szCs w:val="20"/>
          <w:u w:val="none"/>
          <w:em w:val="none"/>
        </w:rPr>
      </w:r>
    </w:p>
    <w:tbl>
      <w:tblPr>
        <w:tblW w:w="10206" w:type="dxa"/>
        <w:jc w:val="left"/>
        <w:tblInd w:w="28" w:type="dxa"/>
        <w:tblCellMar>
          <w:top w:w="28" w:type="dxa"/>
          <w:left w:w="28" w:type="dxa"/>
          <w:bottom w:w="28" w:type="dxa"/>
          <w:right w:w="28" w:type="dxa"/>
        </w:tblCellMar>
      </w:tblPr>
      <w:tblGrid>
        <w:gridCol w:w="10206"/>
      </w:tblGrid>
      <w:tr>
        <w:trPr/>
        <w:tc>
          <w:tcPr>
            <w:tcW w:w="10206" w:type="dxa"/>
            <w:tcBorders>
              <w:top w:val="single" w:sz="2" w:space="0" w:color="000000"/>
              <w:left w:val="single" w:sz="2" w:space="0" w:color="000000"/>
              <w:bottom w:val="single" w:sz="2" w:space="0" w:color="000000"/>
              <w:right w:val="single" w:sz="2" w:space="0" w:color="000000"/>
            </w:tcBorders>
          </w:tcPr>
          <w:p>
            <w:pPr>
              <w:pStyle w:val="Normal"/>
              <w:widowControl/>
              <w:pBdr/>
              <w:suppressAutoHyphens w:val="true"/>
              <w:kinsoku w:val="true"/>
              <w:overflowPunct w:val="true"/>
              <w:autoSpaceDE w:val="true"/>
              <w:bidi w:val="0"/>
              <w:snapToGrid w:val="false"/>
              <w:spacing w:lineRule="auto" w:line="240" w:before="0" w:after="0"/>
              <w:ind w:left="0" w:right="0" w:hanging="0"/>
              <w:jc w:val="center"/>
              <w:textAlignment w:val="center"/>
              <w:rPr>
                <w:rFonts w:ascii="Arial" w:hAnsi="Arial" w:eastAsia="Times New Roman" w:cs="Century Gothic"/>
                <w:b w:val="false"/>
                <w:b w:val="false"/>
                <w:bCs w:val="false"/>
                <w:i w:val="false"/>
                <w:i w:val="false"/>
                <w:iCs w:val="false"/>
                <w:caps/>
                <w:color w:val="000000"/>
                <w:kern w:val="2"/>
                <w:sz w:val="20"/>
                <w:szCs w:val="20"/>
                <w:highlight w:val="white"/>
                <w:u w:val="none"/>
                <w:lang w:val="zxx" w:eastAsia="zxx" w:bidi="zxx"/>
              </w:rPr>
            </w:pPr>
            <w:ins w:id="8" w:author="Auteur inconnu" w:date="2024-06-26T13:28:27Z">
              <w:bookmarkStart w:id="0" w:name="R0_p5_a"/>
              <w:r>
                <w:rPr>
                  <w:rFonts w:eastAsia="Times New Roman" w:cs="Century Gothic" w:ascii="Marianne" w:hAnsi="Marianne"/>
                  <w:b/>
                  <w:bCs/>
                  <w:i/>
                  <w:iCs/>
                  <w:caps/>
                  <w:color w:val="000000"/>
                  <w:kern w:val="2"/>
                  <w:sz w:val="22"/>
                  <w:szCs w:val="22"/>
                  <w:highlight w:val="white"/>
                  <w:u w:val="none"/>
                  <w:lang w:val="zxx" w:eastAsia="zxx" w:bidi="zxx"/>
                </w:rPr>
                <w:t xml:space="preserve">RÉALISATION DE PRESTATIONS DE MAINTENANCE PRÉVENTIVE ET CORRECTIVE DES SYSTÈMES DE TÉLÉPHONIE FIXE (AUTOCOMMUTATEURS) ET DE LEURS PÉRIPHÉRIQUES </w:t>
              </w:r>
            </w:ins>
            <w:ins w:id="9" w:author="Auteur inconnu" w:date="2024-06-26T13:28:27Z">
              <w:bookmarkEnd w:id="0"/>
              <w:r>
                <w:rPr>
                  <w:rFonts w:eastAsia="Times New Roman" w:cs="Century Gothic" w:ascii="Marianne" w:hAnsi="Marianne"/>
                  <w:b/>
                  <w:bCs/>
                  <w:i/>
                  <w:iCs/>
                  <w:caps/>
                  <w:color w:val="000000"/>
                  <w:kern w:val="2"/>
                  <w:sz w:val="22"/>
                  <w:szCs w:val="22"/>
                  <w:highlight w:val="white"/>
                  <w:u w:val="none"/>
                  <w:lang w:val="zxx" w:eastAsia="zxx" w:bidi="zxx"/>
                </w:rPr>
                <w:t>au profit d’un groupement de commande constitué par plusieurs services de l’État à La Réunion</w:t>
              </w:r>
            </w:ins>
            <w:ins w:id="10" w:author="Auteur inconnu" w:date="2024-06-26T13:28:27Z">
              <w:r>
                <w:rPr>
                  <w:rFonts w:eastAsia="Times New Roman" w:cs="Century Gothic" w:ascii="Marianne" w:hAnsi="Marianne"/>
                  <w:b/>
                  <w:bCs/>
                  <w:i/>
                  <w:iCs/>
                  <w:caps/>
                  <w:color w:val="000000"/>
                  <w:kern w:val="2"/>
                  <w:sz w:val="22"/>
                  <w:szCs w:val="22"/>
                  <w:highlight w:val="white"/>
                  <w:u w:val="none"/>
                  <w:lang w:val="zxx" w:eastAsia="zxx" w:bidi="zxx"/>
                </w:rPr>
                <w:t>.</w:t>
              </w:r>
            </w:ins>
          </w:p>
        </w:tc>
      </w:tr>
      <w:tr>
        <w:trPr/>
        <w:tc>
          <w:tcPr>
            <w:tcW w:w="10206" w:type="dxa"/>
            <w:tcBorders>
              <w:left w:val="single" w:sz="2" w:space="0" w:color="000000"/>
              <w:bottom w:val="single" w:sz="2" w:space="0" w:color="000000"/>
              <w:right w:val="single" w:sz="2" w:space="0" w:color="000000"/>
            </w:tcBorders>
          </w:tcPr>
          <w:p>
            <w:pPr>
              <w:pStyle w:val="1erparagraphe"/>
              <w:tabs>
                <w:tab w:val="clear" w:pos="708"/>
                <w:tab w:val="left" w:pos="3402" w:leader="none"/>
                <w:tab w:val="left" w:pos="5103" w:leader="none"/>
                <w:tab w:val="right" w:pos="6804" w:leader="none"/>
              </w:tabs>
              <w:spacing w:before="120" w:after="0"/>
              <w:ind w:left="0" w:right="0" w:hanging="0"/>
              <w:jc w:val="center"/>
              <w:rPr/>
            </w:pPr>
            <w:ins w:id="11" w:author="Auteur inconnu" w:date="2024-06-26T13:28:27Z">
              <w:r>
                <w:rPr>
                  <w:rFonts w:cs="Arial" w:ascii="Arial" w:hAnsi="Arial"/>
                  <w:b/>
                </w:rPr>
                <w:t xml:space="preserve">Annexe </w:t>
              </w:r>
            </w:ins>
            <w:ins w:id="12" w:author="Auteur inconnu" w:date="2024-06-26T13:28:27Z">
              <w:r>
                <w:rPr>
                  <w:rFonts w:cs="Arial" w:ascii="Arial" w:hAnsi="Arial"/>
                  <w:b/>
                </w:rPr>
                <w:t>1</w:t>
              </w:r>
            </w:ins>
            <w:ins w:id="13" w:author="Auteur inconnu" w:date="2024-06-26T13:28:27Z">
              <w:r>
                <w:rPr>
                  <w:rFonts w:cs="Arial" w:ascii="Arial" w:hAnsi="Arial"/>
                  <w:b/>
                </w:rPr>
                <w:t xml:space="preserve"> </w:t>
              </w:r>
            </w:ins>
            <w:ins w:id="14" w:author="Auteur inconnu" w:date="2024-06-26T13:28:27Z">
              <w:r>
                <w:rPr>
                  <w:rFonts w:cs="Arial" w:ascii="Arial" w:hAnsi="Arial"/>
                  <w:b/>
                  <w:u w:val="single"/>
                </w:rPr>
                <w:t>au CCAP</w:t>
              </w:r>
            </w:ins>
          </w:p>
          <w:p>
            <w:pPr>
              <w:pStyle w:val="Normal"/>
              <w:tabs>
                <w:tab w:val="clear" w:pos="708"/>
                <w:tab w:val="left" w:pos="3402" w:leader="none"/>
                <w:tab w:val="left" w:pos="5103" w:leader="none"/>
                <w:tab w:val="right" w:pos="6804" w:leader="none"/>
              </w:tabs>
              <w:spacing w:before="120" w:after="0"/>
              <w:ind w:left="0" w:right="0" w:hanging="0"/>
              <w:jc w:val="center"/>
              <w:rPr>
                <w:rFonts w:ascii="Arial" w:hAnsi="Arial" w:eastAsia="Times New Roman" w:cs="Arial"/>
                <w:b/>
                <w:b/>
                <w:bCs/>
                <w:i w:val="false"/>
                <w:i w:val="false"/>
                <w:caps/>
                <w:color w:val="000000"/>
                <w:sz w:val="20"/>
                <w:szCs w:val="20"/>
                <w:u w:val="none"/>
                <w:lang w:val="fr-FR" w:eastAsia="zh-CN" w:bidi="ar-SA"/>
                <w:ins w:id="17" w:author="Auteur inconnu" w:date="2024-06-26T13:29:25Z"/>
              </w:rPr>
            </w:pPr>
            <w:ins w:id="16" w:author="Auteur inconnu" w:date="2024-06-26T13:29:25Z">
              <w:r>
                <w:rPr>
                  <w:rFonts w:eastAsia="Times New Roman" w:cs="Arial" w:ascii="Arial" w:hAnsi="Arial"/>
                  <w:b/>
                  <w:bCs/>
                  <w:i w:val="false"/>
                  <w:caps/>
                  <w:color w:val="000000"/>
                  <w:sz w:val="20"/>
                  <w:szCs w:val="20"/>
                  <w:u w:val="none"/>
                  <w:lang w:val="fr-FR" w:eastAsia="zh-CN" w:bidi="ar-SA"/>
                </w:rPr>
                <w:t>Clauses contractuelles relatives à la sous-traitance de données personnelles</w:t>
              </w:r>
            </w:ins>
          </w:p>
          <w:p>
            <w:pPr>
              <w:pStyle w:val="Normal"/>
              <w:tabs>
                <w:tab w:val="clear" w:pos="708"/>
                <w:tab w:val="left" w:pos="3402" w:leader="none"/>
                <w:tab w:val="left" w:pos="5103" w:leader="none"/>
                <w:tab w:val="right" w:pos="6804" w:leader="none"/>
              </w:tabs>
              <w:spacing w:before="120" w:after="0"/>
              <w:ind w:left="0" w:right="0" w:hanging="0"/>
              <w:jc w:val="center"/>
              <w:rPr>
                <w:rFonts w:ascii="Arial" w:hAnsi="Arial" w:eastAsia="Times New Roman" w:cs="Arial"/>
                <w:b/>
                <w:b/>
                <w:bCs/>
                <w:i w:val="false"/>
                <w:i w:val="false"/>
                <w:caps/>
                <w:color w:val="000000"/>
                <w:sz w:val="20"/>
                <w:szCs w:val="20"/>
                <w:u w:val="none"/>
                <w:lang w:val="fr-FR" w:eastAsia="zh-CN" w:bidi="ar-SA"/>
              </w:rPr>
            </w:pPr>
            <w:r>
              <w:rPr>
                <w:rFonts w:eastAsia="Times New Roman" w:cs="Arial" w:ascii="Arial" w:hAnsi="Arial"/>
                <w:b/>
                <w:bCs/>
                <w:i w:val="false"/>
                <w:caps/>
                <w:color w:val="000000"/>
                <w:sz w:val="20"/>
                <w:szCs w:val="20"/>
                <w:u w:val="none"/>
                <w:lang w:val="fr-FR" w:eastAsia="zh-CN" w:bidi="ar-SA"/>
              </w:rPr>
            </w:r>
          </w:p>
        </w:tc>
      </w:tr>
    </w:tbl>
    <w:p>
      <w:pPr>
        <w:pStyle w:val="Normal"/>
        <w:bidi w:val="0"/>
        <w:spacing w:before="60" w:after="60"/>
        <w:jc w:val="center"/>
        <w:rPr>
          <w:rFonts w:ascii="Marianne" w:hAnsi="Marianne" w:eastAsia="Calibri" w:cs="Calibri"/>
          <w:b/>
          <w:b/>
          <w:bCs/>
          <w:color w:val="auto"/>
          <w:sz w:val="22"/>
          <w:szCs w:val="22"/>
          <w:lang w:val="fr-FR" w:eastAsia="zh-CN" w:bidi="ar-SA"/>
          <w:ins w:id="19" w:author="Auteur inconnu" w:date="2024-06-26T13:28:27Z"/>
        </w:rPr>
      </w:pPr>
      <w:ins w:id="18" w:author="Auteur inconnu" w:date="2024-06-26T13:28:27Z">
        <w:r>
          <w:rPr>
            <w:rFonts w:eastAsia="Calibri" w:cs="Calibri" w:ascii="Marianne" w:hAnsi="Marianne"/>
            <w:b/>
            <w:bCs/>
            <w:color w:val="auto"/>
            <w:sz w:val="22"/>
            <w:szCs w:val="22"/>
            <w:lang w:val="fr-FR" w:eastAsia="zh-CN" w:bidi="ar-SA"/>
          </w:rPr>
        </w:r>
      </w:ins>
    </w:p>
    <w:p>
      <w:pPr>
        <w:pStyle w:val="Normal"/>
        <w:jc w:val="both"/>
        <w:rPr>
          <w:rFonts w:ascii="Marianne" w:hAnsi="Marianne" w:eastAsia="Calibri" w:cs="Calibri"/>
          <w:b/>
          <w:b/>
          <w:bCs/>
          <w:color w:val="auto"/>
          <w:sz w:val="22"/>
          <w:szCs w:val="22"/>
          <w:lang w:val="fr-FR" w:eastAsia="zh-CN" w:bidi="ar-SA"/>
          <w:del w:id="21" w:author="Author1" w:date="1970-01-01T00:00:00Z"/>
        </w:rPr>
      </w:pPr>
      <w:del w:id="20" w:author="Author1" w:date="1970-01-01T00:00:00Z">
        <w:r>
          <w:rPr>
            <w:rFonts w:eastAsia="Calibri" w:cs="Calibri" w:ascii="Marianne" w:hAnsi="Marianne"/>
            <w:b/>
            <w:bCs/>
            <w:color w:val="auto"/>
            <w:sz w:val="22"/>
            <w:szCs w:val="22"/>
            <w:lang w:val="fr-FR" w:eastAsia="zh-CN" w:bidi="ar-SA"/>
          </w:rPr>
          <w:delText>Modèle de clauses contractuelles « RGPD » du ministère de l’intérieur</w:delText>
        </w:r>
      </w:del>
    </w:p>
    <w:p>
      <w:pPr>
        <w:pStyle w:val="Normal"/>
        <w:jc w:val="both"/>
        <w:rPr>
          <w:rFonts w:ascii="Marianne" w:hAnsi="Marianne"/>
          <w:b/>
          <w:b/>
          <w:bCs/>
          <w:del w:id="23" w:author="Author1" w:date="1970-01-01T00:00:00Z"/>
        </w:rPr>
      </w:pPr>
      <w:del w:id="22" w:author="Author1" w:date="1970-01-01T00:00:00Z">
        <w:r>
          <w:rPr>
            <w:rFonts w:ascii="Marianne" w:hAnsi="Marianne"/>
            <w:b/>
            <w:bCs/>
          </w:rPr>
        </w:r>
      </w:del>
    </w:p>
    <w:p>
      <w:pPr>
        <w:pStyle w:val="Normal"/>
        <w:jc w:val="center"/>
        <w:rPr>
          <w:rFonts w:ascii="Marianne" w:hAnsi="Marianne" w:eastAsia="Calibri" w:cs="Calibri"/>
          <w:b/>
          <w:b/>
          <w:bCs/>
          <w:color w:val="auto"/>
          <w:sz w:val="22"/>
          <w:szCs w:val="22"/>
          <w:lang w:val="fr-FR" w:eastAsia="zh-CN" w:bidi="ar-SA"/>
          <w:del w:id="25" w:author="Auteur inconnu" w:date="2024-06-26T13:29:30Z"/>
        </w:rPr>
      </w:pPr>
      <w:del w:id="24" w:author="Auteur inconnu" w:date="2024-06-26T13:29:30Z">
        <w:r>
          <w:rPr>
            <w:rFonts w:eastAsia="Calibri" w:cs="Calibri" w:ascii="Marianne" w:hAnsi="Marianne"/>
            <w:b/>
            <w:bCs/>
            <w:color w:val="auto"/>
            <w:sz w:val="22"/>
            <w:szCs w:val="22"/>
            <w:lang w:val="fr-FR" w:eastAsia="zh-CN" w:bidi="ar-SA"/>
          </w:rPr>
          <w:delText>Annexe 1 –  Clauses contractuelles du ministère de l’Intérieur relatives à la sous-traitance de données personnelles</w:delText>
        </w:r>
      </w:del>
    </w:p>
    <w:p>
      <w:pPr>
        <w:pStyle w:val="Normal"/>
        <w:jc w:val="both"/>
        <w:rPr>
          <w:rFonts w:ascii="Marianne" w:hAnsi="Marianne" w:eastAsia="Calibri" w:cs="Calibri"/>
          <w:color w:val="auto"/>
          <w:sz w:val="22"/>
          <w:szCs w:val="22"/>
          <w:lang w:val="fr-FR" w:eastAsia="zh-CN" w:bidi="ar-SA"/>
          <w:ins w:id="27" w:author="Auteur inconnu" w:date="2024-06-26T13:29:41Z"/>
        </w:rPr>
      </w:pPr>
      <w:ins w:id="26" w:author="Auteur inconnu" w:date="2024-06-26T13:29:41Z">
        <w:r>
          <w:rPr>
            <w:rFonts w:eastAsia="Calibri" w:cs="Calibri" w:ascii="Marianne" w:hAnsi="Marianne"/>
            <w:color w:val="auto"/>
            <w:sz w:val="22"/>
            <w:szCs w:val="22"/>
            <w:lang w:val="fr-FR" w:eastAsia="zh-CN" w:bidi="ar-SA"/>
          </w:rPr>
        </w:r>
      </w:ins>
      <w:r>
        <w:br w:type="page"/>
      </w:r>
    </w:p>
    <w:p>
      <w:pPr>
        <w:pStyle w:val="Normal"/>
        <w:jc w:val="both"/>
        <w:rPr>
          <w:rFonts w:ascii="Marianne" w:hAnsi="Marianne"/>
          <w:b/>
          <w:b/>
          <w:bCs/>
        </w:rPr>
      </w:pPr>
      <w:r>
        <w:rPr>
          <w:rFonts w:ascii="Marianne" w:hAnsi="Marianne"/>
          <w:b/>
          <w:bCs/>
          <w:rPrChange w:id="0" w:author="Auteur inconnu" w:date="2024-06-26T13:29:45Z"/>
        </w:rPr>
        <w:t>Sommaire</w:t>
      </w:r>
    </w:p>
    <w:sdt>
      <w:sdtPr>
        <w:docPartObj>
          <w:docPartGallery w:val="Table of Contents"/>
          <w:docPartUnique w:val="true"/>
        </w:docPartObj>
      </w:sdtPr>
      <w:sdtContent>
        <w:p>
          <w:pPr>
            <w:pStyle w:val="Tabledesmatiresniveau1"/>
            <w:tabs>
              <w:tab w:val="clear" w:pos="708"/>
              <w:tab w:val="right" w:pos="10206" w:leader="dot"/>
            </w:tabs>
            <w:rPr/>
          </w:pPr>
          <w:r>
            <w:fldChar w:fldCharType="begin"/>
          </w:r>
          <w:r>
            <w:rPr>
              <w:rStyle w:val="Sautdindex"/>
            </w:rPr>
            <w:instrText> TOC \t "Style1,1,Style2,2" \h</w:instrText>
          </w:r>
          <w:r>
            <w:rPr>
              <w:rStyle w:val="Sautdindex"/>
            </w:rPr>
            <w:fldChar w:fldCharType="separate"/>
          </w:r>
          <w:hyperlink w:anchor="__RefHeading___Toc89271567">
            <w:r>
              <w:rPr>
                <w:rStyle w:val="Sautdindex"/>
              </w:rPr>
              <w:t>Introduction</w:t>
              <w:tab/>
              <w:t>3</w:t>
            </w:r>
          </w:hyperlink>
        </w:p>
        <w:p>
          <w:pPr>
            <w:pStyle w:val="Tabledesmatiresniveau1"/>
            <w:tabs>
              <w:tab w:val="clear" w:pos="708"/>
              <w:tab w:val="right" w:pos="10206" w:leader="dot"/>
            </w:tabs>
            <w:rPr/>
          </w:pPr>
          <w:hyperlink w:anchor="__RefHeading___Toc89271569">
            <w:r>
              <w:rPr>
                <w:rStyle w:val="Sautdindex"/>
              </w:rPr>
              <w:t>Définitions spécifiques aux données à caractère personnel</w:t>
              <w:tab/>
              <w:t>4</w:t>
            </w:r>
          </w:hyperlink>
        </w:p>
        <w:p>
          <w:pPr>
            <w:pStyle w:val="Tabledesmatiresniveau1"/>
            <w:tabs>
              <w:tab w:val="clear" w:pos="708"/>
              <w:tab w:val="right" w:pos="10206" w:leader="dot"/>
            </w:tabs>
            <w:rPr/>
          </w:pPr>
          <w:hyperlink w:anchor="__RefHeading___Toc89271570">
            <w:r>
              <w:rPr>
                <w:rStyle w:val="Sautdindex"/>
              </w:rPr>
              <w:t>SECTION I</w:t>
              <w:tab/>
              <w:t>5</w:t>
            </w:r>
          </w:hyperlink>
        </w:p>
        <w:p>
          <w:pPr>
            <w:pStyle w:val="Tabledesmatiresniveau2"/>
            <w:tabs>
              <w:tab w:val="clear" w:pos="708"/>
              <w:tab w:val="right" w:pos="10206" w:leader="dot"/>
            </w:tabs>
            <w:rPr/>
          </w:pPr>
          <w:hyperlink w:anchor="__RefHeading___Toc89271571">
            <w:r>
              <w:rPr>
                <w:rStyle w:val="Sautdindex"/>
              </w:rPr>
              <w:t>Clause 1 Objet et champ d’application</w:t>
              <w:tab/>
              <w:t>5</w:t>
            </w:r>
          </w:hyperlink>
        </w:p>
        <w:p>
          <w:pPr>
            <w:pStyle w:val="Tabledesmatiresniveau2"/>
            <w:tabs>
              <w:tab w:val="clear" w:pos="708"/>
              <w:tab w:val="right" w:pos="10206" w:leader="dot"/>
            </w:tabs>
            <w:rPr/>
          </w:pPr>
          <w:hyperlink w:anchor="__RefHeading___Toc89271572">
            <w:r>
              <w:rPr>
                <w:rStyle w:val="Sautdindex"/>
              </w:rPr>
              <w:t>Clause 2 Invariabilité des clauses</w:t>
              <w:tab/>
              <w:t>5</w:t>
            </w:r>
          </w:hyperlink>
        </w:p>
        <w:p>
          <w:pPr>
            <w:pStyle w:val="Tabledesmatiresniveau2"/>
            <w:tabs>
              <w:tab w:val="clear" w:pos="708"/>
              <w:tab w:val="right" w:pos="10206" w:leader="dot"/>
            </w:tabs>
            <w:rPr/>
          </w:pPr>
          <w:hyperlink w:anchor="__RefHeading___Toc89271573">
            <w:r>
              <w:rPr>
                <w:rStyle w:val="Sautdindex"/>
              </w:rPr>
              <w:t>Clause 3 Interprétation</w:t>
              <w:tab/>
              <w:t>5</w:t>
            </w:r>
          </w:hyperlink>
        </w:p>
        <w:p>
          <w:pPr>
            <w:pStyle w:val="Tabledesmatiresniveau2"/>
            <w:tabs>
              <w:tab w:val="clear" w:pos="708"/>
              <w:tab w:val="right" w:pos="10206" w:leader="dot"/>
            </w:tabs>
            <w:rPr/>
          </w:pPr>
          <w:hyperlink w:anchor="__RefHeading___Toc89271574">
            <w:r>
              <w:rPr>
                <w:rStyle w:val="Sautdindex"/>
              </w:rPr>
              <w:t>Clause 4 Hiérarchie</w:t>
              <w:tab/>
              <w:t>6</w:t>
            </w:r>
          </w:hyperlink>
        </w:p>
        <w:p>
          <w:pPr>
            <w:pStyle w:val="Tabledesmatiresniveau2"/>
            <w:tabs>
              <w:tab w:val="clear" w:pos="708"/>
              <w:tab w:val="right" w:pos="10206" w:leader="dot"/>
            </w:tabs>
            <w:rPr/>
          </w:pPr>
          <w:hyperlink w:anchor="__RefHeading___Toc89271575">
            <w:r>
              <w:rPr>
                <w:rStyle w:val="Sautdindex"/>
                <w:i/>
                <w:iCs/>
              </w:rPr>
              <w:t xml:space="preserve">Clause 5 — </w:t>
            </w:r>
          </w:hyperlink>
          <w:hyperlink w:anchor="__RefHeading___Toc89271575">
            <w:r>
              <w:rPr>
                <w:rStyle w:val="Sautdindex"/>
                <w:i/>
                <w:iCs/>
              </w:rPr>
              <w:t>Facultative</w:t>
            </w:r>
          </w:hyperlink>
          <w:hyperlink w:anchor="__RefHeading___Toc89271575">
            <w:r>
              <w:rPr>
                <w:rStyle w:val="Sautdindex"/>
                <w:i/>
                <w:iCs/>
              </w:rPr>
              <w:t xml:space="preserve"> Clause d’amarrage</w:t>
            </w:r>
          </w:hyperlink>
          <w:hyperlink w:anchor="__RefHeading___Toc89271575">
            <w:r>
              <w:rPr>
                <w:rStyle w:val="Sautdindex"/>
              </w:rPr>
              <w:tab/>
              <w:t>6</w:t>
            </w:r>
          </w:hyperlink>
        </w:p>
        <w:p>
          <w:pPr>
            <w:pStyle w:val="Tabledesmatiresniveau1"/>
            <w:tabs>
              <w:tab w:val="clear" w:pos="708"/>
              <w:tab w:val="right" w:pos="10206" w:leader="dot"/>
            </w:tabs>
            <w:rPr/>
          </w:pPr>
          <w:hyperlink w:anchor="__RefHeading___Toc89271576">
            <w:r>
              <w:rPr>
                <w:rStyle w:val="Sautdindex"/>
              </w:rPr>
              <w:t>SECTION II</w:t>
              <w:tab/>
              <w:t>6</w:t>
            </w:r>
          </w:hyperlink>
        </w:p>
        <w:p>
          <w:pPr>
            <w:pStyle w:val="Tabledesmatiresniveau1"/>
            <w:tabs>
              <w:tab w:val="clear" w:pos="708"/>
              <w:tab w:val="right" w:pos="10206" w:leader="dot"/>
            </w:tabs>
            <w:rPr/>
          </w:pPr>
          <w:hyperlink w:anchor="__RefHeading___Toc89271577">
            <w:r>
              <w:rPr>
                <w:rStyle w:val="Sautdindex"/>
              </w:rPr>
              <w:t>OBLIGATIONS DES PARTIES</w:t>
              <w:tab/>
              <w:t>6</w:t>
            </w:r>
          </w:hyperlink>
        </w:p>
        <w:p>
          <w:pPr>
            <w:pStyle w:val="Tabledesmatiresniveau2"/>
            <w:tabs>
              <w:tab w:val="clear" w:pos="708"/>
              <w:tab w:val="right" w:pos="10206" w:leader="dot"/>
            </w:tabs>
            <w:rPr/>
          </w:pPr>
          <w:hyperlink w:anchor="__RefHeading___Toc89271578">
            <w:r>
              <w:rPr>
                <w:rStyle w:val="Sautdindex"/>
              </w:rPr>
              <w:t>Clause 6 Description du ou des traitements</w:t>
              <w:tab/>
              <w:t>6</w:t>
            </w:r>
          </w:hyperlink>
        </w:p>
        <w:p>
          <w:pPr>
            <w:pStyle w:val="Tabledesmatiresniveau2"/>
            <w:tabs>
              <w:tab w:val="clear" w:pos="708"/>
              <w:tab w:val="right" w:pos="10206" w:leader="dot"/>
            </w:tabs>
            <w:rPr/>
          </w:pPr>
          <w:hyperlink w:anchor="__RefHeading___Toc89271579">
            <w:r>
              <w:rPr>
                <w:rStyle w:val="Sautdindex"/>
              </w:rPr>
              <w:t>Clause 7 Obligations des parties</w:t>
              <w:tab/>
              <w:t>6</w:t>
            </w:r>
          </w:hyperlink>
        </w:p>
        <w:p>
          <w:pPr>
            <w:pStyle w:val="Tabledesmatiresniveau2"/>
            <w:tabs>
              <w:tab w:val="clear" w:pos="708"/>
              <w:tab w:val="right" w:pos="10206" w:leader="dot"/>
            </w:tabs>
            <w:rPr/>
          </w:pPr>
          <w:hyperlink w:anchor="__RefHeading___Toc89271580">
            <w:r>
              <w:rPr>
                <w:rStyle w:val="Sautdindex"/>
              </w:rPr>
              <w:t>7.1.   Instructions</w:t>
              <w:tab/>
              <w:t>6</w:t>
            </w:r>
          </w:hyperlink>
        </w:p>
        <w:p>
          <w:pPr>
            <w:pStyle w:val="Tabledesmatiresniveau2"/>
            <w:tabs>
              <w:tab w:val="clear" w:pos="708"/>
              <w:tab w:val="right" w:pos="10206" w:leader="dot"/>
            </w:tabs>
            <w:rPr/>
          </w:pPr>
          <w:hyperlink w:anchor="__RefHeading___Toc89271581">
            <w:r>
              <w:rPr>
                <w:rStyle w:val="Sautdindex"/>
              </w:rPr>
              <w:t>7.2.   Limitation de la finalité</w:t>
              <w:tab/>
              <w:t>7</w:t>
            </w:r>
          </w:hyperlink>
        </w:p>
        <w:p>
          <w:pPr>
            <w:pStyle w:val="Tabledesmatiresniveau2"/>
            <w:tabs>
              <w:tab w:val="clear" w:pos="708"/>
              <w:tab w:val="right" w:pos="10206" w:leader="dot"/>
            </w:tabs>
            <w:rPr/>
          </w:pPr>
          <w:hyperlink w:anchor="__RefHeading___Toc89271582">
            <w:r>
              <w:rPr>
                <w:rStyle w:val="Sautdindex"/>
              </w:rPr>
              <w:t>7.3.   Durée du traitement des données à caractère personnel</w:t>
              <w:tab/>
              <w:t>7</w:t>
            </w:r>
          </w:hyperlink>
        </w:p>
        <w:p>
          <w:pPr>
            <w:pStyle w:val="Tabledesmatiresniveau2"/>
            <w:tabs>
              <w:tab w:val="clear" w:pos="708"/>
              <w:tab w:val="right" w:pos="10206" w:leader="dot"/>
            </w:tabs>
            <w:rPr/>
          </w:pPr>
          <w:hyperlink w:anchor="__RefHeading___Toc89271583">
            <w:r>
              <w:rPr>
                <w:rStyle w:val="Sautdindex"/>
              </w:rPr>
              <w:t>7.4.   Sécurité du traitement</w:t>
              <w:tab/>
              <w:t>7</w:t>
            </w:r>
          </w:hyperlink>
        </w:p>
        <w:p>
          <w:pPr>
            <w:pStyle w:val="Tabledesmatiresniveau2"/>
            <w:tabs>
              <w:tab w:val="clear" w:pos="708"/>
              <w:tab w:val="right" w:pos="10206" w:leader="dot"/>
            </w:tabs>
            <w:rPr/>
          </w:pPr>
          <w:hyperlink w:anchor="__RefHeading___Toc89271584">
            <w:r>
              <w:rPr>
                <w:rStyle w:val="Sautdindex"/>
              </w:rPr>
              <w:t>7.5.   Données sensibles</w:t>
              <w:tab/>
              <w:t>7</w:t>
            </w:r>
          </w:hyperlink>
        </w:p>
        <w:p>
          <w:pPr>
            <w:pStyle w:val="Tabledesmatiresniveau2"/>
            <w:tabs>
              <w:tab w:val="clear" w:pos="708"/>
              <w:tab w:val="right" w:pos="10206" w:leader="dot"/>
            </w:tabs>
            <w:rPr/>
          </w:pPr>
          <w:hyperlink w:anchor="__RefHeading___Toc89271585">
            <w:r>
              <w:rPr>
                <w:rStyle w:val="Sautdindex"/>
              </w:rPr>
              <w:t>7.6. Documentation et conformité</w:t>
              <w:tab/>
              <w:t>8</w:t>
            </w:r>
          </w:hyperlink>
        </w:p>
        <w:p>
          <w:pPr>
            <w:pStyle w:val="Tabledesmatiresniveau2"/>
            <w:tabs>
              <w:tab w:val="clear" w:pos="708"/>
              <w:tab w:val="right" w:pos="10206" w:leader="dot"/>
            </w:tabs>
            <w:rPr/>
          </w:pPr>
          <w:hyperlink w:anchor="__RefHeading___Toc89271586">
            <w:r>
              <w:rPr>
                <w:rStyle w:val="Sautdindex"/>
              </w:rPr>
              <w:t>7.7.   Recours à des sous-traitants ultérieurs</w:t>
              <w:tab/>
              <w:t>9</w:t>
            </w:r>
          </w:hyperlink>
        </w:p>
        <w:p>
          <w:pPr>
            <w:pStyle w:val="Tabledesmatiresniveau2"/>
            <w:tabs>
              <w:tab w:val="clear" w:pos="708"/>
              <w:tab w:val="right" w:pos="10206" w:leader="dot"/>
            </w:tabs>
            <w:rPr/>
          </w:pPr>
          <w:hyperlink w:anchor="__RefHeading___Toc89271587">
            <w:r>
              <w:rPr>
                <w:rStyle w:val="Sautdindex"/>
              </w:rPr>
              <w:t>7.8.   Transferts de données hors de l’Union européenne ou traitement par un prestataire soumis à un droit extraterritorial tiers</w:t>
              <w:tab/>
              <w:t>10</w:t>
            </w:r>
          </w:hyperlink>
        </w:p>
        <w:p>
          <w:pPr>
            <w:pStyle w:val="Tabledesmatiresniveau2"/>
            <w:tabs>
              <w:tab w:val="clear" w:pos="708"/>
              <w:tab w:val="right" w:pos="10206" w:leader="dot"/>
            </w:tabs>
            <w:rPr/>
          </w:pPr>
          <w:hyperlink w:anchor="__RefHeading___Toc89271588">
            <w:r>
              <w:rPr>
                <w:rStyle w:val="Sautdindex"/>
              </w:rPr>
              <w:t>7.9 Sort des données</w:t>
              <w:tab/>
              <w:t>10</w:t>
            </w:r>
          </w:hyperlink>
        </w:p>
        <w:p>
          <w:pPr>
            <w:pStyle w:val="Tabledesmatiresniveau2"/>
            <w:tabs>
              <w:tab w:val="clear" w:pos="708"/>
              <w:tab w:val="right" w:pos="10206" w:leader="dot"/>
            </w:tabs>
            <w:rPr/>
          </w:pPr>
          <w:hyperlink w:anchor="__RefHeading___Toc89271589">
            <w:r>
              <w:rPr>
                <w:rStyle w:val="Sautdindex"/>
              </w:rPr>
              <w:t>7.10 Obligations du Responsable du traitement</w:t>
              <w:tab/>
              <w:t>11</w:t>
            </w:r>
          </w:hyperlink>
        </w:p>
        <w:p>
          <w:pPr>
            <w:pStyle w:val="Tabledesmatiresniveau2"/>
            <w:tabs>
              <w:tab w:val="clear" w:pos="708"/>
              <w:tab w:val="right" w:pos="10206" w:leader="dot"/>
            </w:tabs>
            <w:rPr/>
          </w:pPr>
          <w:hyperlink w:anchor="__RefHeading___Toc89271590">
            <w:r>
              <w:rPr>
                <w:rStyle w:val="Sautdindex"/>
              </w:rPr>
              <w:t>Clause 8 Assistance au responsable du traitement</w:t>
              <w:tab/>
              <w:t>12</w:t>
            </w:r>
          </w:hyperlink>
        </w:p>
        <w:p>
          <w:pPr>
            <w:pStyle w:val="Tabledesmatiresniveau2"/>
            <w:tabs>
              <w:tab w:val="clear" w:pos="708"/>
              <w:tab w:val="right" w:pos="10206" w:leader="dot"/>
            </w:tabs>
            <w:rPr/>
          </w:pPr>
          <w:hyperlink w:anchor="__RefHeading___Toc89271591">
            <w:r>
              <w:rPr>
                <w:rStyle w:val="Sautdindex"/>
              </w:rPr>
              <w:t>Clause 9 Notification de violations de données à caractère personnel</w:t>
              <w:tab/>
              <w:t>12</w:t>
            </w:r>
          </w:hyperlink>
        </w:p>
        <w:p>
          <w:pPr>
            <w:pStyle w:val="Tabledesmatiresniveau1"/>
            <w:tabs>
              <w:tab w:val="clear" w:pos="708"/>
              <w:tab w:val="right" w:pos="10206" w:leader="dot"/>
            </w:tabs>
            <w:rPr/>
          </w:pPr>
          <w:hyperlink w:anchor="__RefHeading___Toc89271592">
            <w:r>
              <w:rPr>
                <w:rStyle w:val="Sautdindex"/>
              </w:rPr>
              <w:t>SECTION III</w:t>
              <w:tab/>
              <w:t>14</w:t>
            </w:r>
          </w:hyperlink>
        </w:p>
        <w:p>
          <w:pPr>
            <w:pStyle w:val="Tabledesmatiresniveau1"/>
            <w:tabs>
              <w:tab w:val="clear" w:pos="708"/>
              <w:tab w:val="right" w:pos="10206" w:leader="dot"/>
            </w:tabs>
            <w:rPr/>
          </w:pPr>
          <w:hyperlink w:anchor="__RefHeading___Toc89271593">
            <w:r>
              <w:rPr>
                <w:rStyle w:val="Sautdindex"/>
              </w:rPr>
              <w:t>DISPOSITIONS FINALES</w:t>
              <w:tab/>
              <w:t>14</w:t>
            </w:r>
          </w:hyperlink>
        </w:p>
        <w:p>
          <w:pPr>
            <w:pStyle w:val="Tabledesmatiresniveau2"/>
            <w:tabs>
              <w:tab w:val="clear" w:pos="708"/>
              <w:tab w:val="right" w:pos="10206" w:leader="dot"/>
            </w:tabs>
            <w:rPr/>
          </w:pPr>
          <w:hyperlink w:anchor="__RefHeading___Toc89271594">
            <w:r>
              <w:rPr>
                <w:rStyle w:val="Sautdindex"/>
              </w:rPr>
              <w:t>Clause 10 Non-respect des clauses et résiliation</w:t>
              <w:tab/>
              <w:t>14</w:t>
            </w:r>
          </w:hyperlink>
        </w:p>
        <w:p>
          <w:pPr>
            <w:pStyle w:val="Tabledesmatiresniveau1"/>
            <w:tabs>
              <w:tab w:val="clear" w:pos="708"/>
              <w:tab w:val="right" w:pos="10206" w:leader="dot"/>
            </w:tabs>
            <w:rPr/>
          </w:pPr>
          <w:hyperlink w:anchor="__RefHeading___Toc89271595">
            <w:r>
              <w:rPr>
                <w:rStyle w:val="Sautdindex"/>
              </w:rPr>
              <w:t>ANNEXE I</w:t>
              <w:tab/>
              <w:t>16</w:t>
            </w:r>
          </w:hyperlink>
        </w:p>
        <w:p>
          <w:pPr>
            <w:pStyle w:val="Tabledesmatiresniveau1"/>
            <w:tabs>
              <w:tab w:val="clear" w:pos="708"/>
              <w:tab w:val="right" w:pos="10206" w:leader="dot"/>
            </w:tabs>
            <w:rPr/>
          </w:pPr>
          <w:hyperlink w:anchor="__RefHeading___Toc89271596">
            <w:r>
              <w:rPr>
                <w:rStyle w:val="Sautdindex"/>
              </w:rPr>
              <w:t>Liste des parties</w:t>
              <w:tab/>
              <w:t>16</w:t>
            </w:r>
          </w:hyperlink>
        </w:p>
        <w:p>
          <w:pPr>
            <w:pStyle w:val="Tabledesmatiresniveau1"/>
            <w:tabs>
              <w:tab w:val="clear" w:pos="708"/>
              <w:tab w:val="right" w:pos="10206" w:leader="dot"/>
            </w:tabs>
            <w:rPr/>
          </w:pPr>
          <w:hyperlink w:anchor="__RefHeading___Toc89271597">
            <w:r>
              <w:rPr>
                <w:rStyle w:val="Sautdindex"/>
              </w:rPr>
              <w:t>ANNEXE II</w:t>
              <w:tab/>
              <w:t>17</w:t>
            </w:r>
          </w:hyperlink>
        </w:p>
        <w:p>
          <w:pPr>
            <w:pStyle w:val="Tabledesmatiresniveau1"/>
            <w:tabs>
              <w:tab w:val="clear" w:pos="708"/>
              <w:tab w:val="right" w:pos="10206" w:leader="dot"/>
            </w:tabs>
            <w:rPr/>
          </w:pPr>
          <w:hyperlink w:anchor="__RefHeading___Toc89271598">
            <w:r>
              <w:rPr>
                <w:rStyle w:val="Sautdindex"/>
              </w:rPr>
              <w:t>Description du traitement</w:t>
              <w:tab/>
              <w:t>17</w:t>
            </w:r>
          </w:hyperlink>
        </w:p>
        <w:p>
          <w:pPr>
            <w:pStyle w:val="Tabledesmatiresniveau1"/>
            <w:tabs>
              <w:tab w:val="clear" w:pos="708"/>
              <w:tab w:val="right" w:pos="10206" w:leader="dot"/>
            </w:tabs>
            <w:rPr/>
          </w:pPr>
          <w:hyperlink w:anchor="__RefHeading___Toc89271599">
            <w:r>
              <w:rPr>
                <w:rStyle w:val="Sautdindex"/>
              </w:rPr>
              <w:t>ANNEXE III</w:t>
              <w:tab/>
              <w:t>18</w:t>
            </w:r>
          </w:hyperlink>
        </w:p>
        <w:p>
          <w:pPr>
            <w:pStyle w:val="Tabledesmatiresniveau1"/>
            <w:tabs>
              <w:tab w:val="clear" w:pos="708"/>
              <w:tab w:val="right" w:pos="10206" w:leader="dot"/>
            </w:tabs>
            <w:rPr/>
          </w:pPr>
          <w:hyperlink w:anchor="__RefHeading___Toc89271600">
            <w:r>
              <w:rPr>
                <w:rStyle w:val="Sautdindex"/>
              </w:rPr>
              <w:t>Mesures techniques et organisationnelles, y compris mesures techniques et organisationnelles visant à garantir la sécurité des données</w:t>
              <w:tab/>
              <w:t>18</w:t>
            </w:r>
          </w:hyperlink>
        </w:p>
        <w:p>
          <w:pPr>
            <w:pStyle w:val="Tabledesmatiresniveau1"/>
            <w:tabs>
              <w:tab w:val="clear" w:pos="708"/>
              <w:tab w:val="right" w:pos="10206" w:leader="dot"/>
            </w:tabs>
            <w:rPr/>
          </w:pPr>
          <w:hyperlink w:anchor="__RefHeading___Toc89271601">
            <w:r>
              <w:rPr>
                <w:rStyle w:val="Sautdindex"/>
              </w:rPr>
              <w:t>ANNEXE IV</w:t>
              <w:tab/>
              <w:t>20</w:t>
            </w:r>
          </w:hyperlink>
        </w:p>
        <w:p>
          <w:pPr>
            <w:pStyle w:val="Tabledesmatiresniveau1"/>
            <w:tabs>
              <w:tab w:val="clear" w:pos="708"/>
              <w:tab w:val="right" w:pos="10206" w:leader="dot"/>
            </w:tabs>
            <w:rPr/>
          </w:pPr>
          <w:hyperlink w:anchor="__RefHeading___Toc89271602">
            <w:r>
              <w:rPr>
                <w:rStyle w:val="Sautdindex"/>
              </w:rPr>
              <w:t>Liste de sous-traitants ultérieurs</w:t>
              <w:tab/>
              <w:t>20</w:t>
            </w:r>
          </w:hyperlink>
          <w:r>
            <w:rPr>
              <w:rStyle w:val="Sautdindex"/>
            </w:rPr>
            <w:fldChar w:fldCharType="end"/>
          </w:r>
        </w:p>
      </w:sdtContent>
    </w:sdt>
    <w:p>
      <w:pPr>
        <w:pStyle w:val="Normal"/>
        <w:jc w:val="both"/>
        <w:rPr>
          <w:rFonts w:ascii="Marianne" w:hAnsi="Marianne" w:eastAsia="Times New Roman" w:cs="Times New Roman"/>
          <w:lang w:val="fr-FR" w:eastAsia="fr-FR"/>
        </w:rPr>
      </w:pPr>
      <w:r>
        <w:rPr>
          <w:rFonts w:eastAsia="Times New Roman" w:cs="Times New Roman" w:ascii="Marianne" w:hAnsi="Marianne"/>
          <w:lang w:val="fr-FR" w:eastAsia="fr-FR"/>
        </w:rPr>
      </w:r>
    </w:p>
    <w:p>
      <w:pPr>
        <w:pStyle w:val="Normal"/>
        <w:jc w:val="both"/>
        <w:rPr>
          <w:rFonts w:ascii="Marianne" w:hAnsi="Marianne"/>
        </w:rPr>
      </w:pPr>
      <w:r>
        <w:rPr>
          <w:rFonts w:ascii="Marianne" w:hAnsi="Marianne"/>
        </w:rPr>
      </w:r>
    </w:p>
    <w:p>
      <w:pPr>
        <w:pStyle w:val="Style11"/>
        <w:rPr>
          <w:rFonts w:ascii="Marianne" w:hAnsi="Marianne"/>
          <w:del w:id="30" w:author="Auteur inconnu" w:date="2024-06-26T13:38:35Z"/>
        </w:rPr>
      </w:pPr>
      <w:del w:id="29" w:author="Auteur inconnu" w:date="2024-06-26T13:38:35Z">
        <w:r>
          <w:rPr>
            <w:rFonts w:ascii="Marianne" w:hAnsi="Marianne"/>
          </w:rPr>
        </w:r>
      </w:del>
    </w:p>
    <w:p>
      <w:pPr>
        <w:pStyle w:val="Style11"/>
        <w:rPr>
          <w:rFonts w:ascii="Marianne" w:hAnsi="Marianne"/>
        </w:rPr>
      </w:pPr>
      <w:bookmarkStart w:id="1" w:name="__RefHeading___Toc89271567"/>
      <w:bookmarkEnd w:id="1"/>
      <w:r>
        <w:rPr>
          <w:rFonts w:ascii="Marianne" w:hAnsi="Marianne"/>
          <w:rPrChange w:id="0" w:author="Author1" w:date="1970-01-01T00:00:00Z"/>
        </w:rPr>
        <w:t>Introduction</w:t>
      </w:r>
    </w:p>
    <w:p>
      <w:pPr>
        <w:pStyle w:val="Normal"/>
        <w:jc w:val="both"/>
        <w:rPr>
          <w:rFonts w:ascii="Marianne" w:hAnsi="Marianne"/>
        </w:rPr>
      </w:pPr>
      <w:r>
        <w:rPr>
          <w:rFonts w:ascii="Marianne" w:hAnsi="Marianne"/>
          <w:rPrChange w:id="0" w:author="Author1" w:date="1970-01-01T00:00:00Z"/>
        </w:rPr>
        <w:t xml:space="preserve">Les clauses suivantes sont à utiliser lors du recours à un prestataire pour un traitement impliquant des données personnelles. Pour les aspects SSI de cette prestation, on se reportera aux </w:t>
      </w:r>
      <w:r>
        <w:rPr>
          <w:rFonts w:ascii="Marianne" w:hAnsi="Marianne"/>
          <w:i/>
          <w:iCs/>
          <w:rPrChange w:id="0" w:author="Author1" w:date="1970-01-01T00:00:00Z"/>
        </w:rPr>
        <w:t>Clauses de sécurité types des marchés publics ou accords-cadres</w:t>
      </w:r>
      <w:r>
        <w:rPr>
          <w:rFonts w:ascii="Marianne" w:hAnsi="Marianne"/>
          <w:rPrChange w:id="0" w:author="Author1" w:date="1970-01-01T00:00:00Z"/>
        </w:rPr>
        <w:t xml:space="preserve"> (PGSN - E1) du SHFD.</w:t>
      </w:r>
    </w:p>
    <w:p>
      <w:pPr>
        <w:pStyle w:val="Normal"/>
        <w:jc w:val="both"/>
        <w:rPr>
          <w:rFonts w:ascii="Marianne" w:hAnsi="Marianne"/>
        </w:rPr>
      </w:pPr>
      <w:r>
        <w:rPr>
          <w:rFonts w:ascii="Marianne" w:hAnsi="Marianne"/>
          <w:rPrChange w:id="0" w:author="Author1" w:date="1970-01-01T00:00:00Z"/>
        </w:rPr>
        <w:t>Que les traitements soient basés sur le Règlement européen 2016/678 (RGPD) ou sur le titre III de la loi informatique et libertés, la signature d’un contrat ou d’une convention contenant des mentions obligatoires est requise (</w:t>
      </w:r>
      <w:r>
        <w:rPr>
          <w:rFonts w:eastAsia="Times New Roman" w:cs="Times New Roman" w:ascii="Marianne" w:hAnsi="Marianne"/>
          <w:lang w:eastAsia="fr-FR"/>
          <w:rPrChange w:id="0" w:author="Author1" w:date="1970-01-01T00:00:00Z"/>
        </w:rPr>
        <w:t>article 28 du RGPD ou, pour les traitements relevant de la directive police-justice, article 96 de la loi n°78-17 Informatique et libertés)</w:t>
      </w:r>
      <w:r>
        <w:rPr>
          <w:rFonts w:ascii="Marianne" w:hAnsi="Marianne"/>
          <w:rPrChange w:id="0" w:author="Author1" w:date="1970-01-01T00:00:00Z"/>
        </w:rPr>
        <w:t>. Les clauses qui suivent sont utilisables dans les deux situations.</w:t>
      </w:r>
    </w:p>
    <w:p>
      <w:pPr>
        <w:pStyle w:val="Normal"/>
        <w:jc w:val="both"/>
        <w:rPr>
          <w:rFonts w:ascii="Marianne" w:hAnsi="Marianne"/>
        </w:rPr>
      </w:pPr>
      <w:r>
        <w:rPr>
          <w:rFonts w:ascii="Marianne" w:hAnsi="Marianne"/>
          <w:rPrChange w:id="0" w:author="Author1" w:date="1970-01-01T00:00:00Z"/>
        </w:rPr>
        <w:t>Il est rappelé que dans ce qui suit, on entend par « </w:t>
      </w:r>
      <w:r>
        <w:rPr>
          <w:rFonts w:ascii="Marianne" w:hAnsi="Marianne"/>
          <w:b/>
          <w:bCs/>
          <w:rPrChange w:id="0" w:author="Author1" w:date="1970-01-01T00:00:00Z"/>
        </w:rPr>
        <w:t>sous-traitant</w:t>
      </w:r>
      <w:r>
        <w:rPr>
          <w:rFonts w:ascii="Marianne" w:hAnsi="Marianne"/>
          <w:rPrChange w:id="0" w:author="Author1" w:date="1970-01-01T00:00:00Z"/>
        </w:rPr>
        <w:t> » l’entité publique ou privée qui traite des données personnelles pour le compte et sur les instructions du responsable du traitement.</w:t>
      </w:r>
    </w:p>
    <w:tbl>
      <w:tblPr>
        <w:tblW w:w="10266" w:type="dxa"/>
        <w:jc w:val="left"/>
        <w:tblInd w:w="0" w:type="dxa"/>
        <w:tblCellMar>
          <w:top w:w="0" w:type="dxa"/>
          <w:left w:w="108" w:type="dxa"/>
          <w:bottom w:w="0" w:type="dxa"/>
          <w:right w:w="108" w:type="dxa"/>
        </w:tblCellMar>
      </w:tblPr>
      <w:tblGrid>
        <w:gridCol w:w="10266"/>
      </w:tblGrid>
      <w:tr>
        <w:trPr/>
        <w:tc>
          <w:tcPr>
            <w:tcW w:w="10266" w:type="dxa"/>
            <w:tcBorders>
              <w:top w:val="single" w:sz="4" w:space="0" w:color="000000"/>
              <w:left w:val="single" w:sz="4" w:space="0" w:color="000000"/>
              <w:bottom w:val="single" w:sz="4" w:space="0" w:color="000000"/>
              <w:right w:val="single" w:sz="4" w:space="0" w:color="000000"/>
            </w:tcBorders>
          </w:tcPr>
          <w:p>
            <w:pPr>
              <w:pStyle w:val="Normal"/>
              <w:jc w:val="both"/>
              <w:rPr>
                <w:rFonts w:ascii="Marianne" w:hAnsi="Marianne"/>
                <w:b/>
                <w:b/>
                <w:bCs/>
              </w:rPr>
            </w:pPr>
            <w:r>
              <w:rPr>
                <w:rFonts w:ascii="Marianne" w:hAnsi="Marianne"/>
                <w:b/>
                <w:bCs/>
                <w:rPrChange w:id="0" w:author="Author1" w:date="1970-01-01T00:00:00Z"/>
              </w:rPr>
              <w:t>Attention</w:t>
            </w:r>
          </w:p>
          <w:p>
            <w:pPr>
              <w:pStyle w:val="Normal"/>
              <w:jc w:val="both"/>
              <w:rPr>
                <w:rFonts w:ascii="Marianne" w:hAnsi="Marianne"/>
              </w:rPr>
            </w:pPr>
            <w:r>
              <w:rPr>
                <w:rFonts w:ascii="Marianne" w:hAnsi="Marianne"/>
                <w:b/>
                <w:bCs/>
                <w:rPrChange w:id="0" w:author="Author1" w:date="1970-01-01T00:00:00Z"/>
              </w:rPr>
              <w:t>Au sens du code de la commande publique, il s’agit du prestataire.</w:t>
            </w:r>
            <w:r>
              <w:rPr>
                <w:rFonts w:ascii="Marianne" w:hAnsi="Marianne"/>
                <w:rPrChange w:id="0" w:author="Author1" w:date="1970-01-01T00:00:00Z"/>
              </w:rPr>
              <w:t xml:space="preserve"> </w:t>
            </w:r>
          </w:p>
          <w:p>
            <w:pPr>
              <w:pStyle w:val="Normal"/>
              <w:spacing w:before="0" w:after="160"/>
              <w:jc w:val="both"/>
              <w:rPr>
                <w:rFonts w:ascii="Marianne" w:hAnsi="Marianne"/>
              </w:rPr>
            </w:pPr>
            <w:r>
              <w:rPr>
                <w:rFonts w:ascii="Marianne" w:hAnsi="Marianne"/>
                <w:rPrChange w:id="0" w:author="Author1" w:date="1970-01-01T00:00:00Z"/>
              </w:rPr>
              <w:t>Celui que le CCP nomme « sous-traitant » sera, au sens du RGPD, un « sous-traitant ultérieur » ou « secondaire »).</w:t>
            </w:r>
          </w:p>
        </w:tc>
      </w:tr>
    </w:tbl>
    <w:p>
      <w:pPr>
        <w:pStyle w:val="Normal"/>
        <w:jc w:val="both"/>
        <w:rPr>
          <w:rFonts w:ascii="Marianne" w:hAnsi="Marianne"/>
          <w:sz w:val="4"/>
          <w:szCs w:val="4"/>
          <w:del w:id="46" w:author="Auteur inconnu" w:date="2024-06-26T13:33:02Z"/>
        </w:rPr>
      </w:pPr>
      <w:del w:id="45" w:author="Auteur inconnu" w:date="2024-06-26T13:33:02Z">
        <w:r>
          <w:rPr>
            <w:rFonts w:ascii="Marianne" w:hAnsi="Marianne"/>
            <w:sz w:val="4"/>
            <w:szCs w:val="4"/>
          </w:rPr>
        </w:r>
      </w:del>
    </w:p>
    <w:p>
      <w:pPr>
        <w:pStyle w:val="Normal"/>
        <w:jc w:val="both"/>
        <w:rPr>
          <w:rFonts w:ascii="Marianne" w:hAnsi="Marianne"/>
          <w:ins w:id="48" w:author="Auteur inconnu" w:date="2024-06-26T13:33:03Z"/>
          <w:sz w:val="4"/>
          <w:szCs w:val="4"/>
        </w:rPr>
      </w:pPr>
      <w:ins w:id="47" w:author="Auteur inconnu" w:date="2024-06-26T13:33:03Z">
        <w:r>
          <w:rPr>
            <w:rFonts w:ascii="Marianne" w:hAnsi="Marianne"/>
            <w:sz w:val="4"/>
            <w:szCs w:val="4"/>
          </w:rPr>
        </w:r>
      </w:ins>
    </w:p>
    <w:p>
      <w:pPr>
        <w:pStyle w:val="Normal"/>
        <w:jc w:val="both"/>
        <w:rPr>
          <w:rFonts w:ascii="Marianne" w:hAnsi="Marianne"/>
        </w:rPr>
      </w:pPr>
      <w:r>
        <w:rPr>
          <w:rFonts w:ascii="Marianne" w:hAnsi="Marianne"/>
          <w:rPrChange w:id="0" w:author="Author1" w:date="1970-01-01T00:00:00Z"/>
        </w:rPr>
        <w:t>Il est à noter que les services et les opérateurs du ministère peuvent être en position de responsables de traitement, ou bien être eux-mêmes des sous-traitants (DNUM, ST(SI)2, ANTS, ANSC…). En cas de marché passé par un acheteur public pour le compte d’un service client, c’est bien ce dernier qui est responsable du traitement.</w:t>
      </w:r>
    </w:p>
    <w:p>
      <w:pPr>
        <w:pStyle w:val="Normal"/>
        <w:jc w:val="both"/>
        <w:rPr>
          <w:rFonts w:ascii="Marianne" w:hAnsi="Marianne"/>
        </w:rPr>
      </w:pPr>
      <w:r>
        <w:rPr>
          <w:rFonts w:ascii="Marianne" w:hAnsi="Marianne"/>
          <w:rPrChange w:id="0" w:author="Author1" w:date="1970-01-01T00:00:00Z"/>
        </w:rPr>
        <w:t>La Commission européenne a adopté le 4 juin 2021 une décision d’exécution (UE) 2021/91</w:t>
      </w:r>
      <w:r>
        <w:rPr>
          <w:rFonts w:eastAsia="Times New Roman" w:cs="Times New Roman" w:ascii="Marianne" w:hAnsi="Marianne"/>
          <w:lang w:eastAsia="fr-FR"/>
          <w:rPrChange w:id="0" w:author="Author1" w:date="1970-01-01T00:00:00Z"/>
        </w:rPr>
        <w:t xml:space="preserve"> relative aux clauses contractuelles types entre les responsables du traitement et les sous-traitants au titre de l’article 28 du RGPD.</w:t>
      </w:r>
    </w:p>
    <w:p>
      <w:pPr>
        <w:pStyle w:val="Normal"/>
        <w:jc w:val="both"/>
        <w:rPr>
          <w:rFonts w:ascii="Marianne" w:hAnsi="Marianne"/>
        </w:rPr>
      </w:pPr>
      <w:r>
        <w:rPr>
          <w:rFonts w:eastAsia="Times New Roman" w:cs="Times New Roman" w:ascii="Marianne" w:hAnsi="Marianne"/>
          <w:lang w:eastAsia="fr-FR"/>
          <w:rPrChange w:id="0" w:author="Author1" w:date="1970-01-01T00:00:00Z"/>
        </w:rPr>
        <w:t>Les autorités européennes de protection des données ont émis début 2021 leur avis sur ces clauses (</w:t>
      </w:r>
      <w:r>
        <w:rPr>
          <w:rFonts w:eastAsia="Times New Roman" w:cs="Times New Roman" w:ascii="Marianne" w:hAnsi="Marianne"/>
          <w:i/>
          <w:iCs/>
          <w:lang w:eastAsia="fr-FR"/>
          <w:rPrChange w:id="0" w:author="Author1" w:date="1970-01-01T00:00:00Z"/>
        </w:rPr>
        <w:t>Avis conjoint 1/2021 du comité européen de la protection des données et du Contrôleur européen de la protection des données</w:t>
      </w:r>
      <w:r>
        <w:rPr>
          <w:rFonts w:eastAsia="Times New Roman" w:cs="Times New Roman" w:ascii="Marianne" w:hAnsi="Marianne"/>
          <w:lang w:eastAsia="fr-FR"/>
          <w:rPrChange w:id="0" w:author="Author1" w:date="1970-01-01T00:00:00Z"/>
        </w:rPr>
        <w:t>).</w:t>
      </w:r>
    </w:p>
    <w:p>
      <w:pPr>
        <w:pStyle w:val="Normal"/>
        <w:jc w:val="both"/>
        <w:rPr>
          <w:rFonts w:ascii="Marianne" w:hAnsi="Marianne"/>
        </w:rPr>
      </w:pPr>
      <w:r>
        <w:rPr>
          <w:rFonts w:eastAsia="Times New Roman" w:cs="Times New Roman" w:ascii="Marianne" w:hAnsi="Marianne"/>
          <w:lang w:eastAsia="fr-FR"/>
          <w:rPrChange w:id="0" w:author="Author1" w:date="1970-01-01T00:00:00Z"/>
        </w:rPr>
        <w:t>Afin de faciliter la rédaction des contrats et des conventions de sous-traitance pour les traitements du ministère et de ses opérateurs, les services pourront inclure dans leurs contrats ou conventions les clauses suivantes, inspirées des clauses types de la Commission et adaptées aux spécificités du ministère (activités régaliennes et de police).</w:t>
      </w:r>
      <w:r>
        <w:rPr>
          <w:rFonts w:ascii="Marianne" w:hAnsi="Marianne"/>
          <w:rPrChange w:id="0" w:author="Author1" w:date="1970-01-01T00:00:00Z"/>
        </w:rPr>
        <w:t xml:space="preserve"> S’il n’est pas possible d’insérer ces clauses telles quelles (cas d’un marché interministériel, par exemple), on veillera à conserver des dispositions équivalentes.</w:t>
      </w:r>
    </w:p>
    <w:p>
      <w:pPr>
        <w:pStyle w:val="Normal"/>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L’attention est attirée sur le fait qu’il ne suffit pas de recopier ces clauses dans le contrat, mais qu’elles doivent être, à plusieurs endroits, précisées au cas par cas, et que les annexes doivent être remplies de manière spécifique pour chaque contrat.</w:t>
      </w:r>
    </w:p>
    <w:p>
      <w:pPr>
        <w:pStyle w:val="Normal"/>
        <w:jc w:val="both"/>
        <w:rPr>
          <w:rFonts w:ascii="Marianne" w:hAnsi="Marianne"/>
        </w:rPr>
      </w:pPr>
      <w:r>
        <w:rPr>
          <w:rFonts w:ascii="Marianne" w:hAnsi="Marianne"/>
        </w:rPr>
      </w:r>
      <w:r>
        <w:br w:type="page"/>
      </w:r>
    </w:p>
    <w:p>
      <w:pPr>
        <w:pStyle w:val="Normal"/>
        <w:rPr>
          <w:rStyle w:val="Policepardfaut1"/>
          <w:del w:id="59" w:author="Auteur inconnu" w:date="2024-06-26T13:31:47Z"/>
        </w:rPr>
      </w:pPr>
      <w:del w:id="58" w:author="Auteur inconnu" w:date="2024-06-26T13:31:47Z">
        <w:r>
          <w:rPr/>
        </w:r>
      </w:del>
    </w:p>
    <w:p>
      <w:pPr>
        <w:pStyle w:val="Normal"/>
        <w:rPr/>
      </w:pPr>
      <w:del w:id="60" w:author="Author1" w:date="1970-01-01T00:00:00Z">
        <w:r>
          <w:rPr>
            <w:rFonts w:ascii="Marianne" w:hAnsi="Marianne"/>
            <w:sz w:val="20"/>
            <w:szCs w:val="20"/>
          </w:rPr>
          <w:delText>Clauses contractuelles du ministère de l’intérieur relatives à la sous-traitance de données personnelles</w:delText>
        </w:r>
      </w:del>
      <w:r>
        <w:rPr>
          <w:rStyle w:val="Policepardfaut1"/>
          <w:rPrChange w:id="0" w:author="Auteur inconnu" w:date="2024-06-26T13:32:04Z"/>
        </w:rPr>
        <w:t>Les parties surlignées sont à personnaliser ou à compléter dans chaque contrat.</w:t>
      </w:r>
    </w:p>
    <w:p>
      <w:pPr>
        <w:pStyle w:val="LONormal"/>
        <w:spacing w:before="113" w:after="113"/>
        <w:ind w:left="0" w:right="0" w:hanging="0"/>
        <w:rPr>
          <w:rStyle w:val="Policepardfaut1"/>
          <w:rFonts w:ascii="Marianne" w:hAnsi="Marianne" w:cs="Calibri"/>
          <w:sz w:val="22"/>
          <w:szCs w:val="22"/>
          <w:del w:id="63" w:author="Author1" w:date="1970-01-01T00:00:00Z"/>
        </w:rPr>
      </w:pPr>
      <w:del w:id="62" w:author="Author1" w:date="1970-01-01T00:00:00Z">
        <w:r>
          <w:rPr/>
        </w:r>
      </w:del>
    </w:p>
    <w:p>
      <w:pPr>
        <w:pStyle w:val="LONormal"/>
        <w:spacing w:before="113" w:after="113"/>
        <w:ind w:left="0" w:right="0" w:hanging="0"/>
        <w:rPr/>
      </w:pPr>
      <w:r>
        <w:rPr>
          <w:rStyle w:val="Policepardfaut1"/>
          <w:rFonts w:cs="Calibri" w:ascii="Marianne" w:hAnsi="Marianne"/>
          <w:sz w:val="22"/>
          <w:szCs w:val="22"/>
          <w:rPrChange w:id="0" w:author="Author1" w:date="1970-01-01T00:00:00Z"/>
        </w:rPr>
        <w:t>Ce document décrit les engagements réciproques entre (</w:t>
      </w:r>
      <w:r>
        <w:rPr>
          <w:rStyle w:val="Policepardfaut1"/>
          <w:rFonts w:cs="Calibri" w:ascii="Marianne" w:hAnsi="Marianne"/>
          <w:sz w:val="22"/>
          <w:szCs w:val="22"/>
          <w:highlight w:val="yellow"/>
          <w:rPrChange w:id="0" w:author="Author1" w:date="1970-01-01T00:00:00Z"/>
        </w:rPr>
        <w:t>préciser le service prescripteur</w:t>
      </w:r>
      <w:r>
        <w:rPr>
          <w:rStyle w:val="Policepardfaut1"/>
          <w:rFonts w:cs="Calibri" w:ascii="Marianne" w:hAnsi="Marianne"/>
          <w:sz w:val="22"/>
          <w:szCs w:val="22"/>
          <w:rPrChange w:id="0" w:author="Author1" w:date="1970-01-01T00:00:00Z"/>
        </w:rPr>
        <w:t xml:space="preserve">), ci-après appelé le Responsable de traitement, et </w:t>
      </w:r>
      <w:r>
        <w:rPr>
          <w:rStyle w:val="Policepardfaut1"/>
          <w:rFonts w:cs="Calibri" w:ascii="Marianne" w:hAnsi="Marianne"/>
          <w:sz w:val="22"/>
          <w:szCs w:val="22"/>
          <w:highlight w:val="yellow"/>
          <w:rPrChange w:id="0" w:author="Author1" w:date="1970-01-01T00:00:00Z"/>
        </w:rPr>
        <w:t>XXX (y compris le cas échéant des acteurs publics comme la DNUM, l’ANTS, la DINUM...)</w:t>
      </w:r>
      <w:r>
        <w:rPr>
          <w:rStyle w:val="Policepardfaut1"/>
          <w:rFonts w:cs="Calibri" w:ascii="Marianne" w:hAnsi="Marianne"/>
          <w:sz w:val="22"/>
          <w:szCs w:val="22"/>
          <w:rPrChange w:id="0" w:author="Author1" w:date="1970-01-01T00:00:00Z"/>
        </w:rPr>
        <w:t>, ci-après appelée le Sous-traitant, concernant les données à caractère personnel qui ont vocation à être traitées par le Sous-traitant.</w:t>
      </w:r>
    </w:p>
    <w:p>
      <w:pPr>
        <w:pStyle w:val="LONormal"/>
        <w:spacing w:before="113" w:after="113"/>
        <w:ind w:left="0" w:right="0" w:hanging="0"/>
        <w:rPr>
          <w:rFonts w:eastAsia="Times New Roman" w:cs="Calibri"/>
          <w:sz w:val="22"/>
          <w:szCs w:val="22"/>
          <w:lang w:eastAsia="fr-FR"/>
          <w:del w:id="70" w:author="Auteur inconnu" w:date="2024-06-26T13:33:23Z"/>
        </w:rPr>
      </w:pPr>
      <w:del w:id="69" w:author="Auteur inconnu" w:date="2024-06-26T13:33:23Z">
        <w:r>
          <w:rPr>
            <w:rFonts w:ascii="Marianne" w:hAnsi="Marianne"/>
          </w:rPr>
        </w:r>
      </w:del>
    </w:p>
    <w:p>
      <w:pPr>
        <w:pStyle w:val="LONormal"/>
        <w:spacing w:before="113" w:after="113"/>
        <w:ind w:left="0" w:right="0" w:hanging="0"/>
        <w:rPr>
          <w:rFonts w:ascii="Marianne" w:hAnsi="Marianne"/>
        </w:rPr>
      </w:pPr>
      <w:r>
        <w:rPr>
          <w:rFonts w:eastAsia="Times New Roman" w:cs="Calibri" w:ascii="Marianne" w:hAnsi="Marianne"/>
          <w:sz w:val="22"/>
          <w:szCs w:val="22"/>
          <w:lang w:eastAsia="fr-FR"/>
          <w:rPrChange w:id="0" w:author="Author1" w:date="1970-01-01T00:00:00Z"/>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Pr>
          <w:rFonts w:eastAsia="Times New Roman" w:cs="Calibri" w:ascii="Marianne" w:hAnsi="Marianne"/>
          <w:color w:val="000000"/>
          <w:sz w:val="22"/>
          <w:szCs w:val="22"/>
          <w:lang w:eastAsia="fr-FR"/>
          <w:rPrChange w:id="0" w:author="Author1" w:date="1970-01-01T00:00:00Z"/>
        </w:rPr>
        <w:t>cadre de la sous-traitance.</w:t>
      </w:r>
    </w:p>
    <w:p>
      <w:pPr>
        <w:pStyle w:val="LONormal"/>
        <w:spacing w:before="113" w:after="113"/>
        <w:ind w:left="0" w:right="0" w:hanging="0"/>
        <w:rPr>
          <w:rFonts w:ascii="Marianne" w:hAnsi="Marianne" w:eastAsia="Times New Roman" w:cs="Calibri"/>
          <w:color w:val="000000"/>
          <w:sz w:val="22"/>
          <w:szCs w:val="22"/>
          <w:lang w:eastAsia="fr-FR"/>
          <w:del w:id="74" w:author="Auteur inconnu" w:date="2024-06-26T13:33:20Z"/>
        </w:rPr>
      </w:pPr>
      <w:r>
        <w:rPr>
          <w:rFonts w:eastAsia="Times New Roman" w:cs="Calibri" w:ascii="Marianne" w:hAnsi="Marianne"/>
          <w:color w:val="000000"/>
          <w:sz w:val="22"/>
          <w:szCs w:val="22"/>
          <w:lang w:eastAsia="fr-FR"/>
          <w:rPrChange w:id="0" w:author="Author1" w:date="1970-01-01T00:00:00Z"/>
        </w:rPr>
        <w:t>Dans le cas où le Responsable de traitement sous-traite plusieurs traitements à un même Sous-traitant, un document distinct est rempli et signé pour chaque traitement.</w:t>
      </w:r>
    </w:p>
    <w:p>
      <w:pPr>
        <w:pStyle w:val="LONormal"/>
        <w:spacing w:before="113" w:after="113"/>
        <w:ind w:left="0" w:right="0" w:hanging="0"/>
        <w:rPr>
          <w:rFonts w:ascii="Marianne" w:hAnsi="Marianne" w:eastAsia="Times New Roman" w:cs="Calibri"/>
          <w:color w:val="000000"/>
          <w:sz w:val="22"/>
          <w:szCs w:val="22"/>
          <w:lang w:eastAsia="fr-FR"/>
        </w:rPr>
      </w:pPr>
      <w:r>
        <w:rPr>
          <w:rFonts w:eastAsia="Times New Roman" w:cs="Calibri" w:ascii="Marianne" w:hAnsi="Marianne"/>
          <w:color w:val="000000"/>
          <w:sz w:val="22"/>
          <w:szCs w:val="22"/>
          <w:lang w:eastAsia="fr-FR"/>
        </w:rPr>
      </w:r>
    </w:p>
    <w:p>
      <w:pPr>
        <w:pStyle w:val="Style11"/>
        <w:rPr>
          <w:rFonts w:ascii="Marianne" w:hAnsi="Marianne"/>
        </w:rPr>
      </w:pPr>
      <w:bookmarkStart w:id="2" w:name="__RefHeading___Toc89271569"/>
      <w:bookmarkEnd w:id="2"/>
      <w:r>
        <w:rPr>
          <w:rFonts w:ascii="Marianne" w:hAnsi="Marianne"/>
          <w:rPrChange w:id="0" w:author="Author1" w:date="1970-01-01T00:00:00Z"/>
        </w:rPr>
        <w:t>Définitions spécifiques aux données à caractère personnel</w:t>
      </w:r>
    </w:p>
    <w:p>
      <w:pPr>
        <w:pStyle w:val="Normal"/>
        <w:spacing w:before="57" w:after="57"/>
        <w:jc w:val="both"/>
        <w:rPr/>
      </w:pPr>
      <w:r>
        <w:rPr>
          <w:rStyle w:val="Policepardfaut1"/>
          <w:rFonts w:cs="Marianne" w:ascii="Marianne" w:hAnsi="Marianne"/>
          <w:b/>
          <w:rPrChange w:id="0" w:author="Author1" w:date="1970-01-01T00:00:00Z"/>
        </w:rPr>
        <w:t>Donnée à caractère personnel</w:t>
      </w:r>
      <w:r>
        <w:rPr>
          <w:rStyle w:val="Policepardfaut1"/>
          <w:rFonts w:cs="Marianne" w:ascii="Marianne" w:hAnsi="Marianne"/>
          <w:rPrChange w:id="0" w:author="Author1" w:date="1970-01-01T00:00:00Z"/>
        </w:rPr>
        <w:t> : désigne toute information se rapportant à une personne physique identifiée ou identifiable ; est réputée être une « personne physique identifiable » une personne physique qui peut être identifiée, directement ou indirectement, notamment par référence à un identifiant, tel qu’un nom, un numéro de téléphone, une adresse courriel, un numéro d’identification, des données de localisation, un identifiant en ligne, ou à un ou plusieurs éléments spécifiques propres à son identité physique, physiologique, génétique, psychique, économique, culturelle ou sociale.</w:t>
      </w:r>
    </w:p>
    <w:p>
      <w:pPr>
        <w:pStyle w:val="Normal"/>
        <w:spacing w:lineRule="auto" w:line="240" w:before="57" w:after="57"/>
        <w:jc w:val="both"/>
        <w:rPr/>
      </w:pPr>
      <w:r>
        <w:rPr>
          <w:rStyle w:val="Policepardfaut1"/>
          <w:rFonts w:eastAsia="Times New Roman" w:cs="Marianne" w:ascii="Marianne" w:hAnsi="Marianne"/>
          <w:b/>
          <w:lang w:eastAsia="fr-FR"/>
          <w:rPrChange w:id="0" w:author="Author1" w:date="1970-01-01T00:00:00Z"/>
        </w:rPr>
        <w:t>Traitement :</w:t>
      </w:r>
      <w:r>
        <w:rPr>
          <w:rStyle w:val="Policepardfaut1"/>
          <w:rFonts w:eastAsia="Times New Roman" w:cs="Marianne" w:ascii="Marianne" w:hAnsi="Marianne"/>
          <w:lang w:eastAsia="fr-FR"/>
          <w:rPrChange w:id="0" w:author="Author1" w:date="1970-01-01T00:00:00Z"/>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pPr>
        <w:pStyle w:val="Normal"/>
        <w:spacing w:lineRule="auto" w:line="240" w:before="57" w:after="57"/>
        <w:jc w:val="both"/>
        <w:rPr/>
      </w:pPr>
      <w:r>
        <w:rPr>
          <w:rStyle w:val="Policepardfaut1"/>
          <w:rFonts w:eastAsia="Times New Roman" w:cs="Marianne" w:ascii="Marianne" w:hAnsi="Marianne"/>
          <w:b/>
          <w:lang w:eastAsia="fr-FR"/>
          <w:rPrChange w:id="0" w:author="Author1" w:date="1970-01-01T00:00:00Z"/>
        </w:rPr>
        <w:t>Instruction </w:t>
      </w:r>
      <w:r>
        <w:rPr>
          <w:rStyle w:val="Policepardfaut1"/>
          <w:rFonts w:eastAsia="Times New Roman" w:cs="Marianne" w:ascii="Marianne" w:hAnsi="Marianne"/>
          <w:lang w:eastAsia="fr-FR"/>
          <w:rPrChange w:id="0" w:author="Author1" w:date="1970-01-01T00:00:00Z"/>
        </w:rPr>
        <w:t>: désigne toute commande explicative écrite, reçue par le Sous-traitant de la part du Responsable de traitement en vertu du présent contrat et du document distinct rédigé pour chaque fichier contenant de données à caractère personnel.</w:t>
      </w:r>
    </w:p>
    <w:p>
      <w:pPr>
        <w:pStyle w:val="Normal"/>
        <w:spacing w:before="57" w:after="57"/>
        <w:jc w:val="both"/>
        <w:rPr/>
      </w:pPr>
      <w:r>
        <w:rPr>
          <w:rStyle w:val="Policepardfaut1"/>
          <w:rFonts w:cs="Marianne" w:ascii="Marianne" w:hAnsi="Marianne"/>
          <w:b/>
          <w:rPrChange w:id="0" w:author="Author1" w:date="1970-01-01T00:00:00Z"/>
        </w:rPr>
        <w:t>Responsable de traitement</w:t>
      </w:r>
      <w:r>
        <w:rPr>
          <w:rStyle w:val="Policepardfaut1"/>
          <w:rFonts w:cs="Marianne" w:ascii="Marianne" w:hAnsi="Marianne"/>
          <w:rPrChange w:id="0" w:author="Author1" w:date="1970-01-01T00:00:00Z"/>
        </w:rPr>
        <w:t> : désigne la personne physique ou morale, l'autorité publique, le service ou un autre organisme qui, seul ou conjointement avec d'autres, détermine les finalités et les moyens du traitement ; dans le cadre du présent contrat, le Responsable de traitement est (</w:t>
      </w:r>
      <w:r>
        <w:rPr>
          <w:rStyle w:val="Policepardfaut1"/>
          <w:rFonts w:cs="Marianne" w:ascii="Marianne" w:hAnsi="Marianne"/>
          <w:highlight w:val="yellow"/>
          <w:rPrChange w:id="0" w:author="Author1" w:date="1970-01-01T00:00:00Z"/>
        </w:rPr>
        <w:t>préciser le service prescripteur. N.B. : en cas de pluralité de services prescripteurs, contacter le délégué ministériel à la protection des données afin de déterminer la répartition de leurs responsabilités conjointes).</w:t>
      </w:r>
    </w:p>
    <w:p>
      <w:pPr>
        <w:pStyle w:val="Normal"/>
        <w:spacing w:before="57" w:after="57"/>
        <w:jc w:val="both"/>
        <w:rPr/>
      </w:pPr>
      <w:r>
        <w:rPr>
          <w:rStyle w:val="Policepardfaut1"/>
          <w:rFonts w:cs="Marianne" w:ascii="Marianne" w:hAnsi="Marianne"/>
          <w:b/>
          <w:rPrChange w:id="0" w:author="Author1" w:date="1970-01-01T00:00:00Z"/>
        </w:rPr>
        <w:t>Sous-traitant</w:t>
      </w:r>
      <w:r>
        <w:rPr>
          <w:rStyle w:val="Policepardfaut1"/>
          <w:rFonts w:cs="Marianne" w:ascii="Marianne" w:hAnsi="Marianne"/>
          <w:rPrChange w:id="0" w:author="Author1" w:date="1970-01-01T00:00:00Z"/>
        </w:rPr>
        <w:t> : désigne la personne physique ou morale, l'autorité publique, le service ou un autre organisme qui traite des données personnelles sur instruction pour le compte du Responsable du traitement.</w:t>
      </w:r>
    </w:p>
    <w:p>
      <w:pPr>
        <w:pStyle w:val="Normal"/>
        <w:spacing w:lineRule="auto" w:line="240" w:before="57" w:after="57"/>
        <w:jc w:val="both"/>
        <w:rPr/>
      </w:pPr>
      <w:r>
        <w:rPr>
          <w:rStyle w:val="Policepardfaut1"/>
          <w:rFonts w:eastAsia="Times New Roman" w:cs="Marianne" w:ascii="Marianne" w:hAnsi="Marianne"/>
          <w:b/>
          <w:bCs/>
          <w:lang w:eastAsia="fr-FR"/>
          <w:rPrChange w:id="0" w:author="Author1" w:date="1970-01-01T00:00:00Z"/>
        </w:rPr>
        <w:t xml:space="preserve">Violation des données à caractère personnel </w:t>
      </w:r>
      <w:r>
        <w:rPr>
          <w:rStyle w:val="Policepardfaut1"/>
          <w:rFonts w:eastAsia="Times New Roman" w:cs="Marianne" w:ascii="Marianne" w:hAnsi="Marianne"/>
          <w:lang w:eastAsia="fr-FR"/>
          <w:rPrChange w:id="0" w:author="Author1" w:date="1970-01-01T00:00:00Z"/>
        </w:rPr>
        <w:t>: il s’agit de tout incident de sécurité, d’origine malveillante ou non et se produisant de manière intentionnelle ou non, ayant comme conséquence de compromettre l’intégrité, la confidentialité ou la disponibilité des données personnelles.</w:t>
      </w:r>
    </w:p>
    <w:p>
      <w:pPr>
        <w:pStyle w:val="Normal"/>
        <w:spacing w:lineRule="auto" w:line="240" w:before="57" w:after="57"/>
        <w:jc w:val="both"/>
        <w:rPr>
          <w:rStyle w:val="Policepardfaut1"/>
          <w:rFonts w:ascii="Marianne" w:hAnsi="Marianne" w:eastAsia="Times New Roman" w:cs="Marianne"/>
          <w:lang w:eastAsia="fr-FR"/>
          <w:ins w:id="91" w:author="Auteur inconnu" w:date="2024-10-22T15:23:08Z"/>
        </w:rPr>
      </w:pPr>
      <w:ins w:id="90" w:author="Auteur inconnu" w:date="2024-10-22T15:23:08Z">
        <w:r>
          <w:rPr/>
        </w:r>
      </w:ins>
    </w:p>
    <w:p>
      <w:pPr>
        <w:pStyle w:val="Normal"/>
        <w:spacing w:lineRule="auto" w:line="240" w:before="57" w:after="57"/>
        <w:jc w:val="both"/>
        <w:rPr>
          <w:rStyle w:val="Policepardfaut1"/>
          <w:rFonts w:ascii="Marianne" w:hAnsi="Marianne" w:eastAsia="Times New Roman" w:cs="Marianne"/>
          <w:lang w:eastAsia="fr-FR"/>
          <w:ins w:id="93" w:author="Auteur inconnu" w:date="2024-10-22T15:23:08Z"/>
        </w:rPr>
      </w:pPr>
      <w:ins w:id="92" w:author="Auteur inconnu" w:date="2024-10-22T15:23:08Z">
        <w:r>
          <w:rPr/>
        </w:r>
      </w:ins>
    </w:p>
    <w:p>
      <w:pPr>
        <w:pStyle w:val="Normal"/>
        <w:spacing w:lineRule="auto" w:line="240" w:before="57" w:after="57"/>
        <w:jc w:val="both"/>
        <w:rPr>
          <w:rStyle w:val="Policepardfaut1"/>
          <w:rFonts w:ascii="Marianne" w:hAnsi="Marianne" w:eastAsia="Times New Roman" w:cs="Marianne"/>
          <w:lang w:eastAsia="fr-FR"/>
        </w:rPr>
      </w:pPr>
      <w:r>
        <w:rPr/>
      </w:r>
    </w:p>
    <w:p>
      <w:pPr>
        <w:pStyle w:val="Normal"/>
        <w:spacing w:lineRule="auto" w:line="240" w:before="57" w:after="57"/>
        <w:jc w:val="both"/>
        <w:rPr>
          <w:rStyle w:val="Policepardfaut1"/>
          <w:rFonts w:ascii="Marianne" w:hAnsi="Marianne" w:eastAsia="Times New Roman" w:cs="Marianne"/>
          <w:lang w:eastAsia="fr-FR"/>
        </w:rPr>
      </w:pPr>
      <w:r>
        <w:rPr/>
      </w:r>
    </w:p>
    <w:p>
      <w:pPr>
        <w:pStyle w:val="Titre1"/>
        <w:ind w:left="360" w:right="0" w:hanging="360"/>
        <w:jc w:val="both"/>
        <w:rPr>
          <w:rFonts w:ascii="Marianne" w:hAnsi="Marianne" w:cs="Calibri"/>
          <w:b/>
          <w:b/>
          <w:bCs/>
          <w:color w:val="000000"/>
          <w:sz w:val="22"/>
          <w:szCs w:val="22"/>
        </w:rPr>
      </w:pPr>
      <w:r>
        <w:rPr>
          <w:rFonts w:cs="Calibri" w:ascii="Marianne" w:hAnsi="Marianne"/>
          <w:b/>
          <w:bCs/>
          <w:color w:val="000000"/>
          <w:sz w:val="22"/>
          <w:szCs w:val="22"/>
          <w:rPrChange w:id="0" w:author="Author1" w:date="1970-01-01T00:00:00Z"/>
        </w:rPr>
        <w:t>Clausier</w:t>
      </w:r>
    </w:p>
    <w:p>
      <w:pPr>
        <w:pStyle w:val="Style11"/>
        <w:rPr>
          <w:rFonts w:ascii="Marianne" w:hAnsi="Marianne"/>
        </w:rPr>
      </w:pPr>
      <w:bookmarkStart w:id="3" w:name="__RefHeading___Toc89271570"/>
      <w:bookmarkEnd w:id="3"/>
      <w:r>
        <w:rPr>
          <w:rFonts w:ascii="Marianne" w:hAnsi="Marianne"/>
          <w:rPrChange w:id="0" w:author="Author1" w:date="1970-01-01T00:00:00Z"/>
        </w:rPr>
        <w:t>SECTION I</w:t>
      </w:r>
    </w:p>
    <w:p>
      <w:pPr>
        <w:pStyle w:val="Style21"/>
        <w:rPr>
          <w:rFonts w:ascii="Marianne" w:hAnsi="Marianne"/>
        </w:rPr>
      </w:pPr>
      <w:bookmarkStart w:id="4" w:name="__RefHeading___Toc89271571"/>
      <w:bookmarkEnd w:id="4"/>
      <w:r>
        <w:rPr>
          <w:rFonts w:ascii="Marianne" w:hAnsi="Marianne"/>
          <w:rPrChange w:id="0" w:author="Author1" w:date="1970-01-01T00:00:00Z"/>
        </w:rPr>
        <w:t xml:space="preserve">Clause 1 Objet et champ d’application </w:t>
      </w:r>
    </w:p>
    <w:tbl>
      <w:tblPr>
        <w:tblW w:w="10209" w:type="dxa"/>
        <w:jc w:val="left"/>
        <w:tblInd w:w="0" w:type="dxa"/>
        <w:tblCellMar>
          <w:top w:w="0" w:type="dxa"/>
          <w:left w:w="0" w:type="dxa"/>
          <w:bottom w:w="0" w:type="dxa"/>
          <w:right w:w="0" w:type="dxa"/>
        </w:tblCellMar>
      </w:tblPr>
      <w:tblGrid>
        <w:gridCol w:w="338"/>
        <w:gridCol w:w="9871"/>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7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présentes clauses contractuelles types (ci-après les «clauses») ont pour objet de garantir la conformité avec , selon les cas,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ou, pour les traitements relevant de la directive police-justice, l’article 96 de la loi n°78-17 Informatique et libertés.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928"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Les responsables du traitement et les sous-traitants énumérés à l’annexe I ont accepté ces clauses afin de garantir le respect des dispositions précitées. (</w:t>
            </w:r>
            <w:r>
              <w:rPr>
                <w:rFonts w:eastAsia="Times New Roman" w:cs="Times New Roman" w:ascii="Marianne" w:hAnsi="Marianne"/>
                <w:highlight w:val="yellow"/>
                <w:lang w:eastAsia="fr-FR"/>
                <w:rPrChange w:id="0" w:author="Author1" w:date="1970-01-01T00:00:00Z"/>
              </w:rPr>
              <w:t>N.B. pour un marché public, la désignation du sous-traitant dans cette annexe ne peut avoir lieu qu’après l’attribution du marché</w:t>
            </w:r>
            <w:r>
              <w:rPr>
                <w:rFonts w:eastAsia="Times New Roman" w:cs="Times New Roman" w:ascii="Marianne" w:hAnsi="Marianne"/>
                <w:lang w:eastAsia="fr-FR"/>
                <w:rPrChange w:id="0" w:author="Author1" w:date="1970-01-01T00:00:00Z"/>
              </w:rPr>
              <w: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38"/>
        <w:gridCol w:w="9871"/>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87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présentes clauses s’appliquent au traitement des données à caractère personnel tel que décrit à l’annexe II.</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975" w:type="dxa"/>
        <w:jc w:val="left"/>
        <w:tblInd w:w="0" w:type="dxa"/>
        <w:tblCellMar>
          <w:top w:w="0" w:type="dxa"/>
          <w:left w:w="0" w:type="dxa"/>
          <w:bottom w:w="0" w:type="dxa"/>
          <w:right w:w="0" w:type="dxa"/>
        </w:tblCellMar>
      </w:tblPr>
      <w:tblGrid>
        <w:gridCol w:w="345"/>
        <w:gridCol w:w="9630"/>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63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annexes I à IV font partie intégrante des clauses.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38"/>
        <w:gridCol w:w="9871"/>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w:t>
            </w:r>
          </w:p>
        </w:tc>
        <w:tc>
          <w:tcPr>
            <w:tcW w:w="987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présentes clauses sont sans préjudice des obligations auxquelles le responsable du traitement est soumis en vertu du règlement (UE) 2016/679 et/ou de la loi Informatique et libertés.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38"/>
        <w:gridCol w:w="9871"/>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f)</w:t>
            </w:r>
          </w:p>
        </w:tc>
        <w:tc>
          <w:tcPr>
            <w:tcW w:w="987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clauses ne suffisent pas à elles seules pour assurer le respect des obligations relatives aux transferts internationaux conformément au chapitre V du règlement (UE) 2016/679 et/ou de la loi Informatique et libertés.</w:t>
            </w:r>
          </w:p>
        </w:tc>
      </w:tr>
    </w:tbl>
    <w:p>
      <w:pPr>
        <w:pStyle w:val="Style21"/>
        <w:rPr>
          <w:rFonts w:ascii="Marianne" w:hAnsi="Marianne"/>
        </w:rPr>
      </w:pPr>
      <w:bookmarkStart w:id="5" w:name="__RefHeading___Toc89271572"/>
      <w:bookmarkEnd w:id="5"/>
      <w:r>
        <w:rPr>
          <w:rFonts w:ascii="Marianne" w:hAnsi="Marianne"/>
          <w:rPrChange w:id="0" w:author="Author1" w:date="1970-01-01T00:00:00Z"/>
        </w:rPr>
        <w:t xml:space="preserve">Clause 2 Invariabilité des clauses </w:t>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92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parties s’engagent à ne pas modifier les clauses, sauf en ce qui concerne l’ajout d’informations aux annexes ou la mise à jour des informations qui y figurent.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92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tc>
      </w:tr>
    </w:tbl>
    <w:p>
      <w:pPr>
        <w:pStyle w:val="Style21"/>
        <w:rPr>
          <w:rFonts w:ascii="Marianne" w:hAnsi="Marianne"/>
        </w:rPr>
      </w:pPr>
      <w:bookmarkStart w:id="6" w:name="__RefHeading___Toc89271573"/>
      <w:bookmarkEnd w:id="6"/>
      <w:r>
        <w:rPr>
          <w:rFonts w:ascii="Marianne" w:hAnsi="Marianne"/>
          <w:rPrChange w:id="0" w:author="Author1" w:date="1970-01-01T00:00:00Z"/>
        </w:rPr>
        <w:t xml:space="preserve">Clause 3 Interprétation </w:t>
      </w:r>
    </w:p>
    <w:tbl>
      <w:tblPr>
        <w:tblW w:w="9975" w:type="dxa"/>
        <w:jc w:val="left"/>
        <w:tblInd w:w="0" w:type="dxa"/>
        <w:tblCellMar>
          <w:top w:w="0" w:type="dxa"/>
          <w:left w:w="0" w:type="dxa"/>
          <w:bottom w:w="0" w:type="dxa"/>
          <w:right w:w="0" w:type="dxa"/>
        </w:tblCellMar>
      </w:tblPr>
      <w:tblGrid>
        <w:gridCol w:w="338"/>
        <w:gridCol w:w="9637"/>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637"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Lorsque des termes définis dans le règlement (UE) 2016/679 figurent dans les clauses, ils s’entendent comme dans le règlement en question.</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975" w:type="dxa"/>
        <w:jc w:val="left"/>
        <w:tblInd w:w="0" w:type="dxa"/>
        <w:tblCellMar>
          <w:top w:w="0" w:type="dxa"/>
          <w:left w:w="0" w:type="dxa"/>
          <w:bottom w:w="0" w:type="dxa"/>
          <w:right w:w="0" w:type="dxa"/>
        </w:tblCellMar>
      </w:tblPr>
      <w:tblGrid>
        <w:gridCol w:w="338"/>
        <w:gridCol w:w="9637"/>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637"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présentes clauses doivent être lues et interprétées à la lumière des dispositions du règlement (UE) 2016/679 et de la loi Informatique et libertés respectivement.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975" w:type="dxa"/>
        <w:jc w:val="left"/>
        <w:tblInd w:w="0" w:type="dxa"/>
        <w:tblCellMar>
          <w:top w:w="0" w:type="dxa"/>
          <w:left w:w="0" w:type="dxa"/>
          <w:bottom w:w="0" w:type="dxa"/>
          <w:right w:w="0" w:type="dxa"/>
        </w:tblCellMar>
      </w:tblPr>
      <w:tblGrid>
        <w:gridCol w:w="338"/>
        <w:gridCol w:w="9637"/>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637"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tc>
      </w:tr>
    </w:tbl>
    <w:p>
      <w:pPr>
        <w:pStyle w:val="Style21"/>
        <w:rPr>
          <w:rFonts w:ascii="Marianne" w:hAnsi="Marianne"/>
        </w:rPr>
      </w:pPr>
      <w:bookmarkStart w:id="7" w:name="__RefHeading___Toc89271574"/>
      <w:bookmarkEnd w:id="7"/>
      <w:r>
        <w:rPr>
          <w:rFonts w:ascii="Marianne" w:hAnsi="Marianne"/>
          <w:rPrChange w:id="0" w:author="Author1" w:date="1970-01-01T00:00:00Z"/>
        </w:rPr>
        <w:t xml:space="preserve">Clause 4 Hiérarchie </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En cas de contradiction entre les présentes clauses et les dispositions des accords connexes qui existent entre les parties au moment où les présentes clauses sont convenues ou qui sont conclus ultérieurement, les présentes clauses prévaudront. (</w:t>
      </w:r>
      <w:r>
        <w:rPr>
          <w:rFonts w:eastAsia="Times New Roman" w:cs="Times New Roman" w:ascii="Marianne" w:hAnsi="Marianne"/>
          <w:highlight w:val="yellow"/>
          <w:lang w:eastAsia="fr-FR"/>
          <w:rPrChange w:id="0" w:author="Author1" w:date="1970-01-01T00:00:00Z"/>
        </w:rPr>
        <w:t>N.B. pour un marché public, celui-ci contient généralement plusieurs pièces contractuelles ou cahiers des charges dont la hiérarchie est déterminée par le marché. Il conviendra donc de faire attention à l’intégration de ces clauses dans cette hiérarchie. Certaines clauses pourront correspondre au CCAP, et d’autres au CCTP).</w:t>
      </w:r>
    </w:p>
    <w:p>
      <w:pPr>
        <w:pStyle w:val="Style21"/>
        <w:rPr>
          <w:rFonts w:ascii="Marianne" w:hAnsi="Marianne"/>
        </w:rPr>
      </w:pPr>
      <w:bookmarkStart w:id="8" w:name="__RefHeading___Toc89271575"/>
      <w:bookmarkEnd w:id="8"/>
      <w:r>
        <w:rPr>
          <w:rFonts w:ascii="Marianne" w:hAnsi="Marianne"/>
          <w:i/>
          <w:iCs/>
          <w:rPrChange w:id="0" w:author="Author1" w:date="1970-01-01T00:00:00Z"/>
        </w:rPr>
        <w:t xml:space="preserve">Clause 5 — </w:t>
      </w:r>
      <w:r>
        <w:rPr>
          <w:rFonts w:ascii="Marianne" w:hAnsi="Marianne"/>
          <w:i/>
          <w:iCs/>
          <w:highlight w:val="yellow"/>
          <w:rPrChange w:id="0" w:author="Author1" w:date="1970-01-01T00:00:00Z"/>
        </w:rPr>
        <w:t>Facultative</w:t>
      </w:r>
      <w:r>
        <w:rPr>
          <w:rFonts w:ascii="Marianne" w:hAnsi="Marianne"/>
          <w:i/>
          <w:iCs/>
          <w:rPrChange w:id="0" w:author="Author1" w:date="1970-01-01T00:00:00Z"/>
        </w:rPr>
        <w:t xml:space="preserve"> Clause d’amarrage </w:t>
      </w:r>
    </w:p>
    <w:p>
      <w:pPr>
        <w:pStyle w:val="Normal"/>
        <w:spacing w:lineRule="auto" w:line="240" w:before="280" w:after="280"/>
        <w:jc w:val="both"/>
        <w:rPr>
          <w:rFonts w:ascii="Marianne" w:hAnsi="Marianne"/>
          <w:i/>
          <w:i/>
          <w:iCs/>
        </w:rPr>
      </w:pPr>
      <w:r>
        <w:rPr>
          <w:rFonts w:eastAsia="Times New Roman" w:cs="Times New Roman" w:ascii="Marianne" w:hAnsi="Marianne"/>
          <w:i/>
          <w:iCs/>
          <w:lang w:eastAsia="fr-FR"/>
          <w:rPrChange w:id="0" w:author="Author1" w:date="1970-01-01T00:00:00Z"/>
        </w:rPr>
        <w:t>(</w:t>
      </w:r>
      <w:r>
        <w:rPr>
          <w:rFonts w:eastAsia="Times New Roman" w:cs="Times New Roman" w:ascii="Marianne" w:hAnsi="Marianne"/>
          <w:i/>
          <w:iCs/>
          <w:highlight w:val="yellow"/>
          <w:lang w:eastAsia="fr-FR"/>
          <w:rPrChange w:id="0" w:author="Author1" w:date="1970-01-01T00:00:00Z"/>
        </w:rPr>
        <w:t>N.B. attention, pour un marché public, cette clause est susceptible d’interférer avec la réglementation de la commande publique sur la modification des parties à un marché).</w:t>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a)</w:t>
            </w:r>
          </w:p>
        </w:tc>
        <w:tc>
          <w:tcPr>
            <w:tcW w:w="992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Toute entité qui n’est pas partie aux présentes clauses peut, avec l’accord de toutes les parties, y adhérer à tout moment, en qualité soit de responsable du traitement soit de sous-traitant, en complétant les annexes et en signant l’annexe I.</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b)</w:t>
            </w:r>
          </w:p>
        </w:tc>
        <w:tc>
          <w:tcPr>
            <w:tcW w:w="992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Une fois que les annexes mentionnées au point a) sont complétées et signées, l’entité adhérente est considérée comme une partie aux présentes clauses et jouit des droits et est soumise aux obligations d’un responsable du traitement ou d’un sous-traitant, conformément à sa désignation à l’annexe I.</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c)</w:t>
            </w:r>
          </w:p>
        </w:tc>
        <w:tc>
          <w:tcPr>
            <w:tcW w:w="992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Les présentes clauses ne créent pour la partie adhérente aucun droit ni aucune obligation pour la période précédant l’adhésion.</w:t>
            </w:r>
          </w:p>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
            </w:r>
          </w:p>
        </w:tc>
      </w:tr>
    </w:tbl>
    <w:p>
      <w:pPr>
        <w:pStyle w:val="Style11"/>
        <w:rPr>
          <w:rFonts w:ascii="Marianne" w:hAnsi="Marianne"/>
          <w:lang w:eastAsia="fr-FR"/>
        </w:rPr>
      </w:pPr>
      <w:bookmarkStart w:id="9" w:name="__RefHeading___Toc89271576"/>
      <w:bookmarkEnd w:id="9"/>
      <w:r>
        <w:rPr>
          <w:rFonts w:ascii="Marianne" w:hAnsi="Marianne"/>
          <w:lang w:eastAsia="fr-FR"/>
          <w:rPrChange w:id="0" w:author="Author1" w:date="1970-01-01T00:00:00Z"/>
        </w:rPr>
        <w:t>SECTION II</w:t>
      </w:r>
    </w:p>
    <w:p>
      <w:pPr>
        <w:pStyle w:val="Style11"/>
        <w:rPr>
          <w:rFonts w:ascii="Marianne" w:hAnsi="Marianne"/>
          <w:lang w:eastAsia="fr-FR"/>
        </w:rPr>
      </w:pPr>
      <w:bookmarkStart w:id="10" w:name="__RefHeading___Toc89271577"/>
      <w:bookmarkEnd w:id="10"/>
      <w:r>
        <w:rPr>
          <w:rFonts w:ascii="Marianne" w:hAnsi="Marianne"/>
          <w:lang w:eastAsia="fr-FR"/>
          <w:rPrChange w:id="0" w:author="Author1" w:date="1970-01-01T00:00:00Z"/>
        </w:rPr>
        <w:t xml:space="preserve">OBLIGATIONS DES PARTIES </w:t>
      </w:r>
    </w:p>
    <w:p>
      <w:pPr>
        <w:pStyle w:val="Style21"/>
        <w:rPr>
          <w:rFonts w:ascii="Marianne" w:hAnsi="Marianne"/>
        </w:rPr>
      </w:pPr>
      <w:bookmarkStart w:id="11" w:name="__RefHeading___Toc89271578"/>
      <w:bookmarkEnd w:id="11"/>
      <w:r>
        <w:rPr>
          <w:rFonts w:ascii="Marianne" w:hAnsi="Marianne"/>
          <w:rPrChange w:id="0" w:author="Author1" w:date="1970-01-01T00:00:00Z"/>
        </w:rPr>
        <w:t xml:space="preserve">Clause 6 Description du ou des traitements </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 xml:space="preserve">Les détails des opérations de traitement, et notamment les catégories de données à caractère personnel et les finalités du traitement pour lesquelles les données à caractère personnel sont traitées pour le compte du responsable du traitement, sont </w:t>
      </w:r>
      <w:r>
        <w:rPr>
          <w:rFonts w:eastAsia="Times New Roman" w:cs="Times New Roman" w:ascii="Marianne" w:hAnsi="Marianne"/>
          <w:highlight w:val="yellow"/>
          <w:lang w:eastAsia="fr-FR"/>
          <w:rPrChange w:id="0" w:author="Author1" w:date="1970-01-01T00:00:00Z"/>
        </w:rPr>
        <w:t>précisés à l’annexe II.</w:t>
      </w:r>
    </w:p>
    <w:p>
      <w:pPr>
        <w:pStyle w:val="Style21"/>
        <w:rPr>
          <w:rFonts w:ascii="Marianne" w:hAnsi="Marianne"/>
        </w:rPr>
      </w:pPr>
      <w:bookmarkStart w:id="12" w:name="__RefHeading___Toc89271579"/>
      <w:bookmarkEnd w:id="12"/>
      <w:r>
        <w:rPr>
          <w:rFonts w:ascii="Marianne" w:hAnsi="Marianne"/>
          <w:rPrChange w:id="0" w:author="Author1" w:date="1970-01-01T00:00:00Z"/>
        </w:rPr>
        <w:t xml:space="preserve">Clause 7 Obligations des parties </w:t>
      </w:r>
    </w:p>
    <w:p>
      <w:pPr>
        <w:pStyle w:val="Style21"/>
        <w:rPr>
          <w:rFonts w:ascii="Marianne" w:hAnsi="Marianne"/>
        </w:rPr>
      </w:pPr>
      <w:bookmarkStart w:id="13" w:name="__RefHeading___Toc89271580"/>
      <w:bookmarkEnd w:id="13"/>
      <w:r>
        <w:rPr>
          <w:rFonts w:ascii="Marianne" w:hAnsi="Marianne"/>
          <w:rPrChange w:id="0" w:author="Author1" w:date="1970-01-01T00:00:00Z"/>
        </w:rPr>
        <w:t xml:space="preserve">7.1.   Instructions </w:t>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92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On précisera :</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Personnes habilitées à donner des instructions : noms, fonctions</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Canal à utiliser (préciser : note, téléphone, mail, avenant…)</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Personnes habilitées à recevoir les instructions : noms, fonctions, coordonnées</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(N.B. pour un marché public, renvoyer le cas échéant aux autres pièces du marché qui détaillent ces informations)..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1"/>
        <w:gridCol w:w="9928"/>
      </w:tblGrid>
      <w:tr>
        <w:trPr/>
        <w:tc>
          <w:tcPr>
            <w:tcW w:w="28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92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tc>
      </w:tr>
    </w:tbl>
    <w:p>
      <w:pPr>
        <w:pStyle w:val="Style21"/>
        <w:rPr>
          <w:rFonts w:ascii="Marianne" w:hAnsi="Marianne"/>
        </w:rPr>
      </w:pPr>
      <w:bookmarkStart w:id="14" w:name="__RefHeading___Toc89271581"/>
      <w:bookmarkEnd w:id="14"/>
      <w:r>
        <w:rPr>
          <w:rFonts w:ascii="Marianne" w:hAnsi="Marianne"/>
          <w:rPrChange w:id="0" w:author="Author1" w:date="1970-01-01T00:00:00Z"/>
        </w:rPr>
        <w:t xml:space="preserve">7.2.   Limitation de la finalité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traite les données à caractère personnel uniquement pour la ou les finalités spécifiques du traitement, telles que définies à l’annexe II, sauf instruction complémentaire du responsable du traitement.</w:t>
      </w:r>
    </w:p>
    <w:p>
      <w:pPr>
        <w:pStyle w:val="Style21"/>
        <w:rPr>
          <w:rFonts w:ascii="Marianne" w:hAnsi="Marianne"/>
        </w:rPr>
      </w:pPr>
      <w:bookmarkStart w:id="15" w:name="__RefHeading___Toc89271582"/>
      <w:bookmarkEnd w:id="15"/>
      <w:r>
        <w:rPr>
          <w:rFonts w:ascii="Marianne" w:hAnsi="Marianne"/>
          <w:rPrChange w:id="0" w:author="Author1" w:date="1970-01-01T00:00:00Z"/>
        </w:rPr>
        <w:t xml:space="preserve">7.3.   Durée du traitement des données à caractère personnel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traitement par le sous-traitant n’a lieu que pendant la durée précisée à l’annexe II.</w:t>
      </w:r>
    </w:p>
    <w:p>
      <w:pPr>
        <w:pStyle w:val="Style21"/>
        <w:rPr>
          <w:rFonts w:ascii="Marianne" w:hAnsi="Marianne"/>
        </w:rPr>
      </w:pPr>
      <w:bookmarkStart w:id="16" w:name="__RefHeading___Toc89271583"/>
      <w:bookmarkEnd w:id="16"/>
      <w:r>
        <w:rPr>
          <w:rFonts w:ascii="Marianne" w:hAnsi="Marianne"/>
          <w:rPrChange w:id="0" w:author="Author1" w:date="1970-01-01T00:00:00Z"/>
        </w:rPr>
        <w:t xml:space="preserve">7.4.   Sécurité du traitement </w:t>
      </w:r>
    </w:p>
    <w:tbl>
      <w:tblPr>
        <w:tblW w:w="10209" w:type="dxa"/>
        <w:jc w:val="left"/>
        <w:tblInd w:w="0" w:type="dxa"/>
        <w:tblCellMar>
          <w:top w:w="0" w:type="dxa"/>
          <w:left w:w="0" w:type="dxa"/>
          <w:bottom w:w="0" w:type="dxa"/>
          <w:right w:w="0" w:type="dxa"/>
        </w:tblCellMar>
      </w:tblPr>
      <w:tblGrid>
        <w:gridCol w:w="279"/>
        <w:gridCol w:w="9930"/>
      </w:tblGrid>
      <w:tr>
        <w:trPr/>
        <w:tc>
          <w:tcPr>
            <w:tcW w:w="27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930"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Le sous-traitant met au moins en œuvre les mesures techniques et organisationnelles </w:t>
            </w:r>
            <w:r>
              <w:rPr>
                <w:rFonts w:eastAsia="Times New Roman" w:cs="Times New Roman" w:ascii="Marianne" w:hAnsi="Marianne"/>
                <w:highlight w:val="yellow"/>
                <w:lang w:eastAsia="fr-FR"/>
                <w:rPrChange w:id="0" w:author="Author1" w:date="1970-01-01T00:00:00Z"/>
              </w:rPr>
              <w:t>précisées à l’annexe III</w:t>
            </w:r>
            <w:r>
              <w:rPr>
                <w:rFonts w:eastAsia="Times New Roman" w:cs="Times New Roman" w:ascii="Marianne" w:hAnsi="Marianne"/>
                <w:lang w:eastAsia="fr-FR"/>
                <w:rPrChange w:id="0" w:author="Author1" w:date="1970-01-01T00:00:00Z"/>
              </w:rPr>
              <w:t xml:space="preserve">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w:t>
            </w:r>
          </w:p>
        </w:tc>
      </w:tr>
      <w:tr>
        <w:trPr/>
        <w:tc>
          <w:tcPr>
            <w:tcW w:w="27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930" w:type="dxa"/>
            <w:tcBorders/>
          </w:tcPr>
          <w:p>
            <w:pPr>
              <w:pStyle w:val="LONormal"/>
              <w:spacing w:before="113" w:after="113"/>
              <w:ind w:left="0" w:right="0" w:hanging="0"/>
              <w:rPr/>
            </w:pPr>
            <w:r>
              <w:rPr>
                <w:rStyle w:val="Policepardfaut1"/>
                <w:rFonts w:cs="Calibri" w:ascii="Marianne" w:hAnsi="Marianne"/>
                <w:sz w:val="22"/>
                <w:szCs w:val="22"/>
                <w:rPrChange w:id="0" w:author="Author1" w:date="1970-01-01T00:00:00Z"/>
              </w:rPr>
              <w:t>La modification des mesures techniques et organisationnelles déployées pour le Traitement doit être autorisée préalablement par le Responsable de traitement selon les modalités prévues à la clause 7.1.a. Quelle que soit la modification apportée, le Sous-traitant doit garantir un niveau de sécurité au moins équivalent entre les nouvelles mesures et les anciennes mesures.</w:t>
            </w:r>
          </w:p>
        </w:tc>
      </w:tr>
      <w:tr>
        <w:trPr/>
        <w:tc>
          <w:tcPr>
            <w:tcW w:w="27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93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Préciser à l’annexe III les obligations exigées</w:t>
            </w:r>
          </w:p>
        </w:tc>
      </w:tr>
    </w:tbl>
    <w:p>
      <w:pPr>
        <w:pStyle w:val="Style21"/>
        <w:rPr>
          <w:rFonts w:ascii="Marianne" w:hAnsi="Marianne"/>
        </w:rPr>
      </w:pPr>
      <w:bookmarkStart w:id="17" w:name="__RefHeading___Toc89271584"/>
      <w:bookmarkEnd w:id="17"/>
      <w:r>
        <w:rPr>
          <w:rFonts w:ascii="Marianne" w:hAnsi="Marianne"/>
          <w:rPrChange w:id="0" w:author="Author1" w:date="1970-01-01T00:00:00Z"/>
        </w:rPr>
        <w:t xml:space="preserve">7.5.   Données sensibles </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 telles qu’</w:t>
      </w:r>
      <w:r>
        <w:rPr>
          <w:rFonts w:eastAsia="Times New Roman" w:cs="Times New Roman" w:ascii="Marianne" w:hAnsi="Marianne"/>
          <w:highlight w:val="yellow"/>
          <w:lang w:eastAsia="fr-FR"/>
          <w:rPrChange w:id="0" w:author="Author1" w:date="1970-01-01T00:00:00Z"/>
        </w:rPr>
        <w:t>exigées par le Responsable de traitement en annexe III</w:t>
      </w:r>
      <w:r>
        <w:rPr>
          <w:rFonts w:eastAsia="Times New Roman" w:cs="Times New Roman" w:ascii="Marianne" w:hAnsi="Marianne"/>
          <w:lang w:eastAsia="fr-FR"/>
          <w:rPrChange w:id="0" w:author="Author1" w:date="1970-01-01T00:00:00Z"/>
        </w:rPr>
        <w:t xml:space="preserve">. </w:t>
      </w:r>
    </w:p>
    <w:p>
      <w:pPr>
        <w:pStyle w:val="Normal"/>
        <w:spacing w:lineRule="auto" w:line="240" w:before="280" w:after="280"/>
        <w:jc w:val="both"/>
        <w:rPr>
          <w:rFonts w:ascii="Marianne" w:hAnsi="Marianne"/>
          <w:ins w:id="174" w:author="Author1" w:date="1970-01-01T00:00:00Z"/>
        </w:rPr>
      </w:pPr>
      <w:r>
        <w:rPr>
          <w:rFonts w:ascii="Marianne" w:hAnsi="Marianne"/>
          <w:rPrChange w:id="0" w:author="Author1" w:date="1970-01-01T00:00:00Z"/>
        </w:rPr>
        <w:t>Le cas échéant, l</w:t>
      </w:r>
      <w:r>
        <w:rPr>
          <w:rFonts w:ascii="Marianne" w:hAnsi="Marianne"/>
          <w:highlight w:val="yellow"/>
          <w:rPrChange w:id="0" w:author="Author1" w:date="1970-01-01T00:00:00Z"/>
        </w:rPr>
        <w:t>e responsable de traitement informe le sous-traitant</w:t>
      </w:r>
      <w:r>
        <w:rPr>
          <w:rFonts w:ascii="Marianne" w:hAnsi="Marianne"/>
          <w:rPrChange w:id="0" w:author="Author1" w:date="1970-01-01T00:00:00Z"/>
        </w:rPr>
        <w:t xml:space="preserve"> des obligations spécifiques engendrées par ce type de données (par exemple, données de santé nécessitant une certification HDS).</w:t>
      </w:r>
    </w:p>
    <w:p>
      <w:pPr>
        <w:pStyle w:val="Normal"/>
        <w:spacing w:lineRule="auto" w:line="240" w:before="280" w:after="280"/>
        <w:jc w:val="both"/>
        <w:rPr>
          <w:rFonts w:ascii="Marianne" w:hAnsi="Marianne"/>
        </w:rPr>
      </w:pPr>
      <w:r>
        <w:rPr>
          <w:rFonts w:ascii="Marianne" w:hAnsi="Marianne"/>
        </w:rPr>
      </w:r>
    </w:p>
    <w:p>
      <w:pPr>
        <w:pStyle w:val="Style21"/>
        <w:rPr>
          <w:rFonts w:ascii="Marianne" w:hAnsi="Marianne"/>
        </w:rPr>
      </w:pPr>
      <w:bookmarkStart w:id="18" w:name="__RefHeading___Toc89271585"/>
      <w:bookmarkEnd w:id="18"/>
      <w:r>
        <w:rPr>
          <w:rFonts w:ascii="Marianne" w:hAnsi="Marianne"/>
          <w:rPrChange w:id="0" w:author="Author1" w:date="1970-01-01T00:00:00Z"/>
        </w:rPr>
        <w:t>7.6. </w:t>
      </w:r>
      <w:del w:id="176" w:author="Author1" w:date="1970-01-01T00:00:00Z">
        <w:r>
          <w:rPr>
            <w:rFonts w:ascii="Marianne" w:hAnsi="Marianne"/>
          </w:rPr>
          <w:delText>  </w:delText>
        </w:r>
      </w:del>
      <w:r>
        <w:rPr>
          <w:rFonts w:ascii="Marianne" w:hAnsi="Marianne"/>
          <w:rPrChange w:id="0" w:author="Author1" w:date="1970-01-01T00:00:00Z"/>
        </w:rPr>
        <w:t xml:space="preserve">Documentation et conformité </w:t>
      </w:r>
    </w:p>
    <w:tbl>
      <w:tblPr>
        <w:tblW w:w="10209" w:type="dxa"/>
        <w:jc w:val="left"/>
        <w:tblInd w:w="0" w:type="dxa"/>
        <w:tblCellMar>
          <w:top w:w="0" w:type="dxa"/>
          <w:left w:w="0" w:type="dxa"/>
          <w:bottom w:w="0" w:type="dxa"/>
          <w:right w:w="0" w:type="dxa"/>
        </w:tblCellMar>
      </w:tblPr>
      <w:tblGrid>
        <w:gridCol w:w="338"/>
        <w:gridCol w:w="9871"/>
      </w:tblGrid>
      <w:tr>
        <w:trPr/>
        <w:tc>
          <w:tcPr>
            <w:tcW w:w="33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71"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parties doivent pouvoir démontrer la conformité avec les présentes clauses.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traite de manière rapide et adéquate les demandes du responsable du traitement concernant le traitement des données conformément aux présentes clauses.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864"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Le sous-traitant met à la disposition du responsable du traitement toutes les informations nécessaires pour démontrer le respect des obligations énoncées dans les présentes clauses et découlant directement du règlement (UE) 2016/679 et/ou de la loi Informatique et libertés. À la demande du responsable du traitement, le sous-traitant permet également la réalisation d’audits des activités de traitement couvertes par les présentes clauses et y contribue, </w:t>
            </w:r>
            <w:r>
              <w:rPr>
                <w:rFonts w:eastAsia="Times New Roman" w:cs="Times New Roman" w:ascii="Marianne" w:hAnsi="Marianne"/>
                <w:highlight w:val="yellow"/>
                <w:lang w:eastAsia="fr-FR"/>
                <w:rPrChange w:id="0" w:author="Author1" w:date="1970-01-01T00:00:00Z"/>
              </w:rPr>
              <w:t>à intervalles raisonnables (à préciser ici)</w:t>
            </w:r>
            <w:r>
              <w:rPr>
                <w:rFonts w:eastAsia="Times New Roman" w:cs="Times New Roman" w:ascii="Marianne" w:hAnsi="Marianne"/>
                <w:lang w:eastAsia="fr-FR"/>
                <w:rPrChange w:id="0" w:author="Author1" w:date="1970-01-01T00:00:00Z"/>
              </w:rPr>
              <w:t xml:space="preserve"> ou en présence d’indices de non-conformité. Lorsqu’il décide d’un examen ou d’un audit, l</w:t>
            </w:r>
            <w:r>
              <w:rPr>
                <w:rFonts w:eastAsia="Times New Roman" w:cs="Times New Roman" w:ascii="Marianne" w:hAnsi="Marianne"/>
                <w:highlight w:val="yellow"/>
                <w:lang w:eastAsia="fr-FR"/>
                <w:rPrChange w:id="0" w:author="Author1" w:date="1970-01-01T00:00:00Z"/>
              </w:rPr>
              <w:t>e responsable du traitement peut tenir compte des certifications pertinentes en possession du sous-traitant (à préciser ici).</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864"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 </w:t>
            </w:r>
            <w:r>
              <w:rPr>
                <w:rFonts w:eastAsia="Times New Roman" w:cs="Times New Roman" w:ascii="Marianne" w:hAnsi="Marianne"/>
                <w:highlight w:val="yellow"/>
                <w:lang w:eastAsia="fr-FR"/>
                <w:rPrChange w:id="0" w:author="Author1" w:date="1970-01-01T00:00:00Z"/>
              </w:rPr>
              <w:t xml:space="preserve">À préciser contractuellement : </w:t>
            </w:r>
            <w:r>
              <w:rPr>
                <w:rFonts w:ascii="Marianne" w:hAnsi="Marianne"/>
                <w:highlight w:val="yellow"/>
                <w:rPrChange w:id="0" w:author="Author1" w:date="1970-01-01T00:00:00Z"/>
              </w:rPr>
              <w:t>combien d’audits sont compris dans le devis, quel est le coût d’un audit supplémentaire, quel délai de préavis…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parties mettent à la disposition de l’autorité de contrôle compétente, dès que celle-ci en fait la demande, les informations énoncées dans la présente clause, y compris les résultats de tout audit.</w:t>
            </w:r>
          </w:p>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r>
        <w:trPr/>
        <w:tc>
          <w:tcPr>
            <w:tcW w:w="345" w:type="dxa"/>
            <w:tcBorders/>
          </w:tcPr>
          <w:p>
            <w:pPr>
              <w:pStyle w:val="Normal"/>
              <w:snapToGrid w:val="false"/>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f)</w:t>
            </w:r>
          </w:p>
        </w:tc>
        <w:tc>
          <w:tcPr>
            <w:tcW w:w="9864" w:type="dxa"/>
            <w:tcBorders/>
          </w:tcPr>
          <w:p>
            <w:pPr>
              <w:pStyle w:val="LONormal"/>
              <w:spacing w:before="113" w:after="113"/>
              <w:ind w:left="-5" w:right="0" w:hanging="0"/>
              <w:rPr>
                <w:rFonts w:ascii="Marianne" w:hAnsi="Marianne" w:cs="Calibri"/>
                <w:color w:val="00000A"/>
                <w:sz w:val="22"/>
                <w:szCs w:val="22"/>
              </w:rPr>
            </w:pPr>
            <w:r>
              <w:rPr>
                <w:rFonts w:cs="Calibri" w:ascii="Marianne" w:hAnsi="Marianne"/>
                <w:color w:val="00000A"/>
                <w:sz w:val="22"/>
                <w:szCs w:val="22"/>
                <w:rPrChange w:id="0" w:author="Author1" w:date="1970-01-01T00:00:00Z"/>
              </w:rPr>
              <w:t>Le Sous-traitant doit être en mesure de fournir au Responsable de traitement à tout moment une liste des personnes autorisées à accéder aux données.</w:t>
            </w:r>
          </w:p>
          <w:p>
            <w:pPr>
              <w:pStyle w:val="LONormal"/>
              <w:spacing w:before="113" w:after="113"/>
              <w:ind w:left="-5" w:right="0" w:hanging="0"/>
              <w:rPr>
                <w:rFonts w:ascii="Marianne" w:hAnsi="Marianne"/>
              </w:rPr>
            </w:pPr>
            <w:r>
              <w:rPr>
                <w:rFonts w:cs="Calibri" w:ascii="Marianne" w:hAnsi="Marianne"/>
                <w:color w:val="00000A"/>
                <w:sz w:val="22"/>
                <w:szCs w:val="22"/>
                <w:highlight w:val="yellow"/>
                <w:rPrChange w:id="0" w:author="Author1" w:date="1970-01-01T00:00:00Z"/>
              </w:rPr>
              <w:t xml:space="preserve">Le Sous-traitant doit communiquer sur demande </w:t>
            </w:r>
            <w:bookmarkStart w:id="19" w:name="_Hlk83849740"/>
            <w:r>
              <w:rPr>
                <w:rFonts w:cs="Calibri" w:ascii="Marianne" w:hAnsi="Marianne"/>
                <w:color w:val="00000A"/>
                <w:sz w:val="22"/>
                <w:szCs w:val="22"/>
                <w:highlight w:val="yellow"/>
                <w:rPrChange w:id="0" w:author="Author1" w:date="1970-01-01T00:00:00Z"/>
              </w:rPr>
              <w:t xml:space="preserve">la liste de tous les lieux de stockage de données (site d’hébergement principal, site(s) de secours, etc.). </w:t>
            </w:r>
            <w:bookmarkEnd w:id="19"/>
            <w:r>
              <w:rPr>
                <w:rFonts w:cs="Calibri" w:ascii="Marianne" w:hAnsi="Marianne"/>
                <w:color w:val="00000A"/>
                <w:sz w:val="22"/>
                <w:szCs w:val="22"/>
                <w:highlight w:val="yellow"/>
                <w:rPrChange w:id="0" w:author="Author1" w:date="1970-01-01T00:00:00Z"/>
              </w:rPr>
              <w:t xml:space="preserve">Si la faisabilité technique de cette exigence s’avère délicate dans le cadre d’architectures distribuées, il peut être demandé au prestataire d’être en mesure de localiser, </w:t>
            </w:r>
            <w:r>
              <w:rPr>
                <w:rFonts w:cs="Calibri" w:ascii="Marianne" w:hAnsi="Marianne"/>
                <w:i/>
                <w:iCs/>
                <w:color w:val="00000A"/>
                <w:sz w:val="22"/>
                <w:szCs w:val="22"/>
                <w:highlight w:val="yellow"/>
                <w:rPrChange w:id="0" w:author="Author1" w:date="1970-01-01T00:00:00Z"/>
              </w:rPr>
              <w:t>a posteriori</w:t>
            </w:r>
            <w:r>
              <w:rPr>
                <w:rFonts w:cs="Calibri" w:ascii="Marianne" w:hAnsi="Marianne"/>
                <w:color w:val="00000A"/>
                <w:sz w:val="22"/>
                <w:szCs w:val="22"/>
                <w:highlight w:val="yellow"/>
                <w:rPrChange w:id="0" w:author="Author1" w:date="1970-01-01T00:00:00Z"/>
              </w:rPr>
              <w:t>, et non en permanence, le lieu de stockage des données, en particulier suite à un incident.</w:t>
            </w:r>
          </w:p>
          <w:p>
            <w:pPr>
              <w:pStyle w:val="LONormal"/>
              <w:spacing w:before="113" w:after="113"/>
              <w:ind w:left="-5" w:right="0" w:hanging="0"/>
              <w:rPr>
                <w:highlight w:val="yellow"/>
              </w:rPr>
            </w:pPr>
            <w:r>
              <w:rPr>
                <w:rStyle w:val="Policepardfaut1"/>
                <w:rFonts w:cs="Calibri" w:ascii="Marianne" w:hAnsi="Marianne"/>
                <w:color w:val="00000A"/>
                <w:sz w:val="22"/>
                <w:szCs w:val="22"/>
                <w:highlight w:val="yellow"/>
                <w:rPrChange w:id="0" w:author="Author1" w:date="1970-01-01T00:00:00Z"/>
              </w:rPr>
              <w:t xml:space="preserve">Option à valider le cas échéant : Les équipements (serveurs, postes de travail, réseau) utilisés dans le cadre de l’exécution des prestations confiées au Sous-traitant doivent être localisés dans des locaux sécurisés au sein de l’Union européenne selon les normes en vigueur. </w:t>
            </w:r>
          </w:p>
        </w:tc>
      </w:tr>
    </w:tbl>
    <w:p>
      <w:pPr>
        <w:pStyle w:val="Style21"/>
        <w:rPr>
          <w:rFonts w:ascii="Marianne" w:hAnsi="Marianne"/>
        </w:rPr>
      </w:pPr>
      <w:bookmarkStart w:id="20" w:name="__RefHeading___Toc89271586"/>
      <w:bookmarkEnd w:id="20"/>
      <w:r>
        <w:rPr>
          <w:rFonts w:ascii="Marianne" w:hAnsi="Marianne"/>
          <w:rPrChange w:id="0" w:author="Author1" w:date="1970-01-01T00:00:00Z"/>
        </w:rPr>
        <w:t xml:space="preserve">7.7.   Recours à des sous-traitants ultérieurs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Choisir l’option :</w:t>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759" w:type="dxa"/>
            <w:tcBorders/>
          </w:tcPr>
          <w:p>
            <w:pPr>
              <w:pStyle w:val="Normal"/>
              <w:spacing w:lineRule="auto" w:line="240"/>
              <w:jc w:val="both"/>
              <w:rPr>
                <w:rFonts w:ascii="Marianne" w:hAnsi="Marianne"/>
              </w:rPr>
            </w:pPr>
            <w:r>
              <w:rPr>
                <w:rFonts w:eastAsia="Times New Roman" w:cs="Times New Roman" w:ascii="Marianne" w:hAnsi="Marianne"/>
                <w:lang w:eastAsia="fr-FR"/>
                <w:rPrChange w:id="0" w:author="Author1" w:date="1970-01-01T00:00:00Z"/>
              </w:rPr>
              <w:t>OPTION 1: AUTORISATION SPÉCIFIQUE PRÉALABLE: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w:t>
            </w:r>
            <w:r>
              <w:rPr>
                <w:rFonts w:eastAsia="Times New Roman" w:cs="Times New Roman" w:ascii="Marianne" w:hAnsi="Marianne"/>
                <w:highlight w:val="yellow"/>
                <w:lang w:eastAsia="fr-FR"/>
                <w:rPrChange w:id="0" w:author="Author1" w:date="1970-01-01T00:00:00Z"/>
              </w:rPr>
              <w:t>N.B. pour un marché public, il peut pour cela remplir la rubrique F du formulaire DC4, relative à la sous-traitance de données à caractère personnel.)</w:t>
            </w:r>
            <w:r>
              <w:rPr>
                <w:rFonts w:eastAsia="Times New Roman" w:cs="Times New Roman" w:ascii="Marianne" w:hAnsi="Marianne"/>
                <w:lang w:eastAsia="fr-FR"/>
                <w:rPrChange w:id="0" w:author="Author1" w:date="1970-01-01T00:00:00Z"/>
              </w:rPr>
              <w:t>. Le sous-traitant soumet la demande d’autorisation spécifique au moins [</w:t>
            </w:r>
            <w:r>
              <w:rPr>
                <w:rFonts w:eastAsia="Times New Roman" w:cs="Times New Roman" w:ascii="Marianne" w:hAnsi="Marianne"/>
                <w:highlight w:val="yellow"/>
                <w:lang w:eastAsia="fr-FR"/>
                <w:rPrChange w:id="0" w:author="Author1" w:date="1970-01-01T00:00:00Z"/>
              </w:rPr>
              <w:t>PRÉCISER LA DURÉE</w:t>
            </w:r>
            <w:r>
              <w:rPr>
                <w:rFonts w:eastAsia="Times New Roman" w:cs="Times New Roman" w:ascii="Marianne" w:hAnsi="Marianne"/>
                <w:lang w:eastAsia="fr-FR"/>
                <w:rPrChange w:id="0" w:author="Author1" w:date="1970-01-01T00:00:00Z"/>
              </w:rPr>
              <w:t>]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OPTION 2: AUTORISATION ÉCRITE GÉNÉRALE: </w:t>
            </w:r>
            <w:bookmarkStart w:id="21" w:name="_Hlk83849805"/>
            <w:r>
              <w:rPr>
                <w:rFonts w:eastAsia="Times New Roman" w:cs="Times New Roman" w:ascii="Marianne" w:hAnsi="Marianne"/>
                <w:lang w:eastAsia="fr-FR"/>
                <w:rPrChange w:id="0" w:author="Author1" w:date="1970-01-01T00:00:00Z"/>
              </w:rPr>
              <w:t xml:space="preserve">le sous-traitant dispose de l’autorisation générale du responsable du traitement pour ce qui est du recrutement de sous-traitants ultérieurs </w:t>
            </w:r>
            <w:bookmarkEnd w:id="21"/>
            <w:r>
              <w:rPr>
                <w:rFonts w:eastAsia="Times New Roman" w:cs="Times New Roman" w:ascii="Marianne" w:hAnsi="Marianne"/>
                <w:lang w:eastAsia="fr-FR"/>
                <w:rPrChange w:id="0" w:author="Author1" w:date="1970-01-01T00:00:00Z"/>
              </w:rPr>
              <w:t>sur la base d’une liste convenue. Le sous-traitant informe spécifiquement par écrit le responsable du traitement de tout projet de modification de cette liste par l’ajout ou le remplacement de sous-traitants ultérieurs au moins [</w:t>
            </w:r>
            <w:r>
              <w:rPr>
                <w:rFonts w:eastAsia="Times New Roman" w:cs="Times New Roman" w:ascii="Marianne" w:hAnsi="Marianne"/>
                <w:highlight w:val="yellow"/>
                <w:lang w:eastAsia="fr-FR"/>
                <w:rPrChange w:id="0" w:author="Author1" w:date="1970-01-01T00:00:00Z"/>
              </w:rPr>
              <w:t>PRÉCISER LA DURÉE</w:t>
            </w:r>
            <w:r>
              <w:rPr>
                <w:rFonts w:eastAsia="Times New Roman" w:cs="Times New Roman" w:ascii="Marianne" w:hAnsi="Marianne"/>
                <w:lang w:eastAsia="fr-FR"/>
                <w:rPrChange w:id="0" w:author="Author1" w:date="1970-01-01T00:00:00Z"/>
              </w:rPr>
              <w:t xml:space="preserve">] à l’avance, </w:t>
            </w:r>
            <w:bookmarkStart w:id="22" w:name="_Hlk83849932"/>
            <w:r>
              <w:rPr>
                <w:rFonts w:eastAsia="Times New Roman" w:cs="Times New Roman" w:ascii="Marianne" w:hAnsi="Marianne"/>
                <w:lang w:eastAsia="fr-FR"/>
                <w:rPrChange w:id="0" w:author="Author1" w:date="1970-01-01T00:00:00Z"/>
              </w:rPr>
              <w:t xml:space="preserve">donnant ainsi au responsable du traitement suffisamment de temps pour pouvoir s’opposer à ces changements avant le recrutement du ou des sous-traitants ultérieurs concernés. </w:t>
            </w:r>
            <w:bookmarkEnd w:id="22"/>
            <w:r>
              <w:rPr>
                <w:rFonts w:eastAsia="Times New Roman" w:cs="Times New Roman" w:ascii="Marianne" w:hAnsi="Marianne"/>
                <w:lang w:eastAsia="fr-FR"/>
                <w:rPrChange w:id="0" w:author="Author1" w:date="1970-01-01T00:00:00Z"/>
              </w:rPr>
              <w:t>Le sous-traitant fournit au responsable du traitement les informations nécessaires pour lui permettre d’exercer son droit d’opposition ou, s’il préfère, de mettre un terme au contrat sans pénalité (</w:t>
            </w:r>
            <w:r>
              <w:rPr>
                <w:rFonts w:eastAsia="Times New Roman" w:cs="Times New Roman" w:ascii="Marianne" w:hAnsi="Marianne"/>
                <w:highlight w:val="yellow"/>
                <w:lang w:eastAsia="fr-FR"/>
                <w:rPrChange w:id="0" w:author="Author1" w:date="1970-01-01T00:00:00Z"/>
              </w:rPr>
              <w:t>N.B. pour un marché public, s’agissant d’un cas de résiliation, il serait préférable de le mentionner également à l‘article traitant de ce sujet dans le CCAP)</w:t>
            </w:r>
            <w:r>
              <w:rPr>
                <w:rFonts w:eastAsia="Times New Roman" w:cs="Times New Roman" w:ascii="Marianne" w:hAnsi="Marianne"/>
                <w:lang w:eastAsia="fr-FR"/>
                <w:rPrChange w:id="0" w:author="Author1" w:date="1970-01-01T00:00:00Z"/>
              </w:rPr>
              <w: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75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75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75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w:t>
            </w:r>
          </w:p>
        </w:tc>
        <w:tc>
          <w:tcPr>
            <w:tcW w:w="975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tc>
      </w:tr>
    </w:tbl>
    <w:p>
      <w:pPr>
        <w:pStyle w:val="Style21"/>
        <w:rPr>
          <w:rFonts w:ascii="Marianne" w:hAnsi="Marianne"/>
        </w:rPr>
      </w:pPr>
      <w:bookmarkStart w:id="23" w:name="__RefHeading___Toc89271587"/>
      <w:bookmarkEnd w:id="23"/>
      <w:r>
        <w:rPr>
          <w:rFonts w:ascii="Marianne" w:hAnsi="Marianne"/>
          <w:rPrChange w:id="0" w:author="Author1" w:date="1970-01-01T00:00:00Z"/>
        </w:rPr>
        <w:t>7.8.   Transferts de données hors de l’Union européenne ou traitement par un prestataire soumis à un droit extraterritorial tiers</w:t>
      </w:r>
    </w:p>
    <w:p>
      <w:pPr>
        <w:pStyle w:val="LONormal"/>
        <w:spacing w:before="113" w:after="113"/>
        <w:ind w:left="-5" w:right="0" w:hanging="0"/>
        <w:rPr>
          <w:rFonts w:ascii="Marianne" w:hAnsi="Marianne" w:eastAsia="Times New Roman" w:cs="Calibri"/>
          <w:i/>
          <w:i/>
          <w:iCs/>
          <w:sz w:val="22"/>
          <w:szCs w:val="22"/>
          <w:lang w:eastAsia="fr-FR"/>
        </w:rPr>
      </w:pPr>
      <w:r>
        <w:rPr>
          <w:rFonts w:eastAsia="Times New Roman" w:cs="Calibri" w:ascii="Marianne" w:hAnsi="Marianne"/>
          <w:i/>
          <w:iCs/>
          <w:sz w:val="22"/>
          <w:szCs w:val="22"/>
          <w:lang w:eastAsia="fr-FR"/>
          <w:rPrChange w:id="0" w:author="Author1" w:date="1970-01-01T00:00:00Z"/>
        </w:rPr>
        <w:t>N.B. : ce paragraphe ne vaut que pour les traitements relevant du RGPD. La directive police-justice et le titre III de la loi Informatique et libertés ne permettent pas le transfert de données vers un sous-traitant hors de l’Union européenne.</w:t>
      </w:r>
    </w:p>
    <w:p>
      <w:pPr>
        <w:pStyle w:val="LONormal"/>
        <w:spacing w:before="113" w:after="113"/>
        <w:ind w:left="-5" w:right="0" w:hanging="0"/>
        <w:rPr>
          <w:rFonts w:ascii="Marianne" w:hAnsi="Marianne" w:eastAsia="Times New Roman" w:cs="Calibri"/>
          <w:sz w:val="22"/>
          <w:szCs w:val="22"/>
          <w:lang w:eastAsia="fr-FR"/>
          <w:del w:id="229" w:author="Author1" w:date="1970-01-01T00:00:00Z"/>
        </w:rPr>
      </w:pPr>
      <w:r>
        <w:rPr>
          <w:rFonts w:eastAsia="Times New Roman" w:cs="Calibri" w:ascii="Marianne" w:hAnsi="Marianne"/>
          <w:sz w:val="22"/>
          <w:szCs w:val="22"/>
          <w:lang w:eastAsia="fr-FR"/>
          <w:rPrChange w:id="0" w:author="Author1" w:date="1970-01-01T00:00:00Z"/>
        </w:rPr>
        <w:t>Le Sous-traitant s’engage à informer le Responsable de traitement de la localisation physique des serveurs hébergeant les Données à caractère personnel.</w:t>
      </w:r>
    </w:p>
    <w:p>
      <w:pPr>
        <w:pStyle w:val="LONormal"/>
        <w:spacing w:before="113" w:after="113"/>
        <w:ind w:left="-5" w:right="0" w:hanging="0"/>
        <w:rPr>
          <w:rFonts w:ascii="Marianne" w:hAnsi="Marianne" w:eastAsia="Times New Roman" w:cs="Calibri"/>
          <w:sz w:val="22"/>
          <w:szCs w:val="22"/>
          <w:lang w:eastAsia="fr-FR"/>
        </w:rPr>
      </w:pPr>
      <w:r>
        <w:rPr>
          <w:rFonts w:eastAsia="Times New Roman" w:cs="Calibri" w:ascii="Marianne" w:hAnsi="Marianne"/>
          <w:sz w:val="22"/>
          <w:szCs w:val="22"/>
          <w:lang w:eastAsia="fr-FR"/>
        </w:rPr>
      </w:r>
    </w:p>
    <w:tbl>
      <w:tblPr>
        <w:tblW w:w="10209" w:type="dxa"/>
        <w:jc w:val="left"/>
        <w:tblInd w:w="0" w:type="dxa"/>
        <w:tblCellMar>
          <w:top w:w="0" w:type="dxa"/>
          <w:left w:w="0" w:type="dxa"/>
          <w:bottom w:w="0" w:type="dxa"/>
          <w:right w:w="0" w:type="dxa"/>
        </w:tblCellMar>
      </w:tblPr>
      <w:tblGrid>
        <w:gridCol w:w="390"/>
        <w:gridCol w:w="9819"/>
      </w:tblGrid>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19"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Si le sous-traitant est localisé hors de l’Union européenne, ou s’il est localisé dans l’Union, mais soumis à un droit extraterritorial tiers, </w:t>
            </w:r>
            <w:r>
              <w:rPr>
                <w:rFonts w:eastAsia="Times New Roman" w:cs="Times New Roman" w:ascii="Marianne" w:hAnsi="Marianne"/>
                <w:highlight w:val="yellow"/>
                <w:lang w:eastAsia="fr-FR"/>
                <w:rPrChange w:id="0" w:author="Author1" w:date="1970-01-01T00:00:00Z"/>
              </w:rPr>
              <w:t>il doit préalablement fournir au Responsable du traitement les garanties exigées par l’article 46 du règlement (UE) 2016/679 pour validation par le délégué ministériel à la protection des données</w:t>
            </w:r>
            <w:r>
              <w:rPr>
                <w:rFonts w:eastAsia="Times New Roman" w:cs="Times New Roman" w:ascii="Marianne" w:hAnsi="Marianne"/>
                <w:lang w:eastAsia="fr-FR"/>
                <w:rPrChange w:id="0" w:author="Author1" w:date="1970-01-01T00:00:00Z"/>
              </w:rPr>
              <w:t xml:space="preserve">. </w:t>
            </w:r>
          </w:p>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819" w:type="dxa"/>
            <w:tcBorders/>
          </w:tcPr>
          <w:p>
            <w:pPr>
              <w:pStyle w:val="Normal"/>
              <w:spacing w:lineRule="auto" w:line="240" w:before="0" w:after="0"/>
              <w:jc w:val="both"/>
              <w:rPr>
                <w:rFonts w:ascii="Marianne" w:hAnsi="Marianne" w:cs="Arial"/>
              </w:rPr>
            </w:pPr>
            <w:r>
              <w:rPr>
                <w:rFonts w:cs="Arial" w:ascii="Marianne" w:hAnsi="Marianne"/>
                <w:rPrChange w:id="0" w:author="Author1" w:date="1970-01-01T00:00:00Z"/>
              </w:rPr>
              <w:t>Le Sous-traitant doit fournir au Responsable de traitement une liste des pays destinataires mise à jour. En cas de modification des pays destinataires par le Sous-traitant, ce dernier doit en informer préalablement le Responsable de traitement.</w:t>
            </w:r>
          </w:p>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819"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Tout transfert de données vers un pays tiers ou une organisation internationale par le sous-traitant, ou tout traitement par un prestataire soumis à un droit extraterritorial tiers,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à la loi Informatique et libertés. </w:t>
            </w:r>
            <w:r>
              <w:rPr>
                <w:rFonts w:eastAsia="Times New Roman" w:cs="Arial" w:ascii="Marianne" w:hAnsi="Marianne"/>
                <w:lang w:eastAsia="fr-FR"/>
                <w:rPrChange w:id="0" w:author="Author1" w:date="1970-01-01T00:00:00Z"/>
              </w:rPr>
              <w:t>Dans ce cas, le Sous-traitant informe le Responsable de traitement de cette obligation juridique avant le traitement, sauf si le droit concerné interdit une telle information pour des motifs importants d’intérêt public.</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90"/>
        <w:gridCol w:w="9819"/>
      </w:tblGrid>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819"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ou que ce sous-traitant ultérieur est soumis à un droit extraterritorial tiers, le sous-traitant et le sous-traitant ultérieur peuvent garantir le respect du chapitre V du règlement (UE) 2016/679 ou de la loi Informatique et libertés en utilisant les clauses contractuelles types adoptées par la Commission sur la base de l’article 46, paragraphe 2, du règlement (UE) 2016/679, </w:t>
            </w:r>
            <w:r>
              <w:rPr>
                <w:rFonts w:eastAsia="Times New Roman" w:cs="Times New Roman" w:ascii="Marianne" w:hAnsi="Marianne"/>
                <w:b/>
                <w:bCs/>
                <w:lang w:eastAsia="fr-FR"/>
                <w:rPrChange w:id="0" w:author="Author1" w:date="1970-01-01T00:00:00Z"/>
              </w:rPr>
              <w:t xml:space="preserve">pour autant que les conditions d’utilisation de ces clauses contractuelles types soient remplies et que les garanties exigées par le RGPD et par la loi Informatique et libertés </w:t>
            </w:r>
            <w:r>
              <w:rPr>
                <w:rFonts w:eastAsia="Times New Roman" w:cs="Times New Roman" w:ascii="Marianne" w:hAnsi="Marianne"/>
                <w:b/>
                <w:bCs/>
                <w:highlight w:val="yellow"/>
                <w:lang w:eastAsia="fr-FR"/>
                <w:rPrChange w:id="0" w:author="Author1" w:date="1970-01-01T00:00:00Z"/>
              </w:rPr>
              <w:t>lui soient préalablement soumises pour validation</w:t>
            </w:r>
            <w:r>
              <w:rPr>
                <w:rFonts w:eastAsia="Times New Roman" w:cs="Times New Roman" w:ascii="Marianne" w:hAnsi="Marianne"/>
                <w:b/>
                <w:bCs/>
                <w:lang w:eastAsia="fr-FR"/>
                <w:rPrChange w:id="0" w:author="Author1" w:date="1970-01-01T00:00:00Z"/>
              </w:rPr>
              <w:t xml:space="preserve"> par le délégué ministériel à la protection des données.</w:t>
            </w:r>
          </w:p>
        </w:tc>
      </w:tr>
    </w:tbl>
    <w:p>
      <w:pPr>
        <w:pStyle w:val="Style21"/>
        <w:rPr>
          <w:rFonts w:ascii="Marianne" w:hAnsi="Marianne"/>
        </w:rPr>
      </w:pPr>
      <w:bookmarkStart w:id="24" w:name="__RefHeading___Toc89271588"/>
      <w:bookmarkEnd w:id="24"/>
      <w:r>
        <w:rPr>
          <w:rFonts w:ascii="Marianne" w:hAnsi="Marianne"/>
          <w:rPrChange w:id="0" w:author="Author1" w:date="1970-01-01T00:00:00Z"/>
        </w:rPr>
        <w:t>7.9 Sort des données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OPTION 1</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Le sort des données à l’issue du contrat est d’ores et déjà prévu comme suit (</w:t>
      </w:r>
      <w:r>
        <w:rPr>
          <w:rFonts w:eastAsia="Times New Roman" w:cs="Times New Roman" w:ascii="Marianne" w:hAnsi="Marianne"/>
          <w:highlight w:val="yellow"/>
          <w:lang w:eastAsia="fr-FR"/>
          <w:rPrChange w:id="0" w:author="Author1" w:date="1970-01-01T00:00:00Z"/>
        </w:rPr>
        <w:t>à compléter</w:t>
      </w:r>
      <w:r>
        <w:rPr>
          <w:rFonts w:eastAsia="Times New Roman" w:cs="Times New Roman" w:ascii="Marianne" w:hAnsi="Marianne"/>
          <w:lang w:eastAsia="fr-FR"/>
          <w:rPrChange w:id="0" w:author="Author1" w:date="1970-01-01T00:00:00Z"/>
        </w:rPr>
        <w:t>).</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OPTION 2</w:t>
      </w:r>
    </w:p>
    <w:p>
      <w:pPr>
        <w:pStyle w:val="LONormal"/>
        <w:spacing w:before="113" w:after="113"/>
        <w:ind w:left="0" w:right="0" w:hanging="0"/>
        <w:rPr/>
      </w:pPr>
      <w:r>
        <w:rPr>
          <w:rStyle w:val="Policepardfaut1"/>
          <w:rFonts w:cs="Calibri" w:ascii="Marianne" w:hAnsi="Marianne"/>
          <w:sz w:val="22"/>
          <w:szCs w:val="22"/>
          <w:rPrChange w:id="0" w:author="Author1" w:date="1970-01-01T00:00:00Z"/>
        </w:rPr>
        <w:t>Le Sous-traitant s’engage, dans un délai d’un (1) mois calendaire avant la date de fin de contrat, à interroger le Responsable de traitement sur le sort des données traitées. Au choix du Responsable de traitement, le Sous-traitant s’engage à :</w:t>
      </w:r>
    </w:p>
    <w:p>
      <w:pPr>
        <w:pStyle w:val="Corpsdetexte"/>
        <w:numPr>
          <w:ilvl w:val="0"/>
          <w:numId w:val="2"/>
        </w:numPr>
        <w:spacing w:lineRule="auto" w:line="240"/>
        <w:jc w:val="both"/>
        <w:rPr>
          <w:rFonts w:ascii="Marianne" w:hAnsi="Marianne" w:cs="Arial"/>
        </w:rPr>
      </w:pPr>
      <w:r>
        <w:rPr>
          <w:rFonts w:cs="Arial" w:ascii="Marianne" w:hAnsi="Marianne"/>
          <w:rPrChange w:id="0" w:author="Author1" w:date="1970-01-01T00:00:00Z"/>
        </w:rPr>
        <w:t>détruire toutes les Données à caractère personnel ;</w:t>
      </w:r>
    </w:p>
    <w:p>
      <w:pPr>
        <w:pStyle w:val="Corpsdetexte"/>
        <w:numPr>
          <w:ilvl w:val="0"/>
          <w:numId w:val="2"/>
        </w:numPr>
        <w:spacing w:lineRule="auto" w:line="240"/>
        <w:jc w:val="both"/>
        <w:rPr>
          <w:rFonts w:ascii="Marianne" w:hAnsi="Marianne" w:cs="Arial"/>
        </w:rPr>
      </w:pPr>
      <w:r>
        <w:rPr>
          <w:rFonts w:cs="Arial" w:ascii="Marianne" w:hAnsi="Marianne"/>
          <w:rPrChange w:id="0" w:author="Author1" w:date="1970-01-01T00:00:00Z"/>
        </w:rPr>
        <w:t>renvoyer toutes les Données à caractère personnel au Responsable de traitement sous un format exploitable à préciser. Le renvoi doit s’accompagner de la destruction de toutes les copies existantes dans les systèmes d’information du Sous-traitant. Une fois les Données détruites, le Sous-traitant doit justifier par écrit de la destruction ;</w:t>
      </w:r>
    </w:p>
    <w:p>
      <w:pPr>
        <w:pStyle w:val="Corpsdetexte"/>
        <w:numPr>
          <w:ilvl w:val="0"/>
          <w:numId w:val="2"/>
        </w:numPr>
        <w:spacing w:lineRule="auto" w:line="240" w:before="280" w:after="280"/>
        <w:jc w:val="both"/>
        <w:rPr/>
      </w:pPr>
      <w:r>
        <w:rPr>
          <w:rStyle w:val="Policepardfaut1"/>
          <w:rFonts w:eastAsia="Times New Roman" w:cs="Arial" w:ascii="Marianne" w:hAnsi="Marianne"/>
          <w:lang w:eastAsia="fr-FR"/>
          <w:rPrChange w:id="0" w:author="Author1" w:date="1970-01-01T00:00:00Z"/>
        </w:rPr>
        <w:t>renvoyer toutes les données à caractère personnel au sous-traitant désigné par le Responsable de traitement. Le renvoi doit s’accompagner de la destruction de toutes les copies existantes dans les systèmes d’information du Sous-traitant. Une fois les Données détruites, le Sous-traitant doit justifier par écrit de la destruction.</w:t>
      </w:r>
    </w:p>
    <w:p>
      <w:pPr>
        <w:pStyle w:val="Style21"/>
        <w:rPr>
          <w:rFonts w:ascii="Marianne" w:hAnsi="Marianne"/>
        </w:rPr>
      </w:pPr>
      <w:bookmarkStart w:id="25" w:name="__RefHeading___Toc89271589"/>
      <w:bookmarkEnd w:id="25"/>
      <w:r>
        <w:rPr>
          <w:rFonts w:ascii="Marianne" w:hAnsi="Marianne"/>
          <w:rPrChange w:id="0" w:author="Author1" w:date="1970-01-01T00:00:00Z"/>
        </w:rPr>
        <w:t>7.10 Obligations du Responsable du traitement</w:t>
      </w:r>
    </w:p>
    <w:p>
      <w:pPr>
        <w:pStyle w:val="Normal"/>
        <w:spacing w:lineRule="auto" w:line="240" w:before="280" w:after="280"/>
        <w:jc w:val="both"/>
        <w:rPr>
          <w:rFonts w:ascii="Marianne" w:hAnsi="Marianne"/>
          <w:ins w:id="256" w:author="Author1" w:date="1970-01-01T00:00:00Z"/>
          <w:highlight w:val="yellow"/>
        </w:rPr>
      </w:pPr>
      <w:r>
        <w:rPr>
          <w:rFonts w:ascii="Marianne" w:hAnsi="Marianne"/>
          <w:highlight w:val="yellow"/>
          <w:rPrChange w:id="0" w:author="Author1" w:date="1970-01-01T00:00:00Z"/>
        </w:rPr>
        <w:t>Dans certains cas, le sous-traitant n’a pas connaissance de la finalité exacte du traitement, par exemple lorsqu'il se borne à héberger des données ; il ne peut donc pas déterminer le niveau de sécurité requis. Par conséquent, la présente clause peut si besoin décrire les obligations en matière de sécurité qui incombent au responsable du traitement, lequel doit, notamment, fournir toutes les informations utiles au sous-traitant (par exemple, présence de données de santé).</w:t>
      </w:r>
    </w:p>
    <w:p>
      <w:pPr>
        <w:pStyle w:val="Normal"/>
        <w:spacing w:lineRule="auto" w:line="240" w:before="280" w:after="280"/>
        <w:jc w:val="both"/>
        <w:rPr>
          <w:rFonts w:ascii="Marianne" w:hAnsi="Marianne"/>
        </w:rPr>
      </w:pPr>
      <w:r>
        <w:rPr>
          <w:rFonts w:ascii="Marianne" w:hAnsi="Marianne"/>
        </w:rPr>
      </w:r>
    </w:p>
    <w:tbl>
      <w:tblPr>
        <w:tblW w:w="10322" w:type="dxa"/>
        <w:jc w:val="left"/>
        <w:tblInd w:w="0" w:type="dxa"/>
        <w:tblCellMar>
          <w:top w:w="0" w:type="dxa"/>
          <w:left w:w="108" w:type="dxa"/>
          <w:bottom w:w="0" w:type="dxa"/>
          <w:right w:w="108" w:type="dxa"/>
        </w:tblCellMar>
      </w:tblPr>
      <w:tblGrid>
        <w:gridCol w:w="10322"/>
      </w:tblGrid>
      <w:tr>
        <w:trPr/>
        <w:tc>
          <w:tcPr>
            <w:tcW w:w="103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280" w:after="280"/>
              <w:jc w:val="both"/>
              <w:rPr>
                <w:rFonts w:ascii="Marianne" w:hAnsi="Marianne" w:eastAsia="Times New Roman" w:cs="Times New Roman"/>
                <w:i/>
                <w:i/>
                <w:iCs/>
                <w:highlight w:val="yellow"/>
                <w:lang w:eastAsia="fr-FR"/>
              </w:rPr>
            </w:pPr>
            <w:r>
              <w:rPr>
                <w:rFonts w:eastAsia="Times New Roman" w:cs="Times New Roman" w:ascii="Marianne" w:hAnsi="Marianne"/>
                <w:i/>
                <w:iCs/>
                <w:highlight w:val="yellow"/>
                <w:lang w:eastAsia="fr-FR"/>
                <w:rPrChange w:id="0" w:author="Author1" w:date="1970-01-01T00:00:00Z"/>
              </w:rPr>
              <w:t>N.B. : Refuser de manière générale  les clauses mettant à la charge du Responsable de traitement une obligation de surveillance ou d’audit de la conformité du Sous-traitant.</w:t>
            </w:r>
          </w:p>
          <w:p>
            <w:pPr>
              <w:pStyle w:val="NormalWeb"/>
              <w:jc w:val="both"/>
              <w:rPr/>
            </w:pPr>
            <w:r>
              <w:rPr>
                <w:rFonts w:cs="Calibri" w:ascii="Marianne" w:hAnsi="Marianne"/>
                <w:i/>
                <w:iCs/>
                <w:sz w:val="22"/>
                <w:szCs w:val="22"/>
                <w:highlight w:val="yellow"/>
                <w:rPrChange w:id="0" w:author="Author1" w:date="1970-01-01T00:00:00Z"/>
              </w:rPr>
              <w:t>Ainsi, dans l’exemple de clauses publié en 2017 par la Commission nationale de l’informatique et des libertés (CNIL)</w:t>
            </w:r>
            <w:r>
              <w:rPr>
                <w:rStyle w:val="Caractresdenotedebasdepage"/>
                <w:rStyle w:val="Ancredenotedebasdepage"/>
                <w:rFonts w:cs="Calibri" w:ascii="Marianne" w:hAnsi="Marianne"/>
                <w:i/>
                <w:iCs/>
                <w:sz w:val="22"/>
                <w:szCs w:val="22"/>
                <w:highlight w:val="yellow"/>
                <w:rPrChange w:id="0" w:author="Author1" w:date="1970-01-01T00:00:00Z"/>
              </w:rPr>
              <w:footnoteReference w:id="2"/>
            </w:r>
            <w:r>
              <w:rPr>
                <w:rFonts w:cs="Calibri" w:ascii="Marianne" w:hAnsi="Marianne"/>
                <w:i/>
                <w:iCs/>
                <w:sz w:val="22"/>
                <w:szCs w:val="22"/>
                <w:highlight w:val="yellow"/>
                <w:rPrChange w:id="0" w:author="Author1" w:date="1970-01-01T00:00:00Z"/>
              </w:rPr>
              <w:t>, celle-ci suggérait de prévoir que « Le responsable de traitement s’engage à :</w:t>
            </w:r>
          </w:p>
          <w:p>
            <w:pPr>
              <w:pStyle w:val="Normal"/>
              <w:numPr>
                <w:ilvl w:val="0"/>
                <w:numId w:val="3"/>
              </w:numPr>
              <w:suppressAutoHyphens w:val="false"/>
              <w:spacing w:lineRule="auto" w:line="240" w:before="0" w:after="0"/>
              <w:jc w:val="both"/>
              <w:rPr>
                <w:rFonts w:ascii="Marianne" w:hAnsi="Marianne" w:cs="Times New Roman"/>
                <w:i/>
                <w:i/>
                <w:iCs/>
                <w:highlight w:val="yellow"/>
              </w:rPr>
            </w:pPr>
            <w:r>
              <w:rPr>
                <w:rFonts w:cs="Times New Roman" w:ascii="Marianne" w:hAnsi="Marianne"/>
                <w:i/>
                <w:iCs/>
                <w:highlight w:val="yellow"/>
                <w:rPrChange w:id="0" w:author="Author1" w:date="1970-01-01T00:00:00Z"/>
              </w:rPr>
              <w:t>veiller, au préalable et pendant toute la durée du traitement, au respect des obligations prévues par le règlement européen sur la protection des données de la part du sous-traitant</w:t>
            </w:r>
          </w:p>
          <w:p>
            <w:pPr>
              <w:pStyle w:val="Normal"/>
              <w:numPr>
                <w:ilvl w:val="0"/>
                <w:numId w:val="3"/>
              </w:numPr>
              <w:suppressAutoHyphens w:val="false"/>
              <w:spacing w:lineRule="auto" w:line="240" w:before="0" w:after="280"/>
              <w:jc w:val="both"/>
              <w:rPr>
                <w:rFonts w:ascii="Marianne" w:hAnsi="Marianne" w:cs="Times New Roman"/>
                <w:i/>
                <w:i/>
                <w:iCs/>
                <w:highlight w:val="yellow"/>
              </w:rPr>
            </w:pPr>
            <w:r>
              <w:rPr>
                <w:rFonts w:cs="Times New Roman" w:ascii="Marianne" w:hAnsi="Marianne"/>
                <w:i/>
                <w:iCs/>
                <w:highlight w:val="yellow"/>
                <w:rPrChange w:id="0" w:author="Author1" w:date="1970-01-01T00:00:00Z"/>
              </w:rPr>
              <w:t>superviser le traitement, y compris réaliser les audits et les inspections auprès du sous-traitant »</w:t>
            </w:r>
          </w:p>
          <w:p>
            <w:pPr>
              <w:pStyle w:val="Normal"/>
              <w:spacing w:lineRule="auto" w:line="240" w:before="280" w:after="280"/>
              <w:jc w:val="both"/>
              <w:rPr>
                <w:rFonts w:ascii="Marianne" w:hAnsi="Marianne" w:cs="Times New Roman"/>
                <w:i/>
                <w:i/>
                <w:iCs/>
                <w:highlight w:val="yellow"/>
              </w:rPr>
            </w:pPr>
            <w:r>
              <w:rPr>
                <w:rFonts w:cs="Times New Roman" w:ascii="Marianne" w:hAnsi="Marianne"/>
                <w:i/>
                <w:iCs/>
                <w:highlight w:val="yellow"/>
                <w:rPrChange w:id="0" w:author="Author1" w:date="1970-01-01T00:00:00Z"/>
              </w:rPr>
              <w:t>Nous déconseillons de reprendre cette obligation (qui, heureusement, ne figure pas dans les clauses types de la Commission européenne). En effet, cela signifie que toute infraction du sous-traitant sera imputable à son client, puisque celui-ci s’engage à superviser le traitement et à veiller à sa conformité. Cette rédaction dégage le prestataire de ses responsabilités, et les renvoie à son client. Par exemple, cela signifie qu’un client d’Office365 doit auditer et superviser Microsoft, et endosse la responsabilité de la non-conformité éventuelle de cet éditeur.</w:t>
            </w:r>
          </w:p>
        </w:tc>
      </w:tr>
    </w:tbl>
    <w:p>
      <w:pPr>
        <w:pStyle w:val="Style21"/>
        <w:rPr>
          <w:rFonts w:ascii="Marianne" w:hAnsi="Marianne"/>
        </w:rPr>
      </w:pPr>
      <w:bookmarkStart w:id="26" w:name="__RefHeading___Toc89271590"/>
      <w:bookmarkEnd w:id="26"/>
      <w:r>
        <w:rPr>
          <w:rFonts w:ascii="Marianne" w:hAnsi="Marianne"/>
          <w:rPrChange w:id="0" w:author="Author1" w:date="1970-01-01T00:00:00Z"/>
        </w:rPr>
        <w:t xml:space="preserve">Clause 8 </w:t>
      </w:r>
      <w:bookmarkStart w:id="27" w:name="_Hlk83850901"/>
      <w:bookmarkEnd w:id="27"/>
      <w:r>
        <w:rPr>
          <w:rFonts w:ascii="Marianne" w:hAnsi="Marianne"/>
          <w:rPrChange w:id="0" w:author="Author1" w:date="1970-01-01T00:00:00Z"/>
        </w:rPr>
        <w:t xml:space="preserve">Assistance au responsable du traitement </w:t>
      </w:r>
    </w:p>
    <w:tbl>
      <w:tblPr>
        <w:tblW w:w="10209" w:type="dxa"/>
        <w:jc w:val="left"/>
        <w:tblInd w:w="0" w:type="dxa"/>
        <w:tblCellMar>
          <w:top w:w="0" w:type="dxa"/>
          <w:left w:w="0" w:type="dxa"/>
          <w:bottom w:w="0" w:type="dxa"/>
          <w:right w:w="0" w:type="dxa"/>
        </w:tblCellMar>
      </w:tblPr>
      <w:tblGrid>
        <w:gridCol w:w="510"/>
        <w:gridCol w:w="9699"/>
      </w:tblGrid>
      <w:tr>
        <w:trPr/>
        <w:tc>
          <w:tcPr>
            <w:tcW w:w="51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699"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OPTION 1 : Le sous-traitant transmet sans délai au responsable du traitement à l’adresse suivante : </w:t>
            </w:r>
            <w:r>
              <w:rPr>
                <w:rFonts w:eastAsia="Times New Roman" w:cs="Times New Roman" w:ascii="Marianne" w:hAnsi="Marianne"/>
                <w:highlight w:val="yellow"/>
                <w:lang w:eastAsia="fr-FR"/>
                <w:rPrChange w:id="0" w:author="Author1" w:date="1970-01-01T00:00:00Z"/>
              </w:rPr>
              <w:t>XXXXXX</w:t>
            </w:r>
            <w:r>
              <w:rPr>
                <w:rFonts w:eastAsia="Times New Roman" w:cs="Times New Roman" w:ascii="Marianne" w:hAnsi="Marianne"/>
                <w:lang w:eastAsia="fr-FR"/>
                <w:rPrChange w:id="0" w:author="Author1" w:date="1970-01-01T00:00:00Z"/>
              </w:rPr>
              <w:t xml:space="preserve"> toute demande qu’il a reçue de la part de la personne concernée. Il ne donne pas lui-même suite à cette demande.</w:t>
            </w:r>
          </w:p>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OPTION 2 : le responsable du traitement des données charge le sous-traitant de répondre aux demandes des personnes concernées. </w:t>
            </w:r>
            <w:r>
              <w:rPr>
                <w:rFonts w:eastAsia="Times New Roman" w:cs="Times New Roman" w:ascii="Marianne" w:hAnsi="Marianne"/>
                <w:highlight w:val="yellow"/>
                <w:lang w:eastAsia="fr-FR"/>
                <w:rPrChange w:id="0" w:author="Author1" w:date="1970-01-01T00:00:00Z"/>
              </w:rPr>
              <w:t>A préciser</w:t>
            </w:r>
            <w:r>
              <w:rPr>
                <w:rFonts w:eastAsia="Times New Roman" w:cs="Times New Roman" w:ascii="Marianne" w:hAnsi="Marianne"/>
                <w:lang w:eastAsia="fr-FR"/>
                <w:rPrChange w:id="0" w:author="Author1" w:date="1970-01-01T00:00:00Z"/>
              </w:rPr>
              <w:t xml:space="preserve"> : le Responsable de traitement les transmet au Sous-traitant, </w:t>
            </w:r>
            <w:r>
              <w:rPr>
                <w:rFonts w:eastAsia="Times New Roman" w:cs="Times New Roman" w:ascii="Marianne" w:hAnsi="Marianne"/>
                <w:highlight w:val="yellow"/>
                <w:lang w:eastAsia="fr-FR"/>
                <w:rPrChange w:id="0" w:author="Author1" w:date="1970-01-01T00:00:00Z"/>
              </w:rPr>
              <w:t>ou bien</w:t>
            </w:r>
            <w:r>
              <w:rPr>
                <w:rFonts w:eastAsia="Times New Roman" w:cs="Times New Roman" w:ascii="Marianne" w:hAnsi="Marianne"/>
                <w:lang w:eastAsia="fr-FR"/>
                <w:rPrChange w:id="0" w:author="Author1" w:date="1970-01-01T00:00:00Z"/>
              </w:rPr>
              <w:t xml:space="preserve"> un dispositif à décrire est mis en place pour que la personne saisisse directement le Sous-traitant.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75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prête assistance au responsable du traitement pour ce qui est de remplir l’obligation qui lui incombe de répondre aux demandes des personnes concernées d’exercer leurs droits. Dans l’exécution de ses obligations conformément aux points a) et b), le sous-traitant se conforme aux instructions du responsable du traitement.</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450"/>
        <w:gridCol w:w="9759"/>
      </w:tblGrid>
      <w:tr>
        <w:trPr>
          <w:trHeight w:val="4077" w:hRule="atLeast"/>
        </w:trPr>
        <w:tc>
          <w:tcPr>
            <w:tcW w:w="45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759" w:type="dxa"/>
            <w:tcBorders/>
          </w:tcPr>
          <w:p>
            <w:pPr>
              <w:pStyle w:val="Normal"/>
              <w:spacing w:lineRule="auto" w:line="24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Outre l’obligation incombant au sous-traitant d’assister le responsable du traitement en vertu de la clause 8, point b), le sous-traitant aide en outre le responsable du traitement à garantir le respect des obligations suivantes, compte tenu des informations dont dispose le sous-traitant:</w:t>
            </w:r>
          </w:p>
          <w:tbl>
            <w:tblPr>
              <w:tblW w:w="9810" w:type="dxa"/>
              <w:jc w:val="left"/>
              <w:tblInd w:w="0" w:type="dxa"/>
              <w:tblCellMar>
                <w:top w:w="0" w:type="dxa"/>
                <w:left w:w="0" w:type="dxa"/>
                <w:bottom w:w="0" w:type="dxa"/>
                <w:right w:w="0" w:type="dxa"/>
              </w:tblCellMar>
            </w:tblPr>
            <w:tblGrid>
              <w:gridCol w:w="345"/>
              <w:gridCol w:w="9465"/>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946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l’obligation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10" w:type="dxa"/>
              <w:jc w:val="left"/>
              <w:tblInd w:w="0" w:type="dxa"/>
              <w:tblCellMar>
                <w:top w:w="0" w:type="dxa"/>
                <w:left w:w="0" w:type="dxa"/>
                <w:bottom w:w="0" w:type="dxa"/>
                <w:right w:w="0" w:type="dxa"/>
              </w:tblCellMar>
            </w:tblPr>
            <w:tblGrid>
              <w:gridCol w:w="345"/>
              <w:gridCol w:w="9465"/>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w:t>
                  </w:r>
                </w:p>
              </w:tc>
              <w:tc>
                <w:tcPr>
                  <w:tcW w:w="9465" w:type="dxa"/>
                  <w:tcBorders/>
                </w:tcPr>
                <w:p>
                  <w:pPr>
                    <w:pStyle w:val="Normal"/>
                    <w:widowControl/>
                    <w:suppressAutoHyphens w:val="true"/>
                    <w:bidi w:val="0"/>
                    <w:spacing w:lineRule="auto" w:line="240" w:before="0" w:after="0"/>
                    <w:ind w:left="0" w:right="57" w:hanging="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10" w:type="dxa"/>
              <w:jc w:val="left"/>
              <w:tblInd w:w="0" w:type="dxa"/>
              <w:tblCellMar>
                <w:top w:w="0" w:type="dxa"/>
                <w:left w:w="0" w:type="dxa"/>
                <w:bottom w:w="0" w:type="dxa"/>
                <w:right w:w="0" w:type="dxa"/>
              </w:tblCellMar>
            </w:tblPr>
            <w:tblGrid>
              <w:gridCol w:w="345"/>
              <w:gridCol w:w="9465"/>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3)</w:t>
                  </w:r>
                </w:p>
              </w:tc>
              <w:tc>
                <w:tcPr>
                  <w:tcW w:w="9465" w:type="dxa"/>
                  <w:tcBorders/>
                </w:tcPr>
                <w:p>
                  <w:pPr>
                    <w:pStyle w:val="Normal"/>
                    <w:widowControl/>
                    <w:suppressAutoHyphens w:val="true"/>
                    <w:bidi w:val="0"/>
                    <w:spacing w:lineRule="auto" w:line="240" w:before="0" w:after="0"/>
                    <w:ind w:left="0" w:right="57" w:hanging="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750" w:type="dxa"/>
              <w:jc w:val="left"/>
              <w:tblInd w:w="0" w:type="dxa"/>
              <w:tblCellMar>
                <w:top w:w="0" w:type="dxa"/>
                <w:left w:w="0" w:type="dxa"/>
                <w:bottom w:w="0" w:type="dxa"/>
                <w:right w:w="0" w:type="dxa"/>
              </w:tblCellMar>
            </w:tblPr>
            <w:tblGrid>
              <w:gridCol w:w="345"/>
              <w:gridCol w:w="9405"/>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4)</w:t>
                  </w:r>
                </w:p>
              </w:tc>
              <w:tc>
                <w:tcPr>
                  <w:tcW w:w="940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obligations prévues à  l’article 32 du règlement (UE) 2016/679.</w:t>
                  </w:r>
                </w:p>
              </w:tc>
            </w:tr>
          </w:tbl>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5"/>
        <w:gridCol w:w="9924"/>
      </w:tblGrid>
      <w:tr>
        <w:trPr/>
        <w:tc>
          <w:tcPr>
            <w:tcW w:w="28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924"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L’annexe III </w:t>
            </w:r>
            <w:r>
              <w:rPr>
                <w:rFonts w:eastAsia="Times New Roman" w:cs="Times New Roman" w:ascii="Marianne" w:hAnsi="Marianne"/>
                <w:highlight w:val="yellow"/>
                <w:lang w:eastAsia="fr-FR"/>
                <w:rPrChange w:id="0" w:author="Author1" w:date="1970-01-01T00:00:00Z"/>
              </w:rPr>
              <w:t>Annexe à compléter</w:t>
            </w:r>
            <w:r>
              <w:rPr>
                <w:rFonts w:eastAsia="Times New Roman" w:cs="Times New Roman" w:ascii="Marianne" w:hAnsi="Marianne"/>
                <w:lang w:eastAsia="fr-FR"/>
                <w:rPrChange w:id="0" w:author="Author1" w:date="1970-01-01T00:00:00Z"/>
              </w:rPr>
              <w:t xml:space="preserve"> précise les mesures techniques et organisationnelles appropriées par lesquelles le sous-traitant est tenu de prêter assistance au responsable du traitement dans l’application de la présente clause, ainsi que la portée et l’étendue de l’assistance requise.</w:t>
            </w:r>
          </w:p>
        </w:tc>
      </w:tr>
    </w:tbl>
    <w:p>
      <w:pPr>
        <w:pStyle w:val="Style21"/>
        <w:rPr>
          <w:rFonts w:ascii="Marianne" w:hAnsi="Marianne"/>
        </w:rPr>
      </w:pPr>
      <w:bookmarkStart w:id="28" w:name="__RefHeading___Toc89271591"/>
      <w:bookmarkEnd w:id="28"/>
      <w:r>
        <w:rPr>
          <w:rFonts w:ascii="Marianne" w:hAnsi="Marianne"/>
          <w:rPrChange w:id="0" w:author="Author1" w:date="1970-01-01T00:00:00Z"/>
        </w:rPr>
        <w:t xml:space="preserve">Clause 9 Notification de violations de données à caractère personnel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de la loi Informatique et libertés.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xml:space="preserve">9.1.   Violation de données en rapport avec des données traitées par le responsable du traitement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En cas de violation de données à caractère personnel en rapport avec des données traitées par le responsable du traitement, le sous-traitant prête assistance au responsable du traitement :</w:t>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aux fins de la notification de la violation de données à caractère personnel à l’autorité de contrôle compétente, éventuellement décidée et effectuée par le responsable de traitement, dans les meilleurs délais après que le responsable du traitement en a eu connaissance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864" w:type="dxa"/>
            <w:tcBorders/>
          </w:tcPr>
          <w:p>
            <w:pPr>
              <w:pStyle w:val="Normal"/>
              <w:spacing w:lineRule="auto" w:line="24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aux fins de l’obtention des informations suivantes qui doivent inclure, au moins:</w:t>
            </w:r>
          </w:p>
          <w:tbl>
            <w:tblPr>
              <w:tblW w:w="9863" w:type="dxa"/>
              <w:jc w:val="left"/>
              <w:tblInd w:w="0" w:type="dxa"/>
              <w:tblCellMar>
                <w:top w:w="0" w:type="dxa"/>
                <w:left w:w="0" w:type="dxa"/>
                <w:bottom w:w="0" w:type="dxa"/>
                <w:right w:w="0" w:type="dxa"/>
              </w:tblCellMar>
            </w:tblPr>
            <w:tblGrid>
              <w:gridCol w:w="390"/>
              <w:gridCol w:w="9473"/>
            </w:tblGrid>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9473"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la nature des données à caractère personnel, y compris, si possible, les catégories et le nombre approximatif de personnes concernées par la violation et les catégories et le nombre approximatif d’enregistrements de données à caractère personnel concernés;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63" w:type="dxa"/>
              <w:jc w:val="left"/>
              <w:tblInd w:w="0" w:type="dxa"/>
              <w:tblCellMar>
                <w:top w:w="0" w:type="dxa"/>
                <w:left w:w="0" w:type="dxa"/>
                <w:bottom w:w="0" w:type="dxa"/>
                <w:right w:w="0" w:type="dxa"/>
              </w:tblCellMar>
            </w:tblPr>
            <w:tblGrid>
              <w:gridCol w:w="345"/>
              <w:gridCol w:w="9518"/>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w:t>
                  </w:r>
                </w:p>
              </w:tc>
              <w:tc>
                <w:tcPr>
                  <w:tcW w:w="95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conséquences probables de la violation de données à caractère personnel;</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63" w:type="dxa"/>
              <w:jc w:val="left"/>
              <w:tblInd w:w="0" w:type="dxa"/>
              <w:tblCellMar>
                <w:top w:w="0" w:type="dxa"/>
                <w:left w:w="0" w:type="dxa"/>
                <w:bottom w:w="0" w:type="dxa"/>
                <w:right w:w="0" w:type="dxa"/>
              </w:tblCellMar>
            </w:tblPr>
            <w:tblGrid>
              <w:gridCol w:w="345"/>
              <w:gridCol w:w="9518"/>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3)</w:t>
                  </w:r>
                </w:p>
              </w:tc>
              <w:tc>
                <w:tcPr>
                  <w:tcW w:w="95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mesures prises ou les mesures que le responsable du traitement propose de prendre pour remédier à la violation de données à caractère personnel, y compris, le cas échéant, les mesures pour en atténuer les éventuelles conséquences négatives.</w:t>
                  </w:r>
                </w:p>
              </w:tc>
            </w:tr>
          </w:tbl>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bl>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Lorsque, et dans la mesure où, il n’est pas possible de fournir toutes les informations en même temps, le sous-traitant fournit les informations disponibles à ce moment-là et, à mesure qu’elles deviennent disponibles, des informations supplémentaires sont communiquées par la suite dans les meilleurs délais.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xml:space="preserve">9.2.   Violation de données en rapport avec des données traitées par le sous-traitant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En cas de violation de données à caractère personnel en rapport avec des données traitées par le sous-traitant, celui-ci en informe le responsable du traitement dans les meilleurs délais après en avoir pris connaissance. Cette notification contient au moins :</w:t>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une description de la nature de la violation constatée (y compris, si possible, les catégories et le nombre approximatif de personnes concernées par la violation et d'enregistrements de données à caractère personnel concernés);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90"/>
        <w:gridCol w:w="9819"/>
      </w:tblGrid>
      <w:tr>
        <w:trPr/>
        <w:tc>
          <w:tcPr>
            <w:tcW w:w="3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81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les coordonnées d’un point de contact auprès duquel des informations supplémentaires peuvent être obtenues au sujet de la violation de données à caractère personnel;</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5"/>
        <w:gridCol w:w="9924"/>
      </w:tblGrid>
      <w:tr>
        <w:trPr/>
        <w:tc>
          <w:tcPr>
            <w:tcW w:w="28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92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ses conséquences probables et les mesures prises ou les mesures qu’il est proposé de prendre pour remédier à la violation, y compris pour en atténuer les éventuelles conséquences négatives.</w:t>
            </w:r>
          </w:p>
        </w:tc>
      </w:tr>
    </w:tbl>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La décision de notifier ou pas cette violation à l’autorité de protection des données, ainsi qu’aux personnes concernées, et la forme de la communication éventuelle, relèvent du responsable de traitement uniquement. Sauf instruction contraire, c’est lui qui procède à ces notifications et à la communication.</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 xml:space="preserve">Les parties </w:t>
      </w:r>
      <w:r>
        <w:rPr>
          <w:rFonts w:eastAsia="Times New Roman" w:cs="Times New Roman" w:ascii="Marianne" w:hAnsi="Marianne"/>
          <w:highlight w:val="yellow"/>
          <w:lang w:eastAsia="fr-FR"/>
          <w:rPrChange w:id="0" w:author="Author1" w:date="1970-01-01T00:00:00Z"/>
        </w:rPr>
        <w:t>définissent à l’annexe III</w:t>
      </w:r>
      <w:r>
        <w:rPr>
          <w:rFonts w:eastAsia="Times New Roman" w:cs="Times New Roman" w:ascii="Marianne" w:hAnsi="Marianne"/>
          <w:lang w:eastAsia="fr-FR"/>
          <w:rPrChange w:id="0" w:author="Author1" w:date="1970-01-01T00:00:00Z"/>
        </w:rPr>
        <w:t xml:space="preserve"> tous les autres éléments que le sous-traitant doit communiquer lorsqu’il prête assistance au responsable du traitement aux fins de la satisfaction des obligations incombant à ce dernier en application des articles 33 et 34 du règlement (UE) 2016/679 ou de la loi Informatique et libertés.</w:t>
      </w:r>
    </w:p>
    <w:p>
      <w:pPr>
        <w:pStyle w:val="Style11"/>
        <w:rPr>
          <w:rFonts w:ascii="Marianne" w:hAnsi="Marianne"/>
          <w:lang w:eastAsia="fr-FR"/>
        </w:rPr>
      </w:pPr>
      <w:bookmarkStart w:id="29" w:name="__RefHeading___Toc89271592"/>
      <w:bookmarkEnd w:id="29"/>
      <w:r>
        <w:rPr>
          <w:rFonts w:ascii="Marianne" w:hAnsi="Marianne"/>
          <w:lang w:eastAsia="fr-FR"/>
          <w:rPrChange w:id="0" w:author="Author1" w:date="1970-01-01T00:00:00Z"/>
        </w:rPr>
        <w:t>SECTION III</w:t>
      </w:r>
    </w:p>
    <w:p>
      <w:pPr>
        <w:pStyle w:val="Style11"/>
        <w:rPr>
          <w:rFonts w:ascii="Marianne" w:hAnsi="Marianne"/>
          <w:lang w:eastAsia="fr-FR"/>
        </w:rPr>
      </w:pPr>
      <w:bookmarkStart w:id="30" w:name="__RefHeading___Toc89271593"/>
      <w:bookmarkEnd w:id="30"/>
      <w:r>
        <w:rPr>
          <w:rFonts w:ascii="Marianne" w:hAnsi="Marianne"/>
          <w:lang w:eastAsia="fr-FR"/>
          <w:rPrChange w:id="0" w:author="Author1" w:date="1970-01-01T00:00:00Z"/>
        </w:rPr>
        <w:t xml:space="preserve">DISPOSITIONS FINALES </w:t>
      </w:r>
    </w:p>
    <w:p>
      <w:pPr>
        <w:pStyle w:val="Style21"/>
        <w:rPr>
          <w:rFonts w:ascii="Marianne" w:hAnsi="Marianne"/>
        </w:rPr>
      </w:pPr>
      <w:bookmarkStart w:id="31" w:name="__RefHeading___Toc89271594"/>
      <w:bookmarkEnd w:id="31"/>
      <w:r>
        <w:rPr>
          <w:rFonts w:ascii="Marianne" w:hAnsi="Marianne"/>
          <w:rPrChange w:id="0" w:author="Author1" w:date="1970-01-01T00:00:00Z"/>
        </w:rPr>
        <w:t xml:space="preserve">Clause 10 </w:t>
      </w:r>
      <w:bookmarkStart w:id="32" w:name="_Hlk83851061"/>
      <w:bookmarkEnd w:id="32"/>
      <w:r>
        <w:rPr>
          <w:rFonts w:ascii="Marianne" w:hAnsi="Marianne"/>
          <w:rPrChange w:id="0" w:author="Author1" w:date="1970-01-01T00:00:00Z"/>
        </w:rPr>
        <w:t xml:space="preserve">Non-respect des clauses et résiliation </w:t>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Le responsable peut également enjoindre au sous-traitant de se mettre en conformité sous astreinte, dans un délai qu’il fixera. L’astreinte pourra atteindre (</w:t>
            </w:r>
            <w:r>
              <w:rPr>
                <w:rFonts w:eastAsia="Times New Roman" w:cs="Times New Roman" w:ascii="Marianne" w:hAnsi="Marianne"/>
                <w:highlight w:val="yellow"/>
                <w:lang w:eastAsia="fr-FR"/>
                <w:rPrChange w:id="0" w:author="Author1" w:date="1970-01-01T00:00:00Z"/>
              </w:rPr>
              <w:t>montant à indexer sur le montant du contrat)</w:t>
            </w:r>
            <w:r>
              <w:rPr>
                <w:rFonts w:eastAsia="Times New Roman" w:cs="Times New Roman" w:ascii="Marianne" w:hAnsi="Marianne"/>
                <w:lang w:eastAsia="fr-FR"/>
                <w:rPrChange w:id="0" w:author="Author1" w:date="1970-01-01T00:00:00Z"/>
              </w:rPr>
              <w:t xml:space="preserve"> par jour de retard.</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b)</w:t>
            </w:r>
          </w:p>
        </w:tc>
        <w:tc>
          <w:tcPr>
            <w:tcW w:w="9864" w:type="dxa"/>
            <w:tcBorders/>
          </w:tcPr>
          <w:p>
            <w:pPr>
              <w:pStyle w:val="Normal"/>
              <w:spacing w:lineRule="auto" w:line="24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responsable du traitement est en droit de résilier le contrat dans la mesure où il concerne le traitement de données à caractère personnel conformément aux présentes clauses si :</w:t>
            </w:r>
          </w:p>
          <w:tbl>
            <w:tblPr>
              <w:tblW w:w="9863" w:type="dxa"/>
              <w:jc w:val="left"/>
              <w:tblInd w:w="0" w:type="dxa"/>
              <w:tblCellMar>
                <w:top w:w="0" w:type="dxa"/>
                <w:left w:w="0" w:type="dxa"/>
                <w:bottom w:w="0" w:type="dxa"/>
                <w:right w:w="0" w:type="dxa"/>
              </w:tblCellMar>
            </w:tblPr>
            <w:tblGrid>
              <w:gridCol w:w="200"/>
              <w:gridCol w:w="9663"/>
            </w:tblGrid>
            <w:tr>
              <w:trPr/>
              <w:tc>
                <w:tcPr>
                  <w:tcW w:w="20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9663"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 xml:space="preserve">le traitement de données à caractère personnel par le sous-traitant a été suspendu par le responsable du traitement conformément au point a) et le respect des présentes clauses n’est pas rétabli dans un délai raisonnable </w:t>
                  </w:r>
                  <w:r>
                    <w:rPr>
                      <w:rFonts w:eastAsia="Times New Roman" w:cs="Times New Roman" w:ascii="Marianne" w:hAnsi="Marianne"/>
                      <w:highlight w:val="yellow"/>
                      <w:lang w:eastAsia="fr-FR"/>
                      <w:rPrChange w:id="0" w:author="Author1" w:date="1970-01-01T00:00:00Z"/>
                    </w:rPr>
                    <w:t>A PRECISER</w:t>
                  </w:r>
                  <w:r>
                    <w:rPr>
                      <w:rFonts w:eastAsia="Times New Roman" w:cs="Times New Roman" w:ascii="Marianne" w:hAnsi="Marianne"/>
                      <w:lang w:eastAsia="fr-FR"/>
                      <w:rPrChange w:id="0" w:author="Author1" w:date="1970-01-01T00:00:00Z"/>
                    </w:rPr>
                    <w:t xml:space="preserve"> et, en tout état de cause, dans un délai d’un mois à compter de la suspension;</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63" w:type="dxa"/>
              <w:jc w:val="left"/>
              <w:tblInd w:w="0" w:type="dxa"/>
              <w:tblCellMar>
                <w:top w:w="0" w:type="dxa"/>
                <w:left w:w="0" w:type="dxa"/>
                <w:bottom w:w="0" w:type="dxa"/>
                <w:right w:w="0" w:type="dxa"/>
              </w:tblCellMar>
            </w:tblPr>
            <w:tblGrid>
              <w:gridCol w:w="285"/>
              <w:gridCol w:w="9578"/>
            </w:tblGrid>
            <w:tr>
              <w:trPr/>
              <w:tc>
                <w:tcPr>
                  <w:tcW w:w="28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w:t>
                  </w:r>
                </w:p>
              </w:tc>
              <w:tc>
                <w:tcPr>
                  <w:tcW w:w="957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est en violation grave ou persistante des présentes clauses ou des obligations qui lui incombent en vertu du règlement (UE) 2016/679 et/ou de la loi Informatique et libertés;</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863" w:type="dxa"/>
              <w:jc w:val="left"/>
              <w:tblInd w:w="0" w:type="dxa"/>
              <w:tblCellMar>
                <w:top w:w="0" w:type="dxa"/>
                <w:left w:w="0" w:type="dxa"/>
                <w:bottom w:w="0" w:type="dxa"/>
                <w:right w:w="0" w:type="dxa"/>
              </w:tblCellMar>
            </w:tblPr>
            <w:tblGrid>
              <w:gridCol w:w="345"/>
              <w:gridCol w:w="9518"/>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3)</w:t>
                  </w:r>
                </w:p>
              </w:tc>
              <w:tc>
                <w:tcPr>
                  <w:tcW w:w="95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loi Informatique et libertés.</w:t>
                  </w:r>
                </w:p>
              </w:tc>
            </w:tr>
          </w:tbl>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285"/>
        <w:gridCol w:w="9924"/>
      </w:tblGrid>
      <w:tr>
        <w:trPr/>
        <w:tc>
          <w:tcPr>
            <w:tcW w:w="28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c)</w:t>
            </w:r>
          </w:p>
        </w:tc>
        <w:tc>
          <w:tcPr>
            <w:tcW w:w="9924" w:type="dxa"/>
            <w:tcBorders/>
          </w:tcPr>
          <w:p>
            <w:pPr>
              <w:pStyle w:val="Normal"/>
              <w:spacing w:lineRule="auto" w:line="240" w:before="0" w:after="0"/>
              <w:jc w:val="both"/>
              <w:rPr>
                <w:rFonts w:ascii="Marianne" w:hAnsi="Marianne"/>
              </w:rPr>
            </w:pPr>
            <w:r>
              <w:rPr>
                <w:rFonts w:eastAsia="Times New Roman" w:cs="Times New Roman" w:ascii="Marianne" w:hAnsi="Marianne"/>
                <w:lang w:eastAsia="fr-FR"/>
                <w:rPrChange w:id="0" w:author="Author1" w:date="1970-01-01T00:00:00Z"/>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 (</w:t>
            </w:r>
            <w:r>
              <w:rPr>
                <w:rFonts w:eastAsia="Times New Roman" w:cs="Times New Roman" w:ascii="Marianne" w:hAnsi="Marianne"/>
                <w:highlight w:val="yellow"/>
                <w:lang w:eastAsia="fr-FR"/>
                <w:rPrChange w:id="0" w:author="Author1" w:date="1970-01-01T00:00:00Z"/>
              </w:rPr>
              <w:t>N.B. pour un marché public, la possibilité de résiliation d’un marché par son titulaire est extrêmement rare et, en tout état de cause, l’administration doit conserver la possibilité de s’y opposer pour un motif d’intérêt général (CE 8octobre 2014, Société Grenke)).</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10209" w:type="dxa"/>
        <w:jc w:val="left"/>
        <w:tblInd w:w="0" w:type="dxa"/>
        <w:tblCellMar>
          <w:top w:w="0" w:type="dxa"/>
          <w:left w:w="0" w:type="dxa"/>
          <w:bottom w:w="0" w:type="dxa"/>
          <w:right w:w="0" w:type="dxa"/>
        </w:tblCellMar>
      </w:tblPr>
      <w:tblGrid>
        <w:gridCol w:w="345"/>
        <w:gridCol w:w="9864"/>
      </w:tblGrid>
      <w:tr>
        <w:trPr/>
        <w:tc>
          <w:tcPr>
            <w:tcW w:w="345"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d)</w:t>
            </w:r>
          </w:p>
        </w:tc>
        <w:tc>
          <w:tcPr>
            <w:tcW w:w="986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
            </w:r>
          </w:p>
        </w:tc>
      </w:tr>
    </w:tbl>
    <w:p>
      <w:pPr>
        <w:pStyle w:val="Normal"/>
        <w:spacing w:lineRule="auto" w:line="240" w:before="0" w:after="0"/>
        <w:jc w:val="both"/>
        <w:rPr>
          <w:rFonts w:ascii="Marianne" w:hAnsi="Marianne" w:eastAsia="Times New Roman"/>
          <w:lang w:eastAsia="fr-FR"/>
        </w:rPr>
      </w:pPr>
      <w:r>
        <w:rPr>
          <w:rFonts w:eastAsia="Times New Roman" w:ascii="Marianne" w:hAnsi="Marianne"/>
          <w:lang w:eastAsia="fr-FR"/>
          <w:rPrChange w:id="0" w:author="Author1" w:date="1970-01-01T00:00:00Z"/>
        </w:rPr>
        <mc:AlternateContent>
          <mc:Choice Requires="wps">
            <w:drawing>
              <wp:inline distT="0" distB="0" distL="0" distR="0">
                <wp:extent cx="5761355" cy="19685"/>
                <wp:effectExtent l="0" t="0" r="0" b="0"/>
                <wp:docPr id="2" name="Forme1"/>
                <a:graphic xmlns:a="http://schemas.openxmlformats.org/drawingml/2006/main">
                  <a:graphicData uri="http://schemas.microsoft.com/office/word/2010/wordprocessingShape">
                    <wps:wsp>
                      <wps:cNvSpPr/>
                      <wps:spPr>
                        <a:xfrm>
                          <a:off x="0" y="0"/>
                          <a:ext cx="5760720" cy="1908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ID="Forme1" fillcolor="#a0a0a0" stroked="f" style="position:absolute;margin-left:0pt;margin-top:0pt;width:453.55pt;height:1.45pt;mso-position-horizontal-relative:char">
                <w10:wrap type="none"/>
                <v:fill o:detectmouseclick="t" type="solid" color2="#5f5f5f"/>
                <v:stroke color="#3465a4" joinstyle="round" endcap="flat"/>
              </v:rect>
            </w:pict>
          </mc:Fallback>
        </mc:AlternateContent>
      </w:r>
      <w:r>
        <w:br w:type="page"/>
      </w:r>
    </w:p>
    <w:p>
      <w:pPr>
        <w:pStyle w:val="Style11"/>
        <w:rPr>
          <w:rFonts w:ascii="Marianne" w:hAnsi="Marianne"/>
          <w:lang w:eastAsia="fr-FR"/>
        </w:rPr>
      </w:pPr>
      <w:bookmarkStart w:id="33" w:name="__RefHeading___Toc89271595"/>
      <w:bookmarkEnd w:id="33"/>
      <w:r>
        <w:rPr>
          <w:rFonts w:ascii="Marianne" w:hAnsi="Marianne"/>
          <w:lang w:eastAsia="fr-FR"/>
          <w:rPrChange w:id="0" w:author="Author1" w:date="1970-01-01T00:00:00Z"/>
        </w:rPr>
        <w:t>ANNEXE I</w:t>
      </w:r>
    </w:p>
    <w:p>
      <w:pPr>
        <w:pStyle w:val="Style11"/>
        <w:rPr>
          <w:rFonts w:ascii="Marianne" w:hAnsi="Marianne"/>
          <w:lang w:eastAsia="fr-FR"/>
        </w:rPr>
      </w:pPr>
      <w:bookmarkStart w:id="34" w:name="__RefHeading___Toc89271596"/>
      <w:bookmarkEnd w:id="34"/>
      <w:r>
        <w:rPr>
          <w:rFonts w:ascii="Marianne" w:hAnsi="Marianne"/>
          <w:lang w:eastAsia="fr-FR"/>
          <w:rPrChange w:id="0" w:author="Author1" w:date="1970-01-01T00:00:00Z"/>
        </w:rPr>
        <w:t>Liste des parties</w:t>
      </w:r>
    </w:p>
    <w:p>
      <w:pPr>
        <w:pStyle w:val="Normal"/>
        <w:spacing w:lineRule="auto" w:line="240" w:before="280" w:after="280"/>
        <w:jc w:val="both"/>
        <w:rPr>
          <w:rFonts w:ascii="Marianne" w:hAnsi="Marianne"/>
        </w:rPr>
      </w:pPr>
      <w:r>
        <w:rPr>
          <w:rFonts w:eastAsia="Times New Roman" w:cs="Times New Roman" w:ascii="Marianne" w:hAnsi="Marianne"/>
          <w:b/>
          <w:bCs/>
          <w:lang w:eastAsia="fr-FR"/>
          <w:rPrChange w:id="0" w:author="Author1" w:date="1970-01-01T00:00:00Z"/>
        </w:rPr>
        <w:t>Responsable(s) du traitement</w:t>
      </w:r>
      <w:r>
        <w:rPr>
          <w:rFonts w:eastAsia="Times New Roman" w:cs="Times New Roman" w:ascii="Marianne" w:hAnsi="Marianne"/>
          <w:lang w:eastAsia="fr-FR"/>
          <w:rPrChange w:id="0" w:author="Author1" w:date="1970-01-01T00:00:00Z"/>
        </w:rPr>
        <w:t>: [Identité et coordonnées du ou des responsables du traitement (</w:t>
      </w:r>
      <w:r>
        <w:rPr>
          <w:rFonts w:eastAsia="Times New Roman" w:cs="Times New Roman" w:ascii="Marianne" w:hAnsi="Marianne"/>
          <w:highlight w:val="yellow"/>
          <w:lang w:eastAsia="fr-FR"/>
          <w:rPrChange w:id="0" w:author="Author1" w:date="1970-01-01T00:00:00Z"/>
        </w:rPr>
        <w:t>privilégier les coordonnées fonctionnelles</w:t>
      </w:r>
      <w:r>
        <w:rPr>
          <w:rFonts w:eastAsia="Times New Roman" w:cs="Times New Roman" w:ascii="Marianne" w:hAnsi="Marianne"/>
          <w:lang w:eastAsia="fr-FR"/>
          <w:rPrChange w:id="0" w:author="Author1" w:date="1970-01-01T00:00:00Z"/>
        </w:rPr>
        <w:t>) et du délégué à la protection des données du responsable du traitement]</w:t>
      </w:r>
    </w:p>
    <w:tbl>
      <w:tblPr>
        <w:tblW w:w="9072" w:type="dxa"/>
        <w:jc w:val="left"/>
        <w:tblInd w:w="0" w:type="dxa"/>
        <w:tblCellMar>
          <w:top w:w="0" w:type="dxa"/>
          <w:left w:w="0" w:type="dxa"/>
          <w:bottom w:w="0" w:type="dxa"/>
          <w:right w:w="0" w:type="dxa"/>
        </w:tblCellMar>
      </w:tblPr>
      <w:tblGrid>
        <w:gridCol w:w="1590"/>
        <w:gridCol w:w="7482"/>
      </w:tblGrid>
      <w:tr>
        <w:trPr/>
        <w:tc>
          <w:tcPr>
            <w:tcW w:w="15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7482"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454"/>
        <w:gridCol w:w="8618"/>
      </w:tblGrid>
      <w:tr>
        <w:trPr/>
        <w:tc>
          <w:tcPr>
            <w:tcW w:w="45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6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Adresse: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94"/>
        <w:gridCol w:w="8978"/>
      </w:tblGrid>
      <w:tr>
        <w:trPr/>
        <w:tc>
          <w:tcPr>
            <w:tcW w:w="9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97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fonction et coordonnées de la personne de contact: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173"/>
        <w:gridCol w:w="8899"/>
      </w:tblGrid>
      <w:tr>
        <w:trPr/>
        <w:tc>
          <w:tcPr>
            <w:tcW w:w="173"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89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Signature et date d’adhésion: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975" w:type="dxa"/>
        <w:jc w:val="left"/>
        <w:tblInd w:w="0" w:type="dxa"/>
        <w:tblCellMar>
          <w:top w:w="0" w:type="dxa"/>
          <w:left w:w="0" w:type="dxa"/>
          <w:bottom w:w="0" w:type="dxa"/>
          <w:right w:w="0" w:type="dxa"/>
        </w:tblCellMar>
      </w:tblPr>
      <w:tblGrid>
        <w:gridCol w:w="9915"/>
        <w:gridCol w:w="60"/>
      </w:tblGrid>
      <w:tr>
        <w:trPr/>
        <w:tc>
          <w:tcPr>
            <w:tcW w:w="9915" w:type="dxa"/>
            <w:tcBorders/>
          </w:tcPr>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 Délégué à la protection des données du responsable du traitement</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Pour tous les services du ministère de l’intérieur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xml:space="preserve">Monsieur le délégué ministériel à la protection des données, Ministère de l’intérieur, </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Place Beauvau, 75008 Paris.</w:t>
            </w:r>
          </w:p>
        </w:tc>
        <w:tc>
          <w:tcPr>
            <w:tcW w:w="60" w:type="dxa"/>
            <w:tcBorders/>
          </w:tcPr>
          <w:p>
            <w:pPr>
              <w:pStyle w:val="Normal"/>
              <w:spacing w:lineRule="auto" w:line="240" w:before="0" w:after="0"/>
              <w:ind w:left="140" w:right="0" w:hanging="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r>
    </w:tbl>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
      </w:r>
    </w:p>
    <w:p>
      <w:pPr>
        <w:pStyle w:val="Normal"/>
        <w:spacing w:lineRule="auto" w:line="240" w:before="280" w:after="280"/>
        <w:jc w:val="both"/>
        <w:rPr>
          <w:rFonts w:ascii="Marianne" w:hAnsi="Marianne"/>
        </w:rPr>
      </w:pPr>
      <w:r>
        <w:rPr>
          <w:rFonts w:eastAsia="Times New Roman" w:cs="Times New Roman" w:ascii="Marianne" w:hAnsi="Marianne"/>
          <w:b/>
          <w:bCs/>
          <w:lang w:eastAsia="fr-FR"/>
          <w:rPrChange w:id="0" w:author="Author1" w:date="1970-01-01T00:00:00Z"/>
        </w:rPr>
        <w:t>Sous-traitant(s):</w:t>
      </w:r>
      <w:r>
        <w:rPr>
          <w:rFonts w:eastAsia="Times New Roman" w:cs="Times New Roman" w:ascii="Marianne" w:hAnsi="Marianne"/>
          <w:lang w:eastAsia="fr-FR"/>
          <w:rPrChange w:id="0" w:author="Author1" w:date="1970-01-01T00:00:00Z"/>
        </w:rPr>
        <w:t xml:space="preserve"> [</w:t>
      </w:r>
      <w:r>
        <w:rPr>
          <w:rFonts w:eastAsia="Times New Roman" w:cs="Times New Roman" w:ascii="Marianne" w:hAnsi="Marianne"/>
          <w:highlight w:val="yellow"/>
          <w:lang w:eastAsia="fr-FR"/>
          <w:rPrChange w:id="0" w:author="Author1" w:date="1970-01-01T00:00:00Z"/>
        </w:rPr>
        <w:t>Identité et coordonnées du ou des sous-traitants et, le cas échéant, du délégué à la protection des données du sous-traitant</w:t>
      </w:r>
      <w:r>
        <w:rPr>
          <w:rFonts w:eastAsia="Times New Roman" w:cs="Times New Roman" w:ascii="Marianne" w:hAnsi="Marianne"/>
          <w:lang w:eastAsia="fr-FR"/>
          <w:rPrChange w:id="0" w:author="Author1" w:date="1970-01-01T00:00:00Z"/>
        </w:rPr>
        <w:t>]</w:t>
      </w:r>
    </w:p>
    <w:tbl>
      <w:tblPr>
        <w:tblW w:w="9072" w:type="dxa"/>
        <w:jc w:val="left"/>
        <w:tblInd w:w="0" w:type="dxa"/>
        <w:tblCellMar>
          <w:top w:w="0" w:type="dxa"/>
          <w:left w:w="0" w:type="dxa"/>
          <w:bottom w:w="0" w:type="dxa"/>
          <w:right w:w="0" w:type="dxa"/>
        </w:tblCellMar>
      </w:tblPr>
      <w:tblGrid>
        <w:gridCol w:w="1590"/>
        <w:gridCol w:w="7482"/>
      </w:tblGrid>
      <w:tr>
        <w:trPr/>
        <w:tc>
          <w:tcPr>
            <w:tcW w:w="15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7482"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454"/>
        <w:gridCol w:w="8618"/>
      </w:tblGrid>
      <w:tr>
        <w:trPr/>
        <w:tc>
          <w:tcPr>
            <w:tcW w:w="45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6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Adresse: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94"/>
        <w:gridCol w:w="8978"/>
      </w:tblGrid>
      <w:tr>
        <w:trPr/>
        <w:tc>
          <w:tcPr>
            <w:tcW w:w="9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97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fonction et coordonnées de la personne de contact: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173"/>
        <w:gridCol w:w="8899"/>
      </w:tblGrid>
      <w:tr>
        <w:trPr/>
        <w:tc>
          <w:tcPr>
            <w:tcW w:w="173"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899"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Signature et date d’adhésion: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6804"/>
        <w:gridCol w:w="2268"/>
      </w:tblGrid>
      <w:tr>
        <w:trPr/>
        <w:tc>
          <w:tcPr>
            <w:tcW w:w="680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w:t>
            </w:r>
          </w:p>
        </w:tc>
        <w:tc>
          <w:tcPr>
            <w:tcW w:w="226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r>
    </w:tbl>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w:t>
      </w:r>
      <w:r>
        <w:br w:type="page"/>
      </w:r>
    </w:p>
    <w:p>
      <w:pPr>
        <w:pStyle w:val="Normal"/>
        <w:spacing w:lineRule="auto" w:line="240" w:before="280" w:after="280"/>
        <w:jc w:val="both"/>
        <w:rPr>
          <w:rFonts w:ascii="Marianne" w:hAnsi="Marianne" w:eastAsia="Times New Roman"/>
          <w:lang w:eastAsia="fr-FR"/>
        </w:rPr>
      </w:pPr>
      <w:r>
        <w:rPr>
          <w:rFonts w:eastAsia="Times New Roman" w:ascii="Marianne" w:hAnsi="Marianne"/>
          <w:lang w:eastAsia="fr-FR"/>
          <w:rPrChange w:id="0" w:author="Author1" w:date="1970-01-01T00:00:00Z"/>
        </w:rPr>
        <mc:AlternateContent>
          <mc:Choice Requires="wps">
            <w:drawing>
              <wp:inline distT="0" distB="0" distL="0" distR="0">
                <wp:extent cx="5761355" cy="19685"/>
                <wp:effectExtent l="0" t="0" r="0" b="0"/>
                <wp:docPr id="3" name="Forme2"/>
                <a:graphic xmlns:a="http://schemas.openxmlformats.org/drawingml/2006/main">
                  <a:graphicData uri="http://schemas.microsoft.com/office/word/2010/wordprocessingShape">
                    <wps:wsp>
                      <wps:cNvSpPr/>
                      <wps:spPr>
                        <a:xfrm>
                          <a:off x="0" y="0"/>
                          <a:ext cx="5760720" cy="1908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ID="Forme2" fillcolor="#a0a0a0" stroked="f" style="position:absolute;margin-left:0pt;margin-top:0pt;width:453.55pt;height:1.45pt;mso-position-horizontal-relative:char">
                <w10:wrap type="none"/>
                <v:fill o:detectmouseclick="t" type="solid" color2="#5f5f5f"/>
                <v:stroke color="#3465a4" joinstyle="round" endcap="flat"/>
              </v:rect>
            </w:pict>
          </mc:Fallback>
        </mc:AlternateContent>
      </w:r>
    </w:p>
    <w:p>
      <w:pPr>
        <w:pStyle w:val="Style11"/>
        <w:rPr>
          <w:rFonts w:ascii="Marianne" w:hAnsi="Marianne"/>
          <w:lang w:eastAsia="fr-FR"/>
        </w:rPr>
      </w:pPr>
      <w:bookmarkStart w:id="35" w:name="__RefHeading___Toc89271597"/>
      <w:bookmarkEnd w:id="35"/>
      <w:r>
        <w:rPr>
          <w:rFonts w:ascii="Marianne" w:hAnsi="Marianne"/>
          <w:lang w:eastAsia="fr-FR"/>
          <w:rPrChange w:id="0" w:author="Author1" w:date="1970-01-01T00:00:00Z"/>
        </w:rPr>
        <w:t>ANNEXE II</w:t>
      </w:r>
    </w:p>
    <w:p>
      <w:pPr>
        <w:pStyle w:val="Style11"/>
        <w:rPr>
          <w:rFonts w:ascii="Marianne" w:hAnsi="Marianne"/>
          <w:lang w:eastAsia="fr-FR"/>
        </w:rPr>
      </w:pPr>
      <w:bookmarkStart w:id="36" w:name="__RefHeading___Toc89271598"/>
      <w:bookmarkEnd w:id="36"/>
      <w:r>
        <w:rPr>
          <w:rFonts w:ascii="Marianne" w:hAnsi="Marianne"/>
          <w:lang w:eastAsia="fr-FR"/>
          <w:rPrChange w:id="0" w:author="Author1" w:date="1970-01-01T00:00:00Z"/>
        </w:rPr>
        <w:t>Description du traitement</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Catégories de personnes concernées dont les données à caractère personnel sont traitées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Catégories de données à caractère personnel traitées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Nature du traitement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Finalité(s) pour laquelle (lesquelles) les données à caractère personnel sont traitées pour le compte du responsable du traitement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xml:space="preserve">Durée du traitement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highlight w:val="yellow"/>
          <w:lang w:eastAsia="fr-FR"/>
        </w:rPr>
      </w:pPr>
      <w:r>
        <w:rPr>
          <w:rFonts w:eastAsia="Times New Roman" w:cs="Times New Roman" w:ascii="Marianne" w:hAnsi="Marianne"/>
          <w:highlight w:val="yellow"/>
          <w:lang w:eastAsia="fr-FR"/>
          <w:rPrChange w:id="0" w:author="Author1" w:date="1970-01-01T00:00:00Z"/>
        </w:rPr>
        <w:t>…</w:t>
      </w:r>
      <w:r>
        <w:rPr>
          <w:rFonts w:eastAsia="Calibri" w:cs="Calibri" w:ascii="Marianne" w:hAnsi="Marianne"/>
          <w:highlight w:val="yellow"/>
          <w:lang w:eastAsia="fr-FR"/>
          <w:rPrChange w:id="0" w:author="Author1" w:date="1970-01-01T00:00:00Z"/>
        </w:rPr>
        <w:t xml:space="preserve"> </w:t>
      </w:r>
    </w:p>
    <w:p>
      <w:pPr>
        <w:pStyle w:val="Normal"/>
        <w:spacing w:lineRule="auto" w:line="240" w:before="280" w:after="280"/>
        <w:jc w:val="both"/>
        <w:rPr>
          <w:rFonts w:ascii="Marianne" w:hAnsi="Marianne"/>
        </w:rPr>
      </w:pPr>
      <w:r>
        <w:rPr>
          <w:rFonts w:eastAsia="Times New Roman" w:cs="Times New Roman" w:ascii="Marianne" w:hAnsi="Marianne"/>
          <w:highlight w:val="yellow"/>
          <w:lang w:eastAsia="fr-FR"/>
          <w:rPrChange w:id="0" w:author="Author1" w:date="1970-01-01T00:00:00Z"/>
        </w:rPr>
        <w:t>Pour le traitement par les sous-traitants (ultérieurs), préciser également l’objet, la nature et la durée du traitement.</w:t>
      </w:r>
      <w:r>
        <w:rPr>
          <w:rFonts w:eastAsia="Times New Roman" w:cs="Times New Roman" w:ascii="Marianne" w:hAnsi="Marianne"/>
          <w:lang w:eastAsia="fr-FR"/>
          <w:rPrChange w:id="0" w:author="Author1" w:date="1970-01-01T00:00:00Z"/>
        </w:rPr>
        <w:t xml:space="preserve"> </w:t>
      </w:r>
      <w:r>
        <w:br w:type="page"/>
      </w:r>
    </w:p>
    <w:p>
      <w:pPr>
        <w:pStyle w:val="Normal"/>
        <w:spacing w:lineRule="auto" w:line="240" w:before="0" w:after="0"/>
        <w:jc w:val="both"/>
        <w:rPr>
          <w:rFonts w:ascii="Marianne" w:hAnsi="Marianne" w:eastAsia="Times New Roman"/>
          <w:lang w:eastAsia="fr-FR"/>
        </w:rPr>
      </w:pPr>
      <w:r>
        <w:rPr>
          <w:rFonts w:eastAsia="Times New Roman" w:ascii="Marianne" w:hAnsi="Marianne"/>
          <w:lang w:eastAsia="fr-FR"/>
          <w:rPrChange w:id="0" w:author="Author1" w:date="1970-01-01T00:00:00Z"/>
        </w:rPr>
        <mc:AlternateContent>
          <mc:Choice Requires="wps">
            <w:drawing>
              <wp:inline distT="0" distB="0" distL="0" distR="0">
                <wp:extent cx="5761355" cy="19685"/>
                <wp:effectExtent l="0" t="0" r="0" b="0"/>
                <wp:docPr id="4" name="Forme3"/>
                <a:graphic xmlns:a="http://schemas.openxmlformats.org/drawingml/2006/main">
                  <a:graphicData uri="http://schemas.microsoft.com/office/word/2010/wordprocessingShape">
                    <wps:wsp>
                      <wps:cNvSpPr/>
                      <wps:spPr>
                        <a:xfrm>
                          <a:off x="0" y="0"/>
                          <a:ext cx="5760720" cy="1908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ID="Forme3" fillcolor="#a0a0a0" stroked="f" style="position:absolute;margin-left:0pt;margin-top:0pt;width:453.55pt;height:1.45pt;mso-position-horizontal-relative:char">
                <w10:wrap type="none"/>
                <v:fill o:detectmouseclick="t" type="solid" color2="#5f5f5f"/>
                <v:stroke color="#3465a4" joinstyle="round" endcap="flat"/>
              </v:rect>
            </w:pict>
          </mc:Fallback>
        </mc:AlternateContent>
      </w:r>
    </w:p>
    <w:p>
      <w:pPr>
        <w:pStyle w:val="Style11"/>
        <w:rPr>
          <w:rFonts w:ascii="Marianne" w:hAnsi="Marianne"/>
          <w:lang w:eastAsia="fr-FR"/>
        </w:rPr>
      </w:pPr>
      <w:bookmarkStart w:id="37" w:name="__RefHeading___Toc89271599"/>
      <w:bookmarkEnd w:id="37"/>
      <w:r>
        <w:rPr>
          <w:rFonts w:ascii="Marianne" w:hAnsi="Marianne"/>
          <w:lang w:eastAsia="fr-FR"/>
          <w:rPrChange w:id="0" w:author="Author1" w:date="1970-01-01T00:00:00Z"/>
        </w:rPr>
        <w:t>ANNEXE III</w:t>
      </w:r>
    </w:p>
    <w:p>
      <w:pPr>
        <w:pStyle w:val="Style11"/>
        <w:rPr>
          <w:rFonts w:ascii="Marianne" w:hAnsi="Marianne"/>
          <w:lang w:eastAsia="fr-FR"/>
        </w:rPr>
      </w:pPr>
      <w:bookmarkStart w:id="38" w:name="__RefHeading___Toc89271600"/>
      <w:bookmarkEnd w:id="38"/>
      <w:r>
        <w:rPr>
          <w:rFonts w:ascii="Marianne" w:hAnsi="Marianne"/>
          <w:lang w:eastAsia="fr-FR"/>
          <w:rPrChange w:id="0" w:author="Author1" w:date="1970-01-01T00:00:00Z"/>
        </w:rPr>
        <w:t>Mesures techniques et organisationnelles, y compris mesures techniques et organisationnelles visant à garantir la sécurité des données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NOTE EXPLICATIVE:</w:t>
      </w:r>
    </w:p>
    <w:p>
      <w:pPr>
        <w:pStyle w:val="Normal"/>
        <w:spacing w:lineRule="auto" w:line="240" w:before="280" w:after="280"/>
        <w:jc w:val="both"/>
        <w:rPr>
          <w:rFonts w:ascii="Marianne" w:hAnsi="Marianne"/>
        </w:rPr>
      </w:pPr>
      <w:r>
        <w:rPr>
          <w:rFonts w:eastAsia="Times New Roman" w:cs="Times New Roman" w:ascii="Marianne" w:hAnsi="Marianne"/>
          <w:lang w:eastAsia="fr-FR"/>
          <w:rPrChange w:id="0" w:author="Author1" w:date="1970-01-01T00:00:00Z"/>
        </w:rPr>
        <w:t xml:space="preserve">Les mesures techniques et organisationnelles doivent faire l’objet d’une </w:t>
      </w:r>
      <w:r>
        <w:rPr>
          <w:rFonts w:eastAsia="Times New Roman" w:cs="Times New Roman" w:ascii="Marianne" w:hAnsi="Marianne"/>
          <w:highlight w:val="yellow"/>
          <w:lang w:eastAsia="fr-FR"/>
          <w:rPrChange w:id="0" w:author="Author1" w:date="1970-01-01T00:00:00Z"/>
        </w:rPr>
        <w:t>description concrète, et non pas générique.</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Préciser ce qui est contractuellement exigé du sous-traitant (par exemple : certification ISO, HDS, ou autre).</w:t>
      </w:r>
    </w:p>
    <w:p>
      <w:pPr>
        <w:pStyle w:val="Normal"/>
        <w:spacing w:lineRule="auto" w:line="240" w:before="280" w:after="280"/>
        <w:jc w:val="both"/>
        <w:rPr>
          <w:rFonts w:ascii="Marianne" w:hAnsi="Marianne"/>
        </w:rPr>
      </w:pPr>
      <w:r>
        <w:rPr>
          <w:rFonts w:eastAsia="Times New Roman" w:cs="Times New Roman" w:ascii="Marianne" w:hAnsi="Marianne"/>
          <w:highlight w:val="yellow"/>
          <w:lang w:eastAsia="fr-FR"/>
          <w:rPrChange w:id="0" w:author="Author1" w:date="1970-01-01T00:00:00Z"/>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r>
        <w:rPr>
          <w:rFonts w:eastAsia="Times New Roman" w:cs="Times New Roman" w:ascii="Marianne" w:hAnsi="Marianne"/>
          <w:lang w:eastAsia="fr-FR"/>
          <w:rPrChange w:id="0" w:author="Author1" w:date="1970-01-01T00:00:00Z"/>
        </w:rPr>
        <w:t xml:space="preserve"> </w:t>
      </w:r>
    </w:p>
    <w:p>
      <w:pPr>
        <w:pStyle w:val="Normal"/>
        <w:spacing w:lineRule="auto" w:line="240" w:before="280" w:after="28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[Exemples de mesures possibles: </w:t>
      </w:r>
    </w:p>
    <w:tbl>
      <w:tblPr>
        <w:tblW w:w="9975" w:type="dxa"/>
        <w:jc w:val="left"/>
        <w:tblInd w:w="0" w:type="dxa"/>
        <w:tblCellMar>
          <w:top w:w="0" w:type="dxa"/>
          <w:left w:w="0" w:type="dxa"/>
          <w:bottom w:w="0" w:type="dxa"/>
          <w:right w:w="0" w:type="dxa"/>
        </w:tblCellMar>
      </w:tblPr>
      <w:tblGrid>
        <w:gridCol w:w="68"/>
        <w:gridCol w:w="9907"/>
      </w:tblGrid>
      <w:tr>
        <w:trPr/>
        <w:tc>
          <w:tcPr>
            <w:tcW w:w="6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9907"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chiffrement des données à caractère personnel;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la confidentialité, l'intégrité, la disponibilité et la résilience constantes des systèmes et des services de traitement;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redondance et de sauvegardes assurant de disposer de moyens permettant de rétablir la disponibilité des données à caractère personnel et l’accès à celles-ci dans des délais appropriés en cas d’incident physique ou technique;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procédures visant à tester, à analyser et à évaluer régulièrement l’efficacité des mesures techniques et organisationnelles pour assurer la sécurité du traitement;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975" w:type="dxa"/>
        <w:jc w:val="left"/>
        <w:tblInd w:w="0" w:type="dxa"/>
        <w:tblCellMar>
          <w:top w:w="0" w:type="dxa"/>
          <w:left w:w="0" w:type="dxa"/>
          <w:bottom w:w="0" w:type="dxa"/>
          <w:right w:w="0" w:type="dxa"/>
        </w:tblCellMar>
      </w:tblPr>
      <w:tblGrid>
        <w:gridCol w:w="98"/>
        <w:gridCol w:w="9877"/>
      </w:tblGrid>
      <w:tr>
        <w:trPr/>
        <w:tc>
          <w:tcPr>
            <w:tcW w:w="9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9877"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d’identification et d’autorisation de l’utilisateur;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975" w:type="dxa"/>
        <w:jc w:val="left"/>
        <w:tblInd w:w="0" w:type="dxa"/>
        <w:tblCellMar>
          <w:top w:w="0" w:type="dxa"/>
          <w:left w:w="0" w:type="dxa"/>
          <w:bottom w:w="0" w:type="dxa"/>
          <w:right w:w="0" w:type="dxa"/>
        </w:tblCellMar>
      </w:tblPr>
      <w:tblGrid>
        <w:gridCol w:w="94"/>
        <w:gridCol w:w="9881"/>
      </w:tblGrid>
      <w:tr>
        <w:trPr/>
        <w:tc>
          <w:tcPr>
            <w:tcW w:w="94"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988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protection des données pendant la transmission;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975" w:type="dxa"/>
        <w:jc w:val="left"/>
        <w:tblInd w:w="0" w:type="dxa"/>
        <w:tblCellMar>
          <w:top w:w="0" w:type="dxa"/>
          <w:left w:w="0" w:type="dxa"/>
          <w:bottom w:w="0" w:type="dxa"/>
          <w:right w:w="0" w:type="dxa"/>
        </w:tblCellMar>
      </w:tblPr>
      <w:tblGrid>
        <w:gridCol w:w="101"/>
        <w:gridCol w:w="9874"/>
      </w:tblGrid>
      <w:tr>
        <w:trPr/>
        <w:tc>
          <w:tcPr>
            <w:tcW w:w="10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9874"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protection des données pendant le stockage;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la sécurité physique des sites où les données à caractère personnel sont traitées;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95"/>
        <w:gridCol w:w="8977"/>
      </w:tblGrid>
      <w:tr>
        <w:trPr/>
        <w:tc>
          <w:tcPr>
            <w:tcW w:w="95"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8977"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l’enregistrement des événements;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assurer la configuration des systèmes, y compris la configuration par défaut;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10209" w:type="dxa"/>
        <w:jc w:val="left"/>
        <w:tblInd w:w="0" w:type="dxa"/>
        <w:tblCellMar>
          <w:top w:w="0" w:type="dxa"/>
          <w:left w:w="0" w:type="dxa"/>
          <w:bottom w:w="0" w:type="dxa"/>
          <w:right w:w="0" w:type="dxa"/>
        </w:tblCellMar>
      </w:tblPr>
      <w:tblGrid>
        <w:gridCol w:w="60"/>
        <w:gridCol w:w="10149"/>
      </w:tblGrid>
      <w:tr>
        <w:trPr/>
        <w:tc>
          <w:tcPr>
            <w:tcW w:w="60"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10149"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gouvernance et de gestion de l’informatique interne et de la sécurité informatique;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975" w:type="dxa"/>
        <w:jc w:val="left"/>
        <w:tblInd w:w="0" w:type="dxa"/>
        <w:tblCellMar>
          <w:top w:w="0" w:type="dxa"/>
          <w:left w:w="0" w:type="dxa"/>
          <w:bottom w:w="0" w:type="dxa"/>
          <w:right w:w="0" w:type="dxa"/>
        </w:tblCellMar>
      </w:tblPr>
      <w:tblGrid>
        <w:gridCol w:w="94"/>
        <w:gridCol w:w="9881"/>
      </w:tblGrid>
      <w:tr>
        <w:trPr/>
        <w:tc>
          <w:tcPr>
            <w:tcW w:w="94"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988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de certification/assurance des procédés et produits;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103"/>
        <w:gridCol w:w="8969"/>
      </w:tblGrid>
      <w:tr>
        <w:trPr/>
        <w:tc>
          <w:tcPr>
            <w:tcW w:w="103" w:type="dxa"/>
            <w:tcBorders/>
          </w:tcPr>
          <w:p>
            <w:pPr>
              <w:pStyle w:val="Normal"/>
              <w:snapToGrid w:val="false"/>
              <w:spacing w:lineRule="auto" w:line="240" w:before="0" w:after="0"/>
              <w:jc w:val="both"/>
              <w:rPr>
                <w:rFonts w:ascii="Marianne" w:hAnsi="Marianne"/>
                <w:i/>
                <w:i/>
                <w:iCs/>
              </w:rPr>
            </w:pPr>
            <w:r>
              <w:rPr>
                <w:rFonts w:ascii="Marianne" w:hAnsi="Marianne"/>
                <w:i/>
                <w:iCs/>
              </w:rPr>
            </w:r>
          </w:p>
        </w:tc>
        <w:tc>
          <w:tcPr>
            <w:tcW w:w="8969" w:type="dxa"/>
            <w:tcBorders/>
          </w:tcPr>
          <w:p>
            <w:pPr>
              <w:pStyle w:val="Normal"/>
              <w:snapToGrid w:val="false"/>
              <w:spacing w:lineRule="auto" w:line="240" w:before="0" w:after="0"/>
              <w:jc w:val="both"/>
              <w:rPr>
                <w:rFonts w:ascii="Marianne" w:hAnsi="Marianne"/>
                <w:i/>
                <w:i/>
                <w:iCs/>
              </w:rPr>
            </w:pPr>
            <w:r>
              <w:rPr>
                <w:rFonts w:ascii="Marianne" w:hAnsi="Marianne"/>
                <w:i/>
                <w:iCs/>
              </w:rPr>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116"/>
        <w:gridCol w:w="8956"/>
      </w:tblGrid>
      <w:tr>
        <w:trPr/>
        <w:tc>
          <w:tcPr>
            <w:tcW w:w="116"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8956"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la qualité des données;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88"/>
        <w:gridCol w:w="8984"/>
      </w:tblGrid>
      <w:tr>
        <w:trPr/>
        <w:tc>
          <w:tcPr>
            <w:tcW w:w="88"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8984"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une conservation limitée des données;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131"/>
        <w:gridCol w:w="8941"/>
      </w:tblGrid>
      <w:tr>
        <w:trPr/>
        <w:tc>
          <w:tcPr>
            <w:tcW w:w="13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8941"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visant à garantir la responsabilité; </w:t>
            </w:r>
          </w:p>
        </w:tc>
      </w:tr>
    </w:tbl>
    <w:p>
      <w:pPr>
        <w:pStyle w:val="Normal"/>
        <w:spacing w:lineRule="auto" w:line="240" w:before="0" w:after="0"/>
        <w:jc w:val="both"/>
        <w:rPr>
          <w:rFonts w:ascii="Marianne" w:hAnsi="Marianne" w:eastAsia="Times New Roman" w:cs="Times New Roman"/>
          <w:i/>
          <w:i/>
          <w:iCs/>
          <w:vanish/>
          <w:lang w:eastAsia="fr-FR"/>
        </w:rPr>
      </w:pPr>
      <w:r>
        <w:rPr>
          <w:rFonts w:eastAsia="Times New Roman" w:cs="Times New Roman" w:ascii="Marianne" w:hAnsi="Marianne"/>
          <w:i/>
          <w:iCs/>
          <w:vanish/>
          <w:lang w:eastAsia="fr-FR"/>
        </w:rPr>
      </w:r>
    </w:p>
    <w:tbl>
      <w:tblPr>
        <w:tblW w:w="9072" w:type="dxa"/>
        <w:jc w:val="left"/>
        <w:tblInd w:w="0" w:type="dxa"/>
        <w:tblCellMar>
          <w:top w:w="0" w:type="dxa"/>
          <w:left w:w="0" w:type="dxa"/>
          <w:bottom w:w="0" w:type="dxa"/>
          <w:right w:w="0" w:type="dxa"/>
        </w:tblCellMar>
      </w:tblPr>
      <w:tblGrid>
        <w:gridCol w:w="75"/>
        <w:gridCol w:w="8997"/>
      </w:tblGrid>
      <w:tr>
        <w:trPr/>
        <w:tc>
          <w:tcPr>
            <w:tcW w:w="75"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w:t>
            </w:r>
          </w:p>
        </w:tc>
        <w:tc>
          <w:tcPr>
            <w:tcW w:w="8997" w:type="dxa"/>
            <w:tcBorders/>
          </w:tcPr>
          <w:p>
            <w:pPr>
              <w:pStyle w:val="Normal"/>
              <w:spacing w:lineRule="auto" w:line="240" w:before="0" w:after="0"/>
              <w:jc w:val="both"/>
              <w:rPr>
                <w:rFonts w:ascii="Marianne" w:hAnsi="Marianne" w:eastAsia="Times New Roman" w:cs="Times New Roman"/>
                <w:i/>
                <w:i/>
                <w:iCs/>
                <w:lang w:eastAsia="fr-FR"/>
              </w:rPr>
            </w:pPr>
            <w:r>
              <w:rPr>
                <w:rFonts w:eastAsia="Times New Roman" w:cs="Times New Roman" w:ascii="Marianne" w:hAnsi="Marianne"/>
                <w:i/>
                <w:iCs/>
                <w:lang w:eastAsia="fr-FR"/>
                <w:rPrChange w:id="0" w:author="Author1" w:date="1970-01-01T00:00:00Z"/>
              </w:rPr>
              <w:t xml:space="preserve">mesures garantissant l’effacement] </w:t>
            </w:r>
          </w:p>
        </w:tc>
      </w:tr>
    </w:tbl>
    <w:p>
      <w:pPr>
        <w:pStyle w:val="Normal"/>
        <w:spacing w:lineRule="auto" w:line="240" w:before="280" w:after="280"/>
        <w:jc w:val="both"/>
        <w:rPr>
          <w:rFonts w:ascii="Marianne" w:hAnsi="Marianne"/>
        </w:rPr>
      </w:pPr>
      <w:r>
        <w:rPr>
          <w:rFonts w:eastAsia="Times New Roman" w:cs="Times New Roman" w:ascii="Marianne" w:hAnsi="Marianne"/>
          <w:highlight w:val="yellow"/>
          <w:lang w:eastAsia="fr-FR"/>
          <w:rPrChange w:id="0" w:author="Author1" w:date="1970-01-01T00:00:00Z"/>
        </w:rPr>
        <w:t>Pour les transferts vers des sous-traitants (ultérieurs), décrire également les mesures techniques et organisationnelles spécifiques que doit prendre le sous-traitant (ultérieur) pour être en mesure de prêter assistance au responsable du traitement</w:t>
      </w:r>
      <w:r>
        <w:rPr>
          <w:rFonts w:eastAsia="Times New Roman" w:cs="Times New Roman" w:ascii="Marianne" w:hAnsi="Marianne"/>
          <w:lang w:eastAsia="fr-FR"/>
          <w:rPrChange w:id="0" w:author="Author1" w:date="1970-01-01T00:00:00Z"/>
        </w:rPr>
        <w:t>.</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En cas de transfert de données hors de l’Union européenne ou de recours à un sous-traitant (y compris ultérieur) soumis à un droit extraterritorial tiers, évaluation de la protection offerte par la législation du pays de destination et description des garanties exigées par l’article 46 du RGPD ou par la loi Informatique et libertés.</w:t>
      </w:r>
    </w:p>
    <w:p>
      <w:pPr>
        <w:pStyle w:val="Normal"/>
        <w:spacing w:lineRule="auto" w:line="240" w:before="280" w:after="280"/>
        <w:jc w:val="both"/>
        <w:rPr>
          <w:rFonts w:ascii="Marianne" w:hAnsi="Marianne"/>
        </w:rPr>
      </w:pPr>
      <w:r>
        <w:rPr>
          <w:rFonts w:eastAsia="Times New Roman" w:cs="Times New Roman" w:ascii="Marianne" w:hAnsi="Marianne"/>
          <w:highlight w:val="yellow"/>
          <w:lang w:eastAsia="fr-FR"/>
          <w:rPrChange w:id="0" w:author="Author1" w:date="1970-01-01T00:00:00Z"/>
        </w:rPr>
        <w:t>Description des mesures techniques et organisationnelles spécifiques que le sous-traitant doit prendre pour pouvoir prêter assistance au responsable du traitement.</w:t>
      </w:r>
      <w:r>
        <w:rPr>
          <w:rFonts w:eastAsia="Times New Roman" w:cs="Times New Roman" w:ascii="Marianne" w:hAnsi="Marianne"/>
          <w:lang w:eastAsia="fr-FR"/>
          <w:rPrChange w:id="0" w:author="Author1" w:date="1970-01-01T00:00:00Z"/>
        </w:rPr>
        <w:t xml:space="preserve"> </w:t>
      </w:r>
      <w:r>
        <w:br w:type="page"/>
      </w:r>
    </w:p>
    <w:p>
      <w:pPr>
        <w:pStyle w:val="Normal"/>
        <w:spacing w:lineRule="auto" w:line="240" w:before="280" w:after="280"/>
        <w:jc w:val="both"/>
        <w:rPr>
          <w:rFonts w:ascii="Marianne" w:hAnsi="Marianne" w:eastAsia="Times New Roman"/>
          <w:lang w:eastAsia="fr-FR"/>
        </w:rPr>
      </w:pPr>
      <w:r>
        <w:rPr>
          <w:rFonts w:eastAsia="Times New Roman" w:ascii="Marianne" w:hAnsi="Marianne"/>
          <w:lang w:eastAsia="fr-FR"/>
          <w:rPrChange w:id="0" w:author="Author1" w:date="1970-01-01T00:00:00Z"/>
        </w:rPr>
        <mc:AlternateContent>
          <mc:Choice Requires="wps">
            <w:drawing>
              <wp:inline distT="0" distB="0" distL="0" distR="0">
                <wp:extent cx="5761355" cy="19685"/>
                <wp:effectExtent l="0" t="0" r="0" b="0"/>
                <wp:docPr id="5" name="Forme4"/>
                <a:graphic xmlns:a="http://schemas.openxmlformats.org/drawingml/2006/main">
                  <a:graphicData uri="http://schemas.microsoft.com/office/word/2010/wordprocessingShape">
                    <wps:wsp>
                      <wps:cNvSpPr/>
                      <wps:spPr>
                        <a:xfrm>
                          <a:off x="0" y="0"/>
                          <a:ext cx="5760720" cy="1908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ID="Forme4" fillcolor="#a0a0a0" stroked="f" style="position:absolute;margin-left:0pt;margin-top:0pt;width:453.55pt;height:1.45pt;mso-position-horizontal-relative:char">
                <w10:wrap type="none"/>
                <v:fill o:detectmouseclick="t" type="solid" color2="#5f5f5f"/>
                <v:stroke color="#3465a4" joinstyle="round" endcap="flat"/>
              </v:rect>
            </w:pict>
          </mc:Fallback>
        </mc:AlternateContent>
      </w:r>
    </w:p>
    <w:p>
      <w:pPr>
        <w:pStyle w:val="Style11"/>
        <w:rPr>
          <w:rFonts w:ascii="Marianne" w:hAnsi="Marianne"/>
          <w:lang w:eastAsia="fr-FR"/>
        </w:rPr>
      </w:pPr>
      <w:bookmarkStart w:id="39" w:name="__RefHeading___Toc89271601"/>
      <w:bookmarkEnd w:id="39"/>
      <w:r>
        <w:rPr>
          <w:rFonts w:ascii="Marianne" w:hAnsi="Marianne"/>
          <w:lang w:eastAsia="fr-FR"/>
          <w:rPrChange w:id="0" w:author="Author1" w:date="1970-01-01T00:00:00Z"/>
        </w:rPr>
        <w:t>ANNEXE IV</w:t>
      </w:r>
    </w:p>
    <w:p>
      <w:pPr>
        <w:pStyle w:val="Style11"/>
        <w:rPr>
          <w:rFonts w:ascii="Marianne" w:hAnsi="Marianne"/>
          <w:lang w:eastAsia="fr-FR"/>
        </w:rPr>
      </w:pPr>
      <w:bookmarkStart w:id="40" w:name="__RefHeading___Toc89271602"/>
      <w:bookmarkEnd w:id="40"/>
      <w:r>
        <w:rPr>
          <w:rFonts w:ascii="Marianne" w:hAnsi="Marianne"/>
          <w:lang w:eastAsia="fr-FR"/>
          <w:rPrChange w:id="0" w:author="Author1" w:date="1970-01-01T00:00:00Z"/>
        </w:rPr>
        <w:t>Liste de sous-traitants ultérieurs</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NOTE EXPLICATIVE:</w:t>
      </w:r>
    </w:p>
    <w:p>
      <w:pPr>
        <w:pStyle w:val="Normal"/>
        <w:spacing w:lineRule="auto" w:line="240" w:before="280" w:after="28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La présente annexe doit être complétée en cas d’autorisation spécifique de sous-traitants ultérieurs [clause 7.7, point a), option 1].</w:t>
      </w:r>
    </w:p>
    <w:p>
      <w:pPr>
        <w:pStyle w:val="Normal"/>
        <w:spacing w:lineRule="auto" w:line="240" w:before="280" w:after="28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Le responsable du traitement a autorisé le recours aux sous-traitants ultérieurs suivants:</w:t>
      </w:r>
    </w:p>
    <w:tbl>
      <w:tblPr>
        <w:tblW w:w="9072" w:type="dxa"/>
        <w:jc w:val="left"/>
        <w:tblInd w:w="0" w:type="dxa"/>
        <w:tblCellMar>
          <w:top w:w="0" w:type="dxa"/>
          <w:left w:w="0" w:type="dxa"/>
          <w:bottom w:w="0" w:type="dxa"/>
          <w:right w:w="0" w:type="dxa"/>
        </w:tblCellMar>
      </w:tblPr>
      <w:tblGrid>
        <w:gridCol w:w="1590"/>
        <w:gridCol w:w="7482"/>
      </w:tblGrid>
      <w:tr>
        <w:trPr/>
        <w:tc>
          <w:tcPr>
            <w:tcW w:w="1590"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1.</w:t>
            </w:r>
          </w:p>
        </w:tc>
        <w:tc>
          <w:tcPr>
            <w:tcW w:w="7482"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454"/>
        <w:gridCol w:w="8618"/>
      </w:tblGrid>
      <w:tr>
        <w:trPr/>
        <w:tc>
          <w:tcPr>
            <w:tcW w:w="45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61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Adresse: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94"/>
        <w:gridCol w:w="8978"/>
      </w:tblGrid>
      <w:tr>
        <w:trPr/>
        <w:tc>
          <w:tcPr>
            <w:tcW w:w="9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 </w:t>
            </w:r>
          </w:p>
        </w:tc>
        <w:tc>
          <w:tcPr>
            <w:tcW w:w="897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Nom, fonction et coordonnées de la personne de contact: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60"/>
        <w:gridCol w:w="9012"/>
      </w:tblGrid>
      <w:tr>
        <w:trPr/>
        <w:tc>
          <w:tcPr>
            <w:tcW w:w="60" w:type="dxa"/>
            <w:tcBorders/>
          </w:tcPr>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 </w:t>
            </w:r>
          </w:p>
        </w:tc>
        <w:tc>
          <w:tcPr>
            <w:tcW w:w="9012" w:type="dxa"/>
            <w:tcBorders/>
          </w:tcPr>
          <w:p>
            <w:pPr>
              <w:pStyle w:val="Normal"/>
              <w:spacing w:lineRule="auto" w:line="240" w:before="0" w:after="0"/>
              <w:jc w:val="both"/>
              <w:rPr>
                <w:rFonts w:ascii="Marianne" w:hAnsi="Marianne" w:eastAsia="Times New Roman" w:cs="Times New Roman"/>
                <w:highlight w:val="yellow"/>
                <w:lang w:eastAsia="fr-FR"/>
              </w:rPr>
            </w:pPr>
            <w:r>
              <w:rPr>
                <w:rFonts w:eastAsia="Times New Roman" w:cs="Times New Roman" w:ascii="Marianne" w:hAnsi="Marianne"/>
                <w:highlight w:val="yellow"/>
                <w:lang w:eastAsia="fr-FR"/>
                <w:rPrChange w:id="0" w:author="Author1" w:date="1970-01-01T00:00:00Z"/>
              </w:rPr>
              <w:t>Description du traitement (y compris une délimitation claire des responsabilités dans le cas où plusieurs sous-traitants ultérieurs sont autorisés): …</w:t>
            </w:r>
          </w:p>
        </w:tc>
      </w:tr>
    </w:tbl>
    <w:p>
      <w:pPr>
        <w:pStyle w:val="Normal"/>
        <w:spacing w:lineRule="auto" w:line="240" w:before="0" w:after="0"/>
        <w:jc w:val="both"/>
        <w:rPr>
          <w:rFonts w:ascii="Marianne" w:hAnsi="Marianne" w:eastAsia="Times New Roman" w:cs="Times New Roman"/>
          <w:vanish/>
          <w:lang w:eastAsia="fr-FR"/>
        </w:rPr>
      </w:pPr>
      <w:r>
        <w:rPr>
          <w:rFonts w:eastAsia="Times New Roman" w:cs="Times New Roman" w:ascii="Marianne" w:hAnsi="Marianne"/>
          <w:vanish/>
          <w:lang w:eastAsia="fr-FR"/>
        </w:rPr>
      </w:r>
    </w:p>
    <w:tbl>
      <w:tblPr>
        <w:tblW w:w="9072" w:type="dxa"/>
        <w:jc w:val="left"/>
        <w:tblInd w:w="0" w:type="dxa"/>
        <w:tblCellMar>
          <w:top w:w="0" w:type="dxa"/>
          <w:left w:w="0" w:type="dxa"/>
          <w:bottom w:w="0" w:type="dxa"/>
          <w:right w:w="0" w:type="dxa"/>
        </w:tblCellMar>
      </w:tblPr>
      <w:tblGrid>
        <w:gridCol w:w="3888"/>
        <w:gridCol w:w="5184"/>
      </w:tblGrid>
      <w:tr>
        <w:trPr/>
        <w:tc>
          <w:tcPr>
            <w:tcW w:w="3888"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2.</w:t>
            </w:r>
          </w:p>
        </w:tc>
        <w:tc>
          <w:tcPr>
            <w:tcW w:w="5184" w:type="dxa"/>
            <w:tcBorders/>
          </w:tcPr>
          <w:p>
            <w:pPr>
              <w:pStyle w:val="Normal"/>
              <w:spacing w:lineRule="auto" w:line="240" w:before="0" w:after="0"/>
              <w:jc w:val="both"/>
              <w:rPr>
                <w:rFonts w:ascii="Marianne" w:hAnsi="Marianne" w:eastAsia="Times New Roman" w:cs="Times New Roman"/>
                <w:lang w:eastAsia="fr-FR"/>
              </w:rPr>
            </w:pPr>
            <w:r>
              <w:rPr>
                <w:rFonts w:eastAsia="Times New Roman" w:cs="Times New Roman" w:ascii="Marianne" w:hAnsi="Marianne"/>
                <w:lang w:eastAsia="fr-FR"/>
                <w:rPrChange w:id="0" w:author="Author1" w:date="1970-01-01T00:00:00Z"/>
              </w:rPr>
              <w:t>…</w:t>
            </w:r>
          </w:p>
        </w:tc>
      </w:tr>
    </w:tbl>
    <w:p>
      <w:pPr>
        <w:pStyle w:val="Normal"/>
        <w:spacing w:before="0" w:after="160"/>
        <w:jc w:val="both"/>
        <w:rPr>
          <w:rFonts w:ascii="Marianne" w:hAnsi="Marianne"/>
        </w:rPr>
      </w:pPr>
      <w:r>
        <w:rPr>
          <w:rFonts w:ascii="Marianne" w:hAnsi="Marianne"/>
        </w:rPr>
      </w:r>
    </w:p>
    <w:sectPr>
      <w:headerReference w:type="default" r:id="rId3"/>
      <w:footerReference w:type="default" r:id="rId4"/>
      <w:footnotePr>
        <w:numFmt w:val="decimal"/>
      </w:footnotePr>
      <w:type w:val="nextPage"/>
      <w:pgSz w:w="11906" w:h="16838"/>
      <w:pgMar w:left="850" w:right="850" w:header="567" w:top="1265" w:footer="567" w:bottom="134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Light">
    <w:charset w:val="00"/>
    <w:family w:val="swiss"/>
    <w:pitch w:val="variable"/>
  </w:font>
  <w:font w:name="OpenSymbol">
    <w:altName w:val="Arial Unicode MS"/>
    <w:charset w:val="00"/>
    <w:family w:val="auto"/>
    <w:pitch w:val="variable"/>
  </w:font>
  <w:font w:name="Segoe UI">
    <w:charset w:val="00"/>
    <w:family w:val="swiss"/>
    <w:pitch w:val="variable"/>
  </w:font>
  <w:font w:name="Liberation Sans">
    <w:altName w:val="Arial"/>
    <w:charset w:val="00"/>
    <w:family w:val="swiss"/>
    <w:pitch w:val="variable"/>
  </w:font>
  <w:font w:name="Tms Rmn">
    <w:altName w:val="Times New Roman"/>
    <w:charset w:val="00"/>
    <w:family w:val="roman"/>
    <w:pitch w:val="variable"/>
  </w:font>
  <w:font w:name="Marianne">
    <w:charset w:val="00"/>
    <w:family w:val="moder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2" w:space="1" w:color="000000"/>
      </w:pBdr>
      <w:spacing w:before="0" w:after="160"/>
      <w:jc w:val="center"/>
      <w:rPr/>
    </w:pPr>
    <w:ins w:id="473" w:author="Author1" w:date="1970-01-01T00:00:00Z">
      <w:r>
        <w:rPr/>
        <w:t xml:space="preserve">Page </w:t>
      </w:r>
    </w:ins>
    <w:ins w:id="474" w:author="Author1" w:date="1970-01-01T00:00:00Z">
      <w:r>
        <w:rPr/>
        <w:fldChar w:fldCharType="begin"/>
      </w:r>
      <w:r>
        <w:rPr/>
        <w:instrText> PAGE </w:instrText>
      </w:r>
      <w:r>
        <w:rPr/>
        <w:fldChar w:fldCharType="separate"/>
      </w:r>
      <w:r>
        <w:rPr/>
        <w:t>19</w:t>
      </w:r>
      <w:r>
        <w:rPr/>
        <w:fldChar w:fldCharType="end"/>
      </w:r>
    </w:ins>
    <w:ins w:id="475" w:author="Author1" w:date="1970-01-01T00:00:00Z">
      <w:r>
        <w:rPr/>
        <w:t xml:space="preserve"> / </w:t>
      </w:r>
    </w:ins>
    <w:ins w:id="476" w:author="Author1" w:date="1970-01-01T00:00:00Z">
      <w:r>
        <w:rPr/>
        <w:fldChar w:fldCharType="begin"/>
      </w:r>
      <w:r>
        <w:rPr/>
        <w:instrText> NUMPAGES </w:instrText>
      </w:r>
      <w:r>
        <w:rPr/>
        <w:fldChar w:fldCharType="separate"/>
      </w:r>
      <w:r>
        <w:rPr/>
        <w:t>19</w:t>
      </w:r>
      <w:r>
        <w:rPr/>
        <w:fldChar w:fldCharType="end"/>
      </w:r>
    </w:ins>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rPr/>
      </w:pPr>
      <w:r>
        <w:rPr>
          <w:rStyle w:val="Caractresdenotedebasdepage"/>
        </w:rPr>
        <w:footnoteRef/>
      </w:r>
      <w:r>
        <w:rPr/>
        <w:tab/>
        <w:t xml:space="preserve"> </w:t>
      </w:r>
      <w:hyperlink r:id="rId1">
        <w:r>
          <w:rPr>
            <w:rStyle w:val="LienInternet"/>
          </w:rPr>
          <w:t>https://www.cnil.fr/fr/sous-traitance-exemple-de-clauses</w:t>
        </w:r>
      </w:hyperlink>
      <w:r>
        <w:rPr/>
        <w:t>, consulté le 29 septembre 2021</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2" w:space="1" w:color="000000"/>
      </w:pBdr>
      <w:jc w:val="right"/>
      <w:rPr>
        <w:rFonts w:ascii="Arial" w:hAnsi="Arial" w:eastAsia="Times New Roman" w:cs="Arial"/>
        <w:b w:val="false"/>
        <w:b w:val="false"/>
        <w:bCs w:val="false"/>
        <w:i w:val="false"/>
        <w:i w:val="false"/>
        <w:iCs w:val="false"/>
        <w:caps w:val="false"/>
        <w:smallCaps w:val="false"/>
        <w:color w:val="000000"/>
        <w:u w:val="none"/>
        <w:lang w:val="fr-FR" w:eastAsia="zh-CN" w:bidi="ar-SA"/>
        <w:del w:id="467" w:author="Author1" w:date="1970-01-01T00:00:00Z"/>
      </w:rPr>
    </w:pPr>
    <w:del w:id="466" w:author="Author1" w:date="1970-01-01T00:00:00Z">
      <w:r>
        <w:rPr>
          <w:rFonts w:ascii="Marianne" w:hAnsi="Marianne"/>
          <w:sz w:val="14"/>
          <w:szCs w:val="14"/>
        </w:rPr>
      </w:r>
    </w:del>
  </w:p>
  <w:p>
    <w:pPr>
      <w:pStyle w:val="Entte"/>
      <w:pBdr>
        <w:bottom w:val="single" w:sz="2" w:space="1" w:color="000000"/>
      </w:pBdr>
      <w:spacing w:before="0" w:after="160"/>
      <w:jc w:val="right"/>
      <w:rPr>
        <w:rFonts w:ascii="Marianne" w:hAnsi="Marianne"/>
        <w:sz w:val="14"/>
        <w:szCs w:val="14"/>
      </w:rPr>
    </w:pPr>
    <w:del w:id="468" w:author="Author1" w:date="1970-01-01T00:00:00Z">
      <w:r>
        <w:rPr>
          <w:rFonts w:ascii="Marianne" w:hAnsi="Marianne"/>
          <w:sz w:val="14"/>
          <w:szCs w:val="14"/>
        </w:rPr>
        <w:delText>‍‍</w:delText>
      </w:r>
    </w:del>
    <w:del w:id="469" w:author="Author1" w:date="1970-01-01T00:00:00Z">
      <w:r>
        <w:rPr>
          <w:rFonts w:ascii="Marianne" w:hAnsi="Marianne"/>
          <w:sz w:val="14"/>
          <w:szCs w:val="14"/>
        </w:rPr>
        <w:tab/>
        <w:tab/>
      </w:r>
    </w:del>
    <w:ins w:id="470" w:author="Auteur inconnu" w:date="2024-06-26T13:29:59Z">
      <w:r>
        <w:rPr>
          <w:rFonts w:eastAsia="Times New Roman" w:cs="Arial" w:ascii="Arial" w:hAnsi="Arial"/>
          <w:b w:val="false"/>
          <w:bCs w:val="false"/>
          <w:i w:val="false"/>
          <w:iCs w:val="false"/>
          <w:caps w:val="false"/>
          <w:smallCaps w:val="false"/>
          <w:color w:val="000000"/>
          <w:sz w:val="14"/>
          <w:szCs w:val="14"/>
          <w:u w:val="none"/>
          <w:lang w:val="fr-FR" w:eastAsia="zh-CN" w:bidi="ar-SA"/>
        </w:rPr>
        <w:t>Clauses contractuelles relatives à la sous-traitance de données personnelles</w:t>
      </w:r>
    </w:ins>
    <w:ins w:id="471" w:author="Auteur inconnu" w:date="2024-06-26T13:30:30Z">
      <w:r>
        <w:rPr>
          <w:rFonts w:eastAsia="Times New Roman" w:cs="Arial" w:ascii="Arial" w:hAnsi="Arial"/>
          <w:b w:val="false"/>
          <w:bCs w:val="false"/>
          <w:i w:val="false"/>
          <w:iCs w:val="false"/>
          <w:caps w:val="false"/>
          <w:smallCaps w:val="false"/>
          <w:color w:val="000000"/>
          <w:sz w:val="14"/>
          <w:szCs w:val="14"/>
          <w:u w:val="none"/>
          <w:lang w:val="fr-FR" w:eastAsia="zh-CN" w:bidi="ar-SA"/>
        </w:rPr>
        <w:t xml:space="preserve"> : </w:t>
      </w:r>
    </w:ins>
    <w:ins w:id="472" w:author="Auteur inconnu" w:date="2024-06-26T13:30:30Z">
      <w:r>
        <w:rPr>
          <w:rFonts w:eastAsia="Times New Roman" w:cs="Arial" w:ascii="Arial" w:hAnsi="Arial"/>
          <w:b w:val="false"/>
          <w:bCs w:val="false"/>
          <w:i w:val="false"/>
          <w:iCs w:val="false"/>
          <w:caps w:val="false"/>
          <w:smallCaps w:val="false"/>
          <w:color w:val="000000"/>
          <w:sz w:val="14"/>
          <w:szCs w:val="14"/>
          <w:u w:val="none"/>
          <w:lang w:val="fr-FR" w:eastAsia="zh-CN" w:bidi="ar-SA"/>
        </w:rPr>
        <w:t>Annexe 2 au CCAP</w:t>
      </w:r>
    </w:ins>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left"/>
      <w:pPr>
        <w:tabs>
          <w:tab w:val="num" w:pos="0"/>
        </w:tabs>
        <w:ind w:left="0" w:hanging="0"/>
      </w:pPr>
    </w:lvl>
    <w:lvl w:ilvl="1">
      <w:start w:val="1"/>
      <w:pStyle w:val="Titre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rPr>
        <w:sz w:val="24"/>
        <w:highlight w:val="yellow"/>
        <w:szCs w:val="24"/>
        <w:rFonts w:ascii="Times New Roman" w:hAnsi="Times New Roman" w:cs="Times New Roman"/>
      </w:r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3.%4.%5."/>
      <w:lvlJc w:val="left"/>
      <w:pPr>
        <w:tabs>
          <w:tab w:val="num" w:pos="3600"/>
        </w:tabs>
        <w:ind w:left="3600" w:hanging="360"/>
      </w:pPr>
    </w:lvl>
    <w:lvl w:ilvl="5">
      <w:start w:val="1"/>
      <w:numFmt w:val="decimal"/>
      <w:lvlText w:val="%4.%5.%6."/>
      <w:lvlJc w:val="left"/>
      <w:pPr>
        <w:tabs>
          <w:tab w:val="num" w:pos="4320"/>
        </w:tabs>
        <w:ind w:left="4320" w:hanging="360"/>
      </w:pPr>
    </w:lvl>
    <w:lvl w:ilvl="6">
      <w:start w:val="1"/>
      <w:numFmt w:val="decimal"/>
      <w:lvlText w:val="%5.%6.%7."/>
      <w:lvlJc w:val="left"/>
      <w:pPr>
        <w:tabs>
          <w:tab w:val="num" w:pos="5040"/>
        </w:tabs>
        <w:ind w:left="5040" w:hanging="360"/>
      </w:pPr>
    </w:lvl>
    <w:lvl w:ilvl="7">
      <w:start w:val="1"/>
      <w:numFmt w:val="decimal"/>
      <w:lvlText w:val="%6.%7.%8."/>
      <w:lvlJc w:val="left"/>
      <w:pPr>
        <w:tabs>
          <w:tab w:val="num" w:pos="5760"/>
        </w:tabs>
        <w:ind w:left="5760" w:hanging="360"/>
      </w:pPr>
    </w:lvl>
    <w:lvl w:ilvl="8">
      <w:start w:val="1"/>
      <w:numFmt w:val="decimal"/>
      <w:lvlText w:val="%7.%8.%9."/>
      <w:lvlJc w:val="left"/>
      <w:pPr>
        <w:tabs>
          <w:tab w:val="num" w:pos="6480"/>
        </w:tabs>
        <w:ind w:left="6480" w:hanging="36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isplayBackgroundShape/>
  <w:revisionView w:insDel="0" w:formatting="0"/>
  <w:trackRevisions/>
  <w:defaultTabStop w:val="708"/>
  <w:autoHyphenation w:val="tru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sz w:val="24"/>
        <w:szCs w:val="24"/>
        <w:lang w:val="fr-FR"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lineRule="auto" w:line="252" w:before="0" w:after="160"/>
    </w:pPr>
    <w:rPr>
      <w:rFonts w:ascii="Calibri" w:hAnsi="Calibri" w:eastAsia="Calibri" w:cs="Calibri"/>
      <w:color w:val="auto"/>
      <w:sz w:val="22"/>
      <w:szCs w:val="22"/>
      <w:lang w:val="fr-FR" w:eastAsia="zh-CN" w:bidi="ar-SA"/>
    </w:rPr>
  </w:style>
  <w:style w:type="paragraph" w:styleId="Titre1">
    <w:name w:val="Heading 1"/>
    <w:next w:val="LONormal"/>
    <w:qFormat/>
    <w:pPr>
      <w:keepNext w:val="true"/>
      <w:keepLines/>
      <w:widowControl w:val="false"/>
      <w:numPr>
        <w:ilvl w:val="0"/>
        <w:numId w:val="1"/>
      </w:numPr>
      <w:pBdr>
        <w:bottom w:val="single" w:sz="4" w:space="1" w:color="0267AA"/>
      </w:pBdr>
      <w:suppressAutoHyphens w:val="true"/>
      <w:kinsoku w:val="true"/>
      <w:overflowPunct w:val="true"/>
      <w:autoSpaceDE w:val="true"/>
      <w:bidi w:val="0"/>
      <w:spacing w:before="240" w:after="240"/>
      <w:ind w:left="360" w:right="0" w:hanging="360"/>
      <w:outlineLvl w:val="0"/>
    </w:pPr>
    <w:rPr>
      <w:rFonts w:ascii="Arial" w:hAnsi="Arial" w:eastAsia="Times New Roman" w:cs="Arial"/>
      <w:color w:val="0267AA"/>
      <w:sz w:val="32"/>
      <w:szCs w:val="32"/>
      <w:lang w:val="fr-FR" w:eastAsia="zh-CN" w:bidi="hi-IN"/>
    </w:rPr>
  </w:style>
  <w:style w:type="paragraph" w:styleId="Titre2">
    <w:name w:val="Heading 2"/>
    <w:basedOn w:val="LONormal"/>
    <w:next w:val="LONormal"/>
    <w:qFormat/>
    <w:pPr>
      <w:keepNext w:val="true"/>
      <w:keepLines/>
      <w:numPr>
        <w:ilvl w:val="1"/>
        <w:numId w:val="1"/>
      </w:numPr>
      <w:suppressAutoHyphens w:val="true"/>
      <w:spacing w:lineRule="auto" w:line="240" w:before="40" w:after="120"/>
      <w:ind w:left="1430" w:right="0" w:hanging="720"/>
      <w:jc w:val="left"/>
      <w:outlineLvl w:val="1"/>
    </w:pPr>
    <w:rPr>
      <w:rFonts w:eastAsia="Times New Roman"/>
      <w:color w:val="0267AA"/>
      <w:sz w:val="26"/>
      <w:szCs w:val="26"/>
    </w:rPr>
  </w:style>
  <w:style w:type="paragraph" w:styleId="Titre3">
    <w:name w:val="Heading 3"/>
    <w:basedOn w:val="Normal"/>
    <w:next w:val="Normal"/>
    <w:qFormat/>
    <w:pPr>
      <w:keepNext w:val="true"/>
      <w:numPr>
        <w:ilvl w:val="0"/>
        <w:numId w:val="0"/>
      </w:numPr>
      <w:spacing w:before="240" w:after="60"/>
      <w:outlineLvl w:val="2"/>
    </w:pPr>
    <w:rPr>
      <w:rFonts w:ascii="Calibri Light" w:hAnsi="Calibri Light" w:eastAsia="Times New Roman" w:cs="Times New Roman"/>
      <w:b/>
      <w:bCs/>
      <w:sz w:val="26"/>
      <w:szCs w:val="26"/>
    </w:rPr>
  </w:style>
  <w:style w:type="character" w:styleId="WW8Num2z0">
    <w:name w:val="WW8Num2z0"/>
    <w:qFormat/>
    <w:rPr>
      <w:rFonts w:ascii="Symbol" w:hAnsi="Symbol" w:cs="OpenSymbol"/>
      <w:sz w:val="20"/>
      <w:szCs w:val="24"/>
      <w:lang w:eastAsia="fr-FR"/>
    </w:rPr>
  </w:style>
  <w:style w:type="character" w:styleId="WW8Num2z1">
    <w:name w:val="WW8Num2z1"/>
    <w:qFormat/>
    <w:rPr>
      <w:rFonts w:ascii="OpenSymbol" w:hAnsi="OpenSymbol" w:cs="OpenSymbol"/>
    </w:rPr>
  </w:style>
  <w:style w:type="character" w:styleId="WW8Num3z0">
    <w:name w:val="WW8Num3z0"/>
    <w:qFormat/>
    <w:rPr>
      <w:rFonts w:ascii="Times New Roman" w:hAnsi="Times New Roman" w:cs="Times New Roman"/>
      <w:sz w:val="24"/>
      <w:szCs w:val="24"/>
      <w:highlight w:val="yellow"/>
    </w:rPr>
  </w:style>
  <w:style w:type="character" w:styleId="Policepardfaut">
    <w:name w:val="Police par défau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Policepardfaut3">
    <w:name w:val="Police par défaut3"/>
    <w:qFormat/>
    <w:rPr/>
  </w:style>
  <w:style w:type="character" w:styleId="Policepardfaut2">
    <w:name w:val="Police par défaut2"/>
    <w:qFormat/>
    <w:rPr/>
  </w:style>
  <w:style w:type="character" w:styleId="Policepardfaut1">
    <w:name w:val="Police par défaut1"/>
    <w:qFormat/>
    <w:rPr/>
  </w:style>
  <w:style w:type="character" w:styleId="LienInternet">
    <w:name w:val="Lien Internet"/>
    <w:rPr>
      <w:color w:val="0000FF"/>
      <w:u w:val="single"/>
    </w:rPr>
  </w:style>
  <w:style w:type="character" w:styleId="Ojsuper">
    <w:name w:val="oj-super"/>
    <w:qFormat/>
    <w:rPr/>
  </w:style>
  <w:style w:type="character" w:styleId="Ojitalic">
    <w:name w:val="oj-italic"/>
    <w:qFormat/>
    <w:rPr/>
  </w:style>
  <w:style w:type="character" w:styleId="Ojbold">
    <w:name w:val="oj-bold"/>
    <w:qFormat/>
    <w:rPr/>
  </w:style>
  <w:style w:type="character" w:styleId="Marquedecommentaire1">
    <w:name w:val="Marque de commentaire1"/>
    <w:qFormat/>
    <w:rPr>
      <w:sz w:val="16"/>
      <w:szCs w:val="16"/>
    </w:rPr>
  </w:style>
  <w:style w:type="character" w:styleId="WWCharLFO13LVL1">
    <w:name w:val="WW_CharLFO13LVL1"/>
    <w:qFormat/>
    <w:rPr>
      <w:rFonts w:ascii="OpenSymbol" w:hAnsi="OpenSymbol" w:eastAsia="OpenSymbol" w:cs="OpenSymbol"/>
    </w:rPr>
  </w:style>
  <w:style w:type="character" w:styleId="WWCharLFO13LVL2">
    <w:name w:val="WW_CharLFO13LVL2"/>
    <w:qFormat/>
    <w:rPr>
      <w:rFonts w:ascii="OpenSymbol" w:hAnsi="OpenSymbol" w:eastAsia="OpenSymbol" w:cs="OpenSymbol"/>
    </w:rPr>
  </w:style>
  <w:style w:type="character" w:styleId="WWCharLFO13LVL3">
    <w:name w:val="WW_CharLFO13LVL3"/>
    <w:qFormat/>
    <w:rPr>
      <w:rFonts w:ascii="OpenSymbol" w:hAnsi="OpenSymbol" w:eastAsia="OpenSymbol" w:cs="OpenSymbol"/>
    </w:rPr>
  </w:style>
  <w:style w:type="character" w:styleId="WWCharLFO13LVL4">
    <w:name w:val="WW_CharLFO13LVL4"/>
    <w:qFormat/>
    <w:rPr>
      <w:rFonts w:ascii="OpenSymbol" w:hAnsi="OpenSymbol" w:eastAsia="OpenSymbol" w:cs="OpenSymbol"/>
    </w:rPr>
  </w:style>
  <w:style w:type="character" w:styleId="WWCharLFO13LVL5">
    <w:name w:val="WW_CharLFO13LVL5"/>
    <w:qFormat/>
    <w:rPr>
      <w:rFonts w:ascii="OpenSymbol" w:hAnsi="OpenSymbol" w:eastAsia="OpenSymbol" w:cs="OpenSymbol"/>
    </w:rPr>
  </w:style>
  <w:style w:type="character" w:styleId="WWCharLFO13LVL6">
    <w:name w:val="WW_CharLFO13LVL6"/>
    <w:qFormat/>
    <w:rPr>
      <w:rFonts w:ascii="OpenSymbol" w:hAnsi="OpenSymbol" w:eastAsia="OpenSymbol" w:cs="OpenSymbol"/>
    </w:rPr>
  </w:style>
  <w:style w:type="character" w:styleId="WWCharLFO13LVL7">
    <w:name w:val="WW_CharLFO13LVL7"/>
    <w:qFormat/>
    <w:rPr>
      <w:rFonts w:ascii="OpenSymbol" w:hAnsi="OpenSymbol" w:eastAsia="OpenSymbol" w:cs="OpenSymbol"/>
    </w:rPr>
  </w:style>
  <w:style w:type="character" w:styleId="WWCharLFO13LVL8">
    <w:name w:val="WW_CharLFO13LVL8"/>
    <w:qFormat/>
    <w:rPr>
      <w:rFonts w:ascii="OpenSymbol" w:hAnsi="OpenSymbol" w:eastAsia="OpenSymbol" w:cs="OpenSymbol"/>
    </w:rPr>
  </w:style>
  <w:style w:type="character" w:styleId="WWCharLFO13LVL9">
    <w:name w:val="WW_CharLFO13LVL9"/>
    <w:qFormat/>
    <w:rPr>
      <w:rFonts w:ascii="OpenSymbol" w:hAnsi="OpenSymbol" w:eastAsia="OpenSymbol" w:cs="OpenSymbol"/>
    </w:rPr>
  </w:style>
  <w:style w:type="character" w:styleId="TextedebullesCar">
    <w:name w:val="Texte de bulles Car"/>
    <w:qFormat/>
    <w:rPr>
      <w:rFonts w:ascii="Segoe UI" w:hAnsi="Segoe UI" w:eastAsia="Calibri" w:cs="Segoe UI"/>
      <w:sz w:val="18"/>
      <w:szCs w:val="18"/>
      <w:lang w:eastAsia="zh-CN"/>
    </w:rPr>
  </w:style>
  <w:style w:type="character" w:styleId="NotedebasdepageCar">
    <w:name w:val="Note de bas de page Car"/>
    <w:basedOn w:val="Policepardfaut2"/>
    <w:qFormat/>
    <w:rPr/>
  </w:style>
  <w:style w:type="character" w:styleId="Caractresdenotedebasdepage">
    <w:name w:val="Caractères de note de bas de page"/>
    <w:qFormat/>
    <w:rPr>
      <w:vertAlign w:val="superscript"/>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2">
    <w:name w:val="Marque de commentaire2"/>
    <w:qFormat/>
    <w:rPr>
      <w:sz w:val="16"/>
      <w:szCs w:val="16"/>
    </w:rPr>
  </w:style>
  <w:style w:type="character" w:styleId="CommentaireCar">
    <w:name w:val="Commentaire Car"/>
    <w:qFormat/>
    <w:rPr>
      <w:rFonts w:ascii="Calibri" w:hAnsi="Calibri" w:eastAsia="Calibri" w:cs="Calibri"/>
      <w:lang w:eastAsia="zh-CN"/>
    </w:rPr>
  </w:style>
  <w:style w:type="character" w:styleId="ObjetducommentaireCar">
    <w:name w:val="Objet du commentaire Car"/>
    <w:qFormat/>
    <w:rPr>
      <w:rFonts w:ascii="Calibri" w:hAnsi="Calibri" w:eastAsia="Calibri" w:cs="Calibri"/>
      <w:b/>
      <w:bCs/>
      <w:lang w:eastAsia="zh-CN"/>
    </w:rPr>
  </w:style>
  <w:style w:type="character" w:styleId="Appelnotedebasdep">
    <w:name w:val="Appel note de bas de p."/>
    <w:qFormat/>
    <w:rPr>
      <w:vertAlign w:val="superscript"/>
    </w:rPr>
  </w:style>
  <w:style w:type="character" w:styleId="Numrotationdelignes">
    <w:name w:val="Numérotation de lignes"/>
    <w:rPr/>
  </w:style>
  <w:style w:type="character" w:styleId="Appeldenotedefin">
    <w:name w:val="Appel de note de fin"/>
    <w:qFormat/>
    <w:rPr>
      <w:vertAlign w:val="superscript"/>
    </w:rPr>
  </w:style>
  <w:style w:type="character" w:styleId="Style1Car">
    <w:name w:val="Style1 Car"/>
    <w:qFormat/>
    <w:rPr>
      <w:rFonts w:ascii="Calibri" w:hAnsi="Calibri" w:eastAsia="Calibri" w:cs="Calibri"/>
      <w:b/>
      <w:bCs/>
      <w:sz w:val="22"/>
      <w:szCs w:val="22"/>
      <w:lang w:eastAsia="zh-CN"/>
    </w:rPr>
  </w:style>
  <w:style w:type="character" w:styleId="Titre3Car">
    <w:name w:val="Titre 3 Car"/>
    <w:qFormat/>
    <w:rPr>
      <w:rFonts w:ascii="Calibri Light" w:hAnsi="Calibri Light" w:eastAsia="Times New Roman" w:cs="Times New Roman"/>
      <w:b/>
      <w:bCs/>
      <w:sz w:val="26"/>
      <w:szCs w:val="26"/>
      <w:lang w:eastAsia="zh-CN"/>
    </w:rPr>
  </w:style>
  <w:style w:type="character" w:styleId="Style2Car">
    <w:name w:val="Style2 Car"/>
    <w:qFormat/>
    <w:rPr>
      <w:rFonts w:ascii="Calibri" w:hAnsi="Calibri" w:cs="Calibri"/>
      <w:b/>
      <w:bCs/>
      <w:sz w:val="22"/>
      <w:szCs w:val="22"/>
    </w:rPr>
  </w:style>
  <w:style w:type="character" w:styleId="EntteCar">
    <w:name w:val="En-tête Car"/>
    <w:qFormat/>
    <w:rPr>
      <w:rFonts w:ascii="Calibri" w:hAnsi="Calibri" w:eastAsia="Calibri" w:cs="Calibri"/>
      <w:sz w:val="22"/>
      <w:szCs w:val="22"/>
      <w:lang w:eastAsia="zh-CN"/>
    </w:rPr>
  </w:style>
  <w:style w:type="character" w:styleId="PieddepageCar">
    <w:name w:val="Pied de page Car"/>
    <w:qFormat/>
    <w:rPr>
      <w:rFonts w:ascii="Calibri" w:hAnsi="Calibri" w:eastAsia="Calibri" w:cs="Calibri"/>
      <w:sz w:val="22"/>
      <w:szCs w:val="22"/>
      <w:lang w:eastAsia="zh-CN"/>
    </w:rPr>
  </w:style>
  <w:style w:type="character" w:styleId="Ancredenotedebasdepage">
    <w:name w:val="Ancre de note de bas de page"/>
    <w:rPr>
      <w:vertAlign w:val="superscript"/>
    </w:rPr>
  </w:style>
  <w:style w:type="character" w:styleId="Sautdindex">
    <w:name w:val="Saut d'index"/>
    <w:qFormat/>
    <w:rPr/>
  </w:style>
  <w:style w:type="character" w:styleId="Ancredenotedefin">
    <w:name w:val="Ancre de note de fin"/>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LONormal">
    <w:name w:val="LO-Normal"/>
    <w:qFormat/>
    <w:pPr>
      <w:widowControl w:val="false"/>
      <w:suppressAutoHyphens w:val="true"/>
      <w:kinsoku w:val="true"/>
      <w:overflowPunct w:val="true"/>
      <w:autoSpaceDE w:val="true"/>
      <w:bidi w:val="0"/>
      <w:spacing w:before="0" w:after="5"/>
      <w:ind w:left="10" w:right="0" w:hanging="10"/>
      <w:jc w:val="both"/>
    </w:pPr>
    <w:rPr>
      <w:rFonts w:ascii="Arial" w:hAnsi="Arial" w:eastAsia="Arial" w:cs="Arial"/>
      <w:color w:val="000000"/>
      <w:sz w:val="20"/>
      <w:szCs w:val="24"/>
      <w:lang w:val="fr-FR" w:eastAsia="zh-CN" w:bidi="hi-IN"/>
    </w:rPr>
  </w:style>
  <w:style w:type="paragraph" w:styleId="Titre31">
    <w:name w:val="Titre3"/>
    <w:basedOn w:val="Normal"/>
    <w:next w:val="Corpsdetexte"/>
    <w:qFormat/>
    <w:pPr>
      <w:keepNext w:val="true"/>
      <w:spacing w:before="240" w:after="120"/>
    </w:pPr>
    <w:rPr>
      <w:rFonts w:ascii="Liberation Sans" w:hAnsi="Liberation Sans" w:eastAsia="Microsoft YaHei" w:cs="Arial"/>
      <w:sz w:val="28"/>
      <w:szCs w:val="28"/>
    </w:rPr>
  </w:style>
  <w:style w:type="paragraph" w:styleId="Titre21">
    <w:name w:val="Titre2"/>
    <w:basedOn w:val="Normal"/>
    <w:next w:val="Corpsdetexte"/>
    <w:qFormat/>
    <w:pPr>
      <w:keepNext w:val="true"/>
      <w:spacing w:before="240" w:after="120"/>
    </w:pPr>
    <w:rPr>
      <w:rFonts w:ascii="Liberation Sans" w:hAnsi="Liberation Sans" w:eastAsia="Microsoft YaHei" w:cs="Mangal"/>
      <w:sz w:val="28"/>
      <w:szCs w:val="28"/>
    </w:rPr>
  </w:style>
  <w:style w:type="paragraph" w:styleId="Titre11">
    <w:name w:val="Titre1"/>
    <w:basedOn w:val="Normal"/>
    <w:next w:val="Corpsdetexte"/>
    <w:qFormat/>
    <w:pPr>
      <w:keepNext w:val="true"/>
      <w:spacing w:before="240" w:after="120"/>
    </w:pPr>
    <w:rPr>
      <w:rFonts w:ascii="Liberation Sans" w:hAnsi="Liberation Sans" w:eastAsia="Microsoft YaHei" w:cs="Mangal"/>
      <w:sz w:val="28"/>
      <w:szCs w:val="28"/>
    </w:rPr>
  </w:style>
  <w:style w:type="paragraph" w:styleId="Livre">
    <w:name w:val="Livre"/>
    <w:basedOn w:val="Normal"/>
    <w:qFormat/>
    <w:pPr/>
    <w:rPr>
      <w:b/>
    </w:rPr>
  </w:style>
  <w:style w:type="paragraph" w:styleId="Ojdocti">
    <w:name w:val="oj-doc-ti"/>
    <w:basedOn w:val="Normal"/>
    <w:qFormat/>
    <w:pPr>
      <w:spacing w:lineRule="auto" w:line="240" w:before="280" w:after="280"/>
    </w:pPr>
    <w:rPr>
      <w:rFonts w:ascii="Times New Roman" w:hAnsi="Times New Roman" w:eastAsia="Times New Roman" w:cs="Times New Roman"/>
      <w:sz w:val="24"/>
      <w:szCs w:val="24"/>
    </w:rPr>
  </w:style>
  <w:style w:type="paragraph" w:styleId="Ojnormal">
    <w:name w:val="oj-normal"/>
    <w:basedOn w:val="Normal"/>
    <w:qFormat/>
    <w:pPr>
      <w:spacing w:lineRule="auto" w:line="240" w:before="280" w:after="280"/>
    </w:pPr>
    <w:rPr>
      <w:rFonts w:ascii="Times New Roman" w:hAnsi="Times New Roman" w:eastAsia="Times New Roman" w:cs="Times New Roman"/>
      <w:sz w:val="24"/>
      <w:szCs w:val="24"/>
    </w:rPr>
  </w:style>
  <w:style w:type="paragraph" w:styleId="Ojtiart">
    <w:name w:val="oj-ti-art"/>
    <w:basedOn w:val="Normal"/>
    <w:qFormat/>
    <w:pPr>
      <w:spacing w:lineRule="auto" w:line="240" w:before="280" w:after="280"/>
    </w:pPr>
    <w:rPr>
      <w:rFonts w:ascii="Times New Roman" w:hAnsi="Times New Roman" w:eastAsia="Times New Roman" w:cs="Times New Roman"/>
      <w:sz w:val="24"/>
      <w:szCs w:val="24"/>
    </w:rPr>
  </w:style>
  <w:style w:type="paragraph" w:styleId="Ojsignatory">
    <w:name w:val="oj-signatory"/>
    <w:basedOn w:val="Normal"/>
    <w:qFormat/>
    <w:pPr>
      <w:spacing w:lineRule="auto" w:line="240" w:before="280" w:after="280"/>
    </w:pPr>
    <w:rPr>
      <w:rFonts w:ascii="Times New Roman" w:hAnsi="Times New Roman" w:eastAsia="Times New Roman" w:cs="Times New Roman"/>
      <w:sz w:val="24"/>
      <w:szCs w:val="24"/>
    </w:rPr>
  </w:style>
  <w:style w:type="paragraph" w:styleId="Ojnote">
    <w:name w:val="oj-note"/>
    <w:basedOn w:val="Normal"/>
    <w:qFormat/>
    <w:pPr>
      <w:spacing w:lineRule="auto" w:line="240" w:before="280" w:after="280"/>
    </w:pPr>
    <w:rPr>
      <w:rFonts w:ascii="Times New Roman" w:hAnsi="Times New Roman" w:eastAsia="Times New Roman" w:cs="Times New Roman"/>
      <w:sz w:val="24"/>
      <w:szCs w:val="24"/>
    </w:rPr>
  </w:style>
  <w:style w:type="paragraph" w:styleId="Ojtigrseq1">
    <w:name w:val="oj-ti-grseq-1"/>
    <w:basedOn w:val="Normal"/>
    <w:qFormat/>
    <w:pPr>
      <w:spacing w:lineRule="auto" w:line="240" w:before="280" w:after="280"/>
    </w:pPr>
    <w:rPr>
      <w:rFonts w:ascii="Times New Roman" w:hAnsi="Times New Roman" w:eastAsia="Times New Roman" w:cs="Times New Roman"/>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Textedebulles">
    <w:name w:val="Texte de bulles"/>
    <w:basedOn w:val="Normal"/>
    <w:qFormat/>
    <w:pPr>
      <w:spacing w:lineRule="auto" w:line="240" w:before="0" w:after="0"/>
    </w:pPr>
    <w:rPr>
      <w:rFonts w:ascii="Segoe UI" w:hAnsi="Segoe UI" w:cs="Segoe UI"/>
      <w:sz w:val="18"/>
      <w:szCs w:val="18"/>
    </w:rPr>
  </w:style>
  <w:style w:type="paragraph" w:styleId="Notedebasdepage">
    <w:name w:val="Footnote Text"/>
    <w:basedOn w:val="Normal"/>
    <w:pPr>
      <w:suppressAutoHyphens w:val="false"/>
      <w:spacing w:lineRule="auto" w:line="240" w:before="0" w:after="0"/>
    </w:pPr>
    <w:rPr>
      <w:rFonts w:ascii="Times New Roman" w:hAnsi="Times New Roman" w:eastAsia="Times New Roman" w:cs="Times New Roman"/>
      <w:sz w:val="20"/>
      <w:szCs w:val="20"/>
    </w:rPr>
  </w:style>
  <w:style w:type="paragraph" w:styleId="NormalWeb">
    <w:name w:val="Normal (Web)"/>
    <w:basedOn w:val="Normal"/>
    <w:qFormat/>
    <w:pPr>
      <w:suppressAutoHyphens w:val="false"/>
      <w:spacing w:lineRule="auto" w:line="240" w:before="280" w:after="280"/>
    </w:pPr>
    <w:rPr>
      <w:rFonts w:ascii="Times New Roman" w:hAnsi="Times New Roman" w:eastAsia="Times New Roman" w:cs="Times New Roman"/>
      <w:sz w:val="24"/>
      <w:szCs w:val="24"/>
    </w:rPr>
  </w:style>
  <w:style w:type="paragraph" w:styleId="Commentaire1">
    <w:name w:val="Commentaire1"/>
    <w:basedOn w:val="Normal"/>
    <w:qFormat/>
    <w:pPr/>
    <w:rPr>
      <w:sz w:val="20"/>
      <w:szCs w:val="20"/>
    </w:rPr>
  </w:style>
  <w:style w:type="paragraph" w:styleId="Objetducommentaire">
    <w:name w:val="Objet du commentaire"/>
    <w:basedOn w:val="Commentaire1"/>
    <w:next w:val="Commentaire1"/>
    <w:qFormat/>
    <w:pPr/>
    <w:rPr>
      <w:b/>
      <w:bCs/>
    </w:rPr>
  </w:style>
  <w:style w:type="paragraph" w:styleId="Rvision">
    <w:name w:val="Révision"/>
    <w:qFormat/>
    <w:pPr>
      <w:widowControl/>
      <w:kinsoku w:val="true"/>
      <w:overflowPunct w:val="true"/>
      <w:autoSpaceDE w:val="true"/>
      <w:bidi w:val="0"/>
    </w:pPr>
    <w:rPr>
      <w:rFonts w:ascii="Calibri" w:hAnsi="Calibri" w:eastAsia="Calibri" w:cs="Calibri"/>
      <w:color w:val="auto"/>
      <w:sz w:val="22"/>
      <w:szCs w:val="22"/>
      <w:lang w:val="fr-FR" w:eastAsia="zh-CN" w:bidi="ar-SA"/>
    </w:rPr>
  </w:style>
  <w:style w:type="paragraph" w:styleId="Style11">
    <w:name w:val="Style1"/>
    <w:basedOn w:val="Normal"/>
    <w:qFormat/>
    <w:pPr>
      <w:jc w:val="both"/>
    </w:pPr>
    <w:rPr>
      <w:b/>
      <w:bCs/>
    </w:rPr>
  </w:style>
  <w:style w:type="paragraph" w:styleId="Tabledesmatiresniveau1">
    <w:name w:val="TOC 1"/>
    <w:basedOn w:val="Normal"/>
    <w:next w:val="Normal"/>
    <w:pPr>
      <w:spacing w:lineRule="auto" w:line="240" w:before="0" w:after="113"/>
    </w:pPr>
    <w:rPr>
      <w:b/>
    </w:rPr>
  </w:style>
  <w:style w:type="paragraph" w:styleId="Style21">
    <w:name w:val="Style2"/>
    <w:basedOn w:val="Normal"/>
    <w:qFormat/>
    <w:pPr>
      <w:spacing w:lineRule="auto" w:line="240" w:before="280" w:after="280"/>
      <w:jc w:val="both"/>
    </w:pPr>
    <w:rPr>
      <w:rFonts w:eastAsia="Times New Roman" w:cs="Times New Roman"/>
      <w:b/>
      <w:bCs/>
    </w:rPr>
  </w:style>
  <w:style w:type="paragraph" w:styleId="Tabledesmatiresniveau2">
    <w:name w:val="TOC 2"/>
    <w:basedOn w:val="Normal"/>
    <w:next w:val="Normal"/>
    <w:pPr>
      <w:spacing w:lineRule="auto" w:line="240" w:before="0" w:after="57"/>
      <w:ind w:left="220" w:right="0" w:hanging="0"/>
    </w:pPr>
    <w:rPr>
      <w:b/>
      <w:smallCaps/>
    </w:rPr>
  </w:style>
  <w:style w:type="paragraph" w:styleId="Entteetpieddepage">
    <w:name w:val="En-tête et pied de page"/>
    <w:basedOn w:val="Normal"/>
    <w:qFormat/>
    <w:pPr>
      <w:suppressLineNumbers/>
      <w:tabs>
        <w:tab w:val="clear" w:pos="708"/>
        <w:tab w:val="center" w:pos="4819" w:leader="none"/>
        <w:tab w:val="right" w:pos="9638" w:leader="none"/>
      </w:tabs>
    </w:pPr>
    <w:rPr/>
  </w:style>
  <w:style w:type="paragraph" w:styleId="Entte">
    <w:name w:val="Header"/>
    <w:basedOn w:val="Normal"/>
    <w:pPr>
      <w:tabs>
        <w:tab w:val="clear" w:pos="708"/>
        <w:tab w:val="center" w:pos="4536" w:leader="none"/>
        <w:tab w:val="right" w:pos="9072" w:leader="none"/>
      </w:tabs>
    </w:pPr>
    <w:rPr/>
  </w:style>
  <w:style w:type="paragraph" w:styleId="Pieddepage">
    <w:name w:val="Footer"/>
    <w:basedOn w:val="Normal"/>
    <w:pPr>
      <w:tabs>
        <w:tab w:val="clear" w:pos="708"/>
        <w:tab w:val="center" w:pos="4536" w:leader="none"/>
        <w:tab w:val="right" w:pos="9072" w:leader="none"/>
      </w:tabs>
    </w:pPr>
    <w:rPr/>
  </w:style>
  <w:style w:type="paragraph" w:styleId="1erparagraphe">
    <w:name w:val="1erparagraphe"/>
    <w:basedOn w:val="Normal"/>
    <w:qFormat/>
    <w:pPr>
      <w:spacing w:before="480" w:after="480"/>
      <w:ind w:left="0" w:right="0" w:firstLine="1134"/>
    </w:pPr>
    <w:rPr>
      <w:rFonts w:ascii="Tms Rmn;Times New Roman" w:hAnsi="Tms Rmn;Times New Roman" w:cs="SimSun;宋体"/>
      <w:sz w:val="22"/>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s://www.cnil.fr/fr/sous-traitance-exemple-de-clauses" TargetMode="External"/>
</Relationships>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19</Pages>
  <Words>6521</Words>
  <Characters>37067</Characters>
  <CharactersWithSpaces>43387</CharactersWithSpaces>
  <Paragraphs>353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2024-10-22T15:46:50Z</dcterms:created>
  <dc:creator/>
  <dc:description/>
  <cp:keywords/>
  <dc:language>fr-FR</dc:language>
  <cp:lastModifiedBy/>
  <cp:revision>1</cp:revision>
  <dc:subject/>
  <dc:title/>
</cp:coreProperties>
</file>