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01EF0" w14:textId="74868FEB" w:rsidR="007C1EB5" w:rsidRPr="007C1EB5" w:rsidRDefault="007C1EB5" w:rsidP="007C1EB5">
      <w:pPr>
        <w:pStyle w:val="NormalWeb"/>
        <w:widowControl w:val="0"/>
        <w:spacing w:beforeAutospacing="0" w:after="0"/>
        <w:ind w:left="-250"/>
        <w:jc w:val="right"/>
        <w:rPr>
          <w:b/>
        </w:rPr>
      </w:pPr>
      <w:r w:rsidRPr="007C1EB5">
        <w:rPr>
          <w:noProof/>
        </w:rPr>
        <w:drawing>
          <wp:anchor distT="0" distB="0" distL="0" distR="0" simplePos="0" relativeHeight="251658752" behindDoc="0" locked="0" layoutInCell="0" allowOverlap="1" wp14:anchorId="241694B9" wp14:editId="5EE85A90">
            <wp:simplePos x="0" y="0"/>
            <wp:positionH relativeFrom="column">
              <wp:posOffset>-91440</wp:posOffset>
            </wp:positionH>
            <wp:positionV relativeFrom="paragraph">
              <wp:posOffset>-181610</wp:posOffset>
            </wp:positionV>
            <wp:extent cx="1115695" cy="972185"/>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1115695" cy="972185"/>
                    </a:xfrm>
                    <a:prstGeom prst="rect">
                      <a:avLst/>
                    </a:prstGeom>
                  </pic:spPr>
                </pic:pic>
              </a:graphicData>
            </a:graphic>
            <wp14:sizeRelH relativeFrom="margin">
              <wp14:pctWidth>0</wp14:pctWidth>
            </wp14:sizeRelH>
            <wp14:sizeRelV relativeFrom="margin">
              <wp14:pctHeight>0</wp14:pctHeight>
            </wp14:sizeRelV>
          </wp:anchor>
        </w:drawing>
      </w:r>
      <w:r w:rsidRPr="007C1EB5">
        <w:rPr>
          <w:rFonts w:ascii="Marianne" w:hAnsi="Marianne"/>
          <w:b/>
          <w:bCs/>
        </w:rPr>
        <w:t>Direction départementale</w:t>
      </w:r>
    </w:p>
    <w:p w14:paraId="322FBBD3" w14:textId="77777777" w:rsidR="007C1EB5" w:rsidRPr="007C1EB5" w:rsidRDefault="007C1EB5" w:rsidP="007C1EB5">
      <w:pPr>
        <w:pStyle w:val="NormalWeb"/>
        <w:widowControl w:val="0"/>
        <w:spacing w:beforeAutospacing="0" w:after="0"/>
        <w:ind w:left="-250"/>
        <w:jc w:val="right"/>
        <w:rPr>
          <w:b/>
        </w:rPr>
      </w:pPr>
      <w:r w:rsidRPr="007C1EB5">
        <w:rPr>
          <w:rFonts w:ascii="Marianne" w:hAnsi="Marianne"/>
          <w:b/>
          <w:bCs/>
        </w:rPr>
        <w:t>des territoires,</w:t>
      </w:r>
    </w:p>
    <w:p w14:paraId="6C4550F0" w14:textId="77777777" w:rsidR="007C1EB5" w:rsidRDefault="007C1EB5" w:rsidP="007C1EB5">
      <w:pPr>
        <w:pStyle w:val="NormalWeb"/>
        <w:widowControl w:val="0"/>
        <w:spacing w:beforeAutospacing="0" w:after="0"/>
        <w:jc w:val="right"/>
        <w:rPr>
          <w:b/>
        </w:rPr>
      </w:pPr>
      <w:r w:rsidRPr="007D52C0">
        <w:rPr>
          <w:rFonts w:ascii="Marianne" w:eastAsiaTheme="minorEastAsia" w:hAnsi="Marianne" w:cstheme="minorBidi"/>
          <w:b/>
          <w:bCs/>
          <w:color w:val="auto"/>
        </w:rPr>
        <w:t>des Vosges</w:t>
      </w:r>
    </w:p>
    <w:p w14:paraId="42D49D7A" w14:textId="7FD39EF8" w:rsidR="00117D7E" w:rsidRDefault="00117D7E"/>
    <w:tbl>
      <w:tblPr>
        <w:tblW w:w="9464" w:type="dxa"/>
        <w:tblLayout w:type="fixed"/>
        <w:tblLook w:val="04A0" w:firstRow="1" w:lastRow="0" w:firstColumn="1" w:lastColumn="0" w:noHBand="0" w:noVBand="1"/>
      </w:tblPr>
      <w:tblGrid>
        <w:gridCol w:w="9464"/>
      </w:tblGrid>
      <w:tr w:rsidR="00117D7E" w14:paraId="66FC4AEF" w14:textId="77777777" w:rsidTr="007C1EB5">
        <w:tc>
          <w:tcPr>
            <w:tcW w:w="9464" w:type="dxa"/>
            <w:shd w:val="clear" w:color="auto" w:fill="auto"/>
          </w:tcPr>
          <w:p w14:paraId="62C2D1ED" w14:textId="77777777" w:rsidR="00117D7E" w:rsidRDefault="00117D7E" w:rsidP="007C1EB5">
            <w:pPr>
              <w:pStyle w:val="NormalWeb"/>
              <w:widowControl w:val="0"/>
              <w:spacing w:beforeAutospacing="0" w:after="0"/>
              <w:jc w:val="right"/>
              <w:rPr>
                <w:rFonts w:asciiTheme="minorHAnsi" w:eastAsiaTheme="minorEastAsia" w:hAnsiTheme="minorHAnsi" w:cstheme="minorBidi"/>
                <w:color w:val="auto"/>
                <w:sz w:val="20"/>
                <w:szCs w:val="20"/>
              </w:rPr>
            </w:pPr>
          </w:p>
        </w:tc>
      </w:tr>
    </w:tbl>
    <w:p w14:paraId="77D3AADB" w14:textId="77777777" w:rsidR="00117D7E" w:rsidRDefault="00117D7E">
      <w:pPr>
        <w:spacing w:after="0"/>
        <w:ind w:left="9"/>
        <w:jc w:val="center"/>
      </w:pPr>
    </w:p>
    <w:p w14:paraId="495BFF15" w14:textId="4B8257F4" w:rsidR="00117D7E" w:rsidRDefault="00071B24">
      <w:pPr>
        <w:spacing w:after="97"/>
        <w:rPr>
          <w:rFonts w:ascii="Marianne Medium" w:hAnsi="Marianne Medium"/>
        </w:rPr>
      </w:pPr>
      <w:r>
        <w:rPr>
          <w:rFonts w:ascii="Arial" w:eastAsia="Arial" w:hAnsi="Arial" w:cs="Arial"/>
          <w:sz w:val="20"/>
        </w:rPr>
        <w:t xml:space="preserve"> </w:t>
      </w:r>
    </w:p>
    <w:p w14:paraId="6955A9E2" w14:textId="77777777" w:rsidR="00117D7E" w:rsidRDefault="00117D7E">
      <w:pPr>
        <w:spacing w:after="0"/>
        <w:rPr>
          <w:rFonts w:ascii="Arial" w:eastAsia="Arial" w:hAnsi="Arial" w:cs="Arial"/>
          <w:b/>
          <w:color w:val="auto"/>
          <w:sz w:val="18"/>
        </w:rPr>
      </w:pPr>
    </w:p>
    <w:p w14:paraId="16633A77" w14:textId="2191D90E" w:rsidR="00117D7E" w:rsidRDefault="00117D7E">
      <w:pPr>
        <w:spacing w:after="0"/>
        <w:rPr>
          <w:rFonts w:ascii="Arial" w:eastAsia="Arial" w:hAnsi="Arial" w:cs="Arial"/>
          <w:b/>
          <w:color w:val="auto"/>
          <w:sz w:val="18"/>
        </w:rPr>
      </w:pPr>
    </w:p>
    <w:p w14:paraId="7340A00F" w14:textId="77777777" w:rsidR="00C47DF4" w:rsidRDefault="00C47DF4">
      <w:pPr>
        <w:spacing w:after="0"/>
        <w:rPr>
          <w:rFonts w:ascii="Arial" w:eastAsia="Arial" w:hAnsi="Arial" w:cs="Arial"/>
          <w:b/>
          <w:color w:val="auto"/>
          <w:sz w:val="18"/>
        </w:rPr>
      </w:pPr>
    </w:p>
    <w:p w14:paraId="77C6A844" w14:textId="77777777" w:rsidR="00117D7E" w:rsidRDefault="00117D7E">
      <w:pPr>
        <w:spacing w:after="0"/>
        <w:rPr>
          <w:rFonts w:ascii="Arial" w:hAnsi="Arial" w:cs="Arial"/>
          <w:color w:val="auto"/>
        </w:rPr>
      </w:pPr>
    </w:p>
    <w:p w14:paraId="1B322C05" w14:textId="77777777" w:rsidR="00117D7E" w:rsidRDefault="00117D7E">
      <w:pPr>
        <w:spacing w:after="0"/>
        <w:rPr>
          <w:rFonts w:ascii="Arial" w:eastAsia="Arial" w:hAnsi="Arial" w:cs="Arial"/>
          <w:b/>
          <w:color w:val="auto"/>
          <w:sz w:val="18"/>
        </w:rPr>
      </w:pPr>
    </w:p>
    <w:p w14:paraId="6ECF8445" w14:textId="77777777" w:rsidR="00117D7E" w:rsidRDefault="00117D7E">
      <w:pPr>
        <w:spacing w:after="0"/>
        <w:rPr>
          <w:rFonts w:ascii="Arial" w:hAnsi="Arial" w:cs="Arial"/>
          <w:color w:val="auto"/>
        </w:rPr>
      </w:pPr>
    </w:p>
    <w:tbl>
      <w:tblPr>
        <w:tblW w:w="9637" w:type="dxa"/>
        <w:jc w:val="center"/>
        <w:tblLayout w:type="fixed"/>
        <w:tblCellMar>
          <w:top w:w="55" w:type="dxa"/>
          <w:left w:w="55" w:type="dxa"/>
          <w:bottom w:w="55" w:type="dxa"/>
          <w:right w:w="55" w:type="dxa"/>
        </w:tblCellMar>
        <w:tblLook w:val="0000" w:firstRow="0" w:lastRow="0" w:firstColumn="0" w:lastColumn="0" w:noHBand="0" w:noVBand="0"/>
      </w:tblPr>
      <w:tblGrid>
        <w:gridCol w:w="9637"/>
      </w:tblGrid>
      <w:tr w:rsidR="00117D7E" w14:paraId="2F8CDFA6" w14:textId="77777777">
        <w:trPr>
          <w:trHeight w:val="1163"/>
          <w:jc w:val="center"/>
        </w:trPr>
        <w:tc>
          <w:tcPr>
            <w:tcW w:w="9637" w:type="dxa"/>
            <w:tcBorders>
              <w:top w:val="single" w:sz="4" w:space="0" w:color="000000"/>
              <w:left w:val="single" w:sz="4" w:space="0" w:color="000000"/>
              <w:right w:val="single" w:sz="4" w:space="0" w:color="000000"/>
            </w:tcBorders>
            <w:shd w:val="clear" w:color="auto" w:fill="B4C6E7"/>
            <w:vAlign w:val="center"/>
          </w:tcPr>
          <w:p w14:paraId="2A123DB5" w14:textId="77777777" w:rsidR="00117D7E" w:rsidRDefault="00117D7E">
            <w:pPr>
              <w:widowControl w:val="0"/>
              <w:spacing w:beforeAutospacing="1" w:after="119" w:line="240" w:lineRule="auto"/>
              <w:jc w:val="center"/>
              <w:rPr>
                <w:rFonts w:ascii="Arial" w:eastAsia="Times New Roman" w:hAnsi="Arial" w:cs="Arial"/>
                <w:b/>
                <w:color w:val="auto"/>
                <w:sz w:val="20"/>
                <w:szCs w:val="20"/>
              </w:rPr>
            </w:pPr>
          </w:p>
          <w:p w14:paraId="18D61F4C" w14:textId="77777777" w:rsidR="00117D7E" w:rsidRDefault="00071B24">
            <w:pPr>
              <w:widowControl w:val="0"/>
              <w:spacing w:beforeAutospacing="1" w:after="119" w:line="240" w:lineRule="auto"/>
              <w:jc w:val="center"/>
              <w:rPr>
                <w:rFonts w:ascii="Arial" w:eastAsia="Times New Roman" w:hAnsi="Arial" w:cs="Arial"/>
                <w:color w:val="auto"/>
                <w:sz w:val="32"/>
                <w:szCs w:val="32"/>
              </w:rPr>
            </w:pPr>
            <w:r>
              <w:rPr>
                <w:rFonts w:ascii="Arial" w:eastAsia="Times New Roman" w:hAnsi="Arial" w:cs="Arial"/>
                <w:color w:val="auto"/>
                <w:sz w:val="32"/>
                <w:szCs w:val="32"/>
              </w:rPr>
              <w:t>CADRE DE REPONSE TECHNIQUE</w:t>
            </w:r>
          </w:p>
          <w:p w14:paraId="697B7894" w14:textId="77777777" w:rsidR="00117D7E" w:rsidRDefault="00117D7E">
            <w:pPr>
              <w:widowControl w:val="0"/>
              <w:spacing w:beforeAutospacing="1" w:after="119" w:line="240" w:lineRule="auto"/>
              <w:jc w:val="center"/>
              <w:rPr>
                <w:rFonts w:ascii="Arial" w:eastAsia="Times New Roman" w:hAnsi="Arial" w:cs="Arial"/>
                <w:b/>
                <w:color w:val="auto"/>
                <w:sz w:val="24"/>
                <w:szCs w:val="24"/>
              </w:rPr>
            </w:pPr>
          </w:p>
          <w:p w14:paraId="40CDBB07" w14:textId="3FDEDA0E" w:rsidR="00117D7E" w:rsidRPr="007D52C0" w:rsidRDefault="007C1EB5">
            <w:pPr>
              <w:widowControl w:val="0"/>
              <w:jc w:val="center"/>
              <w:rPr>
                <w:b/>
                <w:sz w:val="40"/>
                <w:szCs w:val="40"/>
              </w:rPr>
            </w:pPr>
            <w:r w:rsidRPr="007D52C0">
              <w:rPr>
                <w:rFonts w:ascii="Calibri-Bold" w:eastAsia="Arial" w:hAnsi="Calibri-Bold" w:cs="Arial"/>
                <w:b/>
                <w:kern w:val="2"/>
                <w:sz w:val="40"/>
                <w:szCs w:val="40"/>
              </w:rPr>
              <w:t>Cartographie des dessertes foresti</w:t>
            </w:r>
            <w:r w:rsidRPr="007D52C0">
              <w:rPr>
                <w:rFonts w:ascii="Calibri-Bold" w:eastAsia="Arial" w:hAnsi="Calibri-Bold" w:cs="Arial" w:hint="eastAsia"/>
                <w:b/>
                <w:kern w:val="2"/>
                <w:sz w:val="40"/>
                <w:szCs w:val="40"/>
              </w:rPr>
              <w:t>è</w:t>
            </w:r>
            <w:r w:rsidRPr="007D52C0">
              <w:rPr>
                <w:rFonts w:ascii="Calibri-Bold" w:eastAsia="Arial" w:hAnsi="Calibri-Bold" w:cs="Arial"/>
                <w:b/>
                <w:kern w:val="2"/>
                <w:sz w:val="40"/>
                <w:szCs w:val="40"/>
              </w:rPr>
              <w:t>res pour la d</w:t>
            </w:r>
            <w:r w:rsidRPr="007D52C0">
              <w:rPr>
                <w:rFonts w:ascii="Calibri-Bold" w:eastAsia="Arial" w:hAnsi="Calibri-Bold" w:cs="Arial" w:hint="eastAsia"/>
                <w:b/>
                <w:kern w:val="2"/>
                <w:sz w:val="40"/>
                <w:szCs w:val="40"/>
              </w:rPr>
              <w:t>é</w:t>
            </w:r>
            <w:r w:rsidRPr="007D52C0">
              <w:rPr>
                <w:rFonts w:ascii="Calibri-Bold" w:eastAsia="Arial" w:hAnsi="Calibri-Bold" w:cs="Arial"/>
                <w:b/>
                <w:kern w:val="2"/>
                <w:sz w:val="40"/>
                <w:szCs w:val="40"/>
              </w:rPr>
              <w:t>fense des for</w:t>
            </w:r>
            <w:r w:rsidRPr="007D52C0">
              <w:rPr>
                <w:rFonts w:ascii="Calibri-Bold" w:eastAsia="Arial" w:hAnsi="Calibri-Bold" w:cs="Arial" w:hint="eastAsia"/>
                <w:b/>
                <w:kern w:val="2"/>
                <w:sz w:val="40"/>
                <w:szCs w:val="40"/>
              </w:rPr>
              <w:t>ê</w:t>
            </w:r>
            <w:r w:rsidRPr="007D52C0">
              <w:rPr>
                <w:rFonts w:ascii="Calibri-Bold" w:eastAsia="Arial" w:hAnsi="Calibri-Bold" w:cs="Arial"/>
                <w:b/>
                <w:kern w:val="2"/>
                <w:sz w:val="40"/>
                <w:szCs w:val="40"/>
              </w:rPr>
              <w:t>ts contre l</w:t>
            </w:r>
            <w:r w:rsidR="00275B03">
              <w:rPr>
                <w:rFonts w:ascii="Calibri-Bold" w:eastAsia="Arial" w:hAnsi="Calibri-Bold" w:cs="Arial"/>
                <w:b/>
                <w:kern w:val="2"/>
                <w:sz w:val="40"/>
                <w:szCs w:val="40"/>
              </w:rPr>
              <w:t>’</w:t>
            </w:r>
            <w:r w:rsidRPr="007D52C0">
              <w:rPr>
                <w:rFonts w:ascii="Calibri-Bold" w:eastAsia="Arial" w:hAnsi="Calibri-Bold" w:cs="Arial"/>
                <w:b/>
                <w:kern w:val="2"/>
                <w:sz w:val="40"/>
                <w:szCs w:val="40"/>
              </w:rPr>
              <w:t>incendie (DFCI) sur le territoire du d</w:t>
            </w:r>
            <w:r w:rsidRPr="007D52C0">
              <w:rPr>
                <w:rFonts w:ascii="Calibri-Bold" w:eastAsia="Arial" w:hAnsi="Calibri-Bold" w:cs="Arial" w:hint="eastAsia"/>
                <w:b/>
                <w:kern w:val="2"/>
                <w:sz w:val="40"/>
                <w:szCs w:val="40"/>
              </w:rPr>
              <w:t>é</w:t>
            </w:r>
            <w:r w:rsidRPr="007D52C0">
              <w:rPr>
                <w:rFonts w:ascii="Calibri-Bold" w:eastAsia="Arial" w:hAnsi="Calibri-Bold" w:cs="Arial"/>
                <w:b/>
                <w:kern w:val="2"/>
                <w:sz w:val="40"/>
                <w:szCs w:val="40"/>
              </w:rPr>
              <w:t>partement des Vosges</w:t>
            </w:r>
          </w:p>
        </w:tc>
      </w:tr>
      <w:tr w:rsidR="00117D7E" w14:paraId="78C746E9" w14:textId="77777777">
        <w:trPr>
          <w:trHeight w:val="25"/>
          <w:jc w:val="center"/>
        </w:trPr>
        <w:tc>
          <w:tcPr>
            <w:tcW w:w="9637" w:type="dxa"/>
            <w:tcBorders>
              <w:left w:val="single" w:sz="4" w:space="0" w:color="000000"/>
              <w:bottom w:val="single" w:sz="4" w:space="0" w:color="000000"/>
              <w:right w:val="single" w:sz="4" w:space="0" w:color="000000"/>
            </w:tcBorders>
            <w:shd w:val="clear" w:color="auto" w:fill="B4C6E7"/>
            <w:vAlign w:val="center"/>
          </w:tcPr>
          <w:p w14:paraId="4A6CB08E" w14:textId="77777777" w:rsidR="00117D7E" w:rsidRDefault="00117D7E">
            <w:pPr>
              <w:widowControl w:val="0"/>
              <w:spacing w:before="57" w:after="0" w:line="240" w:lineRule="auto"/>
              <w:jc w:val="center"/>
              <w:textAlignment w:val="center"/>
              <w:rPr>
                <w:rFonts w:ascii="Arial" w:eastAsia="Arial" w:hAnsi="Arial" w:cs="Arial"/>
                <w:color w:val="auto"/>
                <w:kern w:val="2"/>
                <w:sz w:val="20"/>
                <w:szCs w:val="20"/>
                <w:lang w:eastAsia="zh-CN" w:bidi="hi-IN"/>
              </w:rPr>
            </w:pPr>
          </w:p>
          <w:p w14:paraId="46BE1BD7" w14:textId="63602958" w:rsidR="00117D7E" w:rsidRPr="007D52C0" w:rsidRDefault="00071B24">
            <w:pPr>
              <w:widowControl w:val="0"/>
              <w:spacing w:before="57" w:after="0" w:line="240" w:lineRule="auto"/>
              <w:jc w:val="center"/>
              <w:textAlignment w:val="center"/>
              <w:rPr>
                <w:rFonts w:ascii="Arial" w:eastAsia="Arial" w:hAnsi="Arial" w:cs="Arial"/>
                <w:color w:val="FF0000"/>
                <w:kern w:val="2"/>
                <w:sz w:val="20"/>
                <w:szCs w:val="20"/>
                <w:lang w:eastAsia="zh-CN" w:bidi="hi-IN"/>
              </w:rPr>
            </w:pPr>
            <w:r w:rsidRPr="007D52C0">
              <w:rPr>
                <w:rFonts w:ascii="Arial" w:eastAsia="Arial" w:hAnsi="Arial" w:cs="Arial"/>
                <w:b/>
                <w:bCs/>
                <w:color w:val="auto"/>
                <w:kern w:val="2"/>
                <w:sz w:val="24"/>
                <w:szCs w:val="24"/>
                <w:lang w:eastAsia="zh-CN" w:bidi="hi-IN"/>
              </w:rPr>
              <w:t xml:space="preserve">Numéro de consultation : </w:t>
            </w:r>
            <w:r w:rsidRPr="007D52C0">
              <w:rPr>
                <w:rFonts w:ascii="Arial" w:eastAsia="Arial" w:hAnsi="Arial" w:cs="Arial"/>
                <w:b/>
                <w:bCs/>
                <w:kern w:val="2"/>
                <w:sz w:val="24"/>
                <w:szCs w:val="24"/>
                <w:lang w:eastAsia="zh-CN" w:bidi="hi-IN"/>
              </w:rPr>
              <w:t>DDT</w:t>
            </w:r>
            <w:r w:rsidR="007C1EB5" w:rsidRPr="007D52C0">
              <w:rPr>
                <w:rFonts w:ascii="Arial" w:eastAsia="Arial" w:hAnsi="Arial" w:cs="Arial"/>
                <w:b/>
                <w:bCs/>
                <w:kern w:val="2"/>
                <w:sz w:val="24"/>
                <w:szCs w:val="24"/>
                <w:lang w:eastAsia="zh-CN" w:bidi="hi-IN"/>
              </w:rPr>
              <w:t>-2024-075</w:t>
            </w:r>
          </w:p>
          <w:p w14:paraId="063EE24C" w14:textId="77777777" w:rsidR="00117D7E" w:rsidRDefault="00117D7E">
            <w:pPr>
              <w:widowControl w:val="0"/>
              <w:spacing w:before="57" w:after="0" w:line="240" w:lineRule="auto"/>
              <w:jc w:val="center"/>
              <w:textAlignment w:val="center"/>
              <w:rPr>
                <w:rFonts w:ascii="Arial" w:eastAsia="Arial" w:hAnsi="Arial" w:cs="Arial"/>
                <w:color w:val="FF0000"/>
                <w:kern w:val="2"/>
                <w:sz w:val="20"/>
                <w:szCs w:val="20"/>
                <w:lang w:eastAsia="zh-CN" w:bidi="hi-IN"/>
              </w:rPr>
            </w:pPr>
          </w:p>
          <w:p w14:paraId="357C3342" w14:textId="77777777" w:rsidR="00117D7E" w:rsidRDefault="00117D7E">
            <w:pPr>
              <w:widowControl w:val="0"/>
              <w:spacing w:before="57" w:after="0" w:line="240" w:lineRule="auto"/>
              <w:textAlignment w:val="center"/>
              <w:rPr>
                <w:rFonts w:ascii="Liberation Serif" w:eastAsia="SimSun" w:hAnsi="Liberation Serif" w:cs="Lucida Sans"/>
                <w:color w:val="auto"/>
                <w:kern w:val="2"/>
                <w:sz w:val="24"/>
                <w:szCs w:val="24"/>
                <w:lang w:eastAsia="zh-CN" w:bidi="hi-IN"/>
              </w:rPr>
            </w:pPr>
          </w:p>
        </w:tc>
      </w:tr>
    </w:tbl>
    <w:p w14:paraId="0FF853FB" w14:textId="77777777" w:rsidR="00117D7E" w:rsidRDefault="00071B24">
      <w:pPr>
        <w:spacing w:after="0"/>
        <w:ind w:left="40"/>
        <w:jc w:val="center"/>
        <w:rPr>
          <w:rFonts w:ascii="Arial" w:hAnsi="Arial" w:cs="Arial"/>
        </w:rPr>
      </w:pPr>
      <w:r>
        <w:rPr>
          <w:rFonts w:ascii="Arial" w:eastAsia="Arial" w:hAnsi="Arial" w:cs="Arial"/>
          <w:b/>
          <w:sz w:val="32"/>
        </w:rPr>
        <w:t xml:space="preserve"> </w:t>
      </w:r>
    </w:p>
    <w:p w14:paraId="6888C135" w14:textId="77777777" w:rsidR="00117D7E" w:rsidRDefault="00117D7E" w:rsidP="007D52C0">
      <w:pPr>
        <w:spacing w:after="0"/>
        <w:rPr>
          <w:rFonts w:ascii="Arial" w:hAnsi="Arial" w:cs="Arial"/>
        </w:rPr>
      </w:pPr>
    </w:p>
    <w:p w14:paraId="61690683" w14:textId="77777777" w:rsidR="00117D7E" w:rsidRDefault="00117D7E">
      <w:pPr>
        <w:spacing w:after="0"/>
        <w:ind w:left="40"/>
        <w:rPr>
          <w:rFonts w:ascii="Arial" w:hAnsi="Arial" w:cs="Arial"/>
        </w:rPr>
      </w:pPr>
    </w:p>
    <w:p w14:paraId="152BBDE3" w14:textId="77777777" w:rsidR="00117D7E" w:rsidRDefault="00117D7E">
      <w:pPr>
        <w:spacing w:after="0"/>
        <w:ind w:left="40"/>
        <w:rPr>
          <w:rFonts w:ascii="Arial" w:hAnsi="Arial" w:cs="Arial"/>
        </w:rPr>
      </w:pPr>
    </w:p>
    <w:p w14:paraId="4A206F54" w14:textId="62C4169E" w:rsidR="00117D7E" w:rsidRDefault="00117D7E">
      <w:pPr>
        <w:spacing w:after="0"/>
        <w:rPr>
          <w:rFonts w:ascii="Arial" w:hAnsi="Arial" w:cs="Arial"/>
        </w:rPr>
      </w:pPr>
    </w:p>
    <w:p w14:paraId="17A49FC4" w14:textId="77777777" w:rsidR="00C47DF4" w:rsidRDefault="00C47DF4">
      <w:pPr>
        <w:spacing w:after="0"/>
        <w:rPr>
          <w:rFonts w:ascii="Arial" w:hAnsi="Arial" w:cs="Arial"/>
        </w:rPr>
      </w:pPr>
    </w:p>
    <w:p w14:paraId="595BB664" w14:textId="77777777" w:rsidR="00117D7E" w:rsidRDefault="00117D7E">
      <w:pPr>
        <w:spacing w:after="0"/>
        <w:rPr>
          <w:rFonts w:ascii="Arial" w:hAnsi="Arial" w:cs="Arial"/>
        </w:rPr>
      </w:pPr>
    </w:p>
    <w:p w14:paraId="2E71021B" w14:textId="77777777" w:rsidR="00117D7E" w:rsidRDefault="00117D7E">
      <w:pPr>
        <w:spacing w:after="0"/>
        <w:ind w:left="40"/>
        <w:jc w:val="center"/>
        <w:rPr>
          <w:rFonts w:ascii="Arial" w:hAnsi="Arial" w:cs="Arial"/>
        </w:rPr>
      </w:pPr>
    </w:p>
    <w:tbl>
      <w:tblPr>
        <w:tblStyle w:val="TableGrid"/>
        <w:tblW w:w="9090" w:type="dxa"/>
        <w:tblInd w:w="3" w:type="dxa"/>
        <w:tblLayout w:type="fixed"/>
        <w:tblCellMar>
          <w:top w:w="57" w:type="dxa"/>
          <w:left w:w="55" w:type="dxa"/>
          <w:right w:w="115" w:type="dxa"/>
        </w:tblCellMar>
        <w:tblLook w:val="04A0" w:firstRow="1" w:lastRow="0" w:firstColumn="1" w:lastColumn="0" w:noHBand="0" w:noVBand="1"/>
      </w:tblPr>
      <w:tblGrid>
        <w:gridCol w:w="2839"/>
        <w:gridCol w:w="6251"/>
      </w:tblGrid>
      <w:tr w:rsidR="00117D7E" w14:paraId="2606DE28" w14:textId="77777777">
        <w:trPr>
          <w:trHeight w:val="389"/>
        </w:trPr>
        <w:tc>
          <w:tcPr>
            <w:tcW w:w="2839" w:type="dxa"/>
            <w:tcBorders>
              <w:top w:val="single" w:sz="2" w:space="0" w:color="000000"/>
              <w:left w:val="single" w:sz="2" w:space="0" w:color="000000"/>
              <w:bottom w:val="single" w:sz="2" w:space="0" w:color="000000"/>
              <w:right w:val="single" w:sz="2" w:space="0" w:color="000000"/>
            </w:tcBorders>
          </w:tcPr>
          <w:p w14:paraId="406A8F3D" w14:textId="77777777" w:rsidR="00117D7E" w:rsidRDefault="00071B24">
            <w:pPr>
              <w:widowControl w:val="0"/>
              <w:spacing w:after="0" w:line="240" w:lineRule="auto"/>
              <w:rPr>
                <w:rFonts w:ascii="Arial" w:hAnsi="Arial" w:cs="Arial"/>
                <w:sz w:val="20"/>
                <w:szCs w:val="20"/>
              </w:rPr>
            </w:pPr>
            <w:r>
              <w:rPr>
                <w:rFonts w:ascii="Arial" w:eastAsia="Arial" w:hAnsi="Arial" w:cs="Arial"/>
                <w:b/>
                <w:sz w:val="20"/>
                <w:szCs w:val="20"/>
              </w:rPr>
              <w:t>Nom du candidat</w:t>
            </w:r>
            <w:r>
              <w:rPr>
                <w:rStyle w:val="Appelnotedebasdep"/>
                <w:rFonts w:ascii="Arial" w:eastAsia="Arial" w:hAnsi="Arial" w:cs="Arial"/>
                <w:b/>
                <w:sz w:val="20"/>
                <w:szCs w:val="20"/>
              </w:rPr>
              <w:footnoteReference w:id="1"/>
            </w:r>
          </w:p>
        </w:tc>
        <w:tc>
          <w:tcPr>
            <w:tcW w:w="6250" w:type="dxa"/>
            <w:tcBorders>
              <w:top w:val="single" w:sz="2" w:space="0" w:color="000000"/>
              <w:left w:val="single" w:sz="2" w:space="0" w:color="000000"/>
              <w:bottom w:val="single" w:sz="2" w:space="0" w:color="000000"/>
              <w:right w:val="single" w:sz="2" w:space="0" w:color="000000"/>
            </w:tcBorders>
          </w:tcPr>
          <w:p w14:paraId="5305F14C" w14:textId="77777777" w:rsidR="00117D7E" w:rsidRDefault="00117D7E">
            <w:pPr>
              <w:widowControl w:val="0"/>
              <w:spacing w:after="0" w:line="240" w:lineRule="auto"/>
              <w:rPr>
                <w:rFonts w:ascii="Arial" w:hAnsi="Arial" w:cs="Arial"/>
                <w:sz w:val="20"/>
                <w:szCs w:val="20"/>
              </w:rPr>
            </w:pPr>
          </w:p>
        </w:tc>
      </w:tr>
      <w:tr w:rsidR="00117D7E" w14:paraId="06A86D2D" w14:textId="77777777">
        <w:trPr>
          <w:trHeight w:val="341"/>
        </w:trPr>
        <w:tc>
          <w:tcPr>
            <w:tcW w:w="2839" w:type="dxa"/>
            <w:tcBorders>
              <w:top w:val="single" w:sz="2" w:space="0" w:color="000000"/>
              <w:left w:val="single" w:sz="2" w:space="0" w:color="000000"/>
              <w:bottom w:val="single" w:sz="2" w:space="0" w:color="000000"/>
              <w:right w:val="single" w:sz="2" w:space="0" w:color="000000"/>
            </w:tcBorders>
          </w:tcPr>
          <w:p w14:paraId="70856D6F" w14:textId="77777777" w:rsidR="00117D7E" w:rsidRDefault="00071B24">
            <w:pPr>
              <w:widowControl w:val="0"/>
              <w:spacing w:after="0" w:line="240" w:lineRule="auto"/>
              <w:rPr>
                <w:rFonts w:ascii="Arial" w:hAnsi="Arial" w:cs="Arial"/>
                <w:sz w:val="20"/>
                <w:szCs w:val="20"/>
              </w:rPr>
            </w:pPr>
            <w:r>
              <w:rPr>
                <w:rFonts w:ascii="Arial" w:eastAsia="Arial" w:hAnsi="Arial" w:cs="Arial"/>
                <w:b/>
                <w:sz w:val="20"/>
                <w:szCs w:val="20"/>
              </w:rPr>
              <w:t>Adresse</w:t>
            </w:r>
          </w:p>
        </w:tc>
        <w:tc>
          <w:tcPr>
            <w:tcW w:w="6250" w:type="dxa"/>
            <w:tcBorders>
              <w:top w:val="single" w:sz="2" w:space="0" w:color="000000"/>
              <w:left w:val="single" w:sz="2" w:space="0" w:color="000000"/>
              <w:bottom w:val="single" w:sz="2" w:space="0" w:color="000000"/>
              <w:right w:val="single" w:sz="2" w:space="0" w:color="000000"/>
            </w:tcBorders>
          </w:tcPr>
          <w:p w14:paraId="49C43169" w14:textId="77777777" w:rsidR="00117D7E" w:rsidRDefault="00117D7E">
            <w:pPr>
              <w:widowControl w:val="0"/>
              <w:spacing w:after="0" w:line="240" w:lineRule="auto"/>
              <w:rPr>
                <w:rFonts w:ascii="Arial" w:hAnsi="Arial" w:cs="Arial"/>
                <w:sz w:val="20"/>
                <w:szCs w:val="20"/>
              </w:rPr>
            </w:pPr>
          </w:p>
        </w:tc>
      </w:tr>
      <w:tr w:rsidR="00117D7E" w14:paraId="2B0AA61A" w14:textId="77777777">
        <w:trPr>
          <w:trHeight w:val="341"/>
        </w:trPr>
        <w:tc>
          <w:tcPr>
            <w:tcW w:w="2839" w:type="dxa"/>
            <w:tcBorders>
              <w:top w:val="single" w:sz="2" w:space="0" w:color="000000"/>
              <w:left w:val="single" w:sz="2" w:space="0" w:color="000000"/>
              <w:bottom w:val="single" w:sz="2" w:space="0" w:color="000000"/>
              <w:right w:val="single" w:sz="2" w:space="0" w:color="000000"/>
            </w:tcBorders>
          </w:tcPr>
          <w:p w14:paraId="06711DA2" w14:textId="77777777" w:rsidR="00117D7E" w:rsidRDefault="00071B24">
            <w:pPr>
              <w:widowControl w:val="0"/>
              <w:spacing w:after="0" w:line="240" w:lineRule="auto"/>
              <w:rPr>
                <w:rFonts w:ascii="Arial" w:hAnsi="Arial" w:cs="Arial"/>
                <w:sz w:val="20"/>
                <w:szCs w:val="20"/>
              </w:rPr>
            </w:pPr>
            <w:r>
              <w:rPr>
                <w:rFonts w:ascii="Arial" w:eastAsia="Arial" w:hAnsi="Arial" w:cs="Arial"/>
                <w:b/>
                <w:sz w:val="20"/>
                <w:szCs w:val="20"/>
              </w:rPr>
              <w:t>Contact</w:t>
            </w:r>
          </w:p>
        </w:tc>
        <w:tc>
          <w:tcPr>
            <w:tcW w:w="6250" w:type="dxa"/>
            <w:tcBorders>
              <w:top w:val="single" w:sz="2" w:space="0" w:color="000000"/>
              <w:left w:val="single" w:sz="2" w:space="0" w:color="000000"/>
              <w:bottom w:val="single" w:sz="2" w:space="0" w:color="000000"/>
              <w:right w:val="single" w:sz="2" w:space="0" w:color="000000"/>
            </w:tcBorders>
          </w:tcPr>
          <w:p w14:paraId="3C8A91DD" w14:textId="77777777" w:rsidR="00117D7E" w:rsidRDefault="00117D7E">
            <w:pPr>
              <w:widowControl w:val="0"/>
              <w:spacing w:after="0" w:line="240" w:lineRule="auto"/>
              <w:rPr>
                <w:rFonts w:ascii="Arial" w:hAnsi="Arial" w:cs="Arial"/>
                <w:sz w:val="20"/>
                <w:szCs w:val="20"/>
              </w:rPr>
            </w:pPr>
          </w:p>
        </w:tc>
      </w:tr>
      <w:tr w:rsidR="00117D7E" w14:paraId="42A387DC" w14:textId="77777777">
        <w:trPr>
          <w:trHeight w:val="338"/>
        </w:trPr>
        <w:tc>
          <w:tcPr>
            <w:tcW w:w="2839" w:type="dxa"/>
            <w:tcBorders>
              <w:top w:val="single" w:sz="2" w:space="0" w:color="000000"/>
              <w:left w:val="single" w:sz="2" w:space="0" w:color="000000"/>
              <w:bottom w:val="single" w:sz="2" w:space="0" w:color="000000"/>
              <w:right w:val="single" w:sz="2" w:space="0" w:color="000000"/>
            </w:tcBorders>
          </w:tcPr>
          <w:p w14:paraId="5292EC9D" w14:textId="77777777" w:rsidR="00117D7E" w:rsidRDefault="00071B24">
            <w:pPr>
              <w:widowControl w:val="0"/>
              <w:spacing w:after="0" w:line="240" w:lineRule="auto"/>
              <w:rPr>
                <w:rFonts w:ascii="Arial" w:hAnsi="Arial" w:cs="Arial"/>
                <w:sz w:val="20"/>
                <w:szCs w:val="20"/>
              </w:rPr>
            </w:pPr>
            <w:r>
              <w:rPr>
                <w:rFonts w:ascii="Arial" w:eastAsia="Arial" w:hAnsi="Arial" w:cs="Arial"/>
                <w:b/>
                <w:sz w:val="20"/>
                <w:szCs w:val="20"/>
              </w:rPr>
              <w:t>Téléphone</w:t>
            </w:r>
          </w:p>
        </w:tc>
        <w:tc>
          <w:tcPr>
            <w:tcW w:w="6250" w:type="dxa"/>
            <w:tcBorders>
              <w:top w:val="single" w:sz="2" w:space="0" w:color="000000"/>
              <w:left w:val="single" w:sz="2" w:space="0" w:color="000000"/>
              <w:bottom w:val="single" w:sz="2" w:space="0" w:color="000000"/>
              <w:right w:val="single" w:sz="2" w:space="0" w:color="000000"/>
            </w:tcBorders>
          </w:tcPr>
          <w:p w14:paraId="698C3393" w14:textId="77777777" w:rsidR="00117D7E" w:rsidRDefault="00117D7E">
            <w:pPr>
              <w:widowControl w:val="0"/>
              <w:spacing w:after="0" w:line="240" w:lineRule="auto"/>
              <w:rPr>
                <w:rFonts w:ascii="Arial" w:hAnsi="Arial" w:cs="Arial"/>
                <w:sz w:val="20"/>
                <w:szCs w:val="20"/>
              </w:rPr>
            </w:pPr>
          </w:p>
        </w:tc>
      </w:tr>
      <w:tr w:rsidR="00117D7E" w14:paraId="0FB4EA62" w14:textId="77777777">
        <w:trPr>
          <w:trHeight w:val="341"/>
        </w:trPr>
        <w:tc>
          <w:tcPr>
            <w:tcW w:w="2839" w:type="dxa"/>
            <w:tcBorders>
              <w:top w:val="single" w:sz="2" w:space="0" w:color="000000"/>
              <w:left w:val="single" w:sz="2" w:space="0" w:color="000000"/>
              <w:bottom w:val="single" w:sz="2" w:space="0" w:color="000000"/>
              <w:right w:val="single" w:sz="2" w:space="0" w:color="000000"/>
            </w:tcBorders>
          </w:tcPr>
          <w:p w14:paraId="169FED9F" w14:textId="77777777" w:rsidR="00117D7E" w:rsidRDefault="00071B24">
            <w:pPr>
              <w:widowControl w:val="0"/>
              <w:spacing w:after="0" w:line="240" w:lineRule="auto"/>
              <w:rPr>
                <w:rFonts w:ascii="Arial" w:hAnsi="Arial" w:cs="Arial"/>
                <w:sz w:val="20"/>
                <w:szCs w:val="20"/>
              </w:rPr>
            </w:pPr>
            <w:r>
              <w:rPr>
                <w:rFonts w:ascii="Arial" w:eastAsia="Arial" w:hAnsi="Arial" w:cs="Arial"/>
                <w:b/>
                <w:sz w:val="20"/>
                <w:szCs w:val="20"/>
              </w:rPr>
              <w:t>Mail</w:t>
            </w:r>
          </w:p>
        </w:tc>
        <w:tc>
          <w:tcPr>
            <w:tcW w:w="6250" w:type="dxa"/>
            <w:tcBorders>
              <w:top w:val="single" w:sz="2" w:space="0" w:color="000000"/>
              <w:left w:val="single" w:sz="2" w:space="0" w:color="000000"/>
              <w:bottom w:val="single" w:sz="2" w:space="0" w:color="000000"/>
              <w:right w:val="single" w:sz="2" w:space="0" w:color="000000"/>
            </w:tcBorders>
          </w:tcPr>
          <w:p w14:paraId="106BB96B" w14:textId="77777777" w:rsidR="00117D7E" w:rsidRDefault="00117D7E">
            <w:pPr>
              <w:widowControl w:val="0"/>
              <w:spacing w:after="0" w:line="240" w:lineRule="auto"/>
              <w:rPr>
                <w:rFonts w:ascii="Arial" w:hAnsi="Arial" w:cs="Arial"/>
                <w:sz w:val="20"/>
                <w:szCs w:val="20"/>
              </w:rPr>
            </w:pPr>
          </w:p>
        </w:tc>
      </w:tr>
    </w:tbl>
    <w:p w14:paraId="2A906108" w14:textId="77777777" w:rsidR="00117D7E" w:rsidRDefault="00117D7E">
      <w:pPr>
        <w:spacing w:after="0"/>
        <w:ind w:left="29"/>
        <w:jc w:val="center"/>
        <w:rPr>
          <w:rFonts w:ascii="Arial" w:hAnsi="Arial" w:cs="Arial"/>
        </w:rPr>
      </w:pPr>
    </w:p>
    <w:p w14:paraId="7FE748EB" w14:textId="77777777" w:rsidR="00117D7E" w:rsidRDefault="00117D7E">
      <w:pPr>
        <w:spacing w:after="0"/>
        <w:ind w:left="29"/>
        <w:jc w:val="center"/>
        <w:rPr>
          <w:rFonts w:ascii="Arial" w:hAnsi="Arial" w:cs="Arial"/>
        </w:rPr>
      </w:pPr>
    </w:p>
    <w:p w14:paraId="66E5577B" w14:textId="77777777" w:rsidR="00117D7E" w:rsidRDefault="00117D7E">
      <w:pPr>
        <w:spacing w:after="0"/>
        <w:ind w:left="29"/>
        <w:jc w:val="center"/>
        <w:rPr>
          <w:rFonts w:ascii="Arial" w:hAnsi="Arial" w:cs="Arial"/>
        </w:rPr>
      </w:pPr>
    </w:p>
    <w:p w14:paraId="0759EA1F" w14:textId="77777777" w:rsidR="00117D7E" w:rsidRDefault="00117D7E">
      <w:pPr>
        <w:spacing w:after="0"/>
        <w:ind w:left="29"/>
        <w:jc w:val="center"/>
        <w:rPr>
          <w:rFonts w:ascii="Arial" w:hAnsi="Arial" w:cs="Arial"/>
        </w:rPr>
      </w:pPr>
    </w:p>
    <w:p w14:paraId="1F7751F9" w14:textId="77777777" w:rsidR="00117D7E" w:rsidRDefault="00071B24">
      <w:pPr>
        <w:spacing w:after="0"/>
        <w:ind w:right="46"/>
        <w:jc w:val="center"/>
        <w:rPr>
          <w:rFonts w:ascii="Arial" w:hAnsi="Arial" w:cs="Arial"/>
          <w:sz w:val="36"/>
          <w:szCs w:val="36"/>
        </w:rPr>
      </w:pPr>
      <w:r>
        <w:rPr>
          <w:rFonts w:ascii="Arial" w:eastAsia="Arial" w:hAnsi="Arial" w:cs="Arial"/>
          <w:b/>
          <w:sz w:val="36"/>
          <w:szCs w:val="36"/>
          <w:u w:val="single" w:color="000000"/>
        </w:rPr>
        <w:t>CONSIGNES</w:t>
      </w:r>
      <w:r>
        <w:rPr>
          <w:rFonts w:ascii="Arial" w:eastAsia="Arial" w:hAnsi="Arial" w:cs="Arial"/>
          <w:b/>
          <w:sz w:val="36"/>
          <w:szCs w:val="36"/>
        </w:rPr>
        <w:t xml:space="preserve"> </w:t>
      </w:r>
    </w:p>
    <w:p w14:paraId="3F908577" w14:textId="77777777" w:rsidR="00117D7E" w:rsidRDefault="00071B24">
      <w:pPr>
        <w:spacing w:after="0"/>
        <w:ind w:left="62"/>
        <w:jc w:val="center"/>
        <w:rPr>
          <w:rFonts w:ascii="Arial" w:hAnsi="Arial" w:cs="Arial"/>
          <w:sz w:val="18"/>
          <w:szCs w:val="18"/>
        </w:rPr>
      </w:pPr>
      <w:r>
        <w:rPr>
          <w:rFonts w:ascii="Arial" w:eastAsia="Arial" w:hAnsi="Arial" w:cs="Arial"/>
          <w:b/>
          <w:sz w:val="40"/>
        </w:rPr>
        <w:t xml:space="preserve"> </w:t>
      </w:r>
    </w:p>
    <w:p w14:paraId="265CEF10" w14:textId="77777777" w:rsidR="00117D7E" w:rsidRDefault="00071B24">
      <w:pPr>
        <w:spacing w:after="0"/>
        <w:rPr>
          <w:rFonts w:ascii="Arial" w:hAnsi="Arial" w:cs="Arial"/>
          <w:sz w:val="18"/>
          <w:szCs w:val="18"/>
        </w:rPr>
      </w:pPr>
      <w:r>
        <w:rPr>
          <w:rFonts w:ascii="Arial" w:eastAsia="Arial" w:hAnsi="Arial" w:cs="Arial"/>
          <w:b/>
          <w:sz w:val="18"/>
          <w:szCs w:val="18"/>
        </w:rPr>
        <w:t xml:space="preserve"> </w:t>
      </w:r>
    </w:p>
    <w:p w14:paraId="564C0191" w14:textId="77777777" w:rsidR="00117D7E" w:rsidRDefault="00071B24">
      <w:pPr>
        <w:spacing w:after="4" w:line="264" w:lineRule="auto"/>
        <w:ind w:left="-5" w:right="33" w:hanging="10"/>
        <w:jc w:val="both"/>
        <w:rPr>
          <w:rFonts w:ascii="Arial" w:hAnsi="Arial" w:cs="Arial"/>
          <w:sz w:val="20"/>
          <w:szCs w:val="20"/>
        </w:rPr>
      </w:pPr>
      <w:r>
        <w:rPr>
          <w:rFonts w:ascii="Arial" w:eastAsia="Arial" w:hAnsi="Arial" w:cs="Arial"/>
          <w:sz w:val="20"/>
          <w:szCs w:val="20"/>
        </w:rPr>
        <w:t>Le rôle du cadre de réponse est de pouvoir évaluer la valeur technique de l’offre du candidat.</w:t>
      </w:r>
    </w:p>
    <w:p w14:paraId="3CE4FFD4" w14:textId="77777777" w:rsidR="00117D7E" w:rsidRDefault="00071B24">
      <w:pPr>
        <w:spacing w:after="0"/>
        <w:rPr>
          <w:rFonts w:ascii="Arial" w:hAnsi="Arial" w:cs="Arial"/>
          <w:sz w:val="20"/>
          <w:szCs w:val="20"/>
        </w:rPr>
      </w:pPr>
      <w:r>
        <w:rPr>
          <w:rFonts w:ascii="Arial" w:eastAsia="Arial" w:hAnsi="Arial" w:cs="Arial"/>
          <w:sz w:val="20"/>
          <w:szCs w:val="20"/>
        </w:rPr>
        <w:t xml:space="preserve"> </w:t>
      </w:r>
    </w:p>
    <w:p w14:paraId="38372DED" w14:textId="77777777" w:rsidR="00117D7E" w:rsidRDefault="00071B24">
      <w:pPr>
        <w:spacing w:after="4" w:line="264" w:lineRule="auto"/>
        <w:ind w:left="-5" w:right="33" w:hanging="10"/>
        <w:jc w:val="both"/>
        <w:rPr>
          <w:rFonts w:ascii="Arial" w:hAnsi="Arial" w:cs="Arial"/>
          <w:sz w:val="20"/>
          <w:szCs w:val="20"/>
        </w:rPr>
      </w:pPr>
      <w:r>
        <w:rPr>
          <w:rFonts w:ascii="Arial" w:eastAsia="Arial" w:hAnsi="Arial" w:cs="Arial"/>
          <w:sz w:val="20"/>
          <w:szCs w:val="20"/>
        </w:rPr>
        <w:t>L’offre du candidat devra suivre le plan décrit ci-après. Il devra développer dans chaque partie et éventuelle sous-partie les éléments souhaités, afin de répondre au cahier des charges. Tout autre élément développé ne sera pas pris en compte.</w:t>
      </w:r>
    </w:p>
    <w:p w14:paraId="37E9A2A2" w14:textId="77777777" w:rsidR="00117D7E" w:rsidRDefault="00071B24">
      <w:pPr>
        <w:spacing w:after="0"/>
        <w:rPr>
          <w:rFonts w:ascii="Arial" w:hAnsi="Arial" w:cs="Arial"/>
          <w:sz w:val="20"/>
          <w:szCs w:val="20"/>
        </w:rPr>
      </w:pPr>
      <w:r>
        <w:rPr>
          <w:rFonts w:ascii="Arial" w:eastAsia="Arial" w:hAnsi="Arial" w:cs="Arial"/>
          <w:sz w:val="20"/>
          <w:szCs w:val="20"/>
        </w:rPr>
        <w:t xml:space="preserve"> </w:t>
      </w:r>
    </w:p>
    <w:p w14:paraId="1910E9E9" w14:textId="77777777" w:rsidR="00117D7E" w:rsidRDefault="00071B24">
      <w:pPr>
        <w:spacing w:after="4" w:line="264" w:lineRule="auto"/>
        <w:ind w:left="-5" w:right="33" w:hanging="10"/>
        <w:jc w:val="both"/>
        <w:rPr>
          <w:rFonts w:ascii="Arial" w:hAnsi="Arial" w:cs="Arial"/>
          <w:sz w:val="20"/>
          <w:szCs w:val="20"/>
        </w:rPr>
      </w:pPr>
      <w:r>
        <w:rPr>
          <w:rFonts w:ascii="Arial" w:eastAsia="Arial" w:hAnsi="Arial" w:cs="Arial"/>
          <w:sz w:val="20"/>
          <w:szCs w:val="20"/>
        </w:rPr>
        <w:t>Les candidats ne sont pas autorisés à faire des renvois à des éventuelles annexes sauf si cela est expressément autorisé.</w:t>
      </w:r>
    </w:p>
    <w:p w14:paraId="38EA46F1" w14:textId="77777777" w:rsidR="00117D7E" w:rsidRDefault="00071B24">
      <w:pPr>
        <w:spacing w:after="0"/>
        <w:rPr>
          <w:rFonts w:ascii="Arial" w:hAnsi="Arial" w:cs="Arial"/>
          <w:sz w:val="20"/>
          <w:szCs w:val="20"/>
        </w:rPr>
      </w:pPr>
      <w:r>
        <w:rPr>
          <w:rFonts w:ascii="Arial" w:eastAsia="Arial" w:hAnsi="Arial" w:cs="Arial"/>
          <w:sz w:val="20"/>
          <w:szCs w:val="20"/>
        </w:rPr>
        <w:t xml:space="preserve"> </w:t>
      </w:r>
    </w:p>
    <w:p w14:paraId="0EB06757" w14:textId="77777777" w:rsidR="00117D7E" w:rsidRDefault="00071B24">
      <w:pPr>
        <w:spacing w:after="0" w:line="276" w:lineRule="auto"/>
        <w:rPr>
          <w:rFonts w:ascii="Arial" w:hAnsi="Arial" w:cs="Arial"/>
          <w:sz w:val="20"/>
          <w:szCs w:val="20"/>
        </w:rPr>
      </w:pPr>
      <w:r>
        <w:rPr>
          <w:rFonts w:ascii="Arial" w:eastAsia="Arial" w:hAnsi="Arial" w:cs="Arial"/>
          <w:b/>
          <w:sz w:val="20"/>
          <w:szCs w:val="20"/>
          <w:u w:val="single" w:color="000000"/>
        </w:rPr>
        <w:t>Le cadre de réponse est un document obligatoire. Toute offre ne se présentant pas sous cette</w:t>
      </w:r>
      <w:r>
        <w:rPr>
          <w:rFonts w:ascii="Arial" w:eastAsia="Arial" w:hAnsi="Arial" w:cs="Arial"/>
          <w:b/>
          <w:sz w:val="20"/>
          <w:szCs w:val="20"/>
        </w:rPr>
        <w:t xml:space="preserve"> </w:t>
      </w:r>
      <w:r>
        <w:rPr>
          <w:rFonts w:ascii="Arial" w:eastAsia="Arial" w:hAnsi="Arial" w:cs="Arial"/>
          <w:b/>
          <w:sz w:val="20"/>
          <w:szCs w:val="20"/>
          <w:u w:val="single" w:color="000000"/>
        </w:rPr>
        <w:t>forme sera déclarée irrégulière sans possibilité de la régulariser</w:t>
      </w:r>
      <w:r>
        <w:rPr>
          <w:rFonts w:ascii="Arial" w:eastAsia="Arial" w:hAnsi="Arial" w:cs="Arial"/>
          <w:sz w:val="20"/>
          <w:szCs w:val="20"/>
        </w:rPr>
        <w:t xml:space="preserve">. </w:t>
      </w:r>
    </w:p>
    <w:p w14:paraId="20793BA4" w14:textId="77777777" w:rsidR="00117D7E" w:rsidRDefault="00071B24">
      <w:pPr>
        <w:spacing w:after="18"/>
        <w:rPr>
          <w:rFonts w:ascii="Arial" w:hAnsi="Arial" w:cs="Arial"/>
          <w:sz w:val="20"/>
          <w:szCs w:val="20"/>
        </w:rPr>
      </w:pPr>
      <w:r>
        <w:rPr>
          <w:rFonts w:ascii="Arial" w:eastAsia="Arial" w:hAnsi="Arial" w:cs="Arial"/>
          <w:b/>
          <w:sz w:val="20"/>
          <w:szCs w:val="20"/>
        </w:rPr>
        <w:t xml:space="preserve"> </w:t>
      </w:r>
    </w:p>
    <w:p w14:paraId="65F1BD8B" w14:textId="50EF2A69" w:rsidR="00117D7E" w:rsidRDefault="00071B24">
      <w:pPr>
        <w:spacing w:after="4" w:line="264" w:lineRule="auto"/>
        <w:ind w:left="-5" w:right="33" w:hanging="10"/>
        <w:jc w:val="both"/>
        <w:rPr>
          <w:rFonts w:ascii="Arial" w:eastAsia="Arial" w:hAnsi="Arial" w:cs="Arial"/>
          <w:sz w:val="20"/>
          <w:szCs w:val="20"/>
        </w:rPr>
      </w:pPr>
      <w:r>
        <w:rPr>
          <w:rFonts w:ascii="Arial" w:eastAsia="Arial" w:hAnsi="Arial" w:cs="Arial"/>
          <w:sz w:val="20"/>
          <w:szCs w:val="20"/>
        </w:rPr>
        <w:t>L’offre du candidat ne devra pas excéder la limite de 30 pages. La page de garde, la page « Consignes »</w:t>
      </w:r>
      <w:r w:rsidR="00C47DF4">
        <w:rPr>
          <w:rFonts w:ascii="Arial" w:eastAsia="Arial" w:hAnsi="Arial" w:cs="Arial"/>
          <w:sz w:val="20"/>
          <w:szCs w:val="20"/>
        </w:rPr>
        <w:t xml:space="preserve">, </w:t>
      </w:r>
      <w:r>
        <w:rPr>
          <w:rFonts w:ascii="Arial" w:eastAsia="Arial" w:hAnsi="Arial" w:cs="Arial"/>
          <w:sz w:val="20"/>
          <w:szCs w:val="20"/>
        </w:rPr>
        <w:t>le sommaire</w:t>
      </w:r>
      <w:r w:rsidR="00C47DF4">
        <w:rPr>
          <w:rFonts w:ascii="Arial" w:eastAsia="Arial" w:hAnsi="Arial" w:cs="Arial"/>
          <w:sz w:val="20"/>
          <w:szCs w:val="20"/>
        </w:rPr>
        <w:t>, les parties « clauses environnementales » et « représentation du titulaire »</w:t>
      </w:r>
      <w:r>
        <w:rPr>
          <w:rFonts w:ascii="Arial" w:eastAsia="Arial" w:hAnsi="Arial" w:cs="Arial"/>
          <w:sz w:val="20"/>
          <w:szCs w:val="20"/>
        </w:rPr>
        <w:t xml:space="preserve"> ne sont pas comptabilisés. Toute page au-delà de la limite fixée ne sera pas prise en compte. Une annexe est possible pour détailler la liste des données à utiliser. </w:t>
      </w:r>
    </w:p>
    <w:p w14:paraId="06017BD4" w14:textId="77777777" w:rsidR="00117D7E" w:rsidRDefault="00117D7E">
      <w:pPr>
        <w:spacing w:after="4" w:line="264" w:lineRule="auto"/>
        <w:ind w:right="33"/>
        <w:jc w:val="both"/>
        <w:rPr>
          <w:rFonts w:ascii="Arial" w:hAnsi="Arial" w:cs="Arial"/>
          <w:sz w:val="20"/>
          <w:szCs w:val="20"/>
        </w:rPr>
      </w:pPr>
    </w:p>
    <w:p w14:paraId="01F830F0" w14:textId="77777777" w:rsidR="00117D7E" w:rsidRDefault="00117D7E">
      <w:pPr>
        <w:pBdr>
          <w:top w:val="single" w:sz="4" w:space="1" w:color="000000"/>
          <w:left w:val="single" w:sz="4" w:space="4" w:color="000000"/>
          <w:bottom w:val="single" w:sz="4" w:space="1" w:color="000000"/>
          <w:right w:val="single" w:sz="4" w:space="4" w:color="000000"/>
        </w:pBdr>
        <w:spacing w:after="4" w:line="264" w:lineRule="auto"/>
        <w:ind w:right="33"/>
        <w:jc w:val="both"/>
        <w:rPr>
          <w:rFonts w:ascii="Arial" w:hAnsi="Arial" w:cs="Arial"/>
          <w:sz w:val="20"/>
          <w:szCs w:val="20"/>
        </w:rPr>
      </w:pPr>
    </w:p>
    <w:p w14:paraId="297A0E27" w14:textId="339E1B0F" w:rsidR="00117D7E" w:rsidRDefault="00071B24">
      <w:pPr>
        <w:pBdr>
          <w:top w:val="single" w:sz="4" w:space="1" w:color="000000"/>
          <w:left w:val="single" w:sz="4" w:space="4" w:color="000000"/>
          <w:bottom w:val="single" w:sz="4" w:space="1" w:color="000000"/>
          <w:right w:val="single" w:sz="4" w:space="4" w:color="000000"/>
        </w:pBdr>
        <w:spacing w:after="4" w:line="264" w:lineRule="auto"/>
        <w:ind w:right="33"/>
        <w:jc w:val="both"/>
      </w:pPr>
      <w:r w:rsidRPr="007D52C0">
        <w:rPr>
          <w:rFonts w:ascii="Arial" w:hAnsi="Arial" w:cs="Arial"/>
          <w:sz w:val="20"/>
          <w:szCs w:val="20"/>
        </w:rPr>
        <w:t>L’offre du candidat portera sur la tranche ferme et le</w:t>
      </w:r>
      <w:r w:rsidR="007D52C0">
        <w:rPr>
          <w:rFonts w:ascii="Arial" w:hAnsi="Arial" w:cs="Arial"/>
          <w:sz w:val="20"/>
          <w:szCs w:val="20"/>
        </w:rPr>
        <w:t>s deux</w:t>
      </w:r>
      <w:r w:rsidRPr="007D52C0">
        <w:rPr>
          <w:rFonts w:ascii="Arial" w:hAnsi="Arial" w:cs="Arial"/>
          <w:sz w:val="20"/>
          <w:szCs w:val="20"/>
        </w:rPr>
        <w:t xml:space="preserve"> tranches optionnelles prévues au présent marché. La réponse du candidat à ces tranches est </w:t>
      </w:r>
      <w:r w:rsidRPr="007D52C0">
        <w:rPr>
          <w:rFonts w:ascii="Arial" w:hAnsi="Arial" w:cs="Arial"/>
          <w:b/>
          <w:sz w:val="20"/>
          <w:szCs w:val="20"/>
        </w:rPr>
        <w:t>obligatoire</w:t>
      </w:r>
      <w:r w:rsidRPr="007D52C0">
        <w:rPr>
          <w:rFonts w:ascii="Arial" w:hAnsi="Arial" w:cs="Arial"/>
          <w:sz w:val="20"/>
          <w:szCs w:val="20"/>
        </w:rPr>
        <w:t>.</w:t>
      </w:r>
    </w:p>
    <w:p w14:paraId="4A7DB307" w14:textId="77777777" w:rsidR="00117D7E" w:rsidRDefault="00117D7E">
      <w:pPr>
        <w:pBdr>
          <w:top w:val="single" w:sz="4" w:space="1" w:color="000000"/>
          <w:left w:val="single" w:sz="4" w:space="4" w:color="000000"/>
          <w:bottom w:val="single" w:sz="4" w:space="1" w:color="000000"/>
          <w:right w:val="single" w:sz="4" w:space="4" w:color="000000"/>
        </w:pBdr>
        <w:spacing w:after="4" w:line="264" w:lineRule="auto"/>
        <w:ind w:right="33"/>
        <w:jc w:val="both"/>
        <w:rPr>
          <w:rFonts w:ascii="Arial" w:hAnsi="Arial" w:cs="Arial"/>
          <w:sz w:val="20"/>
          <w:szCs w:val="20"/>
        </w:rPr>
      </w:pPr>
    </w:p>
    <w:p w14:paraId="534A019D" w14:textId="77777777" w:rsidR="00117D7E" w:rsidRDefault="00117D7E">
      <w:pPr>
        <w:spacing w:after="17"/>
        <w:rPr>
          <w:rFonts w:ascii="Arial" w:hAnsi="Arial" w:cs="Arial"/>
          <w:sz w:val="20"/>
          <w:szCs w:val="20"/>
        </w:rPr>
      </w:pPr>
    </w:p>
    <w:p w14:paraId="592CB75B" w14:textId="77777777" w:rsidR="00117D7E" w:rsidRDefault="00071B24">
      <w:pPr>
        <w:spacing w:after="4" w:line="264" w:lineRule="auto"/>
        <w:ind w:left="-5" w:right="33" w:hanging="10"/>
        <w:jc w:val="both"/>
        <w:rPr>
          <w:rFonts w:ascii="Arial" w:hAnsi="Arial" w:cs="Arial"/>
          <w:sz w:val="20"/>
          <w:szCs w:val="20"/>
        </w:rPr>
      </w:pPr>
      <w:r>
        <w:rPr>
          <w:rFonts w:ascii="Arial" w:eastAsia="Arial" w:hAnsi="Arial" w:cs="Arial"/>
          <w:sz w:val="20"/>
          <w:szCs w:val="20"/>
        </w:rPr>
        <w:t xml:space="preserve">La police utilisée doit être la suivante : Arial de taille 10. </w:t>
      </w:r>
    </w:p>
    <w:p w14:paraId="2382F74D" w14:textId="77777777" w:rsidR="00117D7E" w:rsidRDefault="00117D7E">
      <w:pPr>
        <w:tabs>
          <w:tab w:val="center" w:pos="293"/>
          <w:tab w:val="center" w:pos="3042"/>
        </w:tabs>
        <w:spacing w:after="3" w:line="264" w:lineRule="auto"/>
        <w:rPr>
          <w:rFonts w:ascii="Arial" w:eastAsia="Arial" w:hAnsi="Arial" w:cs="Arial"/>
          <w:sz w:val="20"/>
          <w:szCs w:val="20"/>
        </w:rPr>
      </w:pPr>
    </w:p>
    <w:p w14:paraId="72560542" w14:textId="77777777" w:rsidR="00117D7E" w:rsidRDefault="00117D7E">
      <w:pPr>
        <w:tabs>
          <w:tab w:val="center" w:pos="293"/>
          <w:tab w:val="center" w:pos="3042"/>
        </w:tabs>
        <w:spacing w:after="3" w:line="264" w:lineRule="auto"/>
        <w:rPr>
          <w:rFonts w:ascii="Arial" w:eastAsia="Arial" w:hAnsi="Arial" w:cs="Arial"/>
          <w:sz w:val="20"/>
          <w:szCs w:val="20"/>
        </w:rPr>
      </w:pPr>
    </w:p>
    <w:p w14:paraId="6914AF55" w14:textId="77777777" w:rsidR="00117D7E" w:rsidRDefault="00071B24">
      <w:pPr>
        <w:rPr>
          <w:rFonts w:ascii="Arial" w:eastAsia="Arial" w:hAnsi="Arial" w:cs="Arial"/>
          <w:sz w:val="20"/>
          <w:szCs w:val="20"/>
        </w:rPr>
      </w:pPr>
      <w:r>
        <w:br w:type="page"/>
      </w:r>
    </w:p>
    <w:p w14:paraId="5997418B" w14:textId="77777777" w:rsidR="00117D7E" w:rsidRDefault="00071B24">
      <w:pPr>
        <w:tabs>
          <w:tab w:val="center" w:pos="293"/>
          <w:tab w:val="center" w:pos="3042"/>
        </w:tabs>
        <w:spacing w:after="3" w:line="264" w:lineRule="auto"/>
        <w:rPr>
          <w:rFonts w:ascii="Arial" w:hAnsi="Arial" w:cs="Arial"/>
          <w:sz w:val="20"/>
          <w:szCs w:val="20"/>
        </w:rPr>
      </w:pPr>
      <w:r>
        <w:rPr>
          <w:rFonts w:ascii="Arial" w:eastAsia="Arial" w:hAnsi="Arial" w:cs="Arial"/>
          <w:sz w:val="20"/>
          <w:szCs w:val="20"/>
        </w:rPr>
        <w:lastRenderedPageBreak/>
        <w:t xml:space="preserve">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p w14:paraId="1ABA6064" w14:textId="77777777" w:rsidR="00117D7E" w:rsidRDefault="00117D7E">
      <w:pPr>
        <w:tabs>
          <w:tab w:val="center" w:pos="293"/>
          <w:tab w:val="center" w:pos="3042"/>
        </w:tabs>
        <w:spacing w:after="300" w:line="264" w:lineRule="auto"/>
        <w:jc w:val="both"/>
        <w:rPr>
          <w:rFonts w:ascii="Arial" w:eastAsia="Arial" w:hAnsi="Arial" w:cs="Arial"/>
          <w:b/>
          <w:color w:val="auto"/>
          <w:sz w:val="20"/>
          <w:szCs w:val="20"/>
          <w:u w:val="single"/>
        </w:rPr>
      </w:pPr>
    </w:p>
    <w:p w14:paraId="7B10AF92" w14:textId="77777777" w:rsidR="00117D7E" w:rsidRDefault="00071B24">
      <w:pPr>
        <w:tabs>
          <w:tab w:val="center" w:pos="293"/>
          <w:tab w:val="center" w:pos="3042"/>
        </w:tabs>
        <w:spacing w:after="300" w:line="264" w:lineRule="auto"/>
        <w:jc w:val="both"/>
        <w:rPr>
          <w:rFonts w:ascii="Arial" w:eastAsia="Arial" w:hAnsi="Arial" w:cs="Arial"/>
          <w:b/>
          <w:color w:val="auto"/>
          <w:sz w:val="20"/>
          <w:szCs w:val="20"/>
          <w:u w:val="single"/>
        </w:rPr>
      </w:pPr>
      <w:r>
        <w:rPr>
          <w:rFonts w:ascii="Arial" w:eastAsia="Arial" w:hAnsi="Arial" w:cs="Arial"/>
          <w:b/>
          <w:color w:val="auto"/>
          <w:sz w:val="20"/>
          <w:szCs w:val="20"/>
          <w:u w:val="single"/>
        </w:rPr>
        <w:t>I. Résumé en une page de la proposition (partie non notée)</w:t>
      </w:r>
    </w:p>
    <w:p w14:paraId="4A2C6CAC" w14:textId="77777777" w:rsidR="00117D7E" w:rsidRDefault="00071B24">
      <w:pPr>
        <w:tabs>
          <w:tab w:val="center" w:pos="293"/>
          <w:tab w:val="center" w:pos="3042"/>
        </w:tabs>
        <w:spacing w:after="300" w:line="264" w:lineRule="auto"/>
        <w:jc w:val="both"/>
        <w:rPr>
          <w:rFonts w:ascii="Arial" w:eastAsia="Arial" w:hAnsi="Arial" w:cs="Arial"/>
          <w:color w:val="auto"/>
          <w:sz w:val="20"/>
          <w:szCs w:val="20"/>
        </w:rPr>
      </w:pPr>
      <w:r>
        <w:rPr>
          <w:rFonts w:ascii="Arial" w:eastAsia="Arial" w:hAnsi="Arial" w:cs="Arial"/>
          <w:color w:val="auto"/>
          <w:sz w:val="20"/>
          <w:szCs w:val="20"/>
        </w:rPr>
        <w:t>Le candidat présentera dans cette partie un résumé en une page, éventuellement avec un ou plusieurs schémas, des principaux aspects de sa proposition et de ce qui en fait sa spécificité.</w:t>
      </w:r>
    </w:p>
    <w:p w14:paraId="2551ED69" w14:textId="77777777" w:rsidR="00117D7E" w:rsidRDefault="00071B24">
      <w:pPr>
        <w:tabs>
          <w:tab w:val="center" w:pos="293"/>
          <w:tab w:val="center" w:pos="3042"/>
        </w:tabs>
        <w:spacing w:after="300" w:line="264" w:lineRule="auto"/>
        <w:jc w:val="both"/>
        <w:rPr>
          <w:rFonts w:ascii="Arial" w:hAnsi="Arial" w:cs="Arial"/>
          <w:color w:val="auto"/>
          <w:sz w:val="20"/>
          <w:szCs w:val="20"/>
        </w:rPr>
      </w:pPr>
      <w:r>
        <w:rPr>
          <w:rFonts w:ascii="Arial" w:eastAsia="Arial" w:hAnsi="Arial" w:cs="Arial"/>
          <w:b/>
          <w:color w:val="auto"/>
          <w:sz w:val="20"/>
          <w:szCs w:val="20"/>
          <w:u w:val="single"/>
        </w:rPr>
        <w:t>II. </w:t>
      </w:r>
      <w:r>
        <w:rPr>
          <w:rFonts w:ascii="Arial" w:eastAsia="Arial" w:hAnsi="Arial" w:cs="Arial"/>
          <w:b/>
          <w:color w:val="auto"/>
          <w:sz w:val="20"/>
          <w:szCs w:val="20"/>
          <w:u w:val="single"/>
        </w:rPr>
        <w:tab/>
      </w:r>
      <w:r>
        <w:rPr>
          <w:rFonts w:ascii="Arial" w:eastAsia="Arial" w:hAnsi="Arial" w:cs="Arial"/>
          <w:b/>
          <w:color w:val="auto"/>
          <w:sz w:val="20"/>
          <w:szCs w:val="20"/>
          <w:u w:val="single" w:color="000000"/>
        </w:rPr>
        <w:t xml:space="preserve">Compréhension des objectifs et des enjeux du marché (sous-critère 1.1 : pondération = </w:t>
      </w:r>
      <w:r w:rsidRPr="007D52C0">
        <w:rPr>
          <w:rFonts w:ascii="Arial" w:eastAsia="Arial" w:hAnsi="Arial" w:cs="Arial"/>
          <w:b/>
          <w:sz w:val="20"/>
          <w:szCs w:val="20"/>
          <w:u w:val="single" w:color="000000"/>
          <w:shd w:val="clear" w:color="auto" w:fill="FFFFFF" w:themeFill="background1"/>
        </w:rPr>
        <w:t>5 %</w:t>
      </w:r>
      <w:r w:rsidRPr="007D52C0">
        <w:rPr>
          <w:rFonts w:ascii="Arial" w:eastAsia="Arial" w:hAnsi="Arial" w:cs="Arial"/>
          <w:b/>
          <w:color w:val="auto"/>
          <w:sz w:val="20"/>
          <w:szCs w:val="20"/>
          <w:u w:val="single" w:color="000000"/>
          <w:shd w:val="clear" w:color="auto" w:fill="FFFFFF" w:themeFill="background1"/>
        </w:rPr>
        <w:t>)</w:t>
      </w:r>
    </w:p>
    <w:p w14:paraId="530D9056" w14:textId="77777777" w:rsidR="00117D7E" w:rsidRDefault="00071B24">
      <w:pPr>
        <w:spacing w:after="300" w:line="264" w:lineRule="auto"/>
        <w:ind w:left="-5" w:hanging="10"/>
        <w:jc w:val="both"/>
        <w:rPr>
          <w:rFonts w:ascii="Arial" w:eastAsia="Arial" w:hAnsi="Arial" w:cs="Arial"/>
          <w:color w:val="auto"/>
          <w:sz w:val="20"/>
          <w:szCs w:val="20"/>
        </w:rPr>
      </w:pPr>
      <w:r>
        <w:rPr>
          <w:rFonts w:ascii="Arial" w:eastAsia="Arial" w:hAnsi="Arial" w:cs="Arial"/>
          <w:color w:val="auto"/>
          <w:sz w:val="20"/>
          <w:szCs w:val="20"/>
        </w:rPr>
        <w:t>Le candidat présentera dans cette partie sa compréhension des objectifs et des enjeux du marché.</w:t>
      </w:r>
    </w:p>
    <w:p w14:paraId="4A67201D" w14:textId="77777777" w:rsidR="00117D7E" w:rsidRDefault="00071B24">
      <w:pPr>
        <w:pStyle w:val="Titre2"/>
        <w:tabs>
          <w:tab w:val="center" w:pos="4487"/>
        </w:tabs>
        <w:spacing w:after="300"/>
        <w:ind w:left="0" w:firstLine="0"/>
        <w:jc w:val="both"/>
        <w:rPr>
          <w:color w:val="auto"/>
          <w:sz w:val="20"/>
          <w:szCs w:val="20"/>
        </w:rPr>
      </w:pPr>
      <w:r>
        <w:rPr>
          <w:color w:val="auto"/>
          <w:sz w:val="20"/>
          <w:szCs w:val="20"/>
        </w:rPr>
        <w:t>III.</w:t>
      </w:r>
      <w:r>
        <w:t xml:space="preserve"> </w:t>
      </w:r>
      <w:r>
        <w:rPr>
          <w:color w:val="auto"/>
          <w:sz w:val="20"/>
          <w:szCs w:val="20"/>
        </w:rPr>
        <w:t xml:space="preserve">Mise en œuvre de la méthodologie retenue pour l'exécution du marché (sous-critère 1.2 : pondération = </w:t>
      </w:r>
      <w:r w:rsidRPr="007D52C0">
        <w:rPr>
          <w:sz w:val="20"/>
          <w:szCs w:val="20"/>
          <w:shd w:val="clear" w:color="auto" w:fill="FFFFFF" w:themeFill="background1"/>
        </w:rPr>
        <w:t>30 %)</w:t>
      </w:r>
    </w:p>
    <w:p w14:paraId="7147CF73" w14:textId="77777777" w:rsidR="00117D7E" w:rsidRDefault="00071B24">
      <w:pPr>
        <w:spacing w:after="0" w:line="264" w:lineRule="auto"/>
        <w:ind w:left="-5" w:right="33" w:hanging="10"/>
        <w:jc w:val="both"/>
        <w:rPr>
          <w:rFonts w:ascii="Arial" w:eastAsia="Arial" w:hAnsi="Arial" w:cs="Arial"/>
          <w:sz w:val="20"/>
        </w:rPr>
      </w:pPr>
      <w:r>
        <w:rPr>
          <w:rFonts w:ascii="Arial" w:eastAsia="Arial" w:hAnsi="Arial" w:cs="Arial"/>
          <w:sz w:val="20"/>
        </w:rPr>
        <w:t>Le candidat présentera dans cette partie un plan d’action précisant, pour chaque volet de l’étude, les modalités de la mise en œuvre de la méthode présentée dans le CCTP : le candidat montrera ainsi comment il compte procéder de manière concrète pour répondre à la commande et aux objectifs dans le respect de la méthodologie présentée dans le cahier des charges.</w:t>
      </w:r>
    </w:p>
    <w:p w14:paraId="6AEE6397" w14:textId="77777777" w:rsidR="00117D7E" w:rsidRDefault="00071B24">
      <w:pPr>
        <w:spacing w:after="0" w:line="264" w:lineRule="auto"/>
        <w:ind w:left="-5" w:right="33" w:hanging="10"/>
        <w:jc w:val="both"/>
        <w:rPr>
          <w:rFonts w:ascii="Arial" w:eastAsia="Arial" w:hAnsi="Arial" w:cs="Arial"/>
          <w:sz w:val="20"/>
        </w:rPr>
      </w:pPr>
      <w:r>
        <w:rPr>
          <w:rFonts w:ascii="Arial" w:eastAsia="Arial" w:hAnsi="Arial" w:cs="Arial"/>
          <w:sz w:val="20"/>
        </w:rPr>
        <w:t xml:space="preserve">Ce plan d’action indiquera également les objectifs et les résultats attendus de chaque volet, les conditions de réussite et les structures partenaires. </w:t>
      </w:r>
    </w:p>
    <w:p w14:paraId="566F7896" w14:textId="77777777" w:rsidR="00117D7E" w:rsidRDefault="00071B24">
      <w:pPr>
        <w:pStyle w:val="Standard"/>
        <w:widowControl w:val="0"/>
        <w:spacing w:line="240" w:lineRule="auto"/>
        <w:jc w:val="both"/>
      </w:pPr>
      <w:r>
        <w:rPr>
          <w:rFonts w:ascii="Arial" w:eastAsia="Arial" w:hAnsi="Arial"/>
          <w:sz w:val="20"/>
          <w:szCs w:val="20"/>
        </w:rPr>
        <w:t xml:space="preserve">Le candidat fournira en annexe la liste des données à utiliser, ainsi que les organismes auprès de qui les récupérer. Cette liste s’appuiera sur celle fournie à l’article </w:t>
      </w:r>
      <w:r w:rsidRPr="007D52C0">
        <w:rPr>
          <w:rFonts w:ascii="Arial" w:eastAsia="Arial" w:hAnsi="Arial"/>
          <w:sz w:val="20"/>
          <w:szCs w:val="20"/>
          <w:shd w:val="clear" w:color="auto" w:fill="FFFFFF" w:themeFill="background1"/>
        </w:rPr>
        <w:t>5 du CCTP, enrichie</w:t>
      </w:r>
      <w:r w:rsidRPr="00E023F4">
        <w:rPr>
          <w:rFonts w:ascii="Arial" w:eastAsia="Arial" w:hAnsi="Arial"/>
          <w:sz w:val="20"/>
          <w:szCs w:val="20"/>
        </w:rPr>
        <w:t xml:space="preserve"> par d’autres </w:t>
      </w:r>
      <w:r w:rsidRPr="00E023F4">
        <w:rPr>
          <w:rFonts w:ascii="Arial" w:hAnsi="Arial"/>
          <w:color w:val="000000"/>
          <w:sz w:val="20"/>
          <w:szCs w:val="20"/>
        </w:rPr>
        <w:t>sources de données qui sembleront nécessaires ou intéressantes dans l’établissement des différentes couches d’information.</w:t>
      </w:r>
    </w:p>
    <w:p w14:paraId="0D71FF84" w14:textId="77777777" w:rsidR="00117D7E" w:rsidRDefault="00117D7E">
      <w:pPr>
        <w:spacing w:after="0" w:line="264" w:lineRule="auto"/>
        <w:ind w:left="-5" w:right="33" w:hanging="10"/>
        <w:jc w:val="both"/>
        <w:rPr>
          <w:rFonts w:ascii="Arial" w:eastAsia="Arial" w:hAnsi="Arial" w:cs="Arial"/>
          <w:sz w:val="20"/>
        </w:rPr>
      </w:pPr>
    </w:p>
    <w:p w14:paraId="69642971" w14:textId="5380DC00" w:rsidR="00117D7E" w:rsidRDefault="00071B24">
      <w:pPr>
        <w:spacing w:after="0" w:line="264" w:lineRule="auto"/>
        <w:ind w:left="-5" w:right="33" w:hanging="10"/>
        <w:jc w:val="both"/>
        <w:rPr>
          <w:rFonts w:ascii="Arial" w:eastAsia="Arial" w:hAnsi="Arial" w:cs="Arial"/>
          <w:b/>
          <w:color w:val="auto"/>
          <w:sz w:val="20"/>
          <w:u w:val="single"/>
        </w:rPr>
      </w:pPr>
      <w:r>
        <w:rPr>
          <w:rFonts w:ascii="Arial" w:eastAsia="Arial" w:hAnsi="Arial" w:cs="Arial"/>
          <w:b/>
          <w:color w:val="auto"/>
          <w:sz w:val="20"/>
          <w:u w:val="single"/>
        </w:rPr>
        <w:t xml:space="preserve">IV. Délais et cohérence du </w:t>
      </w:r>
      <w:r w:rsidR="00275B03">
        <w:rPr>
          <w:rFonts w:ascii="Arial" w:eastAsia="Arial" w:hAnsi="Arial" w:cs="Arial"/>
          <w:b/>
          <w:color w:val="auto"/>
          <w:sz w:val="20"/>
          <w:u w:val="single"/>
        </w:rPr>
        <w:t xml:space="preserve">planning de réalisation </w:t>
      </w:r>
      <w:r>
        <w:rPr>
          <w:rFonts w:ascii="Arial" w:eastAsia="Arial" w:hAnsi="Arial" w:cs="Arial"/>
          <w:b/>
          <w:color w:val="auto"/>
          <w:sz w:val="20"/>
          <w:u w:val="single"/>
        </w:rPr>
        <w:t xml:space="preserve">proposé (sous-critère 1.3 : pondération = </w:t>
      </w:r>
      <w:r w:rsidRPr="007D52C0">
        <w:rPr>
          <w:rFonts w:ascii="Arial" w:eastAsia="Arial" w:hAnsi="Arial" w:cs="Arial"/>
          <w:b/>
          <w:sz w:val="20"/>
          <w:u w:val="single"/>
          <w:shd w:val="clear" w:color="auto" w:fill="FFFFFF" w:themeFill="background1"/>
        </w:rPr>
        <w:t>10</w:t>
      </w:r>
      <w:r w:rsidRPr="007D52C0">
        <w:rPr>
          <w:rFonts w:ascii="Arial" w:eastAsia="Arial" w:hAnsi="Arial" w:cs="Arial"/>
          <w:b/>
          <w:color w:val="auto"/>
          <w:sz w:val="20"/>
          <w:u w:val="single"/>
          <w:shd w:val="clear" w:color="auto" w:fill="FFFFFF" w:themeFill="background1"/>
        </w:rPr>
        <w:t xml:space="preserve"> </w:t>
      </w:r>
      <w:r>
        <w:rPr>
          <w:rFonts w:ascii="Arial" w:eastAsia="Arial" w:hAnsi="Arial" w:cs="Arial"/>
          <w:b/>
          <w:color w:val="auto"/>
          <w:sz w:val="20"/>
          <w:u w:val="single"/>
        </w:rPr>
        <w:t>%)</w:t>
      </w:r>
    </w:p>
    <w:p w14:paraId="4296C09F" w14:textId="77777777" w:rsidR="00117D7E" w:rsidRDefault="00117D7E">
      <w:pPr>
        <w:spacing w:after="0" w:line="264" w:lineRule="auto"/>
        <w:ind w:left="-5" w:right="33" w:hanging="10"/>
        <w:jc w:val="both"/>
        <w:rPr>
          <w:rFonts w:ascii="Arial" w:eastAsia="Arial" w:hAnsi="Arial" w:cs="Arial"/>
          <w:color w:val="auto"/>
          <w:sz w:val="20"/>
        </w:rPr>
      </w:pPr>
    </w:p>
    <w:p w14:paraId="2C68752C" w14:textId="093DC09A" w:rsidR="00117D7E" w:rsidRDefault="00071B24">
      <w:pPr>
        <w:spacing w:after="0" w:line="264" w:lineRule="auto"/>
        <w:ind w:left="-5" w:right="33" w:hanging="10"/>
        <w:jc w:val="both"/>
        <w:rPr>
          <w:rFonts w:ascii="Arial" w:eastAsia="Arial" w:hAnsi="Arial" w:cs="Arial"/>
          <w:color w:val="auto"/>
          <w:sz w:val="20"/>
        </w:rPr>
      </w:pPr>
      <w:r>
        <w:rPr>
          <w:rFonts w:ascii="Arial" w:eastAsia="Arial" w:hAnsi="Arial" w:cs="Arial"/>
          <w:color w:val="auto"/>
          <w:sz w:val="20"/>
        </w:rPr>
        <w:t xml:space="preserve">L'offre devra intégrer un </w:t>
      </w:r>
      <w:r w:rsidR="00275B03">
        <w:rPr>
          <w:rFonts w:ascii="Arial" w:eastAsia="Arial" w:hAnsi="Arial" w:cs="Arial"/>
          <w:color w:val="auto"/>
          <w:sz w:val="20"/>
        </w:rPr>
        <w:t xml:space="preserve">planning de réalisation </w:t>
      </w:r>
      <w:r>
        <w:rPr>
          <w:rFonts w:ascii="Arial" w:eastAsia="Arial" w:hAnsi="Arial" w:cs="Arial"/>
          <w:color w:val="auto"/>
          <w:sz w:val="20"/>
        </w:rPr>
        <w:t xml:space="preserve">(frise conseillée) adapté aux méthodes proposées et prenant en compte l’ensemble des éléments </w:t>
      </w:r>
      <w:r w:rsidRPr="007D52C0">
        <w:rPr>
          <w:rFonts w:ascii="Arial" w:eastAsia="Arial" w:hAnsi="Arial" w:cs="Arial"/>
          <w:color w:val="auto"/>
          <w:sz w:val="20"/>
          <w:shd w:val="clear" w:color="auto" w:fill="FFFFFF" w:themeFill="background1"/>
        </w:rPr>
        <w:t xml:space="preserve">décrits </w:t>
      </w:r>
      <w:r w:rsidRPr="007D52C0">
        <w:rPr>
          <w:rFonts w:ascii="Arial" w:eastAsia="Arial" w:hAnsi="Arial" w:cs="Arial"/>
          <w:sz w:val="20"/>
          <w:shd w:val="clear" w:color="auto" w:fill="FFFFFF" w:themeFill="background1"/>
        </w:rPr>
        <w:t>dans le CCTP</w:t>
      </w:r>
      <w:r>
        <w:rPr>
          <w:rFonts w:ascii="Arial" w:eastAsia="Arial" w:hAnsi="Arial" w:cs="Arial"/>
          <w:color w:val="auto"/>
          <w:sz w:val="20"/>
        </w:rPr>
        <w:t xml:space="preserve">. Ce </w:t>
      </w:r>
      <w:r w:rsidR="00275B03">
        <w:rPr>
          <w:rFonts w:ascii="Arial" w:eastAsia="Arial" w:hAnsi="Arial" w:cs="Arial"/>
          <w:color w:val="auto"/>
          <w:sz w:val="20"/>
        </w:rPr>
        <w:t xml:space="preserve">planning </w:t>
      </w:r>
      <w:r>
        <w:rPr>
          <w:rFonts w:ascii="Arial" w:eastAsia="Arial" w:hAnsi="Arial" w:cs="Arial"/>
          <w:color w:val="auto"/>
          <w:sz w:val="20"/>
        </w:rPr>
        <w:t xml:space="preserve">devra intégrer les délais prévus entre les COPIL et ceux prévus pour la fourniture des différents livrables, en particulier le temps de rédaction nécessaire pour les documents de </w:t>
      </w:r>
      <w:r w:rsidRPr="007D52C0">
        <w:rPr>
          <w:rFonts w:ascii="Arial" w:eastAsia="Arial" w:hAnsi="Arial" w:cs="Arial"/>
          <w:color w:val="auto"/>
          <w:sz w:val="20"/>
        </w:rPr>
        <w:t xml:space="preserve">valorisation </w:t>
      </w:r>
      <w:r w:rsidRPr="007D52C0">
        <w:rPr>
          <w:rFonts w:ascii="Arial" w:eastAsia="Arial" w:hAnsi="Arial" w:cs="Arial"/>
          <w:sz w:val="20"/>
        </w:rPr>
        <w:t>(voir article 6.3 du CCTP)</w:t>
      </w:r>
      <w:r w:rsidRPr="007D52C0">
        <w:rPr>
          <w:rFonts w:ascii="Arial" w:eastAsia="Arial" w:hAnsi="Arial" w:cs="Arial"/>
          <w:color w:val="auto"/>
          <w:sz w:val="20"/>
        </w:rPr>
        <w:t xml:space="preserve">. Le </w:t>
      </w:r>
      <w:r w:rsidR="00275B03" w:rsidRPr="007D52C0">
        <w:rPr>
          <w:rFonts w:ascii="Arial" w:eastAsia="Arial" w:hAnsi="Arial" w:cs="Arial"/>
          <w:color w:val="auto"/>
          <w:sz w:val="20"/>
        </w:rPr>
        <w:t xml:space="preserve">planning </w:t>
      </w:r>
      <w:r w:rsidRPr="007D52C0">
        <w:rPr>
          <w:rFonts w:ascii="Arial" w:eastAsia="Arial" w:hAnsi="Arial" w:cs="Arial"/>
          <w:color w:val="auto"/>
          <w:sz w:val="20"/>
        </w:rPr>
        <w:t xml:space="preserve">intégrera également les COTECH, </w:t>
      </w:r>
      <w:r w:rsidR="00E023F4" w:rsidRPr="007D52C0">
        <w:rPr>
          <w:rFonts w:ascii="Arial" w:eastAsia="Arial" w:hAnsi="Arial" w:cs="Arial"/>
          <w:color w:val="auto"/>
          <w:sz w:val="20"/>
        </w:rPr>
        <w:t>la réalisation des travaux sur le terrain</w:t>
      </w:r>
      <w:r w:rsidRPr="007D52C0">
        <w:rPr>
          <w:rFonts w:ascii="Arial" w:eastAsia="Arial" w:hAnsi="Arial" w:cs="Arial"/>
          <w:color w:val="auto"/>
          <w:sz w:val="20"/>
        </w:rPr>
        <w:t xml:space="preserve"> ainsi que toutes les étapes de travail intermédiaires à conduire (comme la collecte de données auprès de tel ou tel organisme par exemple).</w:t>
      </w:r>
    </w:p>
    <w:p w14:paraId="3410DEE3" w14:textId="6799319C" w:rsidR="0032704A" w:rsidRDefault="0032704A">
      <w:pPr>
        <w:spacing w:after="0" w:line="264" w:lineRule="auto"/>
        <w:ind w:left="-5" w:right="33" w:hanging="10"/>
        <w:jc w:val="both"/>
        <w:rPr>
          <w:rFonts w:ascii="Arial" w:eastAsia="Arial" w:hAnsi="Arial" w:cs="Arial"/>
          <w:color w:val="auto"/>
          <w:sz w:val="20"/>
        </w:rPr>
      </w:pPr>
    </w:p>
    <w:p w14:paraId="0F9EF874" w14:textId="77777777" w:rsidR="00E023F4" w:rsidRDefault="00E023F4">
      <w:pPr>
        <w:spacing w:after="0" w:line="264" w:lineRule="auto"/>
        <w:ind w:left="-5" w:right="33" w:hanging="10"/>
        <w:jc w:val="both"/>
        <w:rPr>
          <w:rFonts w:ascii="Arial" w:eastAsia="Arial" w:hAnsi="Arial" w:cs="Arial"/>
          <w:i/>
          <w:iCs/>
          <w:color w:val="auto"/>
          <w:sz w:val="20"/>
        </w:rPr>
      </w:pPr>
      <w:r>
        <w:rPr>
          <w:rFonts w:ascii="Arial" w:eastAsia="Arial" w:hAnsi="Arial" w:cs="Arial"/>
          <w:i/>
          <w:iCs/>
          <w:color w:val="auto"/>
          <w:sz w:val="20"/>
        </w:rPr>
        <w:t xml:space="preserve">L’offre technique du candidat peut comporter des </w:t>
      </w:r>
      <w:r w:rsidR="0032704A" w:rsidRPr="007D52C0">
        <w:rPr>
          <w:rFonts w:ascii="Arial" w:eastAsia="Arial" w:hAnsi="Arial" w:cs="Arial"/>
          <w:i/>
          <w:iCs/>
          <w:color w:val="auto"/>
          <w:sz w:val="20"/>
        </w:rPr>
        <w:t xml:space="preserve">délais d’exécution plus court pour la tranche ferme et les deux tranches optionnelles. Ils seront notés en fonction de leurs cohérences avec la méthodologie retenue et les moyens mis en œuvre pour réaliser les prestations. </w:t>
      </w:r>
    </w:p>
    <w:p w14:paraId="7B111465" w14:textId="217FC186" w:rsidR="0032704A" w:rsidRPr="007D52C0" w:rsidRDefault="00E023F4">
      <w:pPr>
        <w:spacing w:after="0" w:line="264" w:lineRule="auto"/>
        <w:ind w:left="-5" w:right="33" w:hanging="10"/>
        <w:jc w:val="both"/>
        <w:rPr>
          <w:rFonts w:ascii="Arial" w:eastAsia="Arial" w:hAnsi="Arial" w:cs="Arial"/>
          <w:i/>
          <w:iCs/>
          <w:color w:val="auto"/>
          <w:sz w:val="20"/>
        </w:rPr>
      </w:pPr>
      <w:r>
        <w:rPr>
          <w:rFonts w:ascii="Arial" w:eastAsia="Arial" w:hAnsi="Arial" w:cs="Arial"/>
          <w:i/>
          <w:iCs/>
          <w:color w:val="auto"/>
          <w:sz w:val="20"/>
        </w:rPr>
        <w:t>Dans ce cas, l</w:t>
      </w:r>
      <w:r w:rsidR="0032704A" w:rsidRPr="007D52C0">
        <w:rPr>
          <w:rFonts w:ascii="Arial" w:eastAsia="Arial" w:hAnsi="Arial" w:cs="Arial"/>
          <w:i/>
          <w:iCs/>
          <w:color w:val="auto"/>
          <w:sz w:val="20"/>
        </w:rPr>
        <w:t xml:space="preserve">e candidat </w:t>
      </w:r>
      <w:r>
        <w:rPr>
          <w:rFonts w:ascii="Arial" w:eastAsia="Arial" w:hAnsi="Arial" w:cs="Arial"/>
          <w:i/>
          <w:iCs/>
          <w:color w:val="auto"/>
          <w:sz w:val="20"/>
        </w:rPr>
        <w:t>devra également indiquer</w:t>
      </w:r>
      <w:r w:rsidR="00C47DF4" w:rsidRPr="007D52C0">
        <w:rPr>
          <w:rFonts w:ascii="Arial" w:eastAsia="Arial" w:hAnsi="Arial" w:cs="Arial"/>
          <w:i/>
          <w:iCs/>
          <w:color w:val="auto"/>
          <w:sz w:val="20"/>
        </w:rPr>
        <w:t xml:space="preserve"> </w:t>
      </w:r>
      <w:r w:rsidR="0032704A" w:rsidRPr="007D52C0">
        <w:rPr>
          <w:rFonts w:ascii="Arial" w:eastAsia="Arial" w:hAnsi="Arial" w:cs="Arial"/>
          <w:i/>
          <w:iCs/>
          <w:color w:val="auto"/>
          <w:sz w:val="20"/>
        </w:rPr>
        <w:t>dans l’acte d’engagement les délais sur lesquels il s’engage pour la réalisation des prestations de chaque tranche.</w:t>
      </w:r>
    </w:p>
    <w:p w14:paraId="3E63D18E" w14:textId="77777777" w:rsidR="00117D7E" w:rsidRDefault="00117D7E">
      <w:pPr>
        <w:spacing w:after="0" w:line="264" w:lineRule="auto"/>
        <w:ind w:right="33"/>
        <w:jc w:val="both"/>
        <w:rPr>
          <w:rFonts w:ascii="Arial" w:eastAsia="Arial" w:hAnsi="Arial" w:cs="Arial"/>
          <w:color w:val="auto"/>
          <w:sz w:val="20"/>
          <w:szCs w:val="20"/>
        </w:rPr>
      </w:pPr>
    </w:p>
    <w:p w14:paraId="166B13BF" w14:textId="77777777" w:rsidR="00117D7E" w:rsidRDefault="00071B24">
      <w:pPr>
        <w:spacing w:after="300"/>
        <w:jc w:val="both"/>
        <w:rPr>
          <w:rFonts w:ascii="Arial" w:hAnsi="Arial" w:cs="Arial"/>
          <w:b/>
          <w:color w:val="auto"/>
          <w:sz w:val="20"/>
          <w:szCs w:val="20"/>
          <w:u w:val="single"/>
        </w:rPr>
      </w:pPr>
      <w:r>
        <w:rPr>
          <w:rFonts w:ascii="Arial" w:hAnsi="Arial" w:cs="Arial"/>
          <w:b/>
          <w:color w:val="auto"/>
          <w:sz w:val="20"/>
          <w:szCs w:val="20"/>
          <w:u w:val="single"/>
        </w:rPr>
        <w:t xml:space="preserve">V. Identification des risques et des difficultés dans l'exécution du marché et solution(s) associée(s) : un risque ou </w:t>
      </w:r>
      <w:proofErr w:type="gramStart"/>
      <w:r>
        <w:rPr>
          <w:rFonts w:ascii="Arial" w:hAnsi="Arial" w:cs="Arial"/>
          <w:b/>
          <w:color w:val="auto"/>
          <w:sz w:val="20"/>
          <w:szCs w:val="20"/>
          <w:u w:val="single"/>
        </w:rPr>
        <w:t>une difficulté identifié</w:t>
      </w:r>
      <w:proofErr w:type="gramEnd"/>
      <w:r>
        <w:rPr>
          <w:rFonts w:ascii="Arial" w:hAnsi="Arial" w:cs="Arial"/>
          <w:b/>
          <w:color w:val="auto"/>
          <w:sz w:val="20"/>
          <w:szCs w:val="20"/>
          <w:u w:val="single"/>
        </w:rPr>
        <w:t xml:space="preserve"> sans solution(s) associée(s) ne sera pas valorisé (sous-critère 1.4 : pondération = </w:t>
      </w:r>
      <w:r w:rsidRPr="007D52C0">
        <w:rPr>
          <w:rFonts w:ascii="Arial" w:hAnsi="Arial" w:cs="Arial"/>
          <w:b/>
          <w:sz w:val="20"/>
          <w:szCs w:val="20"/>
          <w:u w:val="single"/>
        </w:rPr>
        <w:t xml:space="preserve">10 </w:t>
      </w:r>
      <w:r>
        <w:rPr>
          <w:rFonts w:ascii="Arial" w:hAnsi="Arial" w:cs="Arial"/>
          <w:b/>
          <w:color w:val="auto"/>
          <w:sz w:val="20"/>
          <w:szCs w:val="20"/>
          <w:u w:val="single"/>
        </w:rPr>
        <w:t>%)</w:t>
      </w:r>
    </w:p>
    <w:p w14:paraId="24E15417" w14:textId="77777777" w:rsidR="00117D7E" w:rsidRDefault="00071B24">
      <w:pPr>
        <w:spacing w:after="300" w:line="264" w:lineRule="auto"/>
        <w:ind w:left="-5" w:hanging="10"/>
        <w:jc w:val="both"/>
        <w:rPr>
          <w:rFonts w:ascii="Arial" w:eastAsia="Arial" w:hAnsi="Arial" w:cs="Arial"/>
          <w:color w:val="auto"/>
          <w:sz w:val="20"/>
          <w:szCs w:val="20"/>
        </w:rPr>
      </w:pPr>
      <w:r>
        <w:rPr>
          <w:rFonts w:ascii="Arial" w:eastAsia="Arial" w:hAnsi="Arial" w:cs="Arial"/>
          <w:color w:val="auto"/>
          <w:sz w:val="20"/>
          <w:szCs w:val="20"/>
        </w:rPr>
        <w:t xml:space="preserve">Le candidat présentera dans cette partie les risques et les difficultés qu’il identifie pour la bonne exécution du marché et les solutions associées. L’attention du candidat est appelée sur le fait qu’un risque ou </w:t>
      </w:r>
      <w:proofErr w:type="gramStart"/>
      <w:r>
        <w:rPr>
          <w:rFonts w:ascii="Arial" w:eastAsia="Arial" w:hAnsi="Arial" w:cs="Arial"/>
          <w:color w:val="auto"/>
          <w:sz w:val="20"/>
          <w:szCs w:val="20"/>
        </w:rPr>
        <w:t>une difficulté identifié</w:t>
      </w:r>
      <w:proofErr w:type="gramEnd"/>
      <w:r>
        <w:rPr>
          <w:rFonts w:ascii="Arial" w:eastAsia="Arial" w:hAnsi="Arial" w:cs="Arial"/>
          <w:color w:val="auto"/>
          <w:sz w:val="20"/>
          <w:szCs w:val="20"/>
        </w:rPr>
        <w:t xml:space="preserve"> sans solution(s) associée(s) ne sera pas valorisé dans l’analyse de l’offre.</w:t>
      </w:r>
    </w:p>
    <w:p w14:paraId="7363B7B1" w14:textId="77777777" w:rsidR="00117D7E" w:rsidRDefault="00071B24">
      <w:pPr>
        <w:spacing w:after="300" w:line="264" w:lineRule="auto"/>
        <w:ind w:left="-5" w:hanging="10"/>
        <w:jc w:val="both"/>
        <w:rPr>
          <w:rFonts w:ascii="Arial" w:hAnsi="Arial" w:cs="Arial"/>
          <w:color w:val="auto"/>
          <w:sz w:val="20"/>
          <w:szCs w:val="20"/>
        </w:rPr>
      </w:pPr>
      <w:r>
        <w:rPr>
          <w:rFonts w:ascii="Arial" w:eastAsia="Arial" w:hAnsi="Arial" w:cs="Arial"/>
          <w:color w:val="auto"/>
          <w:sz w:val="20"/>
          <w:szCs w:val="20"/>
        </w:rPr>
        <w:t xml:space="preserve">Par exemple, l’absence d’une donnée à </w:t>
      </w:r>
      <w:r w:rsidRPr="007D52C0">
        <w:rPr>
          <w:rFonts w:ascii="Arial" w:eastAsia="Arial" w:hAnsi="Arial" w:cs="Arial"/>
          <w:color w:val="auto"/>
          <w:sz w:val="20"/>
          <w:szCs w:val="20"/>
        </w:rPr>
        <w:t xml:space="preserve">collecter </w:t>
      </w:r>
      <w:r w:rsidRPr="007D52C0">
        <w:rPr>
          <w:rFonts w:ascii="Arial" w:eastAsia="Arial" w:hAnsi="Arial" w:cs="Arial"/>
          <w:sz w:val="20"/>
          <w:szCs w:val="20"/>
        </w:rPr>
        <w:t>dans notre département</w:t>
      </w:r>
      <w:r>
        <w:rPr>
          <w:rFonts w:ascii="Arial" w:eastAsia="Arial" w:hAnsi="Arial" w:cs="Arial"/>
          <w:color w:val="auto"/>
          <w:sz w:val="20"/>
          <w:szCs w:val="20"/>
        </w:rPr>
        <w:t xml:space="preserve"> est à considérer comme une difficulté. De même, la collecte impossible d’une donnée en raison de l’incapacité de l’organisme concerné à la fournir dans le délai est à considérer comme une difficulté.</w:t>
      </w:r>
    </w:p>
    <w:p w14:paraId="538AEA20" w14:textId="77777777" w:rsidR="00117D7E" w:rsidRDefault="00071B24">
      <w:pPr>
        <w:spacing w:after="300" w:line="264" w:lineRule="auto"/>
        <w:ind w:left="-5" w:hanging="10"/>
        <w:jc w:val="both"/>
        <w:rPr>
          <w:rFonts w:ascii="Arial" w:hAnsi="Arial" w:cs="Arial"/>
          <w:color w:val="auto"/>
          <w:sz w:val="20"/>
          <w:szCs w:val="20"/>
        </w:rPr>
      </w:pPr>
      <w:r>
        <w:rPr>
          <w:rFonts w:ascii="Arial" w:eastAsia="Arial" w:hAnsi="Arial" w:cs="Arial"/>
          <w:color w:val="auto"/>
          <w:sz w:val="20"/>
          <w:szCs w:val="20"/>
        </w:rPr>
        <w:lastRenderedPageBreak/>
        <w:t>Il devra suivre l’organisation suivante et la dupliquer autant que de besoin :</w:t>
      </w:r>
    </w:p>
    <w:p w14:paraId="1344ABF6" w14:textId="77777777" w:rsidR="00117D7E" w:rsidRDefault="00071B24">
      <w:pPr>
        <w:spacing w:after="300" w:line="264" w:lineRule="auto"/>
        <w:ind w:left="-5" w:right="5966" w:hanging="10"/>
        <w:jc w:val="both"/>
        <w:rPr>
          <w:rFonts w:ascii="Arial" w:eastAsia="Arial" w:hAnsi="Arial" w:cs="Arial"/>
          <w:color w:val="auto"/>
          <w:sz w:val="20"/>
          <w:szCs w:val="20"/>
        </w:rPr>
      </w:pPr>
      <w:r>
        <w:rPr>
          <w:rFonts w:ascii="Arial" w:eastAsia="Arial" w:hAnsi="Arial" w:cs="Arial"/>
          <w:color w:val="auto"/>
          <w:sz w:val="20"/>
          <w:szCs w:val="20"/>
        </w:rPr>
        <w:t>A – Risque ou difficulté 1 : ……………………</w:t>
      </w:r>
    </w:p>
    <w:p w14:paraId="4C85CA24" w14:textId="77777777" w:rsidR="00117D7E" w:rsidRDefault="00071B24">
      <w:pPr>
        <w:spacing w:after="300" w:line="264" w:lineRule="auto"/>
        <w:ind w:left="-5" w:right="5966" w:hanging="10"/>
        <w:jc w:val="both"/>
        <w:rPr>
          <w:rFonts w:ascii="Arial" w:eastAsia="Arial" w:hAnsi="Arial" w:cs="Arial"/>
          <w:color w:val="auto"/>
          <w:sz w:val="20"/>
          <w:szCs w:val="20"/>
        </w:rPr>
      </w:pPr>
      <w:r>
        <w:rPr>
          <w:rFonts w:ascii="Arial" w:eastAsia="Arial" w:hAnsi="Arial" w:cs="Arial"/>
          <w:color w:val="auto"/>
          <w:sz w:val="20"/>
          <w:szCs w:val="20"/>
        </w:rPr>
        <w:t xml:space="preserve">B – Risque ou difficulté 2 : …………………… </w:t>
      </w:r>
    </w:p>
    <w:p w14:paraId="43A8B5BF" w14:textId="77777777" w:rsidR="00117D7E" w:rsidRDefault="00071B24">
      <w:pPr>
        <w:spacing w:after="300" w:line="264" w:lineRule="auto"/>
        <w:ind w:left="-5" w:right="33" w:hanging="10"/>
        <w:jc w:val="both"/>
        <w:rPr>
          <w:rFonts w:ascii="Arial" w:hAnsi="Arial" w:cs="Arial"/>
          <w:b/>
          <w:color w:val="auto"/>
          <w:sz w:val="20"/>
          <w:szCs w:val="20"/>
          <w:u w:val="single"/>
        </w:rPr>
      </w:pPr>
      <w:r>
        <w:rPr>
          <w:rFonts w:ascii="Arial" w:hAnsi="Arial" w:cs="Arial"/>
          <w:b/>
          <w:color w:val="auto"/>
          <w:sz w:val="20"/>
          <w:szCs w:val="20"/>
          <w:u w:val="single"/>
        </w:rPr>
        <w:t xml:space="preserve">VI. Profils des intervenants retenus pour l’exécution des prestations du marché et organisation entre les différents intervenants (sous-critère 1.5 : pondération </w:t>
      </w:r>
      <w:r w:rsidRPr="007D52C0">
        <w:rPr>
          <w:rFonts w:ascii="Arial" w:hAnsi="Arial" w:cs="Arial"/>
          <w:b/>
          <w:color w:val="auto"/>
          <w:sz w:val="20"/>
          <w:szCs w:val="20"/>
          <w:u w:val="single"/>
        </w:rPr>
        <w:t xml:space="preserve">= </w:t>
      </w:r>
      <w:r w:rsidRPr="007D52C0">
        <w:rPr>
          <w:rFonts w:ascii="Arial" w:hAnsi="Arial" w:cs="Arial"/>
          <w:b/>
          <w:sz w:val="20"/>
          <w:szCs w:val="20"/>
          <w:u w:val="single"/>
        </w:rPr>
        <w:t>15</w:t>
      </w:r>
      <w:r w:rsidRPr="007D52C0">
        <w:rPr>
          <w:rFonts w:ascii="Arial" w:hAnsi="Arial" w:cs="Arial"/>
          <w:b/>
          <w:color w:val="auto"/>
          <w:sz w:val="20"/>
          <w:szCs w:val="20"/>
          <w:u w:val="single"/>
        </w:rPr>
        <w:t xml:space="preserve"> %)</w:t>
      </w:r>
    </w:p>
    <w:p w14:paraId="3A514517" w14:textId="77777777" w:rsidR="00117D7E" w:rsidRDefault="00071B24">
      <w:pPr>
        <w:spacing w:after="300" w:line="264" w:lineRule="auto"/>
        <w:ind w:left="-5" w:right="33" w:hanging="10"/>
        <w:jc w:val="both"/>
        <w:rPr>
          <w:rFonts w:ascii="Arial" w:hAnsi="Arial" w:cs="Arial"/>
          <w:color w:val="auto"/>
          <w:sz w:val="20"/>
          <w:szCs w:val="20"/>
        </w:rPr>
      </w:pPr>
      <w:r>
        <w:rPr>
          <w:rFonts w:ascii="Arial" w:eastAsia="Arial" w:hAnsi="Arial" w:cs="Arial"/>
          <w:color w:val="auto"/>
          <w:sz w:val="20"/>
          <w:szCs w:val="20"/>
        </w:rPr>
        <w:t>Seront détaillées dans cette partie :</w:t>
      </w:r>
    </w:p>
    <w:p w14:paraId="5AD461FD" w14:textId="77777777" w:rsidR="00117D7E" w:rsidRDefault="00071B24">
      <w:pPr>
        <w:numPr>
          <w:ilvl w:val="0"/>
          <w:numId w:val="1"/>
        </w:numPr>
        <w:spacing w:after="300" w:line="264" w:lineRule="auto"/>
        <w:ind w:right="278" w:hanging="360"/>
        <w:jc w:val="both"/>
        <w:rPr>
          <w:rFonts w:ascii="Arial" w:hAnsi="Arial" w:cs="Arial"/>
          <w:color w:val="auto"/>
          <w:sz w:val="20"/>
          <w:szCs w:val="20"/>
        </w:rPr>
      </w:pPr>
      <w:r>
        <w:rPr>
          <w:rFonts w:ascii="Arial" w:eastAsia="Arial" w:hAnsi="Arial" w:cs="Arial"/>
          <w:color w:val="auto"/>
          <w:sz w:val="20"/>
          <w:szCs w:val="20"/>
        </w:rPr>
        <w:t xml:space="preserve">La composition de l’équipe proposée et les curriculums vitae des personnes ; </w:t>
      </w:r>
    </w:p>
    <w:p w14:paraId="20C01090" w14:textId="77777777" w:rsidR="00117D7E" w:rsidRDefault="00071B24">
      <w:pPr>
        <w:numPr>
          <w:ilvl w:val="0"/>
          <w:numId w:val="1"/>
        </w:numPr>
        <w:spacing w:after="300" w:line="264" w:lineRule="auto"/>
        <w:ind w:right="278" w:hanging="360"/>
        <w:jc w:val="both"/>
        <w:rPr>
          <w:rFonts w:ascii="Arial" w:hAnsi="Arial" w:cs="Arial"/>
          <w:color w:val="auto"/>
          <w:sz w:val="20"/>
          <w:szCs w:val="20"/>
        </w:rPr>
      </w:pPr>
      <w:r>
        <w:rPr>
          <w:rFonts w:ascii="Arial" w:eastAsia="Arial" w:hAnsi="Arial" w:cs="Arial"/>
          <w:color w:val="auto"/>
          <w:sz w:val="20"/>
          <w:szCs w:val="20"/>
        </w:rPr>
        <w:t>L’organisation des prestations entre les différents membres de l’équipe.</w:t>
      </w:r>
    </w:p>
    <w:p w14:paraId="03481C23" w14:textId="21127CEF" w:rsidR="00117D7E" w:rsidRDefault="00071B24">
      <w:pPr>
        <w:spacing w:after="300" w:line="264" w:lineRule="auto"/>
        <w:ind w:right="278"/>
        <w:jc w:val="both"/>
        <w:rPr>
          <w:rFonts w:ascii="Arial" w:hAnsi="Arial" w:cs="Arial"/>
          <w:color w:val="auto"/>
          <w:sz w:val="20"/>
          <w:szCs w:val="20"/>
        </w:rPr>
      </w:pPr>
      <w:r>
        <w:rPr>
          <w:rFonts w:ascii="Arial" w:hAnsi="Arial" w:cs="Arial"/>
          <w:color w:val="auto"/>
          <w:sz w:val="20"/>
          <w:szCs w:val="20"/>
        </w:rPr>
        <w:t xml:space="preserve">Le candidat inclura un tableau du nombre de jours de travail prévus pour chaque étape de l’étude ainsi que sur son pilotage, en distinguant les différents profils des intervenants retenus. Le nombre de jours </w:t>
      </w:r>
      <w:r w:rsidR="00441447">
        <w:rPr>
          <w:rFonts w:ascii="Arial" w:hAnsi="Arial" w:cs="Arial"/>
          <w:color w:val="auto"/>
          <w:sz w:val="20"/>
          <w:szCs w:val="20"/>
        </w:rPr>
        <w:t>pour la réalisation de prestations sur le terrain</w:t>
      </w:r>
      <w:r>
        <w:rPr>
          <w:rFonts w:ascii="Arial" w:hAnsi="Arial" w:cs="Arial"/>
          <w:color w:val="auto"/>
          <w:sz w:val="20"/>
          <w:szCs w:val="20"/>
        </w:rPr>
        <w:t xml:space="preserve"> sera également précisé.</w:t>
      </w:r>
    </w:p>
    <w:p w14:paraId="097A12DF" w14:textId="3DAD0C1B" w:rsidR="00117D7E" w:rsidRDefault="00071B24">
      <w:pPr>
        <w:spacing w:after="300"/>
        <w:jc w:val="both"/>
        <w:rPr>
          <w:rFonts w:ascii="Arial" w:hAnsi="Arial" w:cs="Arial"/>
          <w:b/>
          <w:color w:val="auto"/>
          <w:sz w:val="20"/>
          <w:szCs w:val="20"/>
          <w:u w:val="single"/>
        </w:rPr>
      </w:pPr>
      <w:r>
        <w:rPr>
          <w:rFonts w:ascii="Arial" w:hAnsi="Arial" w:cs="Arial"/>
          <w:b/>
          <w:color w:val="auto"/>
          <w:sz w:val="20"/>
          <w:szCs w:val="20"/>
          <w:u w:val="single"/>
        </w:rPr>
        <w:t>VII. Clause environnementale (partie non notée)</w:t>
      </w:r>
    </w:p>
    <w:p w14:paraId="619062AB" w14:textId="61082264" w:rsidR="0032544A" w:rsidRPr="0032544A" w:rsidRDefault="0032544A" w:rsidP="0032544A">
      <w:pPr>
        <w:spacing w:after="300"/>
        <w:jc w:val="both"/>
        <w:rPr>
          <w:rFonts w:ascii="Arial" w:hAnsi="Arial" w:cs="Arial"/>
          <w:color w:val="auto"/>
          <w:sz w:val="20"/>
          <w:szCs w:val="20"/>
        </w:rPr>
      </w:pPr>
      <w:r w:rsidRPr="0032544A">
        <w:rPr>
          <w:rFonts w:ascii="Arial" w:hAnsi="Arial" w:cs="Arial"/>
          <w:color w:val="auto"/>
          <w:sz w:val="20"/>
          <w:szCs w:val="20"/>
        </w:rPr>
        <w:t>Le marché comprend une clause environnementale comme condition d’exécution.</w:t>
      </w:r>
    </w:p>
    <w:p w14:paraId="7F850E47" w14:textId="3F2E5B63" w:rsidR="0032544A" w:rsidRPr="0032544A" w:rsidRDefault="0032544A" w:rsidP="0032544A">
      <w:pPr>
        <w:spacing w:after="300"/>
        <w:jc w:val="both"/>
        <w:rPr>
          <w:rFonts w:ascii="Arial" w:hAnsi="Arial" w:cs="Arial"/>
          <w:color w:val="auto"/>
          <w:sz w:val="20"/>
          <w:szCs w:val="20"/>
        </w:rPr>
      </w:pPr>
      <w:r w:rsidRPr="0032544A">
        <w:rPr>
          <w:rFonts w:ascii="Arial" w:hAnsi="Arial" w:cs="Arial"/>
          <w:color w:val="auto"/>
          <w:sz w:val="20"/>
          <w:szCs w:val="20"/>
        </w:rPr>
        <w:t>L’exécution des prestations objet du marché impliquera des déplacements. Aussi, afin de limiter l’émission de gaz à effet de serre, et en application de l’article L.2112-2 du Code de la commande publique, le titulaire devra démontrer par tout moyen l’existence d’une politique d’optimisation des déplacements et de gestion écoresponsable de la flotte de véhicules utilisés le cas échéant afin d’identifier les véhicules vieillissants et étudier leur remplacement pour bénéficier des motorisations les moins polluantes. Il indiquera les mesures envisagées afin que la réalisation des prestations sur le terrain se déroulent dans des conditions qui permettent de garantir le respect de l’environnement.</w:t>
      </w:r>
    </w:p>
    <w:p w14:paraId="4A4FD06E" w14:textId="15492BBF" w:rsidR="0032544A" w:rsidRDefault="0032544A" w:rsidP="0032544A">
      <w:pPr>
        <w:spacing w:after="0"/>
        <w:jc w:val="both"/>
        <w:rPr>
          <w:rFonts w:ascii="Arial" w:hAnsi="Arial" w:cs="Arial"/>
          <w:color w:val="auto"/>
          <w:sz w:val="20"/>
          <w:szCs w:val="20"/>
        </w:rPr>
      </w:pPr>
      <w:r w:rsidRPr="0032544A">
        <w:rPr>
          <w:rFonts w:ascii="Arial" w:hAnsi="Arial" w:cs="Arial"/>
          <w:color w:val="auto"/>
          <w:sz w:val="20"/>
          <w:szCs w:val="20"/>
        </w:rPr>
        <w:t xml:space="preserve">Par ailleurs, l’exécution des prestations objets du marché nécessitera la préparation de nombreux documents. En cas d’utilisation du support papier, le titulaire devra démontrer par tout moyen l’utilisation de papier recyclé ou de papier issu de forêts gérées durablement, au moyen par exemple des labels FSC ou PEFC.  </w:t>
      </w:r>
    </w:p>
    <w:p w14:paraId="737508F3" w14:textId="77777777" w:rsidR="00117D7E" w:rsidRDefault="00117D7E">
      <w:pPr>
        <w:spacing w:after="0"/>
        <w:jc w:val="both"/>
        <w:rPr>
          <w:rFonts w:ascii="Arial" w:hAnsi="Arial" w:cs="Arial"/>
          <w:color w:val="auto"/>
          <w:sz w:val="20"/>
          <w:szCs w:val="20"/>
        </w:rPr>
      </w:pPr>
    </w:p>
    <w:p w14:paraId="1EF6EB1D" w14:textId="67DC4E82" w:rsidR="0032544A" w:rsidRDefault="00071B24">
      <w:pPr>
        <w:spacing w:after="0"/>
        <w:jc w:val="both"/>
        <w:rPr>
          <w:rFonts w:ascii="Arial" w:hAnsi="Arial" w:cs="Arial"/>
          <w:color w:val="auto"/>
          <w:sz w:val="20"/>
          <w:szCs w:val="20"/>
        </w:rPr>
      </w:pPr>
      <w:r>
        <w:rPr>
          <w:rFonts w:ascii="Arial" w:hAnsi="Arial" w:cs="Arial"/>
          <w:color w:val="auto"/>
          <w:sz w:val="20"/>
          <w:szCs w:val="20"/>
        </w:rPr>
        <w:t>Le candidat indique dans cette partie les différentes actions mises en place afin de répondre à ces exigences.</w:t>
      </w:r>
      <w:r w:rsidR="0032544A">
        <w:rPr>
          <w:rFonts w:ascii="Arial" w:hAnsi="Arial" w:cs="Arial"/>
          <w:color w:val="auto"/>
          <w:sz w:val="20"/>
          <w:szCs w:val="20"/>
        </w:rPr>
        <w:t xml:space="preserve"> </w:t>
      </w:r>
    </w:p>
    <w:p w14:paraId="6AB728FD" w14:textId="77777777" w:rsidR="0032544A" w:rsidRDefault="0032544A">
      <w:pPr>
        <w:spacing w:after="0"/>
        <w:jc w:val="both"/>
        <w:rPr>
          <w:rFonts w:ascii="Arial" w:hAnsi="Arial" w:cs="Arial"/>
          <w:color w:val="auto"/>
          <w:sz w:val="20"/>
          <w:szCs w:val="20"/>
        </w:rPr>
      </w:pPr>
    </w:p>
    <w:p w14:paraId="1A6B5E8A" w14:textId="65ECD065" w:rsidR="00117D7E" w:rsidRDefault="00071B24">
      <w:pPr>
        <w:spacing w:after="0"/>
        <w:jc w:val="both"/>
        <w:rPr>
          <w:rFonts w:ascii="Arial" w:hAnsi="Arial" w:cs="Arial"/>
          <w:color w:val="auto"/>
          <w:sz w:val="20"/>
          <w:szCs w:val="20"/>
        </w:rPr>
      </w:pPr>
      <w:r>
        <w:rPr>
          <w:rFonts w:ascii="Arial" w:hAnsi="Arial" w:cs="Arial"/>
          <w:color w:val="auto"/>
          <w:sz w:val="20"/>
          <w:szCs w:val="20"/>
        </w:rPr>
        <w:t>L’acheteur sera en droit de demander, en cours d’exécution du marché, les justificatifs correspondants au titulaire.</w:t>
      </w:r>
    </w:p>
    <w:p w14:paraId="4903AA6D" w14:textId="2CADFB7B" w:rsidR="00C47DF4" w:rsidRDefault="00C47DF4">
      <w:pPr>
        <w:spacing w:after="0"/>
        <w:jc w:val="both"/>
        <w:rPr>
          <w:rFonts w:ascii="Arial" w:hAnsi="Arial" w:cs="Arial"/>
          <w:color w:val="auto"/>
          <w:sz w:val="20"/>
          <w:szCs w:val="20"/>
        </w:rPr>
      </w:pPr>
    </w:p>
    <w:p w14:paraId="0E5DCB24" w14:textId="16B7B087" w:rsidR="00C47DF4" w:rsidRDefault="00C47DF4" w:rsidP="00C47DF4">
      <w:pPr>
        <w:spacing w:after="300" w:line="264" w:lineRule="auto"/>
        <w:ind w:right="278"/>
        <w:jc w:val="both"/>
        <w:rPr>
          <w:rFonts w:ascii="Arial" w:hAnsi="Arial" w:cs="Arial"/>
          <w:b/>
          <w:color w:val="auto"/>
          <w:sz w:val="20"/>
          <w:szCs w:val="20"/>
          <w:u w:val="single"/>
        </w:rPr>
      </w:pPr>
      <w:r>
        <w:rPr>
          <w:rFonts w:ascii="Arial" w:hAnsi="Arial" w:cs="Arial"/>
          <w:b/>
          <w:color w:val="auto"/>
          <w:sz w:val="20"/>
          <w:szCs w:val="20"/>
          <w:u w:val="single"/>
        </w:rPr>
        <w:t>VIII. Représentation du titulaire (partie non notée)</w:t>
      </w:r>
    </w:p>
    <w:p w14:paraId="2C107A1E" w14:textId="542D7283" w:rsidR="00441447" w:rsidRDefault="00441447" w:rsidP="00441447">
      <w:pPr>
        <w:spacing w:after="0"/>
        <w:jc w:val="both"/>
        <w:rPr>
          <w:rFonts w:ascii="Arial" w:hAnsi="Arial" w:cs="Arial"/>
          <w:i/>
          <w:color w:val="auto"/>
          <w:sz w:val="20"/>
          <w:szCs w:val="20"/>
        </w:rPr>
      </w:pPr>
      <w:r w:rsidRPr="00441447">
        <w:rPr>
          <w:rFonts w:ascii="Arial" w:hAnsi="Arial" w:cs="Arial"/>
          <w:color w:val="auto"/>
          <w:sz w:val="20"/>
          <w:szCs w:val="20"/>
        </w:rPr>
        <w:t xml:space="preserve">Conformément aux dispositions de l’article « représentation du titulaire » du Cahier des Clauses Administratives Particulières, </w:t>
      </w:r>
      <w:r w:rsidRPr="00441447">
        <w:rPr>
          <w:rFonts w:ascii="Arial" w:hAnsi="Arial" w:cs="Arial"/>
          <w:i/>
          <w:color w:val="auto"/>
          <w:sz w:val="20"/>
          <w:szCs w:val="20"/>
        </w:rPr>
        <w:t>« le titulaire désigne une ou plusieurs personnes physiques, habilitées à le représenter auprès de l'acheteur, pour les besoins de l'exécution de l’accord-cadre. Cet ou ces interlocuteur(s) sont désignés dans le cadre de réponse technique du titulaire. Le titulaire est tenu d'informer, sans délai, l'acheteur de toute modification d'interlocuteur désigné ».</w:t>
      </w:r>
    </w:p>
    <w:p w14:paraId="6E8EE653" w14:textId="77777777" w:rsidR="00441447" w:rsidRPr="00441447" w:rsidRDefault="00441447" w:rsidP="00441447">
      <w:pPr>
        <w:spacing w:after="0"/>
        <w:jc w:val="both"/>
        <w:rPr>
          <w:rFonts w:ascii="Arial" w:hAnsi="Arial" w:cs="Arial"/>
          <w:b/>
          <w:color w:val="auto"/>
          <w:sz w:val="20"/>
          <w:szCs w:val="20"/>
        </w:rPr>
      </w:pPr>
    </w:p>
    <w:p w14:paraId="0F29A98B" w14:textId="1C36162D" w:rsidR="00441447" w:rsidRDefault="00441447" w:rsidP="00441447">
      <w:pPr>
        <w:spacing w:after="0"/>
        <w:jc w:val="both"/>
        <w:rPr>
          <w:rFonts w:ascii="Arial" w:hAnsi="Arial" w:cs="Arial"/>
          <w:i/>
          <w:color w:val="auto"/>
          <w:sz w:val="20"/>
          <w:szCs w:val="20"/>
        </w:rPr>
      </w:pPr>
      <w:r w:rsidRPr="00441447">
        <w:rPr>
          <w:rFonts w:ascii="Arial" w:hAnsi="Arial" w:cs="Arial"/>
          <w:i/>
          <w:color w:val="auto"/>
          <w:sz w:val="20"/>
          <w:szCs w:val="20"/>
        </w:rPr>
        <w:t>Le candidat désigne dans le cadre ci-dessous son ou ses représentants pour les besoins de l’exécution de l’accord-cadre à compter de sa notification, en veillant à indiquer la ou les adresses courriels tant pour le suivi administratif que pour l’exécution des prestations.</w:t>
      </w:r>
    </w:p>
    <w:p w14:paraId="61FD7990" w14:textId="77777777" w:rsidR="00441447" w:rsidRPr="00441447" w:rsidRDefault="00441447" w:rsidP="00441447">
      <w:pPr>
        <w:spacing w:after="0"/>
        <w:jc w:val="both"/>
        <w:rPr>
          <w:rFonts w:ascii="Arial" w:hAnsi="Arial" w:cs="Arial"/>
          <w:i/>
          <w:color w:val="auto"/>
          <w:sz w:val="20"/>
          <w:szCs w:val="20"/>
        </w:rPr>
      </w:pPr>
    </w:p>
    <w:tbl>
      <w:tblPr>
        <w:tblStyle w:val="Grilledutableau"/>
        <w:tblW w:w="0" w:type="auto"/>
        <w:tblLook w:val="04A0" w:firstRow="1" w:lastRow="0" w:firstColumn="1" w:lastColumn="0" w:noHBand="0" w:noVBand="1"/>
      </w:tblPr>
      <w:tblGrid>
        <w:gridCol w:w="4563"/>
        <w:gridCol w:w="4563"/>
      </w:tblGrid>
      <w:tr w:rsidR="00441447" w:rsidRPr="00441447" w14:paraId="0363A37A" w14:textId="77777777" w:rsidTr="00D82653">
        <w:tc>
          <w:tcPr>
            <w:tcW w:w="4563" w:type="dxa"/>
            <w:tcBorders>
              <w:top w:val="nil"/>
              <w:left w:val="nil"/>
              <w:bottom w:val="single" w:sz="4" w:space="0" w:color="auto"/>
              <w:right w:val="single" w:sz="4" w:space="0" w:color="auto"/>
            </w:tcBorders>
            <w:shd w:val="clear" w:color="auto" w:fill="FFFFFF" w:themeFill="background1"/>
          </w:tcPr>
          <w:p w14:paraId="4C59E867" w14:textId="77777777" w:rsidR="00441447" w:rsidRPr="007D52C0" w:rsidRDefault="00441447" w:rsidP="00441447">
            <w:pPr>
              <w:spacing w:after="0"/>
              <w:jc w:val="both"/>
              <w:rPr>
                <w:rFonts w:ascii="Arial" w:hAnsi="Arial" w:cs="Arial"/>
                <w:color w:val="auto"/>
                <w:sz w:val="20"/>
                <w:szCs w:val="20"/>
              </w:rPr>
            </w:pPr>
          </w:p>
        </w:tc>
        <w:tc>
          <w:tcPr>
            <w:tcW w:w="4563" w:type="dxa"/>
            <w:tcBorders>
              <w:left w:val="single" w:sz="4" w:space="0" w:color="auto"/>
            </w:tcBorders>
          </w:tcPr>
          <w:p w14:paraId="30358605" w14:textId="77777777" w:rsidR="00441447" w:rsidRPr="007D52C0" w:rsidRDefault="00441447" w:rsidP="00441447">
            <w:pPr>
              <w:spacing w:after="0"/>
              <w:jc w:val="both"/>
              <w:rPr>
                <w:rFonts w:ascii="Arial" w:hAnsi="Arial" w:cs="Arial"/>
                <w:b/>
                <w:color w:val="auto"/>
                <w:sz w:val="20"/>
                <w:szCs w:val="20"/>
              </w:rPr>
            </w:pPr>
          </w:p>
          <w:p w14:paraId="1063360D" w14:textId="77777777" w:rsidR="00441447" w:rsidRPr="007D52C0" w:rsidRDefault="00441447" w:rsidP="007D52C0">
            <w:pPr>
              <w:spacing w:after="0"/>
              <w:jc w:val="center"/>
              <w:rPr>
                <w:rFonts w:ascii="Arial" w:hAnsi="Arial" w:cs="Arial"/>
                <w:b/>
                <w:color w:val="auto"/>
                <w:sz w:val="20"/>
                <w:szCs w:val="20"/>
              </w:rPr>
            </w:pPr>
            <w:r w:rsidRPr="007D52C0">
              <w:rPr>
                <w:rFonts w:ascii="Arial" w:hAnsi="Arial" w:cs="Arial"/>
                <w:b/>
                <w:color w:val="auto"/>
                <w:sz w:val="20"/>
                <w:szCs w:val="20"/>
              </w:rPr>
              <w:t>Adresses de messagerie électronique</w:t>
            </w:r>
          </w:p>
          <w:p w14:paraId="491D4818" w14:textId="77777777" w:rsidR="00441447" w:rsidRPr="007D52C0" w:rsidRDefault="00441447" w:rsidP="00441447">
            <w:pPr>
              <w:spacing w:after="0"/>
              <w:jc w:val="both"/>
              <w:rPr>
                <w:rFonts w:ascii="Arial" w:hAnsi="Arial" w:cs="Arial"/>
                <w:b/>
                <w:color w:val="auto"/>
                <w:sz w:val="20"/>
                <w:szCs w:val="20"/>
              </w:rPr>
            </w:pPr>
          </w:p>
        </w:tc>
      </w:tr>
      <w:tr w:rsidR="00441447" w:rsidRPr="00441447" w14:paraId="6511A297" w14:textId="77777777" w:rsidTr="00D82653">
        <w:tc>
          <w:tcPr>
            <w:tcW w:w="4563" w:type="dxa"/>
            <w:tcBorders>
              <w:top w:val="single" w:sz="4" w:space="0" w:color="auto"/>
            </w:tcBorders>
          </w:tcPr>
          <w:p w14:paraId="2083423C" w14:textId="77777777" w:rsidR="00441447" w:rsidRPr="007D52C0" w:rsidRDefault="00441447" w:rsidP="00441447">
            <w:pPr>
              <w:spacing w:after="0"/>
              <w:jc w:val="both"/>
              <w:rPr>
                <w:rFonts w:ascii="Arial" w:hAnsi="Arial" w:cs="Arial"/>
                <w:color w:val="auto"/>
                <w:sz w:val="20"/>
                <w:szCs w:val="20"/>
              </w:rPr>
            </w:pPr>
          </w:p>
          <w:p w14:paraId="6690B323" w14:textId="77777777" w:rsidR="00441447" w:rsidRPr="007D52C0" w:rsidRDefault="00441447" w:rsidP="00441447">
            <w:pPr>
              <w:spacing w:after="0"/>
              <w:jc w:val="both"/>
              <w:rPr>
                <w:rFonts w:ascii="Arial" w:hAnsi="Arial" w:cs="Arial"/>
                <w:color w:val="auto"/>
                <w:sz w:val="20"/>
                <w:szCs w:val="20"/>
              </w:rPr>
            </w:pPr>
            <w:r w:rsidRPr="007D52C0">
              <w:rPr>
                <w:rFonts w:ascii="Arial" w:hAnsi="Arial" w:cs="Arial"/>
                <w:color w:val="auto"/>
                <w:sz w:val="20"/>
                <w:szCs w:val="20"/>
              </w:rPr>
              <w:t>Suivi administratif à compter de la notification</w:t>
            </w:r>
          </w:p>
          <w:p w14:paraId="58354085" w14:textId="77777777" w:rsidR="00441447" w:rsidRPr="007D52C0" w:rsidRDefault="00441447" w:rsidP="00441447">
            <w:pPr>
              <w:spacing w:after="0"/>
              <w:jc w:val="both"/>
              <w:rPr>
                <w:rFonts w:ascii="Arial" w:hAnsi="Arial" w:cs="Arial"/>
                <w:color w:val="auto"/>
                <w:sz w:val="20"/>
                <w:szCs w:val="20"/>
              </w:rPr>
            </w:pPr>
          </w:p>
        </w:tc>
        <w:tc>
          <w:tcPr>
            <w:tcW w:w="4563" w:type="dxa"/>
          </w:tcPr>
          <w:p w14:paraId="0DF9235C" w14:textId="77777777" w:rsidR="00441447" w:rsidRPr="007D52C0" w:rsidRDefault="00441447" w:rsidP="00441447">
            <w:pPr>
              <w:spacing w:after="0"/>
              <w:jc w:val="both"/>
              <w:rPr>
                <w:rFonts w:ascii="Arial" w:hAnsi="Arial" w:cs="Arial"/>
                <w:color w:val="auto"/>
                <w:sz w:val="20"/>
                <w:szCs w:val="20"/>
              </w:rPr>
            </w:pPr>
          </w:p>
          <w:p w14:paraId="29CE2942" w14:textId="77777777" w:rsidR="00441447" w:rsidRPr="007D52C0" w:rsidRDefault="00441447" w:rsidP="00441447">
            <w:pPr>
              <w:spacing w:after="0"/>
              <w:jc w:val="both"/>
              <w:rPr>
                <w:rFonts w:ascii="Arial" w:hAnsi="Arial" w:cs="Arial"/>
                <w:color w:val="auto"/>
                <w:sz w:val="20"/>
                <w:szCs w:val="20"/>
              </w:rPr>
            </w:pPr>
          </w:p>
        </w:tc>
      </w:tr>
      <w:tr w:rsidR="00441447" w:rsidRPr="00441447" w14:paraId="050B887F" w14:textId="77777777" w:rsidTr="00D82653">
        <w:tc>
          <w:tcPr>
            <w:tcW w:w="4563" w:type="dxa"/>
          </w:tcPr>
          <w:p w14:paraId="70975DFC" w14:textId="77777777" w:rsidR="00441447" w:rsidRPr="007D52C0" w:rsidRDefault="00441447" w:rsidP="00441447">
            <w:pPr>
              <w:spacing w:after="0"/>
              <w:jc w:val="both"/>
              <w:rPr>
                <w:rFonts w:ascii="Arial" w:hAnsi="Arial" w:cs="Arial"/>
                <w:color w:val="auto"/>
                <w:sz w:val="20"/>
                <w:szCs w:val="20"/>
              </w:rPr>
            </w:pPr>
          </w:p>
          <w:p w14:paraId="79FD724C" w14:textId="77777777" w:rsidR="00441447" w:rsidRPr="007D52C0" w:rsidRDefault="00441447" w:rsidP="00441447">
            <w:pPr>
              <w:spacing w:after="0"/>
              <w:jc w:val="both"/>
              <w:rPr>
                <w:rFonts w:ascii="Arial" w:hAnsi="Arial" w:cs="Arial"/>
                <w:color w:val="auto"/>
                <w:sz w:val="20"/>
                <w:szCs w:val="20"/>
              </w:rPr>
            </w:pPr>
            <w:r w:rsidRPr="007D52C0">
              <w:rPr>
                <w:rFonts w:ascii="Arial" w:hAnsi="Arial" w:cs="Arial"/>
                <w:color w:val="auto"/>
                <w:sz w:val="20"/>
                <w:szCs w:val="20"/>
              </w:rPr>
              <w:t>Suivi technique à compter de la notification</w:t>
            </w:r>
          </w:p>
          <w:p w14:paraId="0B16C13A" w14:textId="77777777" w:rsidR="00441447" w:rsidRPr="007D52C0" w:rsidRDefault="00441447" w:rsidP="00441447">
            <w:pPr>
              <w:spacing w:after="0"/>
              <w:jc w:val="both"/>
              <w:rPr>
                <w:rFonts w:ascii="Arial" w:hAnsi="Arial" w:cs="Arial"/>
                <w:color w:val="auto"/>
                <w:sz w:val="20"/>
                <w:szCs w:val="20"/>
              </w:rPr>
            </w:pPr>
          </w:p>
        </w:tc>
        <w:tc>
          <w:tcPr>
            <w:tcW w:w="4563" w:type="dxa"/>
          </w:tcPr>
          <w:p w14:paraId="02FF8C0A" w14:textId="77777777" w:rsidR="00441447" w:rsidRPr="007D52C0" w:rsidRDefault="00441447" w:rsidP="00441447">
            <w:pPr>
              <w:spacing w:after="0"/>
              <w:jc w:val="both"/>
              <w:rPr>
                <w:rFonts w:ascii="Arial" w:hAnsi="Arial" w:cs="Arial"/>
                <w:color w:val="auto"/>
                <w:sz w:val="20"/>
                <w:szCs w:val="20"/>
              </w:rPr>
            </w:pPr>
          </w:p>
          <w:p w14:paraId="20AC176E" w14:textId="77777777" w:rsidR="00441447" w:rsidRPr="007D52C0" w:rsidRDefault="00441447" w:rsidP="00441447">
            <w:pPr>
              <w:spacing w:after="0"/>
              <w:jc w:val="both"/>
              <w:rPr>
                <w:rFonts w:ascii="Arial" w:hAnsi="Arial" w:cs="Arial"/>
                <w:color w:val="auto"/>
                <w:sz w:val="20"/>
                <w:szCs w:val="20"/>
              </w:rPr>
            </w:pPr>
          </w:p>
        </w:tc>
      </w:tr>
    </w:tbl>
    <w:p w14:paraId="268016BA" w14:textId="77777777" w:rsidR="00441447" w:rsidRPr="00441447" w:rsidRDefault="00441447" w:rsidP="00441447">
      <w:pPr>
        <w:spacing w:after="0"/>
        <w:jc w:val="both"/>
        <w:rPr>
          <w:rFonts w:ascii="Arial" w:hAnsi="Arial" w:cs="Arial"/>
          <w:color w:val="auto"/>
          <w:sz w:val="20"/>
          <w:szCs w:val="20"/>
        </w:rPr>
      </w:pPr>
    </w:p>
    <w:p w14:paraId="1AF4A5F4" w14:textId="77777777" w:rsidR="00441447" w:rsidRPr="00441447" w:rsidRDefault="00441447" w:rsidP="00441447">
      <w:pPr>
        <w:spacing w:after="0"/>
        <w:jc w:val="both"/>
        <w:rPr>
          <w:rFonts w:ascii="Arial" w:hAnsi="Arial" w:cs="Arial"/>
          <w:color w:val="auto"/>
          <w:sz w:val="20"/>
          <w:szCs w:val="20"/>
        </w:rPr>
      </w:pPr>
      <w:r w:rsidRPr="00441447">
        <w:rPr>
          <w:rFonts w:ascii="Arial" w:hAnsi="Arial" w:cs="Arial"/>
          <w:color w:val="auto"/>
          <w:sz w:val="20"/>
          <w:szCs w:val="20"/>
        </w:rPr>
        <w:t>Ces adresses mail devront être valables pendant toute la durée de l’accord-cadre.</w:t>
      </w:r>
    </w:p>
    <w:p w14:paraId="368F46F3" w14:textId="77777777" w:rsidR="00441447" w:rsidRPr="00441447" w:rsidRDefault="00441447" w:rsidP="00441447">
      <w:pPr>
        <w:spacing w:after="0"/>
        <w:jc w:val="both"/>
        <w:rPr>
          <w:rFonts w:ascii="Arial" w:hAnsi="Arial" w:cs="Arial"/>
          <w:color w:val="auto"/>
          <w:sz w:val="20"/>
          <w:szCs w:val="20"/>
        </w:rPr>
      </w:pPr>
      <w:r w:rsidRPr="00441447">
        <w:rPr>
          <w:rFonts w:ascii="Arial" w:hAnsi="Arial" w:cs="Arial"/>
          <w:color w:val="auto"/>
          <w:sz w:val="20"/>
          <w:szCs w:val="20"/>
        </w:rPr>
        <w:t>La société s’engage en cas de modification de celles-ci à avertir les représentants de l’acheteur dans les plus brefs délais, ainsi que le bureau de la commande publique et des achats (</w:t>
      </w:r>
      <w:hyperlink r:id="rId9" w:history="1">
        <w:r w:rsidRPr="00441447">
          <w:rPr>
            <w:rStyle w:val="Lienhypertexte"/>
            <w:rFonts w:ascii="Arial" w:hAnsi="Arial" w:cs="Arial"/>
            <w:sz w:val="20"/>
            <w:szCs w:val="20"/>
          </w:rPr>
          <w:t>bcpa.sdlp.safsl.sg@agriculture.gouv.fr</w:t>
        </w:r>
      </w:hyperlink>
      <w:r w:rsidRPr="00441447">
        <w:rPr>
          <w:rFonts w:ascii="Arial" w:hAnsi="Arial" w:cs="Arial"/>
          <w:color w:val="auto"/>
          <w:sz w:val="20"/>
          <w:szCs w:val="20"/>
        </w:rPr>
        <w:t>)</w:t>
      </w:r>
    </w:p>
    <w:p w14:paraId="29955608" w14:textId="77777777" w:rsidR="00C47DF4" w:rsidRDefault="00C47DF4">
      <w:pPr>
        <w:spacing w:after="0"/>
        <w:jc w:val="both"/>
        <w:rPr>
          <w:rFonts w:ascii="Arial" w:hAnsi="Arial" w:cs="Arial"/>
          <w:color w:val="auto"/>
          <w:sz w:val="20"/>
          <w:szCs w:val="20"/>
        </w:rPr>
      </w:pPr>
    </w:p>
    <w:sectPr w:rsidR="00C47DF4">
      <w:footerReference w:type="default" r:id="rId10"/>
      <w:headerReference w:type="first" r:id="rId11"/>
      <w:footnotePr>
        <w:numRestart w:val="eachPage"/>
      </w:footnotePr>
      <w:pgSz w:w="11906" w:h="16838"/>
      <w:pgMar w:top="777" w:right="1351" w:bottom="1422" w:left="1419" w:header="720" w:footer="720" w:gutter="0"/>
      <w:cols w:space="720"/>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54876" w14:textId="77777777" w:rsidR="009041DD" w:rsidRDefault="009041DD">
      <w:pPr>
        <w:spacing w:after="0" w:line="240" w:lineRule="auto"/>
      </w:pPr>
      <w:r>
        <w:separator/>
      </w:r>
    </w:p>
  </w:endnote>
  <w:endnote w:type="continuationSeparator" w:id="0">
    <w:p w14:paraId="40BBE46B" w14:textId="77777777" w:rsidR="009041DD" w:rsidRDefault="0090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rianne">
    <w:panose1 w:val="02000000000000000000"/>
    <w:charset w:val="00"/>
    <w:family w:val="modern"/>
    <w:notTrueType/>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osh">
    <w:altName w:val="Times New Roman"/>
    <w:charset w:val="00"/>
    <w:family w:val="auto"/>
    <w:pitch w:val="variable"/>
    <w:sig w:usb0="00000001" w:usb1="00000021" w:usb2="00000000" w:usb3="00000000" w:csb0="00000193" w:csb1="00000000"/>
  </w:font>
  <w:font w:name="Marianne Medium">
    <w:panose1 w:val="02000000000000000000"/>
    <w:charset w:val="00"/>
    <w:family w:val="modern"/>
    <w:notTrueType/>
    <w:pitch w:val="variable"/>
    <w:sig w:usb0="0000000F" w:usb1="00000000" w:usb2="00000000" w:usb3="00000000" w:csb0="00000003" w:csb1="00000000"/>
  </w:font>
  <w:font w:name="Calibri-Bold">
    <w:altName w:val="Calibri"/>
    <w:charset w:val="01"/>
    <w:family w:val="auto"/>
    <w:pitch w:val="default"/>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899245"/>
      <w:docPartObj>
        <w:docPartGallery w:val="Page Numbers (Bottom of Page)"/>
        <w:docPartUnique/>
      </w:docPartObj>
    </w:sdtPr>
    <w:sdtEndPr/>
    <w:sdtContent>
      <w:p w14:paraId="408D1E93" w14:textId="09BCBE8D" w:rsidR="00117D7E" w:rsidRDefault="00071B24">
        <w:pPr>
          <w:pStyle w:val="Pieddepage"/>
        </w:pPr>
        <w:r>
          <w:rPr>
            <w:color w:val="auto"/>
          </w:rPr>
          <w:t>DDT-2024-</w:t>
        </w:r>
        <w:r w:rsidR="00C47DF4">
          <w:rPr>
            <w:color w:val="auto"/>
          </w:rPr>
          <w:t xml:space="preserve">075 </w:t>
        </w:r>
        <w:r>
          <w:rPr>
            <w:color w:val="auto"/>
          </w:rPr>
          <w:t>- Cadre de réponse</w:t>
        </w:r>
        <w:r>
          <w:tab/>
        </w:r>
        <w:r>
          <w:tab/>
          <w:t xml:space="preserve"> </w:t>
        </w:r>
        <w:r>
          <w:fldChar w:fldCharType="begin"/>
        </w:r>
        <w:r>
          <w:instrText xml:space="preserve"> PAGE </w:instrText>
        </w:r>
        <w:r>
          <w:fldChar w:fldCharType="separate"/>
        </w:r>
        <w:r>
          <w:t>5</w:t>
        </w:r>
        <w:r>
          <w:fldChar w:fldCharType="end"/>
        </w:r>
      </w:p>
    </w:sdtContent>
  </w:sdt>
  <w:p w14:paraId="00DAB2DD" w14:textId="77777777" w:rsidR="00117D7E" w:rsidRDefault="00117D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F69AF" w14:textId="77777777" w:rsidR="009041DD" w:rsidRDefault="009041DD">
      <w:pPr>
        <w:rPr>
          <w:sz w:val="12"/>
        </w:rPr>
      </w:pPr>
      <w:r>
        <w:separator/>
      </w:r>
    </w:p>
  </w:footnote>
  <w:footnote w:type="continuationSeparator" w:id="0">
    <w:p w14:paraId="2DD95B3E" w14:textId="77777777" w:rsidR="009041DD" w:rsidRDefault="009041DD">
      <w:pPr>
        <w:rPr>
          <w:sz w:val="12"/>
        </w:rPr>
      </w:pPr>
      <w:r>
        <w:continuationSeparator/>
      </w:r>
    </w:p>
  </w:footnote>
  <w:footnote w:id="1">
    <w:p w14:paraId="38BBF5D6" w14:textId="77777777" w:rsidR="00117D7E" w:rsidRDefault="00071B24">
      <w:pPr>
        <w:pStyle w:val="footnotedescription"/>
        <w:widowControl w:val="0"/>
      </w:pPr>
      <w:r>
        <w:rPr>
          <w:rStyle w:val="Caractresdenotedebasdepage"/>
        </w:rPr>
        <w:footnoteRef/>
      </w:r>
      <w:r>
        <w:t xml:space="preserve"> A dupliquer si candidature en groupement. </w:t>
      </w:r>
    </w:p>
    <w:p w14:paraId="1DD2D80E" w14:textId="77777777" w:rsidR="00117D7E" w:rsidRDefault="00117D7E">
      <w:pPr>
        <w:widowControl w:val="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404C" w14:textId="77777777" w:rsidR="00117D7E" w:rsidRDefault="00117D7E">
    <w:pPr>
      <w:suppressLineNumbers/>
      <w:tabs>
        <w:tab w:val="center" w:pos="4818"/>
        <w:tab w:val="right" w:pos="9637"/>
      </w:tabs>
      <w:spacing w:before="57" w:after="0" w:line="240" w:lineRule="auto"/>
      <w:textAlignment w:val="center"/>
      <w:rPr>
        <w:rFonts w:ascii="Arial" w:eastAsia="Andale Sans UI" w:hAnsi="Arial" w:cs="Tahoma"/>
        <w:color w:val="00000A"/>
        <w:kern w:val="2"/>
        <w:sz w:val="20"/>
        <w:szCs w:val="24"/>
        <w:lang w:eastAsia="ja-JP" w:bidi="fa-IR"/>
      </w:rPr>
    </w:pPr>
  </w:p>
  <w:p w14:paraId="6520641F" w14:textId="77777777" w:rsidR="00117D7E" w:rsidRDefault="00117D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713C7"/>
    <w:multiLevelType w:val="multilevel"/>
    <w:tmpl w:val="DBD4D83A"/>
    <w:lvl w:ilvl="0">
      <w:start w:val="1"/>
      <w:numFmt w:val="bullet"/>
      <w:lvlText w:val="-"/>
      <w:lvlJc w:val="left"/>
      <w:pPr>
        <w:tabs>
          <w:tab w:val="num" w:pos="0"/>
        </w:tabs>
        <w:ind w:left="720" w:firstLine="0"/>
      </w:pPr>
      <w:rPr>
        <w:rFonts w:ascii="Arial" w:hAnsi="Arial" w:cs="Arial" w:hint="default"/>
        <w:b w:val="0"/>
        <w:i w:val="0"/>
        <w:strike w:val="0"/>
        <w:dstrike w:val="0"/>
        <w:color w:val="000000"/>
        <w:position w:val="0"/>
        <w:sz w:val="20"/>
        <w:szCs w:val="20"/>
        <w:u w:val="none" w:color="000000"/>
        <w:shd w:val="clear" w:color="auto" w:fill="auto"/>
        <w:vertAlign w:val="baseline"/>
      </w:rPr>
    </w:lvl>
    <w:lvl w:ilvl="1">
      <w:start w:val="1"/>
      <w:numFmt w:val="bullet"/>
      <w:lvlText w:val="o"/>
      <w:lvlJc w:val="left"/>
      <w:pPr>
        <w:tabs>
          <w:tab w:val="num" w:pos="0"/>
        </w:tabs>
        <w:ind w:left="1440" w:firstLine="0"/>
      </w:pPr>
      <w:rPr>
        <w:rFonts w:ascii="Arial" w:hAnsi="Arial" w:cs="Arial" w:hint="default"/>
        <w:b w:val="0"/>
        <w:i w:val="0"/>
        <w:strike w:val="0"/>
        <w:dstrike w:val="0"/>
        <w:color w:val="000000"/>
        <w:position w:val="0"/>
        <w:sz w:val="20"/>
        <w:szCs w:val="20"/>
        <w:u w:val="none" w:color="000000"/>
        <w:shd w:val="clear" w:color="auto" w:fill="auto"/>
        <w:vertAlign w:val="baseline"/>
      </w:rPr>
    </w:lvl>
    <w:lvl w:ilvl="2">
      <w:start w:val="1"/>
      <w:numFmt w:val="bullet"/>
      <w:lvlText w:val="▪"/>
      <w:lvlJc w:val="left"/>
      <w:pPr>
        <w:tabs>
          <w:tab w:val="num" w:pos="0"/>
        </w:tabs>
        <w:ind w:left="2160" w:firstLine="0"/>
      </w:pPr>
      <w:rPr>
        <w:rFonts w:ascii="Arial" w:hAnsi="Arial" w:cs="Arial" w:hint="default"/>
        <w:b w:val="0"/>
        <w:i w:val="0"/>
        <w:strike w:val="0"/>
        <w:dstrike w:val="0"/>
        <w:color w:val="000000"/>
        <w:position w:val="0"/>
        <w:sz w:val="20"/>
        <w:szCs w:val="20"/>
        <w:u w:val="none" w:color="000000"/>
        <w:shd w:val="clear" w:color="auto" w:fill="auto"/>
        <w:vertAlign w:val="baseline"/>
      </w:rPr>
    </w:lvl>
    <w:lvl w:ilvl="3">
      <w:start w:val="1"/>
      <w:numFmt w:val="bullet"/>
      <w:lvlText w:val="•"/>
      <w:lvlJc w:val="left"/>
      <w:pPr>
        <w:tabs>
          <w:tab w:val="num" w:pos="0"/>
        </w:tabs>
        <w:ind w:left="2880" w:firstLine="0"/>
      </w:pPr>
      <w:rPr>
        <w:rFonts w:ascii="Arial" w:hAnsi="Arial" w:cs="Arial" w:hint="default"/>
        <w:b w:val="0"/>
        <w:i w:val="0"/>
        <w:strike w:val="0"/>
        <w:dstrike w:val="0"/>
        <w:color w:val="000000"/>
        <w:position w:val="0"/>
        <w:sz w:val="20"/>
        <w:szCs w:val="20"/>
        <w:u w:val="none" w:color="000000"/>
        <w:shd w:val="clear" w:color="auto" w:fill="auto"/>
        <w:vertAlign w:val="baseline"/>
      </w:rPr>
    </w:lvl>
    <w:lvl w:ilvl="4">
      <w:start w:val="1"/>
      <w:numFmt w:val="bullet"/>
      <w:lvlText w:val="o"/>
      <w:lvlJc w:val="left"/>
      <w:pPr>
        <w:tabs>
          <w:tab w:val="num" w:pos="0"/>
        </w:tabs>
        <w:ind w:left="3600" w:firstLine="0"/>
      </w:pPr>
      <w:rPr>
        <w:rFonts w:ascii="Arial" w:hAnsi="Arial" w:cs="Arial" w:hint="default"/>
        <w:b w:val="0"/>
        <w:i w:val="0"/>
        <w:strike w:val="0"/>
        <w:dstrike w:val="0"/>
        <w:color w:val="000000"/>
        <w:position w:val="0"/>
        <w:sz w:val="20"/>
        <w:szCs w:val="20"/>
        <w:u w:val="none" w:color="000000"/>
        <w:shd w:val="clear" w:color="auto" w:fill="auto"/>
        <w:vertAlign w:val="baseline"/>
      </w:rPr>
    </w:lvl>
    <w:lvl w:ilvl="5">
      <w:start w:val="1"/>
      <w:numFmt w:val="bullet"/>
      <w:lvlText w:val="▪"/>
      <w:lvlJc w:val="left"/>
      <w:pPr>
        <w:tabs>
          <w:tab w:val="num" w:pos="0"/>
        </w:tabs>
        <w:ind w:left="4320" w:firstLine="0"/>
      </w:pPr>
      <w:rPr>
        <w:rFonts w:ascii="Arial" w:hAnsi="Arial" w:cs="Arial" w:hint="default"/>
        <w:b w:val="0"/>
        <w:i w:val="0"/>
        <w:strike w:val="0"/>
        <w:dstrike w:val="0"/>
        <w:color w:val="000000"/>
        <w:position w:val="0"/>
        <w:sz w:val="20"/>
        <w:szCs w:val="20"/>
        <w:u w:val="none" w:color="000000"/>
        <w:shd w:val="clear" w:color="auto" w:fill="auto"/>
        <w:vertAlign w:val="baseline"/>
      </w:rPr>
    </w:lvl>
    <w:lvl w:ilvl="6">
      <w:start w:val="1"/>
      <w:numFmt w:val="bullet"/>
      <w:lvlText w:val="•"/>
      <w:lvlJc w:val="left"/>
      <w:pPr>
        <w:tabs>
          <w:tab w:val="num" w:pos="0"/>
        </w:tabs>
        <w:ind w:left="5040" w:firstLine="0"/>
      </w:pPr>
      <w:rPr>
        <w:rFonts w:ascii="Arial" w:hAnsi="Arial" w:cs="Arial" w:hint="default"/>
        <w:b w:val="0"/>
        <w:i w:val="0"/>
        <w:strike w:val="0"/>
        <w:dstrike w:val="0"/>
        <w:color w:val="000000"/>
        <w:position w:val="0"/>
        <w:sz w:val="20"/>
        <w:szCs w:val="20"/>
        <w:u w:val="none" w:color="000000"/>
        <w:shd w:val="clear" w:color="auto" w:fill="auto"/>
        <w:vertAlign w:val="baseline"/>
      </w:rPr>
    </w:lvl>
    <w:lvl w:ilvl="7">
      <w:start w:val="1"/>
      <w:numFmt w:val="bullet"/>
      <w:lvlText w:val="o"/>
      <w:lvlJc w:val="left"/>
      <w:pPr>
        <w:tabs>
          <w:tab w:val="num" w:pos="0"/>
        </w:tabs>
        <w:ind w:left="5760" w:firstLine="0"/>
      </w:pPr>
      <w:rPr>
        <w:rFonts w:ascii="Arial" w:hAnsi="Arial" w:cs="Arial" w:hint="default"/>
        <w:b w:val="0"/>
        <w:i w:val="0"/>
        <w:strike w:val="0"/>
        <w:dstrike w:val="0"/>
        <w:color w:val="000000"/>
        <w:position w:val="0"/>
        <w:sz w:val="20"/>
        <w:szCs w:val="20"/>
        <w:u w:val="none" w:color="000000"/>
        <w:shd w:val="clear" w:color="auto" w:fill="auto"/>
        <w:vertAlign w:val="baseline"/>
      </w:rPr>
    </w:lvl>
    <w:lvl w:ilvl="8">
      <w:start w:val="1"/>
      <w:numFmt w:val="bullet"/>
      <w:lvlText w:val="▪"/>
      <w:lvlJc w:val="left"/>
      <w:pPr>
        <w:tabs>
          <w:tab w:val="num" w:pos="0"/>
        </w:tabs>
        <w:ind w:left="6480" w:firstLine="0"/>
      </w:pPr>
      <w:rPr>
        <w:rFonts w:ascii="Arial" w:hAnsi="Arial" w:cs="Arial" w:hint="default"/>
        <w:b w:val="0"/>
        <w:i w:val="0"/>
        <w:strike w:val="0"/>
        <w:dstrike w:val="0"/>
        <w:color w:val="000000"/>
        <w:position w:val="0"/>
        <w:sz w:val="20"/>
        <w:szCs w:val="20"/>
        <w:u w:val="none" w:color="000000"/>
        <w:shd w:val="clear" w:color="auto" w:fill="auto"/>
        <w:vertAlign w:val="baseline"/>
      </w:rPr>
    </w:lvl>
  </w:abstractNum>
  <w:abstractNum w:abstractNumId="1" w15:restartNumberingAfterBreak="0">
    <w:nsid w:val="7257345F"/>
    <w:multiLevelType w:val="multilevel"/>
    <w:tmpl w:val="E12A9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autoHyphenation/>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7E"/>
    <w:rsid w:val="00071B24"/>
    <w:rsid w:val="000F4645"/>
    <w:rsid w:val="00117D7E"/>
    <w:rsid w:val="001C0CFB"/>
    <w:rsid w:val="00275B03"/>
    <w:rsid w:val="0032544A"/>
    <w:rsid w:val="0032704A"/>
    <w:rsid w:val="00441447"/>
    <w:rsid w:val="007C1EB5"/>
    <w:rsid w:val="007C3F9B"/>
    <w:rsid w:val="007D52C0"/>
    <w:rsid w:val="009041DD"/>
    <w:rsid w:val="00C47DF4"/>
    <w:rsid w:val="00E023F4"/>
    <w:rsid w:val="00F87BE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416AF4"/>
  <w15:docId w15:val="{5781AA65-95CA-4CA1-A314-31B204DC1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Calibri" w:eastAsia="Calibri" w:hAnsi="Calibri" w:cs="Calibri"/>
      <w:color w:val="000000"/>
    </w:rPr>
  </w:style>
  <w:style w:type="paragraph" w:styleId="Titre1">
    <w:name w:val="heading 1"/>
    <w:next w:val="Normal"/>
    <w:link w:val="Titre1Car"/>
    <w:uiPriority w:val="9"/>
    <w:unhideWhenUsed/>
    <w:qFormat/>
    <w:pPr>
      <w:keepNext/>
      <w:keepLines/>
      <w:spacing w:line="259" w:lineRule="auto"/>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64"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qFormat/>
    <w:rPr>
      <w:rFonts w:ascii="Arial" w:eastAsia="Arial" w:hAnsi="Arial" w:cs="Arial"/>
      <w:b/>
      <w:color w:val="000000"/>
      <w:sz w:val="24"/>
      <w:u w:val="single" w:color="000000"/>
    </w:rPr>
  </w:style>
  <w:style w:type="character" w:customStyle="1" w:styleId="Titre1Car">
    <w:name w:val="Titre 1 Car"/>
    <w:link w:val="Titre1"/>
    <w:qFormat/>
    <w:rPr>
      <w:rFonts w:ascii="Arial" w:eastAsia="Arial" w:hAnsi="Arial" w:cs="Arial"/>
      <w:b/>
      <w:color w:val="000000"/>
      <w:sz w:val="52"/>
    </w:rPr>
  </w:style>
  <w:style w:type="character" w:customStyle="1" w:styleId="footnotedescriptionChar">
    <w:name w:val="footnote description Char"/>
    <w:link w:val="footnotedescription"/>
    <w:qFormat/>
    <w:rPr>
      <w:rFonts w:ascii="Times New Roman" w:eastAsia="Times New Roman" w:hAnsi="Times New Roman" w:cs="Times New Roman"/>
      <w:color w:val="000000"/>
      <w:sz w:val="20"/>
    </w:rPr>
  </w:style>
  <w:style w:type="character" w:customStyle="1" w:styleId="footnotemark">
    <w:name w:val="footnote mark"/>
    <w:qFormat/>
    <w:rPr>
      <w:rFonts w:ascii="Times New Roman" w:eastAsia="Times New Roman" w:hAnsi="Times New Roman" w:cs="Times New Roman"/>
      <w:color w:val="000000"/>
      <w:sz w:val="20"/>
      <w:vertAlign w:val="superscript"/>
    </w:rPr>
  </w:style>
  <w:style w:type="character" w:customStyle="1" w:styleId="En-tteCar">
    <w:name w:val="En-tête Car"/>
    <w:basedOn w:val="Policepardfaut"/>
    <w:link w:val="En-tte"/>
    <w:uiPriority w:val="99"/>
    <w:qFormat/>
    <w:rsid w:val="00CF0C23"/>
    <w:rPr>
      <w:rFonts w:ascii="Calibri" w:eastAsia="Calibri" w:hAnsi="Calibri" w:cs="Calibri"/>
      <w:color w:val="000000"/>
    </w:rPr>
  </w:style>
  <w:style w:type="character" w:customStyle="1" w:styleId="PieddepageCar">
    <w:name w:val="Pied de page Car"/>
    <w:basedOn w:val="Policepardfaut"/>
    <w:link w:val="Pieddepage"/>
    <w:uiPriority w:val="99"/>
    <w:qFormat/>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character" w:customStyle="1" w:styleId="CommentaireCar">
    <w:name w:val="Commentaire Car"/>
    <w:basedOn w:val="Policepardfaut"/>
    <w:link w:val="Commentaire"/>
    <w:uiPriority w:val="99"/>
    <w:qFormat/>
    <w:rsid w:val="00C5384C"/>
    <w:rPr>
      <w:rFonts w:ascii="Calibri" w:eastAsia="Calibri" w:hAnsi="Calibri" w:cs="Calibri"/>
      <w:color w:val="000000"/>
      <w:sz w:val="20"/>
      <w:szCs w:val="20"/>
    </w:rPr>
  </w:style>
  <w:style w:type="character" w:customStyle="1" w:styleId="ObjetducommentaireCar">
    <w:name w:val="Objet du commentaire Car"/>
    <w:basedOn w:val="CommentaireCar"/>
    <w:link w:val="Objetducommentaire"/>
    <w:uiPriority w:val="99"/>
    <w:semiHidden/>
    <w:qFormat/>
    <w:rsid w:val="00C5384C"/>
    <w:rPr>
      <w:rFonts w:ascii="Calibri" w:eastAsia="Calibri" w:hAnsi="Calibri" w:cs="Calibri"/>
      <w:b/>
      <w:bCs/>
      <w:color w:val="000000"/>
      <w:sz w:val="20"/>
      <w:szCs w:val="20"/>
    </w:rPr>
  </w:style>
  <w:style w:type="character" w:customStyle="1" w:styleId="TextedebullesCar">
    <w:name w:val="Texte de bulles Car"/>
    <w:basedOn w:val="Policepardfaut"/>
    <w:link w:val="Textedebulles"/>
    <w:uiPriority w:val="99"/>
    <w:semiHidden/>
    <w:qFormat/>
    <w:rsid w:val="00C5384C"/>
    <w:rPr>
      <w:rFonts w:ascii="Segoe UI" w:eastAsia="Calibri" w:hAnsi="Segoe UI" w:cs="Segoe UI"/>
      <w:color w:val="000000"/>
      <w:sz w:val="18"/>
      <w:szCs w:val="18"/>
    </w:rPr>
  </w:style>
  <w:style w:type="character" w:customStyle="1" w:styleId="Policepardfaut2">
    <w:name w:val="Police par défaut2"/>
    <w:qFormat/>
    <w:rsid w:val="00F624FB"/>
  </w:style>
  <w:style w:type="character" w:customStyle="1" w:styleId="CommentaireCar2">
    <w:name w:val="Commentaire Car2"/>
    <w:uiPriority w:val="99"/>
    <w:semiHidden/>
    <w:qFormat/>
    <w:rsid w:val="00F624FB"/>
    <w:rPr>
      <w:rFonts w:ascii="Liberation Sans" w:eastAsia="Liberation Sans" w:hAnsi="Liberation Sans" w:cs="Liberation Sans"/>
      <w:color w:val="00000A"/>
      <w:kern w:val="2"/>
      <w:lang w:eastAsia="zh-CN"/>
    </w:rPr>
  </w:style>
  <w:style w:type="character" w:customStyle="1" w:styleId="Caractresdenotedebasdepage">
    <w:name w:val="Caractères de note de bas de page"/>
    <w:qFormat/>
    <w:rPr>
      <w:vertAlign w:val="superscript"/>
    </w:rPr>
  </w:style>
  <w:style w:type="character" w:styleId="Appelnotedebasdep">
    <w:name w:val="footnote reference"/>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qFormat/>
    <w:rPr>
      <w:vertAlign w:val="superscript"/>
    </w:rPr>
  </w:style>
  <w:style w:type="character" w:customStyle="1" w:styleId="Caractresdenotedefin">
    <w:name w:val="Caractères de note de fin"/>
    <w:qFormat/>
  </w:style>
  <w:style w:type="character" w:styleId="Appeldenotedefin">
    <w:name w:val="endnote reference"/>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qFormat/>
    <w:rPr>
      <w:vertAlign w:val="superscript"/>
    </w:rPr>
  </w:style>
  <w:style w:type="paragraph" w:styleId="Titre">
    <w:name w:val="Title"/>
    <w:basedOn w:val="Normal"/>
    <w:next w:val="Corpsdetexte"/>
    <w:qFormat/>
    <w:pPr>
      <w:keepNext/>
      <w:spacing w:before="240" w:after="120"/>
    </w:pPr>
    <w:rPr>
      <w:rFonts w:ascii="Marianne" w:eastAsia="Microsoft YaHei" w:hAnsi="Marianne" w:cs="Arial"/>
      <w:sz w:val="28"/>
      <w:szCs w:val="28"/>
    </w:rPr>
  </w:style>
  <w:style w:type="paragraph" w:styleId="Corpsdetexte">
    <w:name w:val="Body Text"/>
    <w:basedOn w:val="Normal"/>
    <w:pPr>
      <w:spacing w:after="140" w:line="276" w:lineRule="auto"/>
    </w:pPr>
  </w:style>
  <w:style w:type="paragraph" w:styleId="Liste">
    <w:name w:val="List"/>
    <w:basedOn w:val="Corpsdetexte"/>
    <w:rPr>
      <w:rFonts w:ascii="Marianne" w:hAnsi="Marianne" w:cs="Arial"/>
    </w:rPr>
  </w:style>
  <w:style w:type="paragraph" w:styleId="Lgende">
    <w:name w:val="caption"/>
    <w:basedOn w:val="Normal"/>
    <w:qFormat/>
    <w:pPr>
      <w:suppressLineNumbers/>
      <w:spacing w:before="120" w:after="120"/>
    </w:pPr>
    <w:rPr>
      <w:rFonts w:ascii="Marianne" w:hAnsi="Marianne" w:cs="Arial"/>
      <w:i/>
      <w:iCs/>
      <w:sz w:val="24"/>
      <w:szCs w:val="24"/>
    </w:rPr>
  </w:style>
  <w:style w:type="paragraph" w:customStyle="1" w:styleId="Index">
    <w:name w:val="Index"/>
    <w:basedOn w:val="Normal"/>
    <w:qFormat/>
    <w:pPr>
      <w:suppressLineNumbers/>
    </w:pPr>
    <w:rPr>
      <w:rFonts w:ascii="Marianne" w:hAnsi="Marianne" w:cs="Arial"/>
    </w:rPr>
  </w:style>
  <w:style w:type="paragraph" w:customStyle="1" w:styleId="footnotedescription">
    <w:name w:val="footnote description"/>
    <w:next w:val="Normal"/>
    <w:link w:val="footnotedescriptionChar"/>
    <w:qFormat/>
    <w:pPr>
      <w:spacing w:line="259" w:lineRule="auto"/>
    </w:pPr>
    <w:rPr>
      <w:rFonts w:ascii="Times New Roman" w:eastAsia="Times New Roman" w:hAnsi="Times New Roman" w:cs="Times New Roman"/>
      <w:color w:val="000000"/>
      <w:sz w:val="20"/>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paragraph" w:styleId="Commentaire">
    <w:name w:val="annotation text"/>
    <w:basedOn w:val="Normal"/>
    <w:link w:val="CommentaireCar"/>
    <w:qFormat/>
    <w:rPr>
      <w:sz w:val="20"/>
      <w:szCs w:val="20"/>
    </w:rPr>
  </w:style>
  <w:style w:type="paragraph" w:styleId="Objetducommentaire">
    <w:name w:val="annotation subject"/>
    <w:basedOn w:val="Commentaire"/>
    <w:next w:val="Commentaire"/>
    <w:link w:val="ObjetducommentaireCar"/>
    <w:uiPriority w:val="99"/>
    <w:semiHidden/>
    <w:unhideWhenUsed/>
    <w:qFormat/>
    <w:rsid w:val="00C5384C"/>
    <w:rPr>
      <w:b/>
      <w:bCs/>
    </w:rPr>
  </w:style>
  <w:style w:type="paragraph" w:styleId="Textedebulles">
    <w:name w:val="Balloon Text"/>
    <w:basedOn w:val="Normal"/>
    <w:link w:val="TextedebullesCar"/>
    <w:uiPriority w:val="99"/>
    <w:semiHidden/>
    <w:unhideWhenUsed/>
    <w:qFormat/>
    <w:rsid w:val="00C5384C"/>
    <w:pPr>
      <w:spacing w:after="0" w:line="240" w:lineRule="auto"/>
    </w:pPr>
    <w:rPr>
      <w:rFonts w:ascii="Segoe UI" w:hAnsi="Segoe UI" w:cs="Segoe UI"/>
      <w:sz w:val="18"/>
      <w:szCs w:val="18"/>
    </w:rPr>
  </w:style>
  <w:style w:type="paragraph" w:customStyle="1" w:styleId="Contenudetableau">
    <w:name w:val="Contenu de tableau"/>
    <w:basedOn w:val="Normal"/>
    <w:qFormat/>
    <w:rsid w:val="00BD238C"/>
    <w:pPr>
      <w:widowControl w:val="0"/>
      <w:suppressLineNumbers/>
      <w:overflowPunct w:val="0"/>
      <w:spacing w:after="0" w:line="240" w:lineRule="auto"/>
      <w:jc w:val="center"/>
      <w:textAlignment w:val="baseline"/>
    </w:pPr>
    <w:rPr>
      <w:rFonts w:ascii="Liberation Sans" w:eastAsia="Liberation Sans" w:hAnsi="Liberation Sans" w:cs="Liberation Sans"/>
      <w:b/>
      <w:bCs/>
      <w:color w:val="00000A"/>
      <w:kern w:val="2"/>
      <w:sz w:val="32"/>
      <w:szCs w:val="32"/>
      <w:lang w:eastAsia="zh-CN"/>
    </w:rPr>
  </w:style>
  <w:style w:type="paragraph" w:customStyle="1" w:styleId="Standard">
    <w:name w:val="Standard"/>
    <w:autoRedefine/>
    <w:qFormat/>
    <w:rsid w:val="00E90067"/>
    <w:pPr>
      <w:spacing w:after="120" w:line="264" w:lineRule="auto"/>
      <w:textAlignment w:val="baseline"/>
    </w:pPr>
    <w:rPr>
      <w:rFonts w:ascii="Liberation Serif" w:eastAsia="NSimSun" w:hAnsi="Liberation Serif" w:cs="Arial"/>
      <w:kern w:val="2"/>
      <w:sz w:val="24"/>
      <w:szCs w:val="24"/>
      <w:lang w:eastAsia="zh-CN" w:bidi="hi-IN"/>
    </w:rPr>
  </w:style>
  <w:style w:type="paragraph" w:customStyle="1" w:styleId="Contents3">
    <w:name w:val="Contents 3"/>
    <w:basedOn w:val="Normal"/>
    <w:qFormat/>
    <w:rsid w:val="000749EC"/>
    <w:pPr>
      <w:suppressLineNumbers/>
      <w:tabs>
        <w:tab w:val="right" w:leader="dot" w:pos="9411"/>
      </w:tabs>
      <w:spacing w:before="57" w:after="57" w:line="240" w:lineRule="auto"/>
      <w:ind w:left="170"/>
      <w:jc w:val="both"/>
      <w:textAlignment w:val="center"/>
    </w:pPr>
    <w:rPr>
      <w:rFonts w:ascii="Arial" w:eastAsia="Arial" w:hAnsi="Arial" w:cs="Arial"/>
      <w:color w:val="000000" w:themeColor="text1"/>
      <w:kern w:val="2"/>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qFormat/>
    <w:rsid w:val="00592749"/>
    <w:pPr>
      <w:spacing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qFormat/>
    <w:rsid w:val="006E52A1"/>
    <w:pPr>
      <w:widowControl w:val="0"/>
      <w:overflowPunct w:val="0"/>
      <w:spacing w:after="120" w:line="240" w:lineRule="auto"/>
      <w:textAlignment w:val="baseline"/>
    </w:pPr>
    <w:rPr>
      <w:rFonts w:ascii="Liberation Sans" w:eastAsia="Liberation Sans" w:hAnsi="Liberation Sans" w:cs="Liberation Sans"/>
      <w:color w:val="00000A"/>
      <w:kern w:val="2"/>
      <w:sz w:val="24"/>
      <w:szCs w:val="24"/>
      <w:lang w:eastAsia="zh-CN"/>
    </w:rPr>
  </w:style>
  <w:style w:type="paragraph" w:customStyle="1" w:styleId="Default">
    <w:name w:val="Default"/>
    <w:qFormat/>
    <w:rsid w:val="00D10F5A"/>
    <w:rPr>
      <w:rFonts w:ascii="Tosh" w:hAnsi="Tosh" w:cs="Tosh"/>
      <w:color w:val="000000"/>
      <w:sz w:val="24"/>
      <w:szCs w:val="24"/>
    </w:rPr>
  </w:style>
  <w:style w:type="paragraph" w:styleId="Rvision">
    <w:name w:val="Revision"/>
    <w:uiPriority w:val="99"/>
    <w:semiHidden/>
    <w:qFormat/>
    <w:rsid w:val="00D10F5A"/>
    <w:rPr>
      <w:rFonts w:ascii="Calibri" w:eastAsia="Calibri" w:hAnsi="Calibri" w:cs="Calibri"/>
      <w:color w:val="000000"/>
    </w:rPr>
  </w:style>
  <w:style w:type="paragraph" w:styleId="Notedebasdepage">
    <w:name w:val="footnote text"/>
    <w:basedOn w:val="Normal"/>
  </w:style>
  <w:style w:type="paragraph" w:styleId="NormalWeb">
    <w:name w:val="Normal (Web)"/>
    <w:basedOn w:val="Normal"/>
    <w:qFormat/>
    <w:pPr>
      <w:suppressAutoHyphens w:val="0"/>
      <w:spacing w:beforeAutospacing="1" w:after="119"/>
    </w:pPr>
    <w:rPr>
      <w:rFonts w:ascii="Times New Roman" w:eastAsia="Times New Roman" w:hAnsi="Times New Roman" w:cs="Times New Roman"/>
      <w:color w:val="00000A"/>
    </w:rPr>
  </w:style>
  <w:style w:type="numbering" w:customStyle="1" w:styleId="Pasdeliste">
    <w:name w:val="Pas de liste"/>
    <w:uiPriority w:val="99"/>
    <w:semiHidden/>
    <w:unhideWhenUsed/>
    <w:qFormat/>
  </w:style>
  <w:style w:type="table" w:customStyle="1" w:styleId="TableGrid">
    <w:name w:val="TableGrid"/>
    <w:tblPr>
      <w:tblCellMar>
        <w:top w:w="0" w:type="dxa"/>
        <w:left w:w="0" w:type="dxa"/>
        <w:bottom w:w="0" w:type="dxa"/>
        <w:right w:w="0" w:type="dxa"/>
      </w:tblCellMar>
    </w:tblPr>
  </w:style>
  <w:style w:type="table" w:styleId="Grilledutableau">
    <w:name w:val="Table Grid"/>
    <w:basedOn w:val="TableauNormal"/>
    <w:uiPriority w:val="39"/>
    <w:rsid w:val="004414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41447"/>
    <w:rPr>
      <w:color w:val="0563C1" w:themeColor="hyperlink"/>
      <w:u w:val="single"/>
    </w:rPr>
  </w:style>
  <w:style w:type="character" w:styleId="Mentionnonrsolue">
    <w:name w:val="Unresolved Mention"/>
    <w:basedOn w:val="Policepardfaut"/>
    <w:uiPriority w:val="99"/>
    <w:semiHidden/>
    <w:unhideWhenUsed/>
    <w:rsid w:val="004414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cpa.sdlp.safsl.sg@agriculture.gouv.fr"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35A55-BF0A-45C2-A727-B4DF38512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1304</Words>
  <Characters>7177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
  <dc:description/>
  <cp:lastModifiedBy>Alain HUIN</cp:lastModifiedBy>
  <cp:revision>7</cp:revision>
  <dcterms:created xsi:type="dcterms:W3CDTF">2024-10-18T13:59:00Z</dcterms:created>
  <dcterms:modified xsi:type="dcterms:W3CDTF">2024-10-25T08:30:00Z</dcterms:modified>
  <dc:language>fr-FR</dc:language>
</cp:coreProperties>
</file>