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4C" w:rsidRPr="00432B4C" w:rsidRDefault="00484126" w:rsidP="00484126">
      <w:pPr>
        <w:autoSpaceDE w:val="0"/>
        <w:autoSpaceDN w:val="0"/>
        <w:spacing w:after="0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126" w:rsidRDefault="00484126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484126" w:rsidRDefault="0048412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484126" w:rsidRPr="00D36CAB" w:rsidRDefault="0048412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16"/>
          <w:lang w:eastAsia="fr-FR"/>
        </w:rPr>
      </w:pPr>
    </w:p>
    <w:p w:rsidR="00484126" w:rsidRPr="00834F12" w:rsidRDefault="0048412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834F1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B1FBB">
              <w:rPr>
                <w:rFonts w:cstheme="minorHAnsi"/>
                <w:b/>
                <w:bCs/>
                <w:noProof/>
                <w:lang w:eastAsia="fr-FR"/>
              </w:rPr>
              <w:t>n°2</w:t>
            </w:r>
            <w:r w:rsidRPr="00D75758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6B1FBB" w:rsidRPr="006B1FBB">
              <w:rPr>
                <w:rFonts w:cstheme="minorHAnsi"/>
                <w:b/>
                <w:bCs/>
                <w:noProof/>
                <w:lang w:eastAsia="fr-FR"/>
              </w:rPr>
              <w:t>USID de Saint-Dizier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D36CA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D36CAB" w:rsidRPr="00AB49D3" w:rsidRDefault="00D36CAB" w:rsidP="00D36CAB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D36CAB" w:rsidRPr="00AB49D3" w:rsidTr="00B22E6E"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D36CAB" w:rsidRPr="00AB49D3" w:rsidTr="00B22E6E"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D36CAB" w:rsidRPr="00AB49D3" w:rsidTr="00B22E6E"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D36CAB" w:rsidRPr="00AB49D3" w:rsidRDefault="00D36CAB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C706A4" w:rsidRPr="00834F12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9D6E0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9D6E0A">
              <w:rPr>
                <w:rFonts w:eastAsia="Times New Roman" w:cstheme="minorHAnsi"/>
                <w:noProof/>
                <w:lang w:eastAsia="fr-FR"/>
              </w:rPr>
              <w:t>D10711I057_10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731F32">
              <w:rPr>
                <w:rFonts w:eastAsia="Times New Roman" w:cstheme="minorHAnsi"/>
                <w:noProof/>
                <w:lang w:eastAsia="fr-FR"/>
              </w:rPr>
              <w:t>Saint-Dizier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Pôle maîtrise d’œuvre de Nancy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Saint-Dizier</w:t>
            </w:r>
          </w:p>
          <w:p w:rsidR="00D75758" w:rsidRDefault="006B1FB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196 route de Moeslains</w:t>
            </w:r>
          </w:p>
          <w:p w:rsidR="00D75758" w:rsidRDefault="006B1FB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Base aérienne 113</w:t>
            </w:r>
          </w:p>
          <w:p w:rsidR="006B1FBB" w:rsidRPr="00226E99" w:rsidRDefault="006B1FB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BP 80 061 </w:t>
            </w:r>
          </w:p>
          <w:p w:rsidR="00D75758" w:rsidRPr="00226E99" w:rsidRDefault="006B1FB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52 102 SAINT-DIZIER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10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du pôle maîtrise d’œuvre de Nancy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80, rue du sergent BLANDAN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Caserne Verneau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 – </w:t>
            </w:r>
            <w:r w:rsidRPr="007B0CDE">
              <w:rPr>
                <w:rFonts w:eastAsia="Times New Roman" w:cstheme="minorHAnsi"/>
                <w:noProof/>
                <w:lang w:eastAsia="fr-FR"/>
              </w:rPr>
              <w:t>BP 53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7B0CDE">
              <w:rPr>
                <w:rFonts w:eastAsia="Times New Roman" w:cstheme="minorHAnsi"/>
                <w:noProof/>
                <w:lang w:eastAsia="fr-FR"/>
              </w:rPr>
              <w:t>864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54 029 NANCY Cedex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d’Ouvrage (Chorus Pro) : D10711I057_22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D36CAB">
        <w:rPr>
          <w:rFonts w:eastAsia="Times New Roman" w:cstheme="minorHAnsi"/>
          <w:sz w:val="20"/>
          <w:szCs w:val="20"/>
          <w:lang w:eastAsia="zh-CN"/>
        </w:rPr>
      </w:r>
      <w:r w:rsidR="00D36CAB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D36CAB">
        <w:rPr>
          <w:rFonts w:eastAsia="Times New Roman" w:cstheme="minorHAnsi"/>
          <w:sz w:val="20"/>
          <w:szCs w:val="20"/>
          <w:lang w:eastAsia="zh-CN"/>
        </w:rPr>
      </w:r>
      <w:r w:rsidR="00D36CAB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8F3DFE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Pr="008F3DFE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 xml:space="preserve">Le mois d’établissement des prix est : </w:t>
      </w:r>
      <w:r w:rsidR="008F3DFE" w:rsidRPr="008F3DFE">
        <w:rPr>
          <w:rFonts w:ascii="Calibri" w:hAnsi="Calibri" w:cs="Calibri"/>
        </w:rPr>
        <w:t>Décembre 2024</w:t>
      </w:r>
      <w:r w:rsidRPr="008F3DFE">
        <w:rPr>
          <w:rFonts w:ascii="Calibri" w:hAnsi="Calibri" w:cs="Calibri"/>
        </w:rPr>
        <w:t xml:space="preserve">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n°2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6B1FBB">
        <w:rPr>
          <w:rFonts w:eastAsia="Times New Roman" w:cstheme="minorHAnsi"/>
          <w:noProof/>
          <w:lang w:eastAsia="fr-FR"/>
        </w:rPr>
        <w:t>5</w:t>
      </w:r>
      <w:r w:rsidR="007372D1">
        <w:rPr>
          <w:rFonts w:eastAsia="Times New Roman" w:cstheme="minorHAnsi"/>
          <w:noProof/>
          <w:lang w:eastAsia="fr-FR"/>
        </w:rPr>
        <w:t> </w:t>
      </w:r>
      <w:r w:rsidR="006B1FBB">
        <w:rPr>
          <w:rFonts w:eastAsia="Times New Roman" w:cstheme="minorHAnsi"/>
          <w:noProof/>
          <w:lang w:eastAsia="fr-FR"/>
        </w:rPr>
        <w:t>100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D36CAB">
        <w:rPr>
          <w:rFonts w:eastAsia="Times New Roman" w:cstheme="minorHAnsi"/>
          <w:noProof/>
          <w:lang w:eastAsia="fr-FR"/>
        </w:rPr>
      </w:r>
      <w:r w:rsidR="00D36CAB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36CAB">
        <w:rPr>
          <w:rFonts w:asciiTheme="minorHAnsi" w:hAnsiTheme="minorHAnsi" w:cstheme="minorHAnsi"/>
          <w:b/>
          <w:szCs w:val="22"/>
        </w:rPr>
      </w:r>
      <w:r w:rsidR="00D36CAB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36CAB">
        <w:rPr>
          <w:rFonts w:asciiTheme="minorHAnsi" w:hAnsiTheme="minorHAnsi" w:cstheme="minorHAnsi"/>
          <w:b/>
          <w:szCs w:val="22"/>
        </w:rPr>
      </w:r>
      <w:r w:rsidR="00D36CAB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36CAB">
        <w:rPr>
          <w:rFonts w:asciiTheme="minorHAnsi" w:hAnsiTheme="minorHAnsi" w:cstheme="minorHAnsi"/>
          <w:b/>
          <w:szCs w:val="22"/>
        </w:rPr>
      </w:r>
      <w:r w:rsidR="00D36CAB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D36CAB">
        <w:rPr>
          <w:rFonts w:ascii="Calibri" w:eastAsia="Times New Roman" w:hAnsi="Calibri" w:cs="Calibri"/>
          <w:lang w:eastAsia="fr-FR"/>
        </w:rPr>
      </w:r>
      <w:r w:rsidR="00D36CAB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36CAB">
        <w:rPr>
          <w:rFonts w:cstheme="minorHAnsi"/>
          <w:lang w:eastAsia="zh-CN"/>
        </w:rPr>
      </w:r>
      <w:r w:rsidR="00D36CAB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D36CAB">
      <w:headerReference w:type="default" r:id="rId11"/>
      <w:footerReference w:type="default" r:id="rId12"/>
      <w:pgSz w:w="11906" w:h="16838" w:code="9"/>
      <w:pgMar w:top="567" w:right="720" w:bottom="567" w:left="72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D36CAB">
            <w:rPr>
              <w:b/>
              <w:bCs/>
              <w:noProof/>
              <w:color w:val="FFFFFF"/>
              <w:sz w:val="20"/>
            </w:rPr>
            <w:t>1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D36CAB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B1FBB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n°2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72E76"/>
    <w:rsid w:val="00077420"/>
    <w:rsid w:val="000A4F4C"/>
    <w:rsid w:val="000A62E5"/>
    <w:rsid w:val="001635A3"/>
    <w:rsid w:val="001A7023"/>
    <w:rsid w:val="00267CC3"/>
    <w:rsid w:val="00282555"/>
    <w:rsid w:val="002B530D"/>
    <w:rsid w:val="00332202"/>
    <w:rsid w:val="00395CC8"/>
    <w:rsid w:val="003C3D6C"/>
    <w:rsid w:val="003E1667"/>
    <w:rsid w:val="004125A8"/>
    <w:rsid w:val="00432B4C"/>
    <w:rsid w:val="00484126"/>
    <w:rsid w:val="004E2E4F"/>
    <w:rsid w:val="0052181D"/>
    <w:rsid w:val="005F4A11"/>
    <w:rsid w:val="00674B5D"/>
    <w:rsid w:val="006B1FBB"/>
    <w:rsid w:val="006D039D"/>
    <w:rsid w:val="006D68A9"/>
    <w:rsid w:val="00731F32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3DFE"/>
    <w:rsid w:val="008F48DB"/>
    <w:rsid w:val="00905300"/>
    <w:rsid w:val="009542B3"/>
    <w:rsid w:val="0098298A"/>
    <w:rsid w:val="009D6E0A"/>
    <w:rsid w:val="009E55E2"/>
    <w:rsid w:val="00A6202A"/>
    <w:rsid w:val="00A65F17"/>
    <w:rsid w:val="00AA4CA5"/>
    <w:rsid w:val="00AD6D30"/>
    <w:rsid w:val="00AF053C"/>
    <w:rsid w:val="00B819D5"/>
    <w:rsid w:val="00C50365"/>
    <w:rsid w:val="00C665EF"/>
    <w:rsid w:val="00C706A4"/>
    <w:rsid w:val="00CD3C28"/>
    <w:rsid w:val="00D25777"/>
    <w:rsid w:val="00D36CAB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575CB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D36C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CDD13-5970-4438-8A21-593136E2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2531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9</cp:revision>
  <cp:lastPrinted>2021-04-15T05:26:00Z</cp:lastPrinted>
  <dcterms:created xsi:type="dcterms:W3CDTF">2024-08-20T11:36:00Z</dcterms:created>
  <dcterms:modified xsi:type="dcterms:W3CDTF">2024-10-11T08:04:00Z</dcterms:modified>
</cp:coreProperties>
</file>