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 Generated by Aspose.Words for JasperReports 22.5.0 -->
  <w:body>
    <w:p>
      <w:pPr>
        <w:pStyle w:val="Heading1"/>
        <w:pBdr>
          <w:top w:color="auto" w:space="0" w:sz="0" w:val="none"/>
          <w:bottom w:color="auto" w:space="0" w:sz="0" w:val="none"/>
        </w:pBdr>
        <w:bidi w:val="0"/>
        <w:spacing w:after="120" w:before="0"/>
        <w:ind w:left="0" w:right="0"/>
        <w:jc w:val="center"/>
        <w:rPr>
          <w:rFonts w:ascii="Trebuchet MS" w:cs="Trebuchet MS" w:eastAsia="Trebuchet MS" w:hAnsi="Trebuchet MS"/>
          <w:b/>
          <w:i w:val="0"/>
          <w:strike w:val="0"/>
          <w:color w:val="000000"/>
          <w:sz w:val="28"/>
          <w:u w:val="none"/>
          <w:vertAlign w:val="baseline"/>
          <w:lang w:val="fr-FR"/>
        </w:rPr>
      </w:pPr>
      <w:bookmarkStart w:id="0" w:name="ArtL1_A-DC4"/>
      <w:bookmarkEnd w:id="0"/>
      <w:r>
        <w:rPr>
          <w:rFonts w:ascii="Trebuchet MS" w:cs="Trebuchet MS" w:eastAsia="Trebuchet MS" w:hAnsi="Trebuchet MS"/>
          <w:b/>
          <w:i w:val="0"/>
          <w:strike w:val="0"/>
          <w:color w:val="000000"/>
          <w:sz w:val="28"/>
          <w:u w:val="none"/>
          <w:vertAlign w:val="baseline"/>
          <w:lang w:val="fr-FR"/>
        </w:rPr>
        <w:t>DÉCLARATION DE SOUS-TRAITANCE (DC4)</w:t>
      </w:r>
    </w:p>
    <w:p>
      <w:pPr>
        <w:pStyle w:val="Normal"/>
        <w:spacing w:line="240" w:lineRule="exact"/>
        <w:rPr>
          <w:sz w:val="24"/>
        </w:rPr>
      </w:pPr>
    </w:p>
    <w:p>
      <w:pPr>
        <w:pStyle w:val="Normal"/>
        <w:spacing w:after="100" w:line="240" w:lineRule="exact"/>
        <w:rPr>
          <w:sz w:val="24"/>
        </w:rPr>
      </w:pPr>
    </w:p>
    <w:p>
      <w:pPr>
        <w:pStyle w:val="ParagrapheIndent1"/>
        <w:pBdr>
          <w:top w:color="auto" w:space="0" w:sz="0" w:val="none"/>
        </w:pBdr>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ParagrapheIndent1"/>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1" w:name="ArtL1_A_DC4-10781-A2"/>
      <w:bookmarkEnd w:id="1"/>
      <w:r>
        <w:rPr>
          <w:rFonts w:ascii="Trebuchet MS" w:cs="Trebuchet MS" w:eastAsia="Trebuchet MS" w:hAnsi="Trebuchet MS"/>
          <w:b/>
          <w:i w:val="0"/>
          <w:strike w:val="0"/>
          <w:color w:val="000000"/>
          <w:sz w:val="28"/>
          <w:u w:val="none"/>
          <w:vertAlign w:val="baseline"/>
          <w:lang w:val="fr-FR"/>
        </w:rPr>
        <w:t>A - Identification de l'acheteur</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Désignation de l'acheteur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DIRECTION INTERREGIONALE DES SERVICES PENITENTIAIRES AUVERGNE RHONE ALPES</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Département des Affaires immobilières de Lyon</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19 Rue Crépet</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CS 70607</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69366 LYON</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 l'attention de : Monsieur Boite Générique Boite Générique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Courriel : sec.disp-lyon-dpe@justice.fr</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 internet(U.R.L) : https://www.justice.fr/</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 internet du profil d'acheteur : https://www.marches-publics.gouv.fr</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Personne habilitée à donner les renseignements prévus à l'article R. 2191-59 du code de la commande publique, auquel renvoie l'article R. 2391-28 du même code (nantissements ou cessions de créances) :</w:t>
      </w: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(Indiquer l'identité de la personne, ses adresses postale et électronique, ses numéros de téléphone et de télécopie.)</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2" w:name="ArtL1_A_DC4-10781-A3"/>
      <w:bookmarkEnd w:id="2"/>
      <w:r>
        <w:rPr>
          <w:rFonts w:ascii="Trebuchet MS" w:cs="Trebuchet MS" w:eastAsia="Trebuchet MS" w:hAnsi="Trebuchet MS"/>
          <w:b/>
          <w:i w:val="0"/>
          <w:strike w:val="0"/>
          <w:color w:val="000000"/>
          <w:sz w:val="28"/>
          <w:u w:val="none"/>
          <w:vertAlign w:val="baseline"/>
          <w:lang w:val="fr-FR"/>
        </w:rPr>
        <w:t>B - Objet du marché public</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Trebuchet MS" w:cs="Trebuchet MS" w:eastAsia="Trebuchet MS" w:hAnsi="Trebuchet MS"/>
          <w:b w:val="0"/>
          <w:i/>
          <w:strike w:val="0"/>
          <w:color w:val="000000"/>
          <w:sz w:val="20"/>
          <w:u w:val="single"/>
          <w:vertAlign w:val="baseline"/>
          <w:lang w:val="fr-FR"/>
        </w:rPr>
        <w:t>Toutefois, en cas d'allotissement, identifier également le ou les lots concernés par la présente déclaration de sous-traitance.)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sectPr>
          <w:footerReference r:id="rId4" w:type="default"/>
          <w:pgSz w:h="16840" w:w="11900"/>
          <w:pgMar w:bottom="1140" w:footer="1140" w:gutter="0" w:header="1140" w:left="1140" w:right="1140" w:top="1140"/>
          <w:cols w:space="708"/>
          <w:docGrid w:linePitch="360"/>
        </w:sectPr>
      </w:pPr>
      <w:r>
        <w:rPr>
          <w:rFonts w:ascii="Trebuchet MS" w:cs="Trebuchet MS" w:eastAsia="Trebuchet MS" w:hAnsi="Trebuchet MS"/>
          <w:b w:val="0"/>
          <w:i w:val="0"/>
          <w:strike w:val="0"/>
          <w:color w:val="000000"/>
          <w:sz w:val="20"/>
          <w:u w:val="none"/>
          <w:vertAlign w:val="baseline"/>
          <w:lang w:val="fr-FR"/>
        </w:rPr>
        <w:t>Marché de Maitrise d’œuvre - CP Moulins-Yzeure - Mise en conformité CFO Maison Centrale</w:t>
        <w:cr/>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3" w:name="ArtL1_A_DC4-10781-A4"/>
      <w:bookmarkEnd w:id="3"/>
      <w:r>
        <w:rPr>
          <w:rFonts w:ascii="Trebuchet MS" w:cs="Trebuchet MS" w:eastAsia="Trebuchet MS" w:hAnsi="Trebuchet MS"/>
          <w:b/>
          <w:i w:val="0"/>
          <w:strike w:val="0"/>
          <w:color w:val="000000"/>
          <w:sz w:val="28"/>
          <w:u w:val="none"/>
          <w:vertAlign w:val="baseline"/>
          <w:lang w:val="fr-FR"/>
        </w:rPr>
        <w:t>C - Objet de la déclaration du sous-traitant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La présente déclaration de sous-traitance constitue :</w:t>
      </w:r>
    </w:p>
    <w:p>
      <w:pPr>
        <w:pStyle w:val="ParagrapheIndent1"/>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(Cocher la case correspondante.)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i1025"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un document annexé à l'offre du soumissionnaire</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26"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vMerge w:val="restart"/>
            <w:tcMar>
              <w:top w:type="dxa" w:w="0"/>
              <w:left w:type="dxa" w:w="0"/>
              <w:bottom w:type="dxa" w:w="0"/>
              <w:right w:type="dxa" w:w="0"/>
            </w:tcMar>
          </w:tcPr>
          <w:p>
            <w:pPr>
              <w:pStyle w:val="ParagrapheIndent1"/>
              <w:pBdr>
                <w:top w:color="auto" w:space="0" w:sz="0" w:val="none"/>
              </w:pBdr>
              <w:bidi w:val="0"/>
              <w:spacing w:line="232" w:lineRule="exact"/>
              <w:jc w:val="left"/>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un acte spécial portant acceptation du sous-traitant et agrément de ses conditions de paiement </w:t>
            </w:r>
            <w:r>
              <w:rPr>
                <w:rFonts w:ascii="Trebuchet MS" w:cs="Trebuchet MS" w:eastAsia="Trebuchet MS" w:hAnsi="Trebuchet MS"/>
                <w:b w:val="0"/>
                <w:i/>
                <w:strike w:val="0"/>
                <w:color w:val="000000"/>
                <w:sz w:val="20"/>
                <w:u w:val="none"/>
                <w:vertAlign w:val="baseline"/>
                <w:lang w:val="fr-FR"/>
              </w:rPr>
              <w:t>(sous-traitant présenté après attribution du marché)</w:t>
            </w:r>
          </w:p>
        </w:tc>
      </w:tr>
      <w:tr>
        <w:tblPrEx>
          <w:tblW w:type="auto" w:w="0"/>
          <w:tblInd w:type="dxa" w:w="0"/>
          <w:tblLayout w:type="fixed"/>
          <w:tblCellMar>
            <w:left w:type="dxa" w:w="108"/>
            <w:right w:type="dxa" w:w="108"/>
          </w:tblCellMar>
        </w:tblPrEx>
        <w:trPr>
          <w:trHeight w:val="184"/>
        </w:trPr>
        <w:tc>
          <w:tcPr>
            <w:tcW w:type="dxa" w:w="240"/>
            <w:tcMar>
              <w:top w:type="dxa" w:w="0"/>
              <w:left w:type="dxa" w:w="0"/>
              <w:bottom w:type="dxa" w:w="0"/>
              <w:right w:type="dxa" w:w="0"/>
            </w:tcMar>
          </w:tcPr>
          <w:p>
            <w:pPr>
              <w:rPr>
                <w:sz w:val="2"/>
              </w:rPr>
            </w:pPr>
          </w:p>
        </w:tc>
        <w:tc>
          <w:tcPr>
            <w:tcW w:type="dxa" w:w="200"/>
            <w:tcMar>
              <w:top w:type="dxa" w:w="0"/>
              <w:left w:type="dxa" w:w="0"/>
              <w:bottom w:type="dxa" w:w="0"/>
              <w:right w:type="dxa" w:w="0"/>
            </w:tcMar>
          </w:tcPr>
          <w:p>
            <w:pPr>
              <w:rPr>
                <w:sz w:val="2"/>
              </w:rPr>
            </w:pPr>
          </w:p>
        </w:tc>
        <w:tc>
          <w:tcPr>
            <w:tcW w:type="dxa" w:w="9180"/>
            <w:vMerge/>
            <w:tcBorders>
              <w:top w:color="auto" w:space="0" w:sz="0" w:val="none"/>
              <w:left w:color="auto" w:space="0" w:sz="0" w:val="none"/>
              <w:bottom w:color="auto" w:space="0" w:sz="0" w:val="none"/>
              <w:right w:color="auto" w:space="0" w:sz="0" w:val="none"/>
              <w:tl2br w:color="auto" w:space="0" w:sz="0" w:val="none"/>
              <w:tr2bl w:color="auto" w:space="0" w:sz="0" w:val="none"/>
            </w:tcBorders>
            <w:noWrap w:val="0"/>
            <w:tcMar>
              <w:top w:type="dxa" w:w="0"/>
              <w:left w:type="dxa" w:w="0"/>
              <w:bottom w:type="dxa" w:w="0"/>
              <w:right w:type="dxa" w:w="0"/>
            </w:tcMar>
            <w:textDirection w:val="lrTb"/>
            <w:tcFitText w:val="0"/>
            <w:vAlign w:val="top"/>
          </w:tcP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27"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un acte spécial modificatif ; il annule et remplace la déclaration de sous-traitance du ............... .</w:t>
            </w:r>
          </w:p>
        </w:tc>
      </w:tr>
    </w:tbl>
    <w:p>
      <w:pPr>
        <w:pStyle w:val="Normal"/>
        <w:spacing w:line="240" w:lineRule="exact"/>
        <w:rPr>
          <w:sz w:val="24"/>
        </w:rPr>
      </w:pPr>
      <w:r>
        <w:t xml:space="preserve"> </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4" w:name="ArtL1_A_DC4-10781-A5"/>
      <w:bookmarkEnd w:id="4"/>
      <w:r>
        <w:rPr>
          <w:rFonts w:ascii="Trebuchet MS" w:cs="Trebuchet MS" w:eastAsia="Trebuchet MS" w:hAnsi="Trebuchet MS"/>
          <w:b/>
          <w:i w:val="0"/>
          <w:strike w:val="0"/>
          <w:color w:val="000000"/>
          <w:sz w:val="28"/>
          <w:u w:val="none"/>
          <w:vertAlign w:val="baseline"/>
          <w:lang w:val="fr-FR"/>
        </w:rPr>
        <w:t>D - Identification du soumissionnaire ou du titulaire du marché public</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Nom commercial et dénomination sociale de l'unité ou de l'établissement qui exécutera la prestation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Adresses postale et du siège social (si elle est différente de l'adresse postale)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 électronique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Numéros de téléphone et de télécopie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Forme juridique du soumissionnaire individuel, du titulaire ou du membre du groupement (entreprise individuelle, SA, SARL, EURL, association, établissement public, etc.)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En cas de groupement momentané d'entreprises, identification et coordonnées du mandataire du groupement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5" w:name="ArtL1_A_DC4-10781-A6"/>
      <w:bookmarkEnd w:id="5"/>
      <w:r>
        <w:rPr>
          <w:rFonts w:ascii="Trebuchet MS" w:cs="Trebuchet MS" w:eastAsia="Trebuchet MS" w:hAnsi="Trebuchet MS"/>
          <w:b/>
          <w:i w:val="0"/>
          <w:strike w:val="0"/>
          <w:color w:val="000000"/>
          <w:sz w:val="28"/>
          <w:u w:val="none"/>
          <w:vertAlign w:val="baseline"/>
          <w:lang w:val="fr-FR"/>
        </w:rPr>
        <w:t>E - Identification du sous-traitant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Nom commercial et dénomination sociale de l'unité ou de l'établissement qui exécutera la prestation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Adresses postale et du siège social (si elle est différente de l'adresse postale)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 électronique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Numéros de téléphone et de télécopie,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sectPr>
          <w:footerReference r:id="rId6" w:type="default"/>
          <w:pgSz w:h="16840" w:w="11900"/>
          <w:pgMar w:bottom="1140" w:footer="1140" w:header="1140" w:left="1140" w:right="1140" w:top="1140"/>
          <w:cols w:space="708"/>
        </w:sectPr>
      </w:pP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Forme juridique du sous-traitant (entreprise individuelle, SA, SARL, EURL, association, établissement public, etc.) et numéro d'enregistrement au registre du commerce, au répertoire des métiers ou auprès d'un centre de formalité des entreprises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Personne(s) physique(s) ayant le pouvoir d'engager le sous-traitant : </w:t>
      </w:r>
      <w:r>
        <w:rPr>
          <w:rFonts w:ascii="Trebuchet MS" w:cs="Trebuchet MS" w:eastAsia="Trebuchet MS" w:hAnsi="Trebuchet MS"/>
          <w:b w:val="0"/>
          <w:i/>
          <w:strike w:val="0"/>
          <w:color w:val="000000"/>
          <w:sz w:val="20"/>
          <w:u w:val="none"/>
          <w:vertAlign w:val="baseline"/>
          <w:lang w:val="fr-FR"/>
        </w:rPr>
        <w:t>(Indiquer le nom, prénom et la qualité de chaque personne. En MDS, joindre en annexe un justificatif prouvant l'habilitation à engager le sous-traitant. Pour les autres marchés publics, ce document sera à fournir à la demande de l'acheteur.)</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28"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29"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NON</w:t>
            </w:r>
          </w:p>
        </w:tc>
      </w:tr>
    </w:tbl>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Pour les </w:t>
      </w:r>
      <w:r>
        <w:rPr>
          <w:rFonts w:ascii="Trebuchet MS" w:cs="Trebuchet MS" w:eastAsia="Trebuchet MS" w:hAnsi="Trebuchet MS"/>
          <w:b/>
          <w:i w:val="0"/>
          <w:strike w:val="0"/>
          <w:color w:val="000000"/>
          <w:sz w:val="20"/>
          <w:u w:val="none"/>
          <w:vertAlign w:val="baseline"/>
          <w:lang w:val="fr-FR"/>
        </w:rPr>
        <w:t>marchés publics de défense ou de sécurité</w:t>
      </w:r>
      <w:r>
        <w:rPr>
          <w:rFonts w:ascii="Trebuchet MS" w:cs="Trebuchet MS" w:eastAsia="Trebuchet MS" w:hAnsi="Trebuchet MS"/>
          <w:b w:val="0"/>
          <w:i w:val="0"/>
          <w:strike w:val="0"/>
          <w:color w:val="000000"/>
          <w:sz w:val="20"/>
          <w:u w:val="none"/>
          <w:vertAlign w:val="baseline"/>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0"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1"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6" w:name="ArtL1_A_DC4-10781-A7"/>
      <w:bookmarkEnd w:id="6"/>
      <w:r>
        <w:rPr>
          <w:rFonts w:ascii="Trebuchet MS" w:cs="Trebuchet MS" w:eastAsia="Trebuchet MS" w:hAnsi="Trebuchet MS"/>
          <w:b/>
          <w:i w:val="0"/>
          <w:strike w:val="0"/>
          <w:color w:val="000000"/>
          <w:sz w:val="28"/>
          <w:u w:val="none"/>
          <w:vertAlign w:val="baseline"/>
          <w:lang w:val="fr-FR"/>
        </w:rPr>
        <w:t>F - Nature des prestations sous-traitées</w:t>
      </w:r>
    </w:p>
    <w:p>
      <w:pPr>
        <w:pStyle w:val="ParagrapheIndent1"/>
        <w:pBdr>
          <w:top w:color="auto" w:space="0" w:sz="0" w:val="none"/>
        </w:pBdr>
        <w:bidi w:val="0"/>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(Reprendre les éléments concernés tels qu'ils figurent dans le contrat de sous-traitance)</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Nature des prestations sous-traitées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Sous-traitance de traitement de données à caractère personnel</w:t>
      </w:r>
      <w:r>
        <w:rPr>
          <w:rFonts w:ascii="Trebuchet MS" w:cs="Trebuchet MS" w:eastAsia="Trebuchet MS" w:hAnsi="Trebuchet MS"/>
          <w:b w:val="0"/>
          <w:i w:val="0"/>
          <w:strike w:val="0"/>
          <w:color w:val="000000"/>
          <w:sz w:val="20"/>
          <w:u w:val="none"/>
          <w:vertAlign w:val="baseline"/>
          <w:lang w:val="fr-FR"/>
        </w:rPr>
        <w:t xml:space="preserve"> </w:t>
      </w:r>
      <w:r>
        <w:rPr>
          <w:rFonts w:ascii="Trebuchet MS" w:cs="Trebuchet MS" w:eastAsia="Trebuchet MS" w:hAnsi="Trebuchet MS"/>
          <w:b w:val="0"/>
          <w:i/>
          <w:strike w:val="0"/>
          <w:color w:val="000000"/>
          <w:sz w:val="20"/>
          <w:u w:val="none"/>
          <w:vertAlign w:val="baseline"/>
          <w:lang w:val="fr-FR"/>
        </w:rPr>
        <w:t>(à compléter le cas échéant)</w:t>
      </w:r>
      <w:r>
        <w:rPr>
          <w:rFonts w:ascii="Trebuchet MS" w:cs="Trebuchet MS" w:eastAsia="Trebuchet MS" w:hAnsi="Trebuchet MS"/>
          <w:b w:val="0"/>
          <w:i w:val="0"/>
          <w:strike w:val="0"/>
          <w:color w:val="000000"/>
          <w:sz w:val="20"/>
          <w:u w:val="none"/>
          <w:vertAlign w:val="baseline"/>
          <w:lang w:val="fr-FR"/>
        </w:rPr>
        <w:t xml:space="preserv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sous-traitant est autorisé à traiter les données à caractère personnel nécessaires pour fournir le ou les service(s) suivant(s)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La durée du traitement est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La nature des opérations réalisées sur les données est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La ou les finalité(s) du traitement sont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Les données à caractère personnel traitées sont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Les catégories de personnes concernées sont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soumissionnaire/titulaire déclare que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sectPr>
          <w:footerReference r:id="rId7" w:type="default"/>
          <w:pgSz w:h="16840" w:w="11900"/>
          <w:pgMar w:bottom="1140" w:footer="1140" w:header="1140" w:left="1140" w:right="1140" w:top="1140"/>
          <w:cols w:space="708"/>
        </w:sectPr>
      </w:pP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2"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vMerge w:val="restart"/>
            <w:tcMar>
              <w:top w:type="dxa" w:w="0"/>
              <w:left w:type="dxa" w:w="0"/>
              <w:bottom w:type="dxa" w:w="0"/>
              <w:right w:type="dxa" w:w="0"/>
            </w:tcMar>
          </w:tcPr>
          <w:p>
            <w:pPr>
              <w:pStyle w:val="ParagrapheIndent1"/>
              <w:pBdr>
                <w:top w:color="auto" w:space="0" w:sz="0" w:val="none"/>
              </w:pBdr>
              <w:bidi w:val="0"/>
              <w:spacing w:line="232" w:lineRule="exact"/>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sous-traitant présente des garanties suffisantes pour la mise en œuvre de mesures techniques et organisationnelles propres à assurer la protection des données personnelles ;</w:t>
            </w:r>
          </w:p>
        </w:tc>
      </w:tr>
      <w:tr>
        <w:tblPrEx>
          <w:tblW w:type="auto" w:w="0"/>
          <w:tblInd w:type="dxa" w:w="0"/>
          <w:tblLayout w:type="fixed"/>
          <w:tblCellMar>
            <w:left w:type="dxa" w:w="108"/>
            <w:right w:type="dxa" w:w="108"/>
          </w:tblCellMar>
        </w:tblPrEx>
        <w:trPr>
          <w:trHeight w:val="184"/>
        </w:trPr>
        <w:tc>
          <w:tcPr>
            <w:tcW w:type="dxa" w:w="240"/>
            <w:tcMar>
              <w:top w:type="dxa" w:w="0"/>
              <w:left w:type="dxa" w:w="0"/>
              <w:bottom w:type="dxa" w:w="0"/>
              <w:right w:type="dxa" w:w="0"/>
            </w:tcMar>
          </w:tcPr>
          <w:p>
            <w:pPr>
              <w:rPr>
                <w:sz w:val="2"/>
              </w:rPr>
            </w:pPr>
          </w:p>
        </w:tc>
        <w:tc>
          <w:tcPr>
            <w:tcW w:type="dxa" w:w="200"/>
            <w:tcMar>
              <w:top w:type="dxa" w:w="0"/>
              <w:left w:type="dxa" w:w="0"/>
              <w:bottom w:type="dxa" w:w="0"/>
              <w:right w:type="dxa" w:w="0"/>
            </w:tcMar>
          </w:tcPr>
          <w:p>
            <w:pPr>
              <w:rPr>
                <w:sz w:val="2"/>
              </w:rPr>
            </w:pPr>
          </w:p>
        </w:tc>
        <w:tc>
          <w:tcPr>
            <w:tcW w:type="dxa" w:w="9180"/>
            <w:vMerge/>
            <w:tcBorders>
              <w:top w:color="auto" w:space="0" w:sz="0" w:val="none"/>
              <w:left w:color="auto" w:space="0" w:sz="0" w:val="none"/>
              <w:bottom w:color="auto" w:space="0" w:sz="0" w:val="none"/>
              <w:right w:color="auto" w:space="0" w:sz="0" w:val="none"/>
              <w:tl2br w:color="auto" w:space="0" w:sz="0" w:val="none"/>
              <w:tr2bl w:color="auto" w:space="0" w:sz="0" w:val="none"/>
            </w:tcBorders>
            <w:noWrap w:val="0"/>
            <w:tcMar>
              <w:top w:type="dxa" w:w="0"/>
              <w:left w:type="dxa" w:w="0"/>
              <w:bottom w:type="dxa" w:w="0"/>
              <w:right w:type="dxa" w:w="0"/>
            </w:tcMar>
            <w:textDirection w:val="lrTb"/>
            <w:tcFitText w:val="0"/>
            <w:vAlign w:val="top"/>
          </w:tcP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3"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vMerge w:val="restart"/>
            <w:tcMar>
              <w:top w:type="dxa" w:w="0"/>
              <w:left w:type="dxa" w:w="0"/>
              <w:bottom w:type="dxa" w:w="0"/>
              <w:right w:type="dxa" w:w="0"/>
            </w:tcMar>
          </w:tcPr>
          <w:p>
            <w:pPr>
              <w:pStyle w:val="ParagrapheIndent1"/>
              <w:pBdr>
                <w:top w:color="auto" w:space="0" w:sz="0" w:val="none"/>
              </w:pBdr>
              <w:bidi w:val="0"/>
              <w:spacing w:line="232" w:lineRule="exact"/>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tblPrEx>
          <w:tblW w:type="auto" w:w="0"/>
          <w:tblInd w:type="dxa" w:w="0"/>
          <w:tblLayout w:type="fixed"/>
          <w:tblCellMar>
            <w:left w:type="dxa" w:w="108"/>
            <w:right w:type="dxa" w:w="108"/>
          </w:tblCellMar>
        </w:tblPrEx>
        <w:trPr>
          <w:trHeight w:val="598"/>
        </w:trPr>
        <w:tc>
          <w:tcPr>
            <w:tcW w:type="dxa" w:w="240"/>
            <w:tcMar>
              <w:top w:type="dxa" w:w="0"/>
              <w:left w:type="dxa" w:w="0"/>
              <w:bottom w:type="dxa" w:w="0"/>
              <w:right w:type="dxa" w:w="0"/>
            </w:tcMar>
          </w:tcPr>
          <w:p>
            <w:pPr>
              <w:rPr>
                <w:sz w:val="2"/>
              </w:rPr>
            </w:pPr>
          </w:p>
        </w:tc>
        <w:tc>
          <w:tcPr>
            <w:tcW w:type="dxa" w:w="200"/>
            <w:tcMar>
              <w:top w:type="dxa" w:w="0"/>
              <w:left w:type="dxa" w:w="0"/>
              <w:bottom w:type="dxa" w:w="0"/>
              <w:right w:type="dxa" w:w="0"/>
            </w:tcMar>
          </w:tcPr>
          <w:p>
            <w:pPr>
              <w:rPr>
                <w:sz w:val="2"/>
              </w:rPr>
            </w:pPr>
          </w:p>
        </w:tc>
        <w:tc>
          <w:tcPr>
            <w:tcW w:type="dxa" w:w="9180"/>
            <w:vMerge/>
            <w:tcBorders>
              <w:top w:color="auto" w:space="0" w:sz="0" w:val="none"/>
              <w:left w:color="auto" w:space="0" w:sz="0" w:val="none"/>
              <w:bottom w:color="auto" w:space="0" w:sz="0" w:val="none"/>
              <w:right w:color="auto" w:space="0" w:sz="0" w:val="none"/>
              <w:tl2br w:color="auto" w:space="0" w:sz="0" w:val="none"/>
              <w:tr2bl w:color="auto" w:space="0" w:sz="0" w:val="none"/>
            </w:tcBorders>
            <w:noWrap w:val="0"/>
            <w:tcMar>
              <w:top w:type="dxa" w:w="0"/>
              <w:left w:type="dxa" w:w="0"/>
              <w:bottom w:type="dxa" w:w="0"/>
              <w:right w:type="dxa" w:w="0"/>
            </w:tcMar>
            <w:textDirection w:val="lrTb"/>
            <w:tcFitText w:val="0"/>
            <w:vAlign w:val="top"/>
          </w:tcPr>
          <w:p/>
        </w:tc>
      </w:tr>
    </w:tbl>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Dans les </w:t>
      </w:r>
      <w:r>
        <w:rPr>
          <w:rFonts w:ascii="Trebuchet MS" w:cs="Trebuchet MS" w:eastAsia="Trebuchet MS" w:hAnsi="Trebuchet MS"/>
          <w:b/>
          <w:i w:val="0"/>
          <w:strike w:val="0"/>
          <w:color w:val="000000"/>
          <w:sz w:val="20"/>
          <w:u w:val="none"/>
          <w:vertAlign w:val="baseline"/>
          <w:lang w:val="fr-FR"/>
        </w:rPr>
        <w:t>marchés de défense et de sécurité</w:t>
      </w:r>
      <w:r>
        <w:rPr>
          <w:rFonts w:ascii="Trebuchet MS" w:cs="Trebuchet MS" w:eastAsia="Trebuchet MS" w:hAnsi="Trebuchet MS"/>
          <w:b w:val="0"/>
          <w:i w:val="0"/>
          <w:strike w:val="0"/>
          <w:color w:val="000000"/>
          <w:sz w:val="20"/>
          <w:u w:val="none"/>
          <w:vertAlign w:val="baseline"/>
          <w:lang w:val="fr-FR"/>
        </w:rPr>
        <w:t>, lieu d'exécution des prestations sous-traitées :</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7" w:name="ArtL1_A_DC4-10781-A8"/>
      <w:bookmarkEnd w:id="7"/>
      <w:r>
        <w:rPr>
          <w:rFonts w:ascii="Trebuchet MS" w:cs="Trebuchet MS" w:eastAsia="Trebuchet MS" w:hAnsi="Trebuchet MS"/>
          <w:b/>
          <w:i w:val="0"/>
          <w:strike w:val="0"/>
          <w:color w:val="000000"/>
          <w:sz w:val="28"/>
          <w:u w:val="none"/>
          <w:vertAlign w:val="baseline"/>
          <w:lang w:val="fr-FR"/>
        </w:rPr>
        <w:t>G - Prix des prestations sous-traitées</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Montant des prestations sous-traitées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Dans le cas où le sous-traitant a droit au paiement direct, le montant des prestations sous-traitées indiqué ci-dessous, revalorisé le cas échéant par application de la formule de variation des prix indiquée </w:t>
      </w:r>
      <w:r>
        <w:rPr>
          <w:rFonts w:ascii="Trebuchet MS" w:cs="Trebuchet MS" w:eastAsia="Trebuchet MS" w:hAnsi="Trebuchet MS"/>
          <w:b w:val="0"/>
          <w:i/>
          <w:strike w:val="0"/>
          <w:color w:val="000000"/>
          <w:sz w:val="20"/>
          <w:u w:val="none"/>
          <w:vertAlign w:val="baseline"/>
          <w:lang w:val="fr-FR"/>
        </w:rPr>
        <w:t>infra</w:t>
      </w:r>
      <w:r>
        <w:rPr>
          <w:rFonts w:ascii="Trebuchet MS" w:cs="Trebuchet MS" w:eastAsia="Trebuchet MS" w:hAnsi="Trebuchet MS"/>
          <w:b w:val="0"/>
          <w:i w:val="0"/>
          <w:strike w:val="0"/>
          <w:color w:val="000000"/>
          <w:sz w:val="20"/>
          <w:u w:val="none"/>
          <w:vertAlign w:val="baseline"/>
          <w:lang w:val="fr-FR"/>
        </w:rPr>
        <w:t>, constitue le montant maximum des sommes à verser par paiement direct au sous-traitant.</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a)</w:t>
      </w:r>
      <w:r>
        <w:rPr>
          <w:rFonts w:ascii="Trebuchet MS" w:cs="Trebuchet MS" w:eastAsia="Trebuchet MS" w:hAnsi="Trebuchet MS"/>
          <w:b w:val="0"/>
          <w:i w:val="0"/>
          <w:strike w:val="0"/>
          <w:color w:val="000000"/>
          <w:sz w:val="20"/>
          <w:u w:val="none"/>
          <w:vertAlign w:val="baseline"/>
          <w:lang w:val="fr-FR"/>
        </w:rPr>
        <w:t xml:space="preserve"> Montant du contrat de sous-traitance dans le cas de prestations ne relevant pas du b) ci-dessous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Taux de la TVA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Montant HT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Montant TTC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b)</w:t>
      </w:r>
      <w:r>
        <w:rPr>
          <w:rFonts w:ascii="Trebuchet MS" w:cs="Trebuchet MS" w:eastAsia="Trebuchet MS" w:hAnsi="Trebuchet MS"/>
          <w:b w:val="0"/>
          <w:i w:val="0"/>
          <w:strike w:val="0"/>
          <w:color w:val="000000"/>
          <w:sz w:val="20"/>
          <w:u w:val="none"/>
          <w:vertAlign w:val="baseline"/>
          <w:lang w:val="fr-FR"/>
        </w:rPr>
        <w:t xml:space="preserve"> Montant du contrat de sous-traitance dans le cas de travaux sous-traités relevant de l'article 283-2 nonies du code général des impôts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Taux de la TVA : autoliquidation (la TVA est due par le titulaire)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Montant hors TVA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Modalités de variation des prix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Le titulaire déclare que son sous-traitant remplit les conditions pour avoir droit au paiement direct</w:t>
      </w:r>
      <w:r>
        <w:rPr>
          <w:rFonts w:ascii="Trebuchet MS" w:cs="Trebuchet MS" w:eastAsia="Trebuchet MS" w:hAnsi="Trebuchet MS"/>
          <w:b w:val="0"/>
          <w:i w:val="0"/>
          <w:strike w:val="0"/>
          <w:color w:val="000000"/>
          <w:sz w:val="20"/>
          <w:u w:val="none"/>
          <w:vertAlign w:val="baseline"/>
          <w:lang w:val="fr-FR"/>
        </w:rPr>
        <w:t xml:space="preserve"> </w:t>
      </w:r>
      <w:r>
        <w:rPr>
          <w:rFonts w:ascii="Trebuchet MS" w:cs="Trebuchet MS" w:eastAsia="Trebuchet MS" w:hAnsi="Trebuchet MS"/>
          <w:b w:val="0"/>
          <w:i/>
          <w:strike w:val="0"/>
          <w:color w:val="000000"/>
          <w:sz w:val="20"/>
          <w:u w:val="none"/>
          <w:vertAlign w:val="baseline"/>
          <w:lang w:val="fr-FR"/>
        </w:rPr>
        <w:t>(article R. 2193-10 ou article R. 2393-33 du code de la commande publique)</w:t>
      </w:r>
      <w:r>
        <w:rPr>
          <w:rFonts w:ascii="Trebuchet MS" w:cs="Trebuchet MS" w:eastAsia="Trebuchet MS" w:hAnsi="Trebuchet MS"/>
          <w:b w:val="0"/>
          <w:i w:val="0"/>
          <w:strike w:val="0"/>
          <w:color w:val="000000"/>
          <w:sz w:val="20"/>
          <w:u w:val="none"/>
          <w:vertAlign w:val="baseline"/>
          <w:lang w:val="fr-FR"/>
        </w:rPr>
        <w:t xml:space="preserve"> :</w:t>
      </w:r>
    </w:p>
    <w:p>
      <w:pPr>
        <w:pStyle w:val="ParagrapheIndent1"/>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(Cocher la case correspondante.)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4"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5"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8" w:name="ArtL1_A_DC4-10781-A9"/>
      <w:bookmarkEnd w:id="8"/>
      <w:r>
        <w:rPr>
          <w:rFonts w:ascii="Trebuchet MS" w:cs="Trebuchet MS" w:eastAsia="Trebuchet MS" w:hAnsi="Trebuchet MS"/>
          <w:b/>
          <w:i w:val="0"/>
          <w:strike w:val="0"/>
          <w:color w:val="000000"/>
          <w:sz w:val="28"/>
          <w:u w:val="none"/>
          <w:vertAlign w:val="baseline"/>
          <w:lang w:val="fr-FR"/>
        </w:rPr>
        <w:t>H - Conditions de paiement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Compte à créditer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(Joindre un relevé d'identité bancaire ou postal.)</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Nom de l'établissement bancaire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Numéro de compte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sous-traitant demande à bénéficier d'une avance :</w:t>
      </w:r>
    </w:p>
    <w:p>
      <w:pPr>
        <w:pStyle w:val="ParagrapheIndent1"/>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(Cocher la case correspondante.)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6"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7"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NON</w:t>
            </w:r>
          </w:p>
        </w:tc>
      </w:tr>
    </w:tbl>
    <w:p>
      <w:pPr>
        <w:pStyle w:val="Normal"/>
        <w:sectPr>
          <w:footerReference r:id="rId8" w:type="default"/>
          <w:pgSz w:h="16840" w:w="11900"/>
          <w:pgMar w:bottom="1140" w:footer="1140" w:header="1140" w:left="1140" w:right="1140" w:top="1140"/>
          <w:cols w:space="708"/>
        </w:sectPr>
      </w:pP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9" w:name="ArtL1_A_DC4-10781-A10"/>
      <w:bookmarkEnd w:id="9"/>
      <w:r>
        <w:rPr>
          <w:rFonts w:ascii="Trebuchet MS" w:cs="Trebuchet MS" w:eastAsia="Trebuchet MS" w:hAnsi="Trebuchet MS"/>
          <w:b/>
          <w:i w:val="0"/>
          <w:strike w:val="0"/>
          <w:color w:val="000000"/>
          <w:sz w:val="28"/>
          <w:u w:val="none"/>
          <w:vertAlign w:val="baseline"/>
          <w:lang w:val="fr-FR"/>
        </w:rPr>
        <w:t>I - Durée du contrat de sous-traitance</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(Nota : Si la durée indiquée dans le contrat de sous-traitance ne correspond pas à un nombre entier, arrondir au nombre entier supérieur. Ex : 20 jours = 1 mois, 1 mois et 2 semaines = 2 mois, etc.)</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La durée du contrat de sous-traitance en nombre de mois est de : </w:t>
      </w: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10" w:name="ArtL1_A_DC4-10781-A11"/>
      <w:bookmarkEnd w:id="10"/>
      <w:r>
        <w:rPr>
          <w:rFonts w:ascii="Trebuchet MS" w:cs="Trebuchet MS" w:eastAsia="Trebuchet MS" w:hAnsi="Trebuchet MS"/>
          <w:b/>
          <w:i w:val="0"/>
          <w:strike w:val="0"/>
          <w:color w:val="000000"/>
          <w:sz w:val="28"/>
          <w:u w:val="none"/>
          <w:vertAlign w:val="baseline"/>
          <w:lang w:val="fr-FR"/>
        </w:rPr>
        <w:t>J - Capacités du sous-traitant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w:t>
      </w:r>
      <w:r>
        <w:rPr>
          <w:rFonts w:ascii="Trebuchet MS" w:cs="Trebuchet MS" w:eastAsia="Trebuchet MS" w:hAnsi="Trebuchet MS"/>
          <w:b w:val="0"/>
          <w:i/>
          <w:strike w:val="0"/>
          <w:color w:val="000000"/>
          <w:sz w:val="20"/>
          <w:u w:val="none"/>
          <w:vertAlign w:val="baseline"/>
          <w:lang w:val="fr-FR"/>
        </w:rPr>
        <w:t>Nota</w:t>
      </w:r>
      <w:r>
        <w:rPr>
          <w:rFonts w:ascii="Trebuchet MS" w:cs="Trebuchet MS" w:eastAsia="Trebuchet MS" w:hAnsi="Trebuchet MS"/>
          <w:b w:val="0"/>
          <w:i w:val="0"/>
          <w:strike w:val="0"/>
          <w:color w:val="000000"/>
          <w:sz w:val="20"/>
          <w:u w:val="none"/>
          <w:vertAlign w:val="baseline"/>
          <w:lang w:val="fr-FR"/>
        </w:rPr>
        <w:t xml:space="preserve"> : Sauf pour les marchés de défense et de sécurité (MDS), ces renseignements ne sont nécessaires que lorsque l'acheteur les exige et qu'ils n'ont pas été déjà transmis dans le cadre du DC2 -voir rubrique H du DC2.)</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I1</w:t>
      </w:r>
      <w:r>
        <w:rPr>
          <w:rFonts w:ascii="Trebuchet MS" w:cs="Trebuchet MS" w:eastAsia="Trebuchet MS" w:hAnsi="Trebuchet MS"/>
          <w:b w:val="0"/>
          <w:i w:val="0"/>
          <w:strike w:val="0"/>
          <w:color w:val="000000"/>
          <w:sz w:val="20"/>
          <w:u w:val="none"/>
          <w:vertAlign w:val="baseline"/>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I2</w:t>
      </w:r>
      <w:r>
        <w:rPr>
          <w:rFonts w:ascii="Trebuchet MS" w:cs="Trebuchet MS" w:eastAsia="Trebuchet MS" w:hAnsi="Trebuchet MS"/>
          <w:b w:val="0"/>
          <w:i w:val="0"/>
          <w:strike w:val="0"/>
          <w:color w:val="000000"/>
          <w:sz w:val="20"/>
          <w:u w:val="none"/>
          <w:vertAlign w:val="baseline"/>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Adresse internet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Renseignements nécessaires pour y accéder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Normal"/>
        <w:pBdr>
          <w:top w:color="auto" w:space="0" w:sz="0" w:val="none"/>
          <w:bottom w:color="auto" w:space="0" w:sz="0" w:val="none"/>
        </w:pBdr>
        <w:bidi w:val="0"/>
        <w:spacing w:after="180" w:line="325" w:lineRule="exact"/>
        <w:ind w:left="0" w:right="0"/>
        <w:jc w:val="left"/>
        <w:rPr>
          <w:rFonts w:ascii="Trebuchet MS" w:cs="Trebuchet MS" w:eastAsia="Trebuchet MS" w:hAnsi="Trebuchet MS"/>
          <w:b/>
          <w:i w:val="0"/>
          <w:strike w:val="0"/>
          <w:color w:val="000000"/>
          <w:sz w:val="28"/>
          <w:u w:val="none"/>
          <w:vertAlign w:val="baseline"/>
          <w:lang w:val="fr-FR"/>
        </w:rPr>
      </w:pPr>
      <w:bookmarkStart w:id="11" w:name="ArtL1_A_DC4-10781-A12"/>
      <w:bookmarkEnd w:id="11"/>
      <w:r>
        <w:rPr>
          <w:rFonts w:ascii="Trebuchet MS" w:cs="Trebuchet MS" w:eastAsia="Trebuchet MS" w:hAnsi="Trebuchet MS"/>
          <w:b/>
          <w:i w:val="0"/>
          <w:strike w:val="0"/>
          <w:color w:val="000000"/>
          <w:sz w:val="28"/>
          <w:u w:val="none"/>
          <w:vertAlign w:val="baseline"/>
          <w:lang w:val="fr-FR"/>
        </w:rPr>
        <w:t>K - Attestations sur l’honneur du sous-traitant au regard des exclusions de la procédure</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J1 - Le sous-traitant déclare sur l'honneur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a)</w:t>
      </w:r>
      <w:r>
        <w:rPr>
          <w:rFonts w:ascii="Trebuchet MS" w:cs="Trebuchet MS" w:eastAsia="Trebuchet MS" w:hAnsi="Trebuchet MS"/>
          <w:b w:val="0"/>
          <w:i w:val="0"/>
          <w:strike w:val="0"/>
          <w:color w:val="000000"/>
          <w:sz w:val="20"/>
          <w:u w:val="none"/>
          <w:vertAlign w:val="baseline"/>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b)</w:t>
      </w:r>
      <w:r>
        <w:rPr>
          <w:rFonts w:ascii="Trebuchet MS" w:cs="Trebuchet MS" w:eastAsia="Trebuchet MS" w:hAnsi="Trebuchet MS"/>
          <w:b w:val="0"/>
          <w:i w:val="0"/>
          <w:strike w:val="0"/>
          <w:color w:val="000000"/>
          <w:sz w:val="20"/>
          <w:u w:val="none"/>
          <w:vertAlign w:val="baseline"/>
          <w:lang w:val="fr-FR"/>
        </w:rPr>
        <w:t xml:space="preserve"> dans l'hypothèse d'un marché public de défense ou de sécurité, ne pas entrer dans l'un des cas d'exclusion prévus aux articles L. 2341-1 à L. 2341-3 ou aux articles L. 2141-7 à L. 2141-10 du code de la commande publique.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Afin d'attester que le sous-traitant n'est pas dans un de ces cas d'interdiction de soumissionner, cocher la case suivante :</w:t>
      </w:r>
    </w:p>
    <w:p>
      <w:pPr>
        <w:pStyle w:val="Normal"/>
        <w:pBdr>
          <w:top w:color="auto" w:space="0" w:sz="0" w:val="none"/>
        </w:pBdr>
        <w:ind w:left="0" w:right="9380"/>
        <w:rPr>
          <w:sz w:val="2"/>
        </w:rPr>
      </w:pPr>
      <w:r>
        <w:pict>
          <v:shape id="_x0000_i1038" style="width:12pt;height:12pt" type="#_x0000_t75">
            <v:imagedata o:title="" r:id="rId5"/>
          </v:shape>
        </w:pic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40" w:line="232" w:lineRule="exact"/>
        <w:ind w:left="0" w:right="0"/>
        <w:jc w:val="both"/>
        <w:rPr>
          <w:rFonts w:ascii="Trebuchet MS" w:cs="Trebuchet MS" w:eastAsia="Trebuchet MS" w:hAnsi="Trebuchet MS"/>
          <w:b w:val="0"/>
          <w:i w:val="0"/>
          <w:strike w:val="0"/>
          <w:color w:val="000000"/>
          <w:sz w:val="20"/>
          <w:u w:val="none"/>
          <w:vertAlign w:val="baseline"/>
          <w:lang w:val="fr-FR"/>
        </w:rPr>
        <w:sectPr>
          <w:footerReference r:id="rId9" w:type="default"/>
          <w:pgSz w:h="16840" w:w="11900"/>
          <w:pgMar w:bottom="1140" w:footer="1140" w:header="1140" w:left="1140" w:right="1140" w:top="1140"/>
          <w:cols w:space="708"/>
        </w:sectPr>
      </w:pPr>
      <w:r>
        <w:rPr>
          <w:rFonts w:ascii="Trebuchet MS" w:cs="Trebuchet MS" w:eastAsia="Trebuchet MS" w:hAnsi="Trebuchet MS"/>
          <w:b w:val="0"/>
          <w:i w:val="0"/>
          <w:strike w:val="0"/>
          <w:color w:val="000000"/>
          <w:sz w:val="20"/>
          <w:u w:val="none"/>
          <w:vertAlign w:val="baseline"/>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cr/>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ce changement de situation.</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J2 - Documents de preuve disponibles en ligne</w:t>
      </w:r>
      <w:r>
        <w:rPr>
          <w:rFonts w:ascii="Trebuchet MS" w:cs="Trebuchet MS" w:eastAsia="Trebuchet MS" w:hAnsi="Trebuchet MS"/>
          <w:b w:val="0"/>
          <w:i w:val="0"/>
          <w:strike w:val="0"/>
          <w:color w:val="000000"/>
          <w:sz w:val="20"/>
          <w:u w:val="none"/>
          <w:vertAlign w:val="baseline"/>
          <w:lang w:val="fr-FR"/>
        </w:rPr>
        <w:t xml:space="preserve">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cas échéant, adresse internet à laquelle les documents justificatifs et moyens de preuve sont accessibles directement et gratuitement, ainsi que l'ensemble des renseignements nécessaires pour y accéder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(Si l'adresse et les renseignements sont identiques à ceux fournis plus haut se contenter de renvoyer à la rubrique concernée.)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Adresse internet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Renseignements nécessaires pour y accéder :</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12" w:name="ArtL1_A_DC4-10781-A13"/>
      <w:bookmarkEnd w:id="12"/>
      <w:r>
        <w:rPr>
          <w:rFonts w:ascii="Trebuchet MS" w:cs="Trebuchet MS" w:eastAsia="Trebuchet MS" w:hAnsi="Trebuchet MS"/>
          <w:b/>
          <w:i w:val="0"/>
          <w:strike w:val="0"/>
          <w:color w:val="000000"/>
          <w:sz w:val="28"/>
          <w:u w:val="none"/>
          <w:vertAlign w:val="baseline"/>
          <w:lang w:val="fr-FR"/>
        </w:rPr>
        <w:t>L - Cession ou nantissement des créances résultant du marché public</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(Cocher les cases correspondantes.)</w:t>
      </w:r>
    </w:p>
    <w:p>
      <w:pPr>
        <w:pStyle w:val="ParagrapheIndent1"/>
        <w:bidi w:val="0"/>
        <w:spacing w:line="232" w:lineRule="exact"/>
        <w:ind w:left="0" w:right="0"/>
        <w:jc w:val="both"/>
        <w:rPr>
          <w:rFonts w:ascii="Trebuchet MS" w:cs="Trebuchet MS" w:eastAsia="Trebuchet MS" w:hAnsi="Trebuchet MS"/>
          <w:b/>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1ère hypothèse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9"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La présente déclaration de sous-traitance constitue un </w:t>
            </w:r>
            <w:r>
              <w:rPr>
                <w:rFonts w:ascii="Trebuchet MS" w:cs="Trebuchet MS" w:eastAsia="Trebuchet MS" w:hAnsi="Trebuchet MS"/>
                <w:b/>
                <w:i w:val="0"/>
                <w:strike w:val="0"/>
                <w:color w:val="000000"/>
                <w:sz w:val="20"/>
                <w:u w:val="none"/>
                <w:vertAlign w:val="baseline"/>
                <w:lang w:val="fr-FR"/>
              </w:rPr>
              <w:t>acte spécial</w:t>
            </w:r>
            <w:r>
              <w:rPr>
                <w:rFonts w:ascii="Trebuchet MS" w:cs="Trebuchet MS" w:eastAsia="Trebuchet MS" w:hAnsi="Trebuchet MS"/>
                <w:b w:val="0"/>
                <w:i w:val="0"/>
                <w:strike w:val="0"/>
                <w:color w:val="000000"/>
                <w:sz w:val="20"/>
                <w:u w:val="none"/>
                <w:vertAlign w:val="baseline"/>
                <w:lang w:val="fr-FR"/>
              </w:rPr>
              <w:t>.</w:t>
            </w:r>
          </w:p>
        </w:tc>
      </w:tr>
    </w:tbl>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En conséquence, le titulaire produit avec le DC4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40"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l'exemplaire unique ou le certificat de cessibilité du marché public qui lui a été délivré,</w:t>
            </w:r>
          </w:p>
        </w:tc>
      </w:tr>
    </w:tbl>
    <w:p>
      <w:pPr>
        <w:pStyle w:val="ParagrapheIndent1"/>
        <w:pBdr>
          <w:top w:color="auto" w:space="0" w:sz="0" w:val="none"/>
        </w:pBdr>
        <w:bidi w:val="0"/>
        <w:ind w:left="0" w:right="0"/>
        <w:jc w:val="both"/>
        <w:rPr>
          <w:rFonts w:ascii="Trebuchet MS" w:cs="Trebuchet MS" w:eastAsia="Trebuchet MS" w:hAnsi="Trebuchet MS"/>
          <w:b w:val="0"/>
          <w:i w:val="0"/>
          <w:strike w:val="0"/>
          <w:color w:val="000000"/>
          <w:sz w:val="20"/>
          <w:u w:val="single"/>
          <w:vertAlign w:val="baseline"/>
          <w:lang w:val="fr-FR"/>
        </w:rPr>
      </w:pPr>
      <w:r>
        <w:rPr>
          <w:rFonts w:ascii="Trebuchet MS" w:cs="Trebuchet MS" w:eastAsia="Trebuchet MS" w:hAnsi="Trebuchet MS"/>
          <w:b w:val="0"/>
          <w:i w:val="0"/>
          <w:strike w:val="0"/>
          <w:color w:val="000000"/>
          <w:sz w:val="20"/>
          <w:u w:val="single"/>
          <w:vertAlign w:val="baseline"/>
          <w:lang w:val="fr-FR"/>
        </w:rPr>
        <w:t>OU</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41"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une attestation ou une mainlevée du bénéficiaire de la cession ou du nantissement de créances.</w:t>
            </w:r>
          </w:p>
        </w:tc>
      </w:tr>
    </w:tbl>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2ème hypothèse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42"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La présente déclaration de sous-traitance constitue un </w:t>
            </w:r>
            <w:r>
              <w:rPr>
                <w:rFonts w:ascii="Trebuchet MS" w:cs="Trebuchet MS" w:eastAsia="Trebuchet MS" w:hAnsi="Trebuchet MS"/>
                <w:b/>
                <w:i w:val="0"/>
                <w:strike w:val="0"/>
                <w:color w:val="000000"/>
                <w:sz w:val="20"/>
                <w:u w:val="none"/>
                <w:vertAlign w:val="baseline"/>
                <w:lang w:val="fr-FR"/>
              </w:rPr>
              <w:t>acte spécial modificatif</w:t>
            </w:r>
            <w:r>
              <w:rPr>
                <w:rFonts w:ascii="Trebuchet MS" w:cs="Trebuchet MS" w:eastAsia="Trebuchet MS" w:hAnsi="Trebuchet MS"/>
                <w:b w:val="0"/>
                <w:i w:val="0"/>
                <w:strike w:val="0"/>
                <w:color w:val="000000"/>
                <w:sz w:val="20"/>
                <w:u w:val="none"/>
                <w:vertAlign w:val="baseline"/>
                <w:lang w:val="fr-FR"/>
              </w:rPr>
              <w:t xml:space="preserve"> :</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43"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vMerge w:val="restart"/>
            <w:tcMar>
              <w:top w:type="dxa" w:w="0"/>
              <w:left w:type="dxa" w:w="0"/>
              <w:bottom w:type="dxa" w:w="0"/>
              <w:right w:type="dxa" w:w="0"/>
            </w:tcMar>
          </w:tcPr>
          <w:p>
            <w:pPr>
              <w:pStyle w:val="ParagrapheIndent1"/>
              <w:pBdr>
                <w:top w:color="auto" w:space="0" w:sz="0" w:val="none"/>
              </w:pBdr>
              <w:bidi w:val="0"/>
              <w:spacing w:line="232" w:lineRule="exact"/>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titulaire demande la modification de l'exemplaire unique ou du certificat de cessibilité prévus à l'article R. 2193-22 ou à l'article R. 2393-40 du code de la commande publique, qui est joint au présent DC4 ;</w:t>
            </w:r>
          </w:p>
        </w:tc>
      </w:tr>
      <w:tr>
        <w:tblPrEx>
          <w:tblW w:type="auto" w:w="0"/>
          <w:tblInd w:type="dxa" w:w="0"/>
          <w:tblLayout w:type="fixed"/>
          <w:tblCellMar>
            <w:left w:type="dxa" w:w="108"/>
            <w:right w:type="dxa" w:w="108"/>
          </w:tblCellMar>
        </w:tblPrEx>
        <w:trPr>
          <w:trHeight w:val="382"/>
        </w:trPr>
        <w:tc>
          <w:tcPr>
            <w:tcW w:type="dxa" w:w="240"/>
            <w:tcMar>
              <w:top w:type="dxa" w:w="0"/>
              <w:left w:type="dxa" w:w="0"/>
              <w:bottom w:type="dxa" w:w="0"/>
              <w:right w:type="dxa" w:w="0"/>
            </w:tcMar>
          </w:tcPr>
          <w:p>
            <w:pPr>
              <w:rPr>
                <w:sz w:val="2"/>
              </w:rPr>
            </w:pPr>
          </w:p>
        </w:tc>
        <w:tc>
          <w:tcPr>
            <w:tcW w:type="dxa" w:w="200"/>
            <w:tcMar>
              <w:top w:type="dxa" w:w="0"/>
              <w:left w:type="dxa" w:w="0"/>
              <w:bottom w:type="dxa" w:w="0"/>
              <w:right w:type="dxa" w:w="0"/>
            </w:tcMar>
          </w:tcPr>
          <w:p>
            <w:pPr>
              <w:rPr>
                <w:sz w:val="2"/>
              </w:rPr>
            </w:pPr>
          </w:p>
        </w:tc>
        <w:tc>
          <w:tcPr>
            <w:tcW w:type="dxa" w:w="9180"/>
            <w:vMerge/>
            <w:tcBorders>
              <w:top w:color="auto" w:space="0" w:sz="0" w:val="none"/>
              <w:left w:color="auto" w:space="0" w:sz="0" w:val="none"/>
              <w:bottom w:color="auto" w:space="0" w:sz="0" w:val="none"/>
              <w:right w:color="auto" w:space="0" w:sz="0" w:val="none"/>
              <w:tl2br w:color="auto" w:space="0" w:sz="0" w:val="none"/>
              <w:tr2bl w:color="auto" w:space="0" w:sz="0" w:val="none"/>
            </w:tcBorders>
            <w:noWrap w:val="0"/>
            <w:tcMar>
              <w:top w:type="dxa" w:w="0"/>
              <w:left w:type="dxa" w:w="0"/>
              <w:bottom w:type="dxa" w:w="0"/>
              <w:right w:type="dxa" w:w="0"/>
            </w:tcMar>
            <w:textDirection w:val="lrTb"/>
            <w:tcFitText w:val="0"/>
            <w:vAlign w:val="top"/>
          </w:tcPr>
          <w:p/>
        </w:tc>
      </w:tr>
    </w:tbl>
    <w:p>
      <w:pPr>
        <w:pStyle w:val="ParagrapheIndent1"/>
        <w:pBdr>
          <w:top w:color="auto" w:space="0" w:sz="0" w:val="none"/>
        </w:pBdr>
        <w:bidi w:val="0"/>
        <w:ind w:left="0" w:right="0"/>
        <w:jc w:val="both"/>
        <w:rPr>
          <w:rFonts w:ascii="Trebuchet MS" w:cs="Trebuchet MS" w:eastAsia="Trebuchet MS" w:hAnsi="Trebuchet MS"/>
          <w:b w:val="0"/>
          <w:i w:val="0"/>
          <w:strike w:val="0"/>
          <w:color w:val="000000"/>
          <w:sz w:val="20"/>
          <w:u w:val="single"/>
          <w:vertAlign w:val="baseline"/>
          <w:lang w:val="fr-FR"/>
        </w:rPr>
      </w:pPr>
      <w:r>
        <w:rPr>
          <w:rFonts w:ascii="Trebuchet MS" w:cs="Trebuchet MS" w:eastAsia="Trebuchet MS" w:hAnsi="Trebuchet MS"/>
          <w:b w:val="0"/>
          <w:i w:val="0"/>
          <w:strike w:val="0"/>
          <w:color w:val="000000"/>
          <w:sz w:val="20"/>
          <w:u w:val="single"/>
          <w:vertAlign w:val="baseline"/>
          <w:lang w:val="fr-FR"/>
        </w:rPr>
        <w:t>OU</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44"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vMerge w:val="restart"/>
            <w:tcMar>
              <w:top w:type="dxa" w:w="0"/>
              <w:left w:type="dxa" w:w="0"/>
              <w:bottom w:type="dxa" w:w="0"/>
              <w:right w:type="dxa" w:w="0"/>
            </w:tcMar>
          </w:tcPr>
          <w:p>
            <w:pPr>
              <w:pStyle w:val="ParagrapheIndent1"/>
              <w:pBdr>
                <w:top w:color="auto" w:space="0" w:sz="0" w:val="none"/>
              </w:pBdr>
              <w:bidi w:val="0"/>
              <w:spacing w:line="232" w:lineRule="exact"/>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l'exemplaire unique ou le certificat de cessibilité ayant été remis en vue d'une cession ou d'un nantissement de créances et ne pouvant être restitué, le titulaire justifie :</w:t>
            </w:r>
          </w:p>
          <w:p>
            <w:pPr>
              <w:pStyle w:val="ParagrapheIndent1"/>
              <w:bidi w:val="0"/>
              <w:spacing w:line="232" w:lineRule="exact"/>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soit que la cession ou le nantissement de créances concernant le marché public ne fait pas obstacle au paiement direct de la partie sous-traitée,</w:t>
            </w:r>
          </w:p>
          <w:p>
            <w:pPr>
              <w:pStyle w:val="ParagrapheIndent1"/>
              <w:bidi w:val="0"/>
              <w:spacing w:line="232" w:lineRule="exact"/>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soit que son montant a été réduit afin que ce paiement soit possible.</w:t>
            </w:r>
          </w:p>
          <w:p>
            <w:pPr>
              <w:pStyle w:val="ParagrapheIndent1"/>
              <w:bidi w:val="0"/>
              <w:spacing w:line="232" w:lineRule="exact"/>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Cette justification est donnée par une attestation ou une mainlevée du bénéficiaire de la cession ou du nantissement de créances résultant du marché qui est jointe au présent document.</w:t>
            </w:r>
          </w:p>
        </w:tc>
      </w:tr>
      <w:tr>
        <w:tblPrEx>
          <w:tblW w:type="auto" w:w="0"/>
          <w:tblInd w:type="dxa" w:w="0"/>
          <w:tblLayout w:type="fixed"/>
          <w:tblCellMar>
            <w:left w:type="dxa" w:w="108"/>
            <w:right w:type="dxa" w:w="108"/>
          </w:tblCellMar>
        </w:tblPrEx>
        <w:trPr>
          <w:trHeight w:val="1228"/>
        </w:trPr>
        <w:tc>
          <w:tcPr>
            <w:tcW w:type="dxa" w:w="240"/>
            <w:tcMar>
              <w:top w:type="dxa" w:w="0"/>
              <w:left w:type="dxa" w:w="0"/>
              <w:bottom w:type="dxa" w:w="0"/>
              <w:right w:type="dxa" w:w="0"/>
            </w:tcMar>
          </w:tcPr>
          <w:p>
            <w:pPr>
              <w:rPr>
                <w:sz w:val="2"/>
              </w:rPr>
            </w:pPr>
          </w:p>
        </w:tc>
        <w:tc>
          <w:tcPr>
            <w:tcW w:type="dxa" w:w="200"/>
            <w:tcMar>
              <w:top w:type="dxa" w:w="0"/>
              <w:left w:type="dxa" w:w="0"/>
              <w:bottom w:type="dxa" w:w="0"/>
              <w:right w:type="dxa" w:w="0"/>
            </w:tcMar>
          </w:tcPr>
          <w:p>
            <w:pPr>
              <w:rPr>
                <w:sz w:val="2"/>
              </w:rPr>
            </w:pPr>
          </w:p>
        </w:tc>
        <w:tc>
          <w:tcPr>
            <w:tcW w:type="dxa" w:w="9180"/>
            <w:vMerge/>
            <w:tcBorders>
              <w:top w:color="auto" w:space="0" w:sz="0" w:val="none"/>
              <w:left w:color="auto" w:space="0" w:sz="0" w:val="none"/>
              <w:bottom w:color="auto" w:space="0" w:sz="0" w:val="none"/>
              <w:right w:color="auto" w:space="0" w:sz="0" w:val="none"/>
              <w:tl2br w:color="auto" w:space="0" w:sz="0" w:val="none"/>
              <w:tr2bl w:color="auto" w:space="0" w:sz="0" w:val="none"/>
            </w:tcBorders>
            <w:noWrap w:val="0"/>
            <w:tcMar>
              <w:top w:type="dxa" w:w="0"/>
              <w:left w:type="dxa" w:w="0"/>
              <w:bottom w:type="dxa" w:w="0"/>
              <w:right w:type="dxa" w:w="0"/>
            </w:tcMar>
            <w:textDirection w:val="lrTb"/>
            <w:tcFitText w:val="0"/>
            <w:vAlign w:val="top"/>
          </w:tcPr>
          <w:p/>
        </w:tc>
      </w:tr>
    </w:tbl>
    <w:p>
      <w:pPr>
        <w:pStyle w:val="Normal"/>
        <w:spacing w:line="240" w:lineRule="exact"/>
        <w:rPr>
          <w:sz w:val="24"/>
        </w:rPr>
      </w:pPr>
      <w:r>
        <w:t xml:space="preserve"> </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13" w:name="ArtL1_A_DC4-10781-A14"/>
      <w:bookmarkEnd w:id="13"/>
      <w:r>
        <w:rPr>
          <w:rFonts w:ascii="Trebuchet MS" w:cs="Trebuchet MS" w:eastAsia="Trebuchet MS" w:hAnsi="Trebuchet MS"/>
          <w:b/>
          <w:i w:val="0"/>
          <w:strike w:val="0"/>
          <w:color w:val="000000"/>
          <w:sz w:val="28"/>
          <w:u w:val="none"/>
          <w:vertAlign w:val="baseline"/>
          <w:lang w:val="fr-FR"/>
        </w:rPr>
        <w:t>M - Acceptation et agrément des conditions de paiement du sous-traitant</w:t>
      </w:r>
    </w:p>
    <w:p>
      <w:pPr>
        <w:pStyle w:val="ParagrapheIndent1"/>
        <w:pBdr>
          <w:top w:color="auto" w:space="0" w:sz="0" w:val="none"/>
          <w:bottom w:color="auto" w:space="0" w:sz="0" w:val="none"/>
        </w:pBdr>
        <w:bidi w:val="0"/>
        <w:spacing w:after="20" w:line="232" w:lineRule="exact"/>
        <w:ind w:left="0" w:right="0"/>
        <w:jc w:val="both"/>
        <w:rPr>
          <w:rFonts w:ascii="Trebuchet MS" w:cs="Trebuchet MS" w:eastAsia="Trebuchet MS" w:hAnsi="Trebuchet MS"/>
          <w:b w:val="0"/>
          <w:i w:val="0"/>
          <w:strike w:val="0"/>
          <w:color w:val="000000"/>
          <w:sz w:val="20"/>
          <w:u w:val="none"/>
          <w:vertAlign w:val="baseline"/>
          <w:lang w:val="fr-FR"/>
        </w:rPr>
        <w:sectPr>
          <w:footerReference r:id="rId10" w:type="default"/>
          <w:pgSz w:h="16840" w:w="11900"/>
          <w:pgMar w:bottom="1140" w:footer="1140" w:header="1140" w:left="1140" w:right="1140" w:top="1140"/>
          <w:cols w:space="708"/>
        </w:sectPr>
      </w:pPr>
      <w:r>
        <w:rPr>
          <w:rFonts w:ascii="Trebuchet MS" w:cs="Trebuchet MS" w:eastAsia="Trebuchet MS" w:hAnsi="Trebuchet MS"/>
          <w:b w:val="0"/>
          <w:i w:val="0"/>
          <w:strike w:val="0"/>
          <w:color w:val="000000"/>
          <w:sz w:val="20"/>
          <w:u w:val="none"/>
          <w:vertAlign w:val="baseline"/>
          <w:lang w:val="fr-FR"/>
        </w:rPr>
        <w:t>(</w:t>
      </w:r>
      <w:r>
        <w:rPr>
          <w:rFonts w:ascii="Trebuchet MS" w:cs="Trebuchet MS" w:eastAsia="Trebuchet MS" w:hAnsi="Trebuchet MS"/>
          <w:b w:val="0"/>
          <w:i/>
          <w:strike w:val="0"/>
          <w:color w:val="000000"/>
          <w:sz w:val="20"/>
          <w:u w:val="none"/>
          <w:vertAlign w:val="baseline"/>
          <w:lang w:val="fr-FR"/>
        </w:rPr>
        <w:t>Nota</w:t>
      </w:r>
      <w:r>
        <w:rPr>
          <w:rFonts w:ascii="Trebuchet MS" w:cs="Trebuchet MS" w:eastAsia="Trebuchet MS" w:hAnsi="Trebuchet MS"/>
          <w:b w:val="0"/>
          <w:i w:val="0"/>
          <w:strike w:val="0"/>
          <w:color w:val="000000"/>
          <w:sz w:val="20"/>
          <w:u w:val="none"/>
          <w:vertAlign w:val="baseline"/>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w:t>
        <w:cr/>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retourne signé de lui-même et de son sous-traitant. L'acheteur pourra alors notifier au titulaire le marché, auquel sera annexé ce document, ce qui emportera agrément et acceptation des conditions de paiement du sous-traitant)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 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sous-traitant</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(personne identifiée rubrique E du DC4)</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 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soumissionnaire ou le titulaire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(personne identifiée rubrique C1 du DC2)</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 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représentant de l'acheteur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14" w:name="ArtL1_A_DC4-10781-A15"/>
      <w:bookmarkEnd w:id="14"/>
      <w:r>
        <w:rPr>
          <w:rFonts w:ascii="Trebuchet MS" w:cs="Trebuchet MS" w:eastAsia="Trebuchet MS" w:hAnsi="Trebuchet MS"/>
          <w:b/>
          <w:i w:val="0"/>
          <w:strike w:val="0"/>
          <w:color w:val="000000"/>
          <w:sz w:val="28"/>
          <w:u w:val="none"/>
          <w:vertAlign w:val="baseline"/>
          <w:lang w:val="fr-FR"/>
        </w:rPr>
        <w:t>N - Notification de l'acte spécial au titulaire</w:t>
      </w:r>
    </w:p>
    <w:p>
      <w:pPr>
        <w:pStyle w:val="ParagrapheIndent1"/>
        <w:pBdr>
          <w:top w:color="auto" w:space="0" w:sz="0" w:val="none"/>
        </w:pBdr>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(Une copie de l'original du marché ou du certificat de cessibilité ou, le cas échéant, de l'acte spécial, doit être remise à chaque sous-traitant bénéficiant du paiement direct par l'acheteur public.)</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En cas d'envoi en lettre recommandée avec accusé de réception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(Coller dans ce cadre l'avis de réception postal, daté et signé par le titulaire.)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En cas de remise contre récépissé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titulaire reçoit à titre de notification une copie du présent acte spécial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 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sectPr>
      <w:footerReference r:id="rId11" w:type="default"/>
      <w:pgSz w:h="16840" w:w="11900"/>
      <w:pgMar w:bottom="1140" w:footer="1140" w:header="1140" w:left="1140" w:right="1140" w:top="114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1</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2.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2</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3.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3</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4.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4</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5.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5</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6.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6</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7.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accent1="accent1" w:accent2="accent2" w:accent3="accent3" w:accent4="accent4" w:accent5="accent5" w:accent6="accent6" w:bg1="light1" w:bg2="light2" w:followedHyperlink="followedHyperlink" w:hyperlink="hyperlink" w:t1="dark1" w:t2="dark2"/>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cs="Times New Roman" w:eastAsia="Times New Roman" w:hAnsi="Times New Roman"/>
        <w:lang w:bidi="ar-SA" w:eastAsia="en-US" w:val="en-US"/>
      </w:rPr>
    </w:rPrDefault>
    <w:pPrDefault/>
  </w:docDefaults>
  <w:latentStyles w:count="267"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atentStyles>
  <w:style w:default="1" w:styleId="Normal" w:type="paragraph">
    <w:name w:val="Normal"/>
    <w:qFormat/>
    <w:rPr>
      <w:sz w:val="24"/>
      <w:szCs w:val="24"/>
    </w:rPr>
  </w:style>
  <w:style w:styleId="Heading1" w:type="paragraph">
    <w:name w:val="heading 1"/>
    <w:basedOn w:val="Normal"/>
    <w:next w:val="Normal"/>
    <w:qFormat/>
    <w:rsid w:val="00EF7B96"/>
    <w:pPr>
      <w:keepNext/>
      <w:spacing w:after="120" w:before="0"/>
      <w:outlineLvl w:val="0"/>
    </w:pPr>
    <w:rPr>
      <w:rFonts w:ascii="Arial" w:cs="Arial" w:hAnsi="Arial"/>
      <w:b/>
      <w:bCs/>
      <w:kern w:val="32"/>
      <w:sz w:val="32"/>
      <w:szCs w:val="32"/>
    </w:rPr>
  </w:style>
  <w:style w:default="1" w:styleId="DefaultParagraphFont" w:type="character">
    <w:name w:val="Default Paragraph Font"/>
    <w:semiHidden/>
  </w:style>
  <w:style w:default="1" w:styleId="TableNormal" w:type="table">
    <w:name w:val="Normal Table"/>
    <w:semiHidden/>
    <w:tblPr>
      <w:tblInd w:type="dxa" w:w="0"/>
      <w:tblCellMar>
        <w:top w:type="dxa" w:w="0"/>
        <w:left w:type="dxa" w:w="108"/>
        <w:bottom w:type="dxa" w:w="0"/>
        <w:right w:type="dxa" w:w="108"/>
      </w:tblCellMar>
    </w:tblPr>
  </w:style>
  <w:style w:default="1" w:styleId="NoList" w:type="numbering">
    <w:name w:val="No List"/>
    <w:semiHidden/>
  </w:style>
  <w:style w:customStyle="1" w:styleId="ParagrapheIndent1" w:type="paragraph">
    <w:name w:val="ParagrapheIndent1"/>
    <w:basedOn w:val="Normal"/>
    <w:next w:val="Normal"/>
    <w:qFormat/>
    <w:rPr>
      <w:rFonts w:ascii="Trebuchet MS" w:cs="Trebuchet MS" w:eastAsia="Trebuchet MS" w:hAnsi="Trebuchet MS"/>
      <w:sz w:val="20"/>
      <w:szCs w:val="24"/>
    </w:rPr>
  </w:style>
  <w:style w:customStyle="1" w:styleId="style1" w:type="paragraph">
    <w:name w:val="style1"/>
    <w:basedOn w:val="Normal"/>
    <w:next w:val="Normal"/>
    <w:qFormat/>
    <w:rPr>
      <w:rFonts w:ascii="Trebuchet MS" w:cs="Trebuchet MS" w:eastAsia="Trebuchet MS" w:hAnsi="Trebuchet MS"/>
      <w:sz w:val="20"/>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
<Relationship Id="rId1" Target="settings.xml" Type="http://schemas.openxmlformats.org/officeDocument/2006/relationships/settings"/>
<Relationship Id="rId10" Target="footer6.xml" Type="http://schemas.openxmlformats.org/officeDocument/2006/relationships/footer"/>
<Relationship Id="rId11" Target="footer7.xml" Type="http://schemas.openxmlformats.org/officeDocument/2006/relationships/footer"/>
<Relationship Id="rId12" Target="theme/theme1.xml" Type="http://schemas.openxmlformats.org/officeDocument/2006/relationships/theme"/>
<Relationship Id="rId13" Target="styles.xml" Type="http://schemas.openxmlformats.org/officeDocument/2006/relationships/styles"/>
<Relationship Id="rId2" Target="webSettings.xml" Type="http://schemas.openxmlformats.org/officeDocument/2006/relationships/webSettings"/>
<Relationship Id="rId3" Target="fontTable.xml" Type="http://schemas.openxmlformats.org/officeDocument/2006/relationships/fontTable"/>
<Relationship Id="rId4" Target="footer1.xml" Type="http://schemas.openxmlformats.org/officeDocument/2006/relationships/footer"/>
<Relationship Id="rId5" Target="media/image1.png" Type="http://schemas.openxmlformats.org/officeDocument/2006/relationships/image"/>
<Relationship Id="rId6" Target="footer2.xml" Type="http://schemas.openxmlformats.org/officeDocument/2006/relationships/footer"/>
<Relationship Id="rId7" Target="footer3.xml" Type="http://schemas.openxmlformats.org/officeDocument/2006/relationships/footer"/>
<Relationship Id="rId8" Target="footer4.xml" Type="http://schemas.openxmlformats.org/officeDocument/2006/relationships/footer"/>
<Relationship Id="rId9" Target="footer5.xml" Type="http://schemas.openxmlformats.org/officeDocument/2006/relationships/footer"/>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7</Pages>
  <Words>0</Words>
  <Characters>0</Characters>
  <Application>Microsoft Office Word</Application>
  <DocSecurity>0</DocSecurity>
  <Lines>1</Lines>
  <Paragraphs>1</Paragraphs>
  <ScaleCrop>false</ScaleCrop>
  <HeadingPairs>
    <vt:vector baseType="variant" size="2">
      <vt:variant>
        <vt:lpstr>Title</vt:lpstr>
      </vt:variant>
      <vt:variant>
        <vt:i4>1</vt:i4>
      </vt:variant>
    </vt:vector>
  </HeadingPairs>
  <TitlesOfParts>
    <vt:vector baseType="lpstr" size="1">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coreProperties>
</file>