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6F836E" w14:textId="77777777" w:rsidR="00EC3D29" w:rsidRDefault="00EC3D29" w:rsidP="00EC3D29">
      <w:pPr>
        <w:pStyle w:val="Titre1"/>
        <w:numPr>
          <w:ilvl w:val="0"/>
          <w:numId w:val="0"/>
        </w:numPr>
        <w:spacing w:before="0"/>
        <w:jc w:val="center"/>
        <w:rPr>
          <w:rFonts w:cstheme="majorHAnsi"/>
        </w:rPr>
      </w:pPr>
      <w:bookmarkStart w:id="0" w:name="_Toc424752484"/>
      <w:bookmarkStart w:id="1" w:name="_Toc438205973"/>
      <w:bookmarkStart w:id="2" w:name="_Toc454435082"/>
      <w:bookmarkStart w:id="3" w:name="_Ref481001055"/>
      <w:bookmarkStart w:id="4" w:name="_Toc102642637"/>
      <w:r>
        <w:rPr>
          <w:rFonts w:cstheme="majorHAnsi"/>
        </w:rPr>
        <w:t>ANNEXE 1 DU CCAP</w:t>
      </w:r>
    </w:p>
    <w:p w14:paraId="19FE89B0" w14:textId="54A51521" w:rsidR="00EC3D29" w:rsidRDefault="00EC3D29" w:rsidP="00EC3D29">
      <w:pPr>
        <w:pStyle w:val="Titre1"/>
        <w:numPr>
          <w:ilvl w:val="0"/>
          <w:numId w:val="0"/>
        </w:numPr>
        <w:spacing w:before="0"/>
        <w:jc w:val="center"/>
        <w:rPr>
          <w:rFonts w:cstheme="majorHAnsi"/>
        </w:rPr>
      </w:pPr>
      <w:r>
        <w:rPr>
          <w:rFonts w:cstheme="majorHAnsi"/>
        </w:rPr>
        <w:t>MISE EN PLACE D’EDIFLEX / C</w:t>
      </w:r>
      <w:r w:rsidRPr="00B70365">
        <w:rPr>
          <w:rFonts w:cstheme="majorHAnsi"/>
        </w:rPr>
        <w:t>onvention d’interchange</w:t>
      </w:r>
      <w:bookmarkEnd w:id="0"/>
      <w:bookmarkEnd w:id="1"/>
      <w:bookmarkEnd w:id="2"/>
      <w:bookmarkEnd w:id="3"/>
      <w:bookmarkEnd w:id="4"/>
    </w:p>
    <w:p w14:paraId="19422BE4" w14:textId="77777777" w:rsidR="00EC3D29" w:rsidRPr="00EC3D29" w:rsidRDefault="00EC3D29" w:rsidP="00EC3D29">
      <w:pPr>
        <w:pStyle w:val="Titre2"/>
        <w:numPr>
          <w:ilvl w:val="0"/>
          <w:numId w:val="0"/>
        </w:numPr>
      </w:pPr>
    </w:p>
    <w:p w14:paraId="54F4F46F" w14:textId="77777777" w:rsidR="00EC3D29" w:rsidRPr="00B70365" w:rsidRDefault="00EC3D29" w:rsidP="00EC3D29">
      <w:pPr>
        <w:pStyle w:val="Titre2"/>
        <w:jc w:val="both"/>
        <w:rPr>
          <w:rFonts w:cstheme="majorHAnsi"/>
        </w:rPr>
      </w:pPr>
      <w:bookmarkStart w:id="5" w:name="_Toc424752485"/>
      <w:bookmarkStart w:id="6" w:name="_Toc438205974"/>
      <w:bookmarkStart w:id="7" w:name="_Toc454435083"/>
      <w:bookmarkStart w:id="8" w:name="_Toc23862547"/>
      <w:bookmarkStart w:id="9" w:name="_Toc102642638"/>
      <w:r w:rsidRPr="00B70365">
        <w:rPr>
          <w:rFonts w:cstheme="majorHAnsi"/>
        </w:rPr>
        <w:t>OBJET DE LA PRESENTE CONVENTION D'INTERCHANGE :</w:t>
      </w:r>
      <w:bookmarkEnd w:id="5"/>
      <w:bookmarkEnd w:id="6"/>
      <w:bookmarkEnd w:id="7"/>
      <w:bookmarkEnd w:id="8"/>
      <w:bookmarkEnd w:id="9"/>
      <w:r w:rsidRPr="00B70365">
        <w:rPr>
          <w:rFonts w:cstheme="majorHAnsi"/>
        </w:rPr>
        <w:t xml:space="preserve"> </w:t>
      </w:r>
    </w:p>
    <w:p w14:paraId="6823B45E" w14:textId="7E60BC44" w:rsidR="00FD51F9" w:rsidRPr="00FD51F9" w:rsidRDefault="00FD51F9" w:rsidP="00EC3D29">
      <w:pPr>
        <w:rPr>
          <w:rFonts w:asciiTheme="majorHAnsi" w:hAnsiTheme="majorHAnsi"/>
        </w:rPr>
      </w:pPr>
      <w:bookmarkStart w:id="10" w:name="_Toc424752486"/>
      <w:bookmarkStart w:id="11" w:name="_Toc438205975"/>
      <w:bookmarkStart w:id="12" w:name="_Toc454435084"/>
      <w:bookmarkStart w:id="13" w:name="_Toc23862548"/>
      <w:r w:rsidRPr="00FD51F9">
        <w:rPr>
          <w:rFonts w:asciiTheme="majorHAnsi" w:hAnsiTheme="majorHAnsi"/>
        </w:rPr>
        <w:t>Convention d’interchange relative au service d’échange électronique de Gestion Financière des Travaux EDIFLE</w:t>
      </w:r>
      <w:r>
        <w:rPr>
          <w:rFonts w:asciiTheme="majorHAnsi" w:hAnsiTheme="majorHAnsi"/>
        </w:rPr>
        <w:t>X</w:t>
      </w:r>
    </w:p>
    <w:p w14:paraId="54523BD0" w14:textId="753331A8" w:rsidR="00EC3D29" w:rsidRPr="00B70365" w:rsidRDefault="00EC3D29" w:rsidP="00EC3D29">
      <w:pPr>
        <w:rPr>
          <w:rFonts w:asciiTheme="majorHAnsi" w:hAnsiTheme="majorHAnsi"/>
        </w:rPr>
      </w:pPr>
      <w:r w:rsidRPr="00B70365">
        <w:rPr>
          <w:rFonts w:asciiTheme="majorHAnsi" w:hAnsiTheme="majorHAnsi"/>
        </w:rPr>
        <w:t xml:space="preserve">La présente convention fixe un cadre juridique à l'utilisation du service électronique de traitement, d'archivage et d'échange d'information EDIFLEX mis en œuvre pour la gestion </w:t>
      </w:r>
      <w:r w:rsidRPr="00B70365">
        <w:rPr>
          <w:rFonts w:asciiTheme="majorHAnsi" w:hAnsiTheme="majorHAnsi"/>
          <w:bCs/>
        </w:rPr>
        <w:t>des marchés de travaux pour le</w:t>
      </w:r>
      <w:r w:rsidRPr="00B70365">
        <w:rPr>
          <w:rFonts w:asciiTheme="majorHAnsi" w:hAnsiTheme="majorHAnsi"/>
        </w:rPr>
        <w:t xml:space="preserve"> projet de </w:t>
      </w:r>
      <w:r w:rsidR="0016436D">
        <w:rPr>
          <w:rFonts w:asciiTheme="majorHAnsi" w:hAnsiTheme="majorHAnsi"/>
        </w:rPr>
        <w:t>de la reconstruction de l’Hôpital de BOHARS</w:t>
      </w:r>
      <w:r w:rsidRPr="00856DDD">
        <w:rPr>
          <w:rFonts w:asciiTheme="majorHAnsi" w:hAnsiTheme="majorHAnsi"/>
        </w:rPr>
        <w:t>, en accord avec le Maître d'ouvrage</w:t>
      </w:r>
      <w:r w:rsidRPr="00B70365">
        <w:rPr>
          <w:rFonts w:asciiTheme="majorHAnsi" w:hAnsiTheme="majorHAnsi"/>
        </w:rPr>
        <w:t>.</w:t>
      </w:r>
    </w:p>
    <w:p w14:paraId="71CD6D35" w14:textId="77777777" w:rsidR="00EC3D29" w:rsidRPr="00B70365" w:rsidRDefault="00EC3D29" w:rsidP="00EC3D29">
      <w:pPr>
        <w:rPr>
          <w:rFonts w:asciiTheme="majorHAnsi" w:hAnsiTheme="majorHAnsi"/>
        </w:rPr>
      </w:pPr>
    </w:p>
    <w:p w14:paraId="70E37181" w14:textId="5CC17284" w:rsidR="00EC3D29" w:rsidRPr="00B70365" w:rsidRDefault="00EC3D29" w:rsidP="00EC3D29">
      <w:pPr>
        <w:rPr>
          <w:rFonts w:asciiTheme="majorHAnsi" w:hAnsiTheme="majorHAnsi"/>
        </w:rPr>
      </w:pPr>
      <w:r w:rsidRPr="00B70365">
        <w:rPr>
          <w:rFonts w:asciiTheme="majorHAnsi" w:hAnsiTheme="majorHAnsi"/>
        </w:rPr>
        <w:t xml:space="preserve">Objectifs du service EDIFLEX : </w:t>
      </w:r>
      <w:r w:rsidR="00960811">
        <w:rPr>
          <w:rFonts w:asciiTheme="majorHAnsi" w:hAnsiTheme="majorHAnsi"/>
        </w:rPr>
        <w:t xml:space="preserve"> </w:t>
      </w:r>
    </w:p>
    <w:p w14:paraId="60864764" w14:textId="77777777" w:rsidR="00EC3D29" w:rsidRPr="00B70365" w:rsidRDefault="00EC3D29" w:rsidP="00EC3D29">
      <w:pPr>
        <w:rPr>
          <w:rFonts w:asciiTheme="majorHAnsi" w:hAnsiTheme="majorHAnsi"/>
        </w:rPr>
      </w:pPr>
      <w:r w:rsidRPr="00B70365">
        <w:rPr>
          <w:rFonts w:asciiTheme="majorHAnsi" w:hAnsiTheme="majorHAnsi"/>
        </w:rPr>
        <w:t xml:space="preserve">La mise en place de ce service d'échange électronique d'information entre les acteurs du chantier a pour but : </w:t>
      </w:r>
    </w:p>
    <w:p w14:paraId="1A6DA5F7" w14:textId="77777777" w:rsidR="00EC3D29" w:rsidRPr="00B70365" w:rsidRDefault="00EC3D29" w:rsidP="00EC3D29">
      <w:pPr>
        <w:spacing w:before="0"/>
        <w:rPr>
          <w:rFonts w:asciiTheme="majorHAnsi" w:hAnsiTheme="majorHAnsi"/>
        </w:rPr>
      </w:pPr>
      <w:r w:rsidRPr="00B70365">
        <w:rPr>
          <w:rFonts w:asciiTheme="majorHAnsi" w:hAnsiTheme="majorHAnsi"/>
        </w:rPr>
        <w:t>- De faciliter la mise en œuvre de l’obligation de dématérialisation des factures pour les marchés publics à compter du 1</w:t>
      </w:r>
      <w:r w:rsidRPr="00B70365">
        <w:rPr>
          <w:rFonts w:asciiTheme="majorHAnsi" w:hAnsiTheme="majorHAnsi"/>
          <w:vertAlign w:val="superscript"/>
        </w:rPr>
        <w:t>er</w:t>
      </w:r>
      <w:r w:rsidRPr="00B70365">
        <w:rPr>
          <w:rFonts w:asciiTheme="majorHAnsi" w:hAnsiTheme="majorHAnsi"/>
        </w:rPr>
        <w:t xml:space="preserve"> Janvier 2017 (ordonnance du 06 Juin 2014).</w:t>
      </w:r>
    </w:p>
    <w:p w14:paraId="7B84B803" w14:textId="77777777" w:rsidR="00EC3D29" w:rsidRPr="00B70365" w:rsidRDefault="00EC3D29" w:rsidP="00EC3D29">
      <w:pPr>
        <w:spacing w:before="0"/>
        <w:rPr>
          <w:rFonts w:asciiTheme="majorHAnsi" w:hAnsiTheme="majorHAnsi"/>
        </w:rPr>
      </w:pPr>
      <w:r w:rsidRPr="00B70365">
        <w:rPr>
          <w:rFonts w:asciiTheme="majorHAnsi" w:hAnsiTheme="majorHAnsi"/>
        </w:rPr>
        <w:t xml:space="preserve">- D'éviter les litiges ou retards : </w:t>
      </w:r>
    </w:p>
    <w:p w14:paraId="2D944FA4" w14:textId="77777777" w:rsidR="00EC3D29" w:rsidRPr="00B70365" w:rsidRDefault="00EC3D29" w:rsidP="00EC3D29">
      <w:pPr>
        <w:pStyle w:val="Paragraphedeliste"/>
        <w:numPr>
          <w:ilvl w:val="2"/>
          <w:numId w:val="2"/>
        </w:numPr>
        <w:spacing w:before="0"/>
        <w:rPr>
          <w:rFonts w:asciiTheme="majorHAnsi" w:hAnsiTheme="majorHAnsi"/>
        </w:rPr>
      </w:pPr>
      <w:r w:rsidRPr="00B70365">
        <w:rPr>
          <w:rFonts w:asciiTheme="majorHAnsi" w:hAnsiTheme="majorHAnsi"/>
        </w:rPr>
        <w:t>En sécurisant le calcul des montants financiers (Respect des conditions financières des   marchés et des règles en vigueur dans les marchés publics),</w:t>
      </w:r>
    </w:p>
    <w:p w14:paraId="2DC0067E" w14:textId="77777777" w:rsidR="00EC3D29" w:rsidRPr="00B70365" w:rsidRDefault="00EC3D29" w:rsidP="00EC3D29">
      <w:pPr>
        <w:pStyle w:val="Paragraphedeliste"/>
        <w:numPr>
          <w:ilvl w:val="2"/>
          <w:numId w:val="2"/>
        </w:numPr>
        <w:spacing w:before="0"/>
        <w:rPr>
          <w:rFonts w:asciiTheme="majorHAnsi" w:hAnsiTheme="majorHAnsi"/>
        </w:rPr>
      </w:pPr>
      <w:r w:rsidRPr="00B70365">
        <w:rPr>
          <w:rFonts w:asciiTheme="majorHAnsi" w:hAnsiTheme="majorHAnsi"/>
        </w:rPr>
        <w:t xml:space="preserve">En standardisant la présentation des documents, </w:t>
      </w:r>
    </w:p>
    <w:p w14:paraId="3AC5E74A" w14:textId="77777777" w:rsidR="00EC3D29" w:rsidRPr="00B70365" w:rsidRDefault="00EC3D29" w:rsidP="00EC3D29">
      <w:pPr>
        <w:pStyle w:val="Paragraphedeliste"/>
        <w:numPr>
          <w:ilvl w:val="2"/>
          <w:numId w:val="2"/>
        </w:numPr>
        <w:spacing w:before="0"/>
        <w:rPr>
          <w:rFonts w:asciiTheme="majorHAnsi" w:hAnsiTheme="majorHAnsi"/>
        </w:rPr>
      </w:pPr>
      <w:r w:rsidRPr="00B70365">
        <w:rPr>
          <w:rFonts w:asciiTheme="majorHAnsi" w:hAnsiTheme="majorHAnsi"/>
        </w:rPr>
        <w:t xml:space="preserve">En permettant à chacun de suivre sur écran les documents qui le concernent dans la chaîne des intervenants, </w:t>
      </w:r>
    </w:p>
    <w:p w14:paraId="5546E1B7" w14:textId="77777777" w:rsidR="00EC3D29" w:rsidRPr="00B70365" w:rsidRDefault="00EC3D29" w:rsidP="00EC3D29">
      <w:pPr>
        <w:spacing w:before="0"/>
        <w:rPr>
          <w:rFonts w:asciiTheme="majorHAnsi" w:hAnsiTheme="majorHAnsi"/>
        </w:rPr>
      </w:pPr>
      <w:r w:rsidRPr="00B70365">
        <w:rPr>
          <w:rFonts w:asciiTheme="majorHAnsi" w:hAnsiTheme="majorHAnsi"/>
        </w:rPr>
        <w:t>- De réduire les coûts de gestion administrative des situations de travaux pour tous les acteurs.</w:t>
      </w:r>
    </w:p>
    <w:p w14:paraId="1B4E0F89" w14:textId="77777777" w:rsidR="00EC3D29" w:rsidRPr="00B70365" w:rsidRDefault="00EC3D29" w:rsidP="00EC3D29">
      <w:pPr>
        <w:spacing w:before="0"/>
        <w:rPr>
          <w:rFonts w:asciiTheme="majorHAnsi" w:hAnsiTheme="majorHAnsi"/>
        </w:rPr>
      </w:pPr>
    </w:p>
    <w:p w14:paraId="1CB6BD62" w14:textId="77777777" w:rsidR="00EC3D29" w:rsidRPr="00B70365" w:rsidRDefault="00EC3D29" w:rsidP="00EC3D29">
      <w:pPr>
        <w:pStyle w:val="Titre2"/>
        <w:jc w:val="both"/>
        <w:rPr>
          <w:rFonts w:cstheme="majorHAnsi"/>
        </w:rPr>
      </w:pPr>
      <w:bookmarkStart w:id="14" w:name="_Toc102642639"/>
      <w:r w:rsidRPr="00B70365">
        <w:rPr>
          <w:rFonts w:cstheme="majorHAnsi"/>
        </w:rPr>
        <w:t>PARTIES CONCERNEES</w:t>
      </w:r>
      <w:bookmarkEnd w:id="10"/>
      <w:bookmarkEnd w:id="11"/>
      <w:bookmarkEnd w:id="12"/>
      <w:bookmarkEnd w:id="13"/>
      <w:bookmarkEnd w:id="14"/>
    </w:p>
    <w:p w14:paraId="298C1E70" w14:textId="77777777" w:rsidR="00EC3D29" w:rsidRPr="00B70365" w:rsidRDefault="00EC3D29" w:rsidP="00EC3D29">
      <w:pPr>
        <w:rPr>
          <w:rFonts w:asciiTheme="majorHAnsi" w:hAnsiTheme="majorHAnsi"/>
        </w:rPr>
      </w:pPr>
      <w:r w:rsidRPr="00B70365">
        <w:rPr>
          <w:rFonts w:asciiTheme="majorHAnsi" w:hAnsiTheme="majorHAnsi"/>
        </w:rPr>
        <w:t xml:space="preserve">Les parties ci-dessous désignées conviennent des dispositions arrêtées dans la présente convention : </w:t>
      </w:r>
    </w:p>
    <w:p w14:paraId="7F786D40" w14:textId="45603DD9" w:rsidR="00EC3D29" w:rsidRPr="00B70365" w:rsidRDefault="00EC3D29" w:rsidP="00EC3D29">
      <w:pPr>
        <w:pStyle w:val="Paragraphedeliste"/>
        <w:numPr>
          <w:ilvl w:val="2"/>
          <w:numId w:val="2"/>
        </w:numPr>
        <w:rPr>
          <w:rFonts w:asciiTheme="majorHAnsi" w:hAnsiTheme="majorHAnsi"/>
        </w:rPr>
      </w:pPr>
      <w:r w:rsidRPr="00B70365">
        <w:rPr>
          <w:rFonts w:asciiTheme="majorHAnsi" w:hAnsiTheme="majorHAnsi"/>
        </w:rPr>
        <w:t xml:space="preserve">Le Maître d'ouvrage : Centre Hospitalier Universitaire de </w:t>
      </w:r>
      <w:r w:rsidR="00EF36A2">
        <w:rPr>
          <w:rFonts w:asciiTheme="majorHAnsi" w:hAnsiTheme="majorHAnsi"/>
        </w:rPr>
        <w:t>BREST</w:t>
      </w:r>
      <w:bookmarkStart w:id="15" w:name="_GoBack"/>
      <w:bookmarkEnd w:id="15"/>
    </w:p>
    <w:p w14:paraId="4A0423CA" w14:textId="77777777" w:rsidR="00EC3D29" w:rsidRPr="00B70365" w:rsidRDefault="00EC3D29" w:rsidP="00EC3D29">
      <w:pPr>
        <w:pStyle w:val="Paragraphedeliste"/>
        <w:numPr>
          <w:ilvl w:val="2"/>
          <w:numId w:val="2"/>
        </w:numPr>
        <w:rPr>
          <w:rFonts w:asciiTheme="majorHAnsi" w:hAnsiTheme="majorHAnsi"/>
        </w:rPr>
      </w:pPr>
      <w:r w:rsidRPr="00B70365">
        <w:rPr>
          <w:rFonts w:asciiTheme="majorHAnsi" w:hAnsiTheme="majorHAnsi"/>
        </w:rPr>
        <w:t>L’AMO : A2MO</w:t>
      </w:r>
    </w:p>
    <w:p w14:paraId="1BDDD9D2" w14:textId="77777777" w:rsidR="00EC3D29" w:rsidRPr="004C1696" w:rsidRDefault="00EC3D29" w:rsidP="00EC3D29">
      <w:pPr>
        <w:pStyle w:val="Paragraphedeliste"/>
        <w:numPr>
          <w:ilvl w:val="2"/>
          <w:numId w:val="2"/>
        </w:numPr>
        <w:rPr>
          <w:rFonts w:asciiTheme="majorHAnsi" w:hAnsiTheme="majorHAnsi"/>
        </w:rPr>
      </w:pPr>
      <w:r w:rsidRPr="004C1696">
        <w:rPr>
          <w:rFonts w:asciiTheme="majorHAnsi" w:hAnsiTheme="majorHAnsi"/>
        </w:rPr>
        <w:t>La société SOLEO, qui assure la mise à disposition, l’administration et la facturation du service Ediflex</w:t>
      </w:r>
    </w:p>
    <w:p w14:paraId="28FA142C" w14:textId="72FF5E7D" w:rsidR="00EC3D29" w:rsidRPr="0026712A" w:rsidRDefault="00EC3D29" w:rsidP="00EC3D29">
      <w:pPr>
        <w:pStyle w:val="Paragraphedeliste"/>
        <w:numPr>
          <w:ilvl w:val="2"/>
          <w:numId w:val="2"/>
        </w:numPr>
        <w:rPr>
          <w:rFonts w:asciiTheme="majorHAnsi" w:hAnsiTheme="majorHAnsi"/>
        </w:rPr>
      </w:pPr>
      <w:r w:rsidRPr="0026712A">
        <w:rPr>
          <w:rFonts w:asciiTheme="majorHAnsi" w:hAnsiTheme="majorHAnsi"/>
        </w:rPr>
        <w:t xml:space="preserve">La Mission OPC  </w:t>
      </w:r>
    </w:p>
    <w:p w14:paraId="1CE4AF62" w14:textId="219E2AEB" w:rsidR="00EC3D29" w:rsidRPr="00B70365" w:rsidRDefault="00EC3D29" w:rsidP="00EC3D29">
      <w:pPr>
        <w:pStyle w:val="Paragraphedeliste"/>
        <w:numPr>
          <w:ilvl w:val="2"/>
          <w:numId w:val="2"/>
        </w:numPr>
        <w:rPr>
          <w:rFonts w:asciiTheme="majorHAnsi" w:hAnsiTheme="majorHAnsi"/>
        </w:rPr>
      </w:pPr>
      <w:r w:rsidRPr="00B70365">
        <w:rPr>
          <w:rFonts w:asciiTheme="majorHAnsi" w:hAnsiTheme="majorHAnsi"/>
        </w:rPr>
        <w:t>Le Maître d'œuvre :</w:t>
      </w:r>
      <w:r w:rsidR="00FD51F9">
        <w:rPr>
          <w:rFonts w:asciiTheme="majorHAnsi" w:hAnsiTheme="majorHAnsi"/>
        </w:rPr>
        <w:t xml:space="preserve"> Mandataire</w:t>
      </w:r>
      <w:r w:rsidRPr="00B70365">
        <w:rPr>
          <w:rFonts w:asciiTheme="majorHAnsi" w:hAnsiTheme="majorHAnsi"/>
        </w:rPr>
        <w:t>, ainsi que ses co-traitants (BET, etc…)</w:t>
      </w:r>
    </w:p>
    <w:p w14:paraId="0C28FC73" w14:textId="77777777" w:rsidR="00EC3D29" w:rsidRPr="00B70365" w:rsidRDefault="00EC3D29" w:rsidP="00EC3D29">
      <w:pPr>
        <w:pStyle w:val="Paragraphedeliste"/>
        <w:numPr>
          <w:ilvl w:val="2"/>
          <w:numId w:val="2"/>
        </w:numPr>
        <w:rPr>
          <w:rFonts w:asciiTheme="majorHAnsi" w:hAnsiTheme="majorHAnsi"/>
        </w:rPr>
      </w:pPr>
      <w:r w:rsidRPr="00B70365">
        <w:rPr>
          <w:rFonts w:asciiTheme="majorHAnsi" w:hAnsiTheme="majorHAnsi"/>
        </w:rPr>
        <w:t>Les entreprises titulaires d’un marché avec le Maître d’ouvrage</w:t>
      </w:r>
    </w:p>
    <w:p w14:paraId="1B6983F3" w14:textId="77777777" w:rsidR="00EC3D29" w:rsidRPr="00B70365" w:rsidRDefault="00EC3D29" w:rsidP="00EC3D29">
      <w:pPr>
        <w:rPr>
          <w:rFonts w:asciiTheme="majorHAnsi" w:hAnsiTheme="majorHAnsi"/>
        </w:rPr>
      </w:pPr>
    </w:p>
    <w:p w14:paraId="39F7AF49" w14:textId="77777777" w:rsidR="00EC3D29" w:rsidRPr="00B70365" w:rsidRDefault="00EC3D29" w:rsidP="00EC3D29">
      <w:pPr>
        <w:pStyle w:val="Titre2"/>
        <w:jc w:val="both"/>
        <w:rPr>
          <w:rFonts w:cstheme="majorHAnsi"/>
        </w:rPr>
      </w:pPr>
      <w:bookmarkStart w:id="16" w:name="_Toc424752487"/>
      <w:bookmarkStart w:id="17" w:name="_Toc438205976"/>
      <w:bookmarkStart w:id="18" w:name="_Toc454435085"/>
      <w:bookmarkStart w:id="19" w:name="_Toc23862549"/>
      <w:bookmarkStart w:id="20" w:name="_Toc102642640"/>
      <w:r w:rsidRPr="00B70365">
        <w:rPr>
          <w:rFonts w:cstheme="majorHAnsi"/>
        </w:rPr>
        <w:t>MODALITES :</w:t>
      </w:r>
      <w:bookmarkEnd w:id="16"/>
      <w:bookmarkEnd w:id="17"/>
      <w:bookmarkEnd w:id="18"/>
      <w:bookmarkEnd w:id="19"/>
      <w:bookmarkEnd w:id="20"/>
      <w:r w:rsidRPr="00B70365">
        <w:rPr>
          <w:rFonts w:cstheme="majorHAnsi"/>
        </w:rPr>
        <w:t xml:space="preserve"> </w:t>
      </w:r>
    </w:p>
    <w:p w14:paraId="6E0C4B39" w14:textId="77777777" w:rsidR="00EC3D29" w:rsidRPr="00B70365" w:rsidRDefault="00EC3D29" w:rsidP="00EC3D29">
      <w:pPr>
        <w:rPr>
          <w:rFonts w:asciiTheme="majorHAnsi" w:hAnsiTheme="majorHAnsi"/>
        </w:rPr>
      </w:pPr>
      <w:r w:rsidRPr="00B70365">
        <w:rPr>
          <w:rFonts w:asciiTheme="majorHAnsi" w:hAnsiTheme="majorHAnsi"/>
        </w:rPr>
        <w:t>La présente convention prend effet à la date de démarrage des travaux des entreprises.</w:t>
      </w:r>
    </w:p>
    <w:p w14:paraId="68AEC363" w14:textId="40DA2D49" w:rsidR="00EC3D29" w:rsidRPr="00B70365" w:rsidRDefault="00EC3D29" w:rsidP="00EC3D29">
      <w:pPr>
        <w:rPr>
          <w:rFonts w:asciiTheme="majorHAnsi" w:hAnsiTheme="majorHAnsi"/>
        </w:rPr>
      </w:pPr>
      <w:r w:rsidRPr="00B70365">
        <w:rPr>
          <w:rFonts w:asciiTheme="majorHAnsi" w:hAnsiTheme="majorHAnsi"/>
        </w:rPr>
        <w:t xml:space="preserve">Cette annexe prévaut aux articles du CCAG énoncés à la fin </w:t>
      </w:r>
      <w:r w:rsidR="00FD51F9">
        <w:rPr>
          <w:rFonts w:asciiTheme="majorHAnsi" w:hAnsiTheme="majorHAnsi"/>
        </w:rPr>
        <w:t>du CCAP</w:t>
      </w:r>
      <w:r w:rsidRPr="00B70365">
        <w:rPr>
          <w:rFonts w:asciiTheme="majorHAnsi" w:hAnsiTheme="majorHAnsi"/>
        </w:rPr>
        <w:t>, liste non limitative.</w:t>
      </w:r>
    </w:p>
    <w:p w14:paraId="138AAC92" w14:textId="77777777" w:rsidR="00EC3D29" w:rsidRPr="00B70365" w:rsidRDefault="00EC3D29" w:rsidP="00EC3D29">
      <w:pPr>
        <w:rPr>
          <w:rFonts w:asciiTheme="majorHAnsi" w:hAnsiTheme="majorHAnsi"/>
        </w:rPr>
      </w:pPr>
    </w:p>
    <w:p w14:paraId="4A0B1D54" w14:textId="77777777" w:rsidR="00EC3D29" w:rsidRPr="00B70365" w:rsidRDefault="00EC3D29" w:rsidP="00EC3D29">
      <w:pPr>
        <w:pStyle w:val="Titre2"/>
        <w:jc w:val="both"/>
        <w:rPr>
          <w:rFonts w:cstheme="majorHAnsi"/>
        </w:rPr>
      </w:pPr>
      <w:bookmarkStart w:id="21" w:name="_Toc424752488"/>
      <w:bookmarkStart w:id="22" w:name="_Toc438205977"/>
      <w:bookmarkStart w:id="23" w:name="_Toc454435086"/>
      <w:bookmarkStart w:id="24" w:name="_Toc23862550"/>
      <w:bookmarkStart w:id="25" w:name="_Toc102642641"/>
      <w:r w:rsidRPr="00B70365">
        <w:rPr>
          <w:rFonts w:cstheme="majorHAnsi"/>
        </w:rPr>
        <w:t>OBJET DU SERVICE :</w:t>
      </w:r>
      <w:bookmarkEnd w:id="21"/>
      <w:bookmarkEnd w:id="22"/>
      <w:bookmarkEnd w:id="23"/>
      <w:bookmarkEnd w:id="24"/>
      <w:bookmarkEnd w:id="25"/>
      <w:r w:rsidRPr="00B70365">
        <w:rPr>
          <w:rFonts w:cstheme="majorHAnsi"/>
        </w:rPr>
        <w:t xml:space="preserve"> </w:t>
      </w:r>
    </w:p>
    <w:p w14:paraId="2770F383" w14:textId="77777777" w:rsidR="00EC3D29" w:rsidRPr="00B70365" w:rsidRDefault="00EC3D29" w:rsidP="00EC3D29">
      <w:pPr>
        <w:rPr>
          <w:rFonts w:asciiTheme="majorHAnsi" w:hAnsiTheme="majorHAnsi"/>
        </w:rPr>
      </w:pPr>
      <w:r w:rsidRPr="00B70365">
        <w:rPr>
          <w:rFonts w:asciiTheme="majorHAnsi" w:hAnsiTheme="majorHAnsi"/>
        </w:rPr>
        <w:t xml:space="preserve">Sur leur terminal raccordé au service, les représentants des parties concernées, ci-après dénommés les abonnés, gèrent les informations suivantes : </w:t>
      </w:r>
    </w:p>
    <w:p w14:paraId="333AB3D2" w14:textId="77777777" w:rsidR="00EC3D29" w:rsidRPr="00B70365" w:rsidRDefault="00EC3D29" w:rsidP="00EC3D29">
      <w:pPr>
        <w:rPr>
          <w:rFonts w:asciiTheme="majorHAnsi" w:hAnsiTheme="majorHAnsi"/>
        </w:rPr>
      </w:pPr>
    </w:p>
    <w:p w14:paraId="6E1140D9" w14:textId="77777777" w:rsidR="00EC3D29" w:rsidRPr="00B70365" w:rsidRDefault="00EC3D29" w:rsidP="00EC3D29">
      <w:pPr>
        <w:pStyle w:val="Titre3"/>
        <w:jc w:val="both"/>
        <w:rPr>
          <w:rFonts w:cstheme="majorHAnsi"/>
        </w:rPr>
      </w:pPr>
      <w:bookmarkStart w:id="26" w:name="_Toc454435087"/>
      <w:bookmarkStart w:id="27" w:name="_Toc23862551"/>
      <w:bookmarkStart w:id="28" w:name="_Toc102642642"/>
      <w:r w:rsidRPr="00B70365">
        <w:rPr>
          <w:rFonts w:cstheme="majorHAnsi"/>
        </w:rPr>
        <w:t>Le Maître d'Ouvrage et/ou l’AMO</w:t>
      </w:r>
      <w:bookmarkEnd w:id="26"/>
      <w:bookmarkEnd w:id="27"/>
      <w:bookmarkEnd w:id="28"/>
    </w:p>
    <w:p w14:paraId="26F1C290" w14:textId="77777777" w:rsidR="00EC3D29" w:rsidRPr="00B70365" w:rsidRDefault="00EC3D29" w:rsidP="00EC3D29">
      <w:pPr>
        <w:rPr>
          <w:rFonts w:asciiTheme="majorHAnsi" w:hAnsiTheme="majorHAnsi"/>
        </w:rPr>
      </w:pPr>
      <w:r w:rsidRPr="00B70365">
        <w:rPr>
          <w:rFonts w:asciiTheme="majorHAnsi" w:hAnsiTheme="majorHAnsi"/>
        </w:rPr>
        <w:t xml:space="preserve">Il valide les DPGF des entreprises (Décompositions du Prix Global et Forfaitaire des marchés) ou les bordereaux de </w:t>
      </w:r>
      <w:r w:rsidRPr="00B70365">
        <w:rPr>
          <w:rFonts w:asciiTheme="majorHAnsi" w:hAnsiTheme="majorHAnsi"/>
        </w:rPr>
        <w:lastRenderedPageBreak/>
        <w:t>prix (marchés à prix unitaires) vérifiés par le Maître d'œuvre.</w:t>
      </w:r>
    </w:p>
    <w:p w14:paraId="23C1E05C" w14:textId="77777777" w:rsidR="00EC3D29" w:rsidRPr="00B70365" w:rsidRDefault="00EC3D29" w:rsidP="00EC3D29">
      <w:pPr>
        <w:rPr>
          <w:rFonts w:asciiTheme="majorHAnsi" w:hAnsiTheme="majorHAnsi"/>
        </w:rPr>
      </w:pPr>
      <w:r w:rsidRPr="00B70365">
        <w:rPr>
          <w:rFonts w:asciiTheme="majorHAnsi" w:hAnsiTheme="majorHAnsi"/>
        </w:rPr>
        <w:t>Administrateur du chantier, il enregistre la fiche d'identité des intervenants et les valeurs des index de révision utilisés dans les marchés.</w:t>
      </w:r>
    </w:p>
    <w:p w14:paraId="5FC8FF4A" w14:textId="77777777" w:rsidR="00EC3D29" w:rsidRPr="00B70365" w:rsidRDefault="00EC3D29" w:rsidP="00EC3D29">
      <w:pPr>
        <w:rPr>
          <w:rFonts w:asciiTheme="majorHAnsi" w:hAnsiTheme="majorHAnsi"/>
        </w:rPr>
      </w:pPr>
      <w:r w:rsidRPr="00B70365">
        <w:rPr>
          <w:rFonts w:asciiTheme="majorHAnsi" w:hAnsiTheme="majorHAnsi"/>
        </w:rPr>
        <w:t>Responsable des marchés, il abonne les intervenants concernés puis enregistre les conditions financières des marchés des entreprises (marché initial, éventuels travaux modificatifs et sous-traitants en paiement direct).</w:t>
      </w:r>
    </w:p>
    <w:p w14:paraId="3CF699DE" w14:textId="77777777" w:rsidR="00EC3D29" w:rsidRPr="00B70365" w:rsidRDefault="00EC3D29" w:rsidP="00EC3D29">
      <w:pPr>
        <w:rPr>
          <w:rFonts w:asciiTheme="majorHAnsi" w:hAnsiTheme="majorHAnsi"/>
        </w:rPr>
      </w:pPr>
      <w:r w:rsidRPr="00B70365">
        <w:rPr>
          <w:rFonts w:asciiTheme="majorHAnsi" w:hAnsiTheme="majorHAnsi"/>
        </w:rPr>
        <w:t>Il vérifie les situations de travaux des entreprises après contrôle du Maître d’œuvre.</w:t>
      </w:r>
    </w:p>
    <w:p w14:paraId="5B79A746" w14:textId="77777777" w:rsidR="00EC3D29" w:rsidRPr="00B70365" w:rsidRDefault="00EC3D29" w:rsidP="00EC3D29">
      <w:pPr>
        <w:rPr>
          <w:rFonts w:asciiTheme="majorHAnsi" w:hAnsiTheme="majorHAnsi"/>
        </w:rPr>
      </w:pPr>
      <w:r w:rsidRPr="00B70365">
        <w:rPr>
          <w:rFonts w:asciiTheme="majorHAnsi" w:hAnsiTheme="majorHAnsi"/>
        </w:rPr>
        <w:t xml:space="preserve">La société </w:t>
      </w:r>
      <w:r>
        <w:rPr>
          <w:rFonts w:asciiTheme="majorHAnsi" w:hAnsiTheme="majorHAnsi"/>
        </w:rPr>
        <w:t>SOLEO</w:t>
      </w:r>
      <w:r w:rsidRPr="00B70365">
        <w:rPr>
          <w:rFonts w:asciiTheme="majorHAnsi" w:hAnsiTheme="majorHAnsi"/>
        </w:rPr>
        <w:t>, filiale d’A2MO Groupe, met à disposition et administre le service Ediflex, dans le cadre du partenariat exclusif établi entre A2MO Groupe et Epicture, éditeur du service.</w:t>
      </w:r>
    </w:p>
    <w:p w14:paraId="65130929" w14:textId="77777777" w:rsidR="00EC3D29" w:rsidRPr="00B70365" w:rsidRDefault="00EC3D29" w:rsidP="00EC3D29">
      <w:pPr>
        <w:rPr>
          <w:rFonts w:asciiTheme="majorHAnsi" w:hAnsiTheme="majorHAnsi"/>
        </w:rPr>
      </w:pPr>
    </w:p>
    <w:p w14:paraId="265356D8" w14:textId="77777777" w:rsidR="00EC3D29" w:rsidRPr="00B70365" w:rsidRDefault="00EC3D29" w:rsidP="00EC3D29">
      <w:pPr>
        <w:pStyle w:val="Titre3"/>
        <w:jc w:val="both"/>
        <w:rPr>
          <w:rFonts w:cstheme="majorHAnsi"/>
        </w:rPr>
      </w:pPr>
      <w:bookmarkStart w:id="29" w:name="_Toc454435088"/>
      <w:bookmarkStart w:id="30" w:name="_Toc23862552"/>
      <w:bookmarkStart w:id="31" w:name="_Toc102642643"/>
      <w:r w:rsidRPr="00B70365">
        <w:rPr>
          <w:rFonts w:cstheme="majorHAnsi"/>
        </w:rPr>
        <w:t>Le Maître d'œuvre :</w:t>
      </w:r>
      <w:bookmarkEnd w:id="29"/>
      <w:bookmarkEnd w:id="30"/>
      <w:bookmarkEnd w:id="31"/>
    </w:p>
    <w:p w14:paraId="663753FD" w14:textId="77777777" w:rsidR="00EC3D29" w:rsidRPr="00B70365" w:rsidRDefault="00EC3D29" w:rsidP="00EC3D29">
      <w:pPr>
        <w:rPr>
          <w:rFonts w:asciiTheme="majorHAnsi" w:hAnsiTheme="majorHAnsi"/>
          <w:b/>
        </w:rPr>
      </w:pPr>
      <w:r w:rsidRPr="00B70365">
        <w:rPr>
          <w:rFonts w:asciiTheme="majorHAnsi" w:hAnsiTheme="majorHAnsi"/>
        </w:rPr>
        <w:t xml:space="preserve">Il vise pour accord les DPGF, les bordereaux de prix et, chaque mois, les situations de travaux des entreprises, pour les lots dont il a la charge. </w:t>
      </w:r>
    </w:p>
    <w:p w14:paraId="739E0199" w14:textId="77777777" w:rsidR="00EC3D29" w:rsidRPr="00B70365" w:rsidRDefault="00EC3D29" w:rsidP="00EC3D29">
      <w:pPr>
        <w:rPr>
          <w:rFonts w:asciiTheme="majorHAnsi" w:hAnsiTheme="majorHAnsi"/>
        </w:rPr>
      </w:pPr>
    </w:p>
    <w:p w14:paraId="0FB051FB" w14:textId="77777777" w:rsidR="00EC3D29" w:rsidRPr="00B70365" w:rsidRDefault="00EC3D29" w:rsidP="00EC3D29">
      <w:pPr>
        <w:pStyle w:val="Titre3"/>
        <w:jc w:val="both"/>
        <w:rPr>
          <w:rFonts w:cstheme="majorHAnsi"/>
        </w:rPr>
      </w:pPr>
      <w:bookmarkStart w:id="32" w:name="_Toc189882478"/>
      <w:bookmarkStart w:id="33" w:name="_Toc454435089"/>
      <w:bookmarkStart w:id="34" w:name="_Toc23862553"/>
      <w:bookmarkStart w:id="35" w:name="_Toc102642644"/>
      <w:r w:rsidRPr="00B70365">
        <w:rPr>
          <w:rFonts w:cstheme="majorHAnsi"/>
        </w:rPr>
        <w:t>Le Bureau d’études :</w:t>
      </w:r>
      <w:bookmarkEnd w:id="32"/>
      <w:bookmarkEnd w:id="33"/>
      <w:bookmarkEnd w:id="34"/>
      <w:bookmarkEnd w:id="35"/>
      <w:r w:rsidRPr="00B70365">
        <w:rPr>
          <w:rFonts w:cstheme="majorHAnsi"/>
        </w:rPr>
        <w:t xml:space="preserve"> </w:t>
      </w:r>
    </w:p>
    <w:p w14:paraId="7A45C659" w14:textId="77777777" w:rsidR="00EC3D29" w:rsidRPr="00B70365" w:rsidRDefault="00EC3D29" w:rsidP="00EC3D29">
      <w:pPr>
        <w:rPr>
          <w:rFonts w:asciiTheme="majorHAnsi" w:hAnsiTheme="majorHAnsi"/>
        </w:rPr>
      </w:pPr>
      <w:r w:rsidRPr="00B70365">
        <w:rPr>
          <w:rFonts w:asciiTheme="majorHAnsi" w:hAnsiTheme="majorHAnsi"/>
        </w:rPr>
        <w:t>Après contrôle du Pilote, il vérifie en début d’opération les DPGF et les bordereaux de prix puis, chaque mois, les situations de travaux des entreprises, pour les lots dont il a la charge.</w:t>
      </w:r>
    </w:p>
    <w:p w14:paraId="61D73F10" w14:textId="77777777" w:rsidR="00EC3D29" w:rsidRPr="00B70365" w:rsidRDefault="00EC3D29" w:rsidP="00EC3D29">
      <w:pPr>
        <w:rPr>
          <w:rFonts w:asciiTheme="majorHAnsi" w:hAnsiTheme="majorHAnsi"/>
        </w:rPr>
      </w:pPr>
    </w:p>
    <w:p w14:paraId="199B3709" w14:textId="77777777" w:rsidR="00EC3D29" w:rsidRPr="00B70365" w:rsidRDefault="00EC3D29" w:rsidP="00EC3D29">
      <w:pPr>
        <w:pStyle w:val="Titre3"/>
        <w:jc w:val="both"/>
        <w:rPr>
          <w:rFonts w:cstheme="majorHAnsi"/>
        </w:rPr>
      </w:pPr>
      <w:bookmarkStart w:id="36" w:name="_Toc189882479"/>
      <w:bookmarkStart w:id="37" w:name="_Toc454435090"/>
      <w:bookmarkStart w:id="38" w:name="_Toc23862554"/>
      <w:bookmarkStart w:id="39" w:name="_Toc102642645"/>
      <w:r w:rsidRPr="00B70365">
        <w:rPr>
          <w:rFonts w:cstheme="majorHAnsi"/>
        </w:rPr>
        <w:t xml:space="preserve">Le Pilote, chargé de </w:t>
      </w:r>
      <w:smartTag w:uri="urn:schemas-microsoft-com:office:smarttags" w:element="PersonName">
        <w:smartTagPr>
          <w:attr w:name="ProductID" w:val="la mission OPC"/>
        </w:smartTagPr>
        <w:r w:rsidRPr="00B70365">
          <w:rPr>
            <w:rFonts w:cstheme="majorHAnsi"/>
          </w:rPr>
          <w:t>la mission OPC</w:t>
        </w:r>
      </w:smartTag>
      <w:r w:rsidRPr="00B70365">
        <w:rPr>
          <w:rFonts w:cstheme="majorHAnsi"/>
        </w:rPr>
        <w:t xml:space="preserve"> :</w:t>
      </w:r>
      <w:bookmarkEnd w:id="36"/>
      <w:bookmarkEnd w:id="37"/>
      <w:bookmarkEnd w:id="38"/>
      <w:bookmarkEnd w:id="39"/>
    </w:p>
    <w:p w14:paraId="729B0F29" w14:textId="77777777" w:rsidR="00EC3D29" w:rsidRPr="00B70365" w:rsidRDefault="00EC3D29" w:rsidP="00EC3D29">
      <w:pPr>
        <w:rPr>
          <w:rFonts w:asciiTheme="majorHAnsi" w:hAnsiTheme="majorHAnsi"/>
        </w:rPr>
      </w:pPr>
      <w:r w:rsidRPr="00B70365">
        <w:rPr>
          <w:rFonts w:asciiTheme="majorHAnsi" w:hAnsiTheme="majorHAnsi"/>
        </w:rPr>
        <w:t>En début d’opération, il participe à l’élaboration des DPGF avec les entreprises puis, chaque mois, il vérifie les situations de travaux des entreprises.</w:t>
      </w:r>
    </w:p>
    <w:p w14:paraId="41A18F41" w14:textId="77777777" w:rsidR="00EC3D29" w:rsidRPr="00B70365" w:rsidRDefault="00EC3D29" w:rsidP="00EC3D29">
      <w:pPr>
        <w:rPr>
          <w:rFonts w:asciiTheme="majorHAnsi" w:hAnsiTheme="majorHAnsi"/>
        </w:rPr>
      </w:pPr>
    </w:p>
    <w:p w14:paraId="6E019816" w14:textId="77777777" w:rsidR="00EC3D29" w:rsidRPr="00B70365" w:rsidRDefault="00EC3D29" w:rsidP="00EC3D29">
      <w:pPr>
        <w:pStyle w:val="Titre3"/>
        <w:jc w:val="both"/>
        <w:rPr>
          <w:rFonts w:cstheme="majorHAnsi"/>
        </w:rPr>
      </w:pPr>
      <w:bookmarkStart w:id="40" w:name="_Toc454435091"/>
      <w:bookmarkStart w:id="41" w:name="_Toc23862555"/>
      <w:bookmarkStart w:id="42" w:name="_Toc102642646"/>
      <w:r w:rsidRPr="00B70365">
        <w:rPr>
          <w:rFonts w:cstheme="majorHAnsi"/>
        </w:rPr>
        <w:t>Les Entreprises :</w:t>
      </w:r>
      <w:bookmarkEnd w:id="40"/>
      <w:bookmarkEnd w:id="41"/>
      <w:bookmarkEnd w:id="42"/>
    </w:p>
    <w:p w14:paraId="4E347E46" w14:textId="77777777" w:rsidR="00EC3D29" w:rsidRPr="00B70365" w:rsidRDefault="00EC3D29" w:rsidP="00EC3D29">
      <w:pPr>
        <w:rPr>
          <w:rFonts w:asciiTheme="majorHAnsi" w:hAnsiTheme="majorHAnsi"/>
        </w:rPr>
      </w:pPr>
      <w:r w:rsidRPr="00B70365">
        <w:rPr>
          <w:rFonts w:asciiTheme="majorHAnsi" w:hAnsiTheme="majorHAnsi"/>
        </w:rPr>
        <w:t xml:space="preserve">Elles consultent les conditions financières de leur marché puis enregistre sur écran les DPGF (Décomposition du Prix Global et Forfaitaire) ou les bordereaux de prix correspondant à leur corps d’état en accord avec le Maître d’œuvre, ceci pour son marché initial et les éventuels travaux modificatifs, </w:t>
      </w:r>
    </w:p>
    <w:p w14:paraId="4EDD2E0D" w14:textId="77777777" w:rsidR="00EC3D29" w:rsidRPr="00B70365" w:rsidRDefault="00EC3D29" w:rsidP="00EC3D29">
      <w:pPr>
        <w:rPr>
          <w:rFonts w:asciiTheme="majorHAnsi" w:hAnsiTheme="majorHAnsi"/>
        </w:rPr>
      </w:pPr>
      <w:r w:rsidRPr="00B70365">
        <w:rPr>
          <w:rFonts w:asciiTheme="majorHAnsi" w:hAnsiTheme="majorHAnsi"/>
        </w:rPr>
        <w:t xml:space="preserve">Elles présentent leurs situations par saisie de ses avancements de travaux et des montants à payer à leurs sous-traitants, </w:t>
      </w:r>
    </w:p>
    <w:p w14:paraId="163C94C6" w14:textId="77777777" w:rsidR="00EC3D29" w:rsidRPr="00B70365" w:rsidRDefault="00EC3D29" w:rsidP="00EC3D29">
      <w:pPr>
        <w:rPr>
          <w:rFonts w:asciiTheme="majorHAnsi" w:hAnsiTheme="majorHAnsi"/>
        </w:rPr>
      </w:pPr>
      <w:r w:rsidRPr="00B70365">
        <w:rPr>
          <w:rFonts w:asciiTheme="majorHAnsi" w:hAnsiTheme="majorHAnsi"/>
        </w:rPr>
        <w:t>Si nécessaire elles signent les documents papier « Attestation de Paiement Directs » concernant les sous-traitants</w:t>
      </w:r>
    </w:p>
    <w:p w14:paraId="2D24208F" w14:textId="77777777" w:rsidR="00EC3D29" w:rsidRPr="00B70365" w:rsidRDefault="00EC3D29" w:rsidP="00EC3D29">
      <w:pPr>
        <w:rPr>
          <w:rFonts w:asciiTheme="majorHAnsi" w:hAnsiTheme="majorHAnsi"/>
        </w:rPr>
      </w:pPr>
      <w:r w:rsidRPr="00B70365">
        <w:rPr>
          <w:rFonts w:asciiTheme="majorHAnsi" w:hAnsiTheme="majorHAnsi"/>
        </w:rPr>
        <w:t>Dans le cas d’un groupement conjoint (non solidaire), chaque cotraitant dispose d’un accès au service.</w:t>
      </w:r>
    </w:p>
    <w:p w14:paraId="5E01E35E" w14:textId="77777777" w:rsidR="00EC3D29" w:rsidRPr="00B70365" w:rsidRDefault="00EC3D29" w:rsidP="00EC3D29">
      <w:pPr>
        <w:rPr>
          <w:rFonts w:asciiTheme="majorHAnsi" w:hAnsiTheme="majorHAnsi"/>
        </w:rPr>
      </w:pPr>
      <w:r w:rsidRPr="00B70365">
        <w:rPr>
          <w:rFonts w:asciiTheme="majorHAnsi" w:hAnsiTheme="majorHAnsi"/>
        </w:rPr>
        <w:t xml:space="preserve">L’entreprise mandataire du groupement conjoint vérifie les situations présentées par ses cotraitants. </w:t>
      </w:r>
    </w:p>
    <w:p w14:paraId="097C69B0" w14:textId="77777777" w:rsidR="00EC3D29" w:rsidRPr="00B70365" w:rsidRDefault="00EC3D29" w:rsidP="00EC3D29">
      <w:pPr>
        <w:rPr>
          <w:rFonts w:asciiTheme="majorHAnsi" w:hAnsiTheme="majorHAnsi"/>
        </w:rPr>
      </w:pPr>
    </w:p>
    <w:p w14:paraId="04EF44EE" w14:textId="77777777" w:rsidR="00EC3D29" w:rsidRPr="00B70365" w:rsidRDefault="00EC3D29" w:rsidP="00EC3D29">
      <w:pPr>
        <w:pStyle w:val="Titre2"/>
        <w:jc w:val="both"/>
        <w:rPr>
          <w:rFonts w:cstheme="majorHAnsi"/>
        </w:rPr>
      </w:pPr>
      <w:bookmarkStart w:id="43" w:name="_Toc424752489"/>
      <w:bookmarkStart w:id="44" w:name="_Toc438205978"/>
      <w:bookmarkStart w:id="45" w:name="_Toc454435092"/>
      <w:bookmarkStart w:id="46" w:name="_Toc23862556"/>
      <w:bookmarkStart w:id="47" w:name="_Toc102642647"/>
      <w:r w:rsidRPr="00B70365">
        <w:rPr>
          <w:rFonts w:cstheme="majorHAnsi"/>
        </w:rPr>
        <w:t>DATES DE SAISIE DES DONNEES :</w:t>
      </w:r>
      <w:bookmarkEnd w:id="43"/>
      <w:bookmarkEnd w:id="44"/>
      <w:bookmarkEnd w:id="45"/>
      <w:bookmarkEnd w:id="46"/>
      <w:bookmarkEnd w:id="47"/>
      <w:r w:rsidRPr="00B70365">
        <w:rPr>
          <w:rFonts w:cstheme="majorHAnsi"/>
        </w:rPr>
        <w:t xml:space="preserve"> </w:t>
      </w:r>
    </w:p>
    <w:p w14:paraId="6A341694" w14:textId="77777777" w:rsidR="00EC3D29" w:rsidRPr="00B70365" w:rsidRDefault="00EC3D29" w:rsidP="00EC3D29">
      <w:pPr>
        <w:rPr>
          <w:rFonts w:asciiTheme="majorHAnsi" w:hAnsiTheme="majorHAnsi"/>
        </w:rPr>
      </w:pPr>
      <w:r w:rsidRPr="00B70365">
        <w:rPr>
          <w:rFonts w:asciiTheme="majorHAnsi" w:hAnsiTheme="majorHAnsi"/>
        </w:rPr>
        <w:t xml:space="preserve">Saisie des marchés de l’entreprise par l’Assistant Maître d’Ouvrage dans les 10 jours suivant la notification des marchés ; </w:t>
      </w:r>
    </w:p>
    <w:p w14:paraId="6B532DD7" w14:textId="77777777" w:rsidR="00EC3D29" w:rsidRDefault="00EC3D29" w:rsidP="00EC3D29">
      <w:pPr>
        <w:rPr>
          <w:rFonts w:asciiTheme="majorHAnsi" w:hAnsiTheme="majorHAnsi"/>
        </w:rPr>
      </w:pPr>
      <w:r w:rsidRPr="00B70365">
        <w:rPr>
          <w:rFonts w:asciiTheme="majorHAnsi" w:hAnsiTheme="majorHAnsi"/>
        </w:rPr>
        <w:t>Mise au point des DPGF de</w:t>
      </w:r>
      <w:r>
        <w:rPr>
          <w:rFonts w:asciiTheme="majorHAnsi" w:hAnsiTheme="majorHAnsi"/>
        </w:rPr>
        <w:t xml:space="preserve">s </w:t>
      </w:r>
      <w:r w:rsidRPr="00B70365">
        <w:rPr>
          <w:rFonts w:asciiTheme="majorHAnsi" w:hAnsiTheme="majorHAnsi"/>
        </w:rPr>
        <w:t>entreprise</w:t>
      </w:r>
      <w:r>
        <w:rPr>
          <w:rFonts w:asciiTheme="majorHAnsi" w:hAnsiTheme="majorHAnsi"/>
        </w:rPr>
        <w:t>s</w:t>
      </w:r>
      <w:r w:rsidRPr="00B70365">
        <w:rPr>
          <w:rFonts w:asciiTheme="majorHAnsi" w:hAnsiTheme="majorHAnsi"/>
        </w:rPr>
        <w:t xml:space="preserve"> en liaison avec le Maître d’œuvre éventuel, puis saisie des DPGF ou des bordereaux de prix dans les 25 jours suivant la notification du marché ;</w:t>
      </w:r>
    </w:p>
    <w:p w14:paraId="71127788" w14:textId="77777777" w:rsidR="00EC3D29" w:rsidRDefault="00EC3D29" w:rsidP="00EC3D29">
      <w:pPr>
        <w:suppressAutoHyphens w:val="0"/>
        <w:kinsoku/>
        <w:autoSpaceDE w:val="0"/>
        <w:adjustRightInd w:val="0"/>
        <w:spacing w:before="0"/>
        <w:rPr>
          <w:rFonts w:asciiTheme="majorHAnsi" w:eastAsiaTheme="minorEastAsia" w:hAnsiTheme="majorHAnsi"/>
          <w:color w:val="000000"/>
          <w:lang w:eastAsia="en-US" w:bidi="ar-SA"/>
        </w:rPr>
      </w:pPr>
      <w:r w:rsidRPr="00FA66A3">
        <w:rPr>
          <w:rFonts w:asciiTheme="majorHAnsi" w:eastAsiaTheme="minorEastAsia" w:hAnsiTheme="majorHAnsi"/>
          <w:color w:val="000000"/>
          <w:lang w:eastAsia="en-US" w:bidi="ar-SA"/>
        </w:rPr>
        <w:t xml:space="preserve">Pour faciliter l'avancement des situations de travaux, </w:t>
      </w:r>
      <w:r>
        <w:rPr>
          <w:rFonts w:asciiTheme="majorHAnsi" w:eastAsiaTheme="minorEastAsia" w:hAnsiTheme="majorHAnsi"/>
          <w:color w:val="000000"/>
          <w:lang w:eastAsia="en-US" w:bidi="ar-SA"/>
        </w:rPr>
        <w:t>l</w:t>
      </w:r>
      <w:r w:rsidRPr="00FA66A3">
        <w:rPr>
          <w:rFonts w:asciiTheme="majorHAnsi" w:eastAsiaTheme="minorEastAsia" w:hAnsiTheme="majorHAnsi"/>
          <w:color w:val="000000"/>
          <w:lang w:eastAsia="en-US" w:bidi="ar-SA"/>
        </w:rPr>
        <w:t>es DPGF Marché</w:t>
      </w:r>
      <w:r>
        <w:rPr>
          <w:rFonts w:asciiTheme="majorHAnsi" w:eastAsiaTheme="minorEastAsia" w:hAnsiTheme="majorHAnsi"/>
          <w:color w:val="000000"/>
          <w:lang w:eastAsia="en-US" w:bidi="ar-SA"/>
        </w:rPr>
        <w:t>s</w:t>
      </w:r>
      <w:r w:rsidRPr="00FA66A3">
        <w:rPr>
          <w:rFonts w:asciiTheme="majorHAnsi" w:eastAsiaTheme="minorEastAsia" w:hAnsiTheme="majorHAnsi"/>
          <w:color w:val="000000"/>
          <w:lang w:eastAsia="en-US" w:bidi="ar-SA"/>
        </w:rPr>
        <w:t xml:space="preserve"> devront être remise sous forme de tâches valorisées. Chaque ligne devra correspondre à une tâche identifiable et localisable.</w:t>
      </w:r>
    </w:p>
    <w:p w14:paraId="6C8081EF" w14:textId="77777777" w:rsidR="00EC3D29" w:rsidRPr="00FA66A3" w:rsidRDefault="00EC3D29" w:rsidP="00EC3D29">
      <w:pPr>
        <w:suppressAutoHyphens w:val="0"/>
        <w:kinsoku/>
        <w:autoSpaceDE w:val="0"/>
        <w:adjustRightInd w:val="0"/>
        <w:spacing w:before="0"/>
        <w:rPr>
          <w:rFonts w:asciiTheme="majorHAnsi" w:eastAsiaTheme="minorEastAsia" w:hAnsiTheme="majorHAnsi"/>
          <w:lang w:eastAsia="en-US" w:bidi="ar-SA"/>
        </w:rPr>
      </w:pPr>
      <w:r w:rsidRPr="00FA66A3">
        <w:rPr>
          <w:rFonts w:asciiTheme="majorHAnsi" w:eastAsiaTheme="minorEastAsia" w:hAnsiTheme="majorHAnsi"/>
          <w:color w:val="000000"/>
          <w:lang w:eastAsia="en-US" w:bidi="ar-SA"/>
        </w:rPr>
        <w:t>Les DPGF seront remises en forme par les entreprises s</w:t>
      </w:r>
      <w:r>
        <w:rPr>
          <w:rFonts w:asciiTheme="majorHAnsi" w:eastAsiaTheme="minorEastAsia" w:hAnsiTheme="majorHAnsi"/>
          <w:color w:val="000000"/>
          <w:lang w:eastAsia="en-US" w:bidi="ar-SA"/>
        </w:rPr>
        <w:t xml:space="preserve">uivant </w:t>
      </w:r>
      <w:r w:rsidRPr="00FA66A3">
        <w:rPr>
          <w:rFonts w:asciiTheme="majorHAnsi" w:eastAsiaTheme="minorEastAsia" w:hAnsiTheme="majorHAnsi"/>
          <w:color w:val="000000"/>
          <w:lang w:eastAsia="en-US" w:bidi="ar-SA"/>
        </w:rPr>
        <w:t>les instructions de la MOE</w:t>
      </w:r>
      <w:r>
        <w:rPr>
          <w:rFonts w:asciiTheme="majorHAnsi" w:eastAsiaTheme="minorEastAsia" w:hAnsiTheme="majorHAnsi"/>
          <w:color w:val="000000"/>
          <w:lang w:eastAsia="en-US" w:bidi="ar-SA"/>
        </w:rPr>
        <w:t xml:space="preserve"> e</w:t>
      </w:r>
      <w:r w:rsidRPr="00FA66A3">
        <w:rPr>
          <w:rFonts w:asciiTheme="majorHAnsi" w:eastAsiaTheme="minorEastAsia" w:hAnsiTheme="majorHAnsi"/>
          <w:color w:val="000000"/>
          <w:lang w:eastAsia="en-US" w:bidi="ar-SA"/>
        </w:rPr>
        <w:t>t de l'OPC.</w:t>
      </w:r>
      <w:r>
        <w:rPr>
          <w:rFonts w:asciiTheme="majorHAnsi" w:eastAsiaTheme="minorEastAsia" w:hAnsiTheme="majorHAnsi"/>
          <w:color w:val="000000"/>
          <w:lang w:eastAsia="en-US" w:bidi="ar-SA"/>
        </w:rPr>
        <w:t xml:space="preserve"> </w:t>
      </w:r>
      <w:r w:rsidRPr="00FA66A3">
        <w:rPr>
          <w:rFonts w:asciiTheme="majorHAnsi" w:eastAsiaTheme="minorEastAsia" w:hAnsiTheme="majorHAnsi"/>
          <w:color w:val="000000"/>
          <w:lang w:eastAsia="en-US" w:bidi="ar-SA"/>
        </w:rPr>
        <w:t>Avant toute saisi sous Ediflex, elle</w:t>
      </w:r>
      <w:r>
        <w:rPr>
          <w:rFonts w:asciiTheme="majorHAnsi" w:eastAsiaTheme="minorEastAsia" w:hAnsiTheme="majorHAnsi"/>
          <w:color w:val="000000"/>
          <w:lang w:eastAsia="en-US" w:bidi="ar-SA"/>
        </w:rPr>
        <w:t>s</w:t>
      </w:r>
      <w:r w:rsidRPr="00FA66A3">
        <w:rPr>
          <w:rFonts w:asciiTheme="majorHAnsi" w:eastAsiaTheme="minorEastAsia" w:hAnsiTheme="majorHAnsi"/>
          <w:color w:val="000000"/>
          <w:lang w:eastAsia="en-US" w:bidi="ar-SA"/>
        </w:rPr>
        <w:t xml:space="preserve"> devront être validé</w:t>
      </w:r>
      <w:r>
        <w:rPr>
          <w:rFonts w:asciiTheme="majorHAnsi" w:eastAsiaTheme="minorEastAsia" w:hAnsiTheme="majorHAnsi"/>
          <w:color w:val="000000"/>
          <w:lang w:eastAsia="en-US" w:bidi="ar-SA"/>
        </w:rPr>
        <w:t>es</w:t>
      </w:r>
      <w:r w:rsidRPr="00FA66A3">
        <w:rPr>
          <w:rFonts w:asciiTheme="majorHAnsi" w:eastAsiaTheme="minorEastAsia" w:hAnsiTheme="majorHAnsi"/>
          <w:color w:val="000000"/>
          <w:lang w:eastAsia="en-US" w:bidi="ar-SA"/>
        </w:rPr>
        <w:t xml:space="preserve"> par la MOE et l'OPC.</w:t>
      </w:r>
    </w:p>
    <w:p w14:paraId="19058C76" w14:textId="77777777" w:rsidR="00EC3D29" w:rsidRPr="00B70365" w:rsidRDefault="00EC3D29" w:rsidP="00EC3D29">
      <w:pPr>
        <w:rPr>
          <w:rFonts w:asciiTheme="majorHAnsi" w:hAnsiTheme="majorHAnsi"/>
          <w:u w:val="single"/>
        </w:rPr>
      </w:pPr>
      <w:r w:rsidRPr="00B70365">
        <w:rPr>
          <w:rFonts w:asciiTheme="majorHAnsi" w:hAnsiTheme="majorHAnsi"/>
          <w:u w:val="single"/>
        </w:rPr>
        <w:lastRenderedPageBreak/>
        <w:t xml:space="preserve">Situations de travaux : </w:t>
      </w:r>
    </w:p>
    <w:p w14:paraId="04EA4E3B" w14:textId="77777777" w:rsidR="00EC3D29" w:rsidRPr="00B70365" w:rsidRDefault="00EC3D29" w:rsidP="00EC3D29">
      <w:pPr>
        <w:spacing w:before="0"/>
        <w:rPr>
          <w:rFonts w:asciiTheme="majorHAnsi" w:hAnsiTheme="majorHAnsi"/>
        </w:rPr>
      </w:pPr>
      <w:r w:rsidRPr="00B70365">
        <w:rPr>
          <w:rFonts w:asciiTheme="majorHAnsi" w:hAnsiTheme="majorHAnsi"/>
        </w:rPr>
        <w:t>L’entreprise les présente sur les écrans EDIFLEX suivant le calendrier établi par le Maître d’œuvre,</w:t>
      </w:r>
    </w:p>
    <w:p w14:paraId="2BC7EC3A" w14:textId="5B39840C" w:rsidR="00EC3D29" w:rsidRPr="00B70365" w:rsidRDefault="00EC3D29" w:rsidP="29C64245">
      <w:pPr>
        <w:spacing w:before="0"/>
        <w:rPr>
          <w:rFonts w:asciiTheme="majorHAnsi" w:hAnsiTheme="majorHAnsi"/>
        </w:rPr>
      </w:pPr>
      <w:r w:rsidRPr="29C64245">
        <w:rPr>
          <w:rFonts w:asciiTheme="majorHAnsi" w:hAnsiTheme="majorHAnsi"/>
        </w:rPr>
        <w:t xml:space="preserve">Le Coordinateur OPC les vérifie sur EDIFLEX au plus tard à J+7 ; Le Maître d'œuvre les vérifie sur EDIFLEX au plus tard </w:t>
      </w:r>
      <w:r w:rsidR="0002078C" w:rsidRPr="0002078C">
        <w:rPr>
          <w:rFonts w:asciiTheme="majorHAnsi" w:hAnsiTheme="majorHAnsi"/>
        </w:rPr>
        <w:t>à J</w:t>
      </w:r>
      <w:r w:rsidR="00FD51F9" w:rsidRPr="0002078C">
        <w:rPr>
          <w:rFonts w:asciiTheme="majorHAnsi" w:hAnsiTheme="majorHAnsi"/>
        </w:rPr>
        <w:t>+14</w:t>
      </w:r>
      <w:r w:rsidR="0002078C" w:rsidRPr="0002078C">
        <w:rPr>
          <w:rFonts w:asciiTheme="majorHAnsi" w:hAnsiTheme="majorHAnsi"/>
        </w:rPr>
        <w:t>.</w:t>
      </w:r>
      <w:r w:rsidR="0002078C">
        <w:rPr>
          <w:rFonts w:asciiTheme="majorHAnsi" w:hAnsiTheme="majorHAnsi"/>
        </w:rPr>
        <w:t xml:space="preserve"> </w:t>
      </w:r>
    </w:p>
    <w:p w14:paraId="0BFD6D7D" w14:textId="149FB0F6" w:rsidR="00FD51F9" w:rsidRPr="00B70365" w:rsidRDefault="00EC3D29" w:rsidP="29C64245">
      <w:pPr>
        <w:spacing w:before="0"/>
        <w:rPr>
          <w:rFonts w:asciiTheme="majorHAnsi" w:hAnsiTheme="majorHAnsi"/>
        </w:rPr>
      </w:pPr>
      <w:r w:rsidRPr="29C64245">
        <w:rPr>
          <w:rFonts w:asciiTheme="majorHAnsi" w:hAnsiTheme="majorHAnsi"/>
        </w:rPr>
        <w:t xml:space="preserve">L’Assistant Maître d'Ouvrage les vérifie et émet sa validation au Maître d’ouvrage à plus </w:t>
      </w:r>
      <w:r w:rsidRPr="0002078C">
        <w:rPr>
          <w:rFonts w:asciiTheme="majorHAnsi" w:hAnsiTheme="majorHAnsi"/>
        </w:rPr>
        <w:t>tard</w:t>
      </w:r>
      <w:r w:rsidR="00FD51F9" w:rsidRPr="0002078C">
        <w:rPr>
          <w:rFonts w:asciiTheme="majorHAnsi" w:hAnsiTheme="majorHAnsi"/>
        </w:rPr>
        <w:t xml:space="preserve"> J+20)</w:t>
      </w:r>
      <w:r w:rsidR="00FD51F9" w:rsidRPr="29C64245">
        <w:rPr>
          <w:rFonts w:asciiTheme="majorHAnsi" w:hAnsiTheme="majorHAnsi"/>
        </w:rPr>
        <w:t xml:space="preserve"> </w:t>
      </w:r>
      <w:r w:rsidRPr="29C64245">
        <w:rPr>
          <w:rFonts w:asciiTheme="majorHAnsi" w:hAnsiTheme="majorHAnsi"/>
        </w:rPr>
        <w:t xml:space="preserve">afin que ce dernier émette son “ avis d'intention de payer ” puis transmet les pièces justificatives à son service financier pour mandatement dans un délai permettant un </w:t>
      </w:r>
      <w:r w:rsidRPr="0002078C">
        <w:rPr>
          <w:rFonts w:asciiTheme="majorHAnsi" w:hAnsiTheme="majorHAnsi"/>
        </w:rPr>
        <w:t xml:space="preserve">paiement </w:t>
      </w:r>
      <w:r w:rsidR="0002078C" w:rsidRPr="0002078C">
        <w:rPr>
          <w:rFonts w:asciiTheme="majorHAnsi" w:hAnsiTheme="majorHAnsi"/>
        </w:rPr>
        <w:t>à J</w:t>
      </w:r>
      <w:r w:rsidR="00FD51F9" w:rsidRPr="0002078C">
        <w:rPr>
          <w:rFonts w:asciiTheme="majorHAnsi" w:hAnsiTheme="majorHAnsi"/>
        </w:rPr>
        <w:t>+50</w:t>
      </w:r>
      <w:r w:rsidR="0002078C" w:rsidRPr="0002078C">
        <w:rPr>
          <w:rFonts w:asciiTheme="majorHAnsi" w:hAnsiTheme="majorHAnsi"/>
        </w:rPr>
        <w:t>.</w:t>
      </w:r>
      <w:r w:rsidR="0002078C">
        <w:rPr>
          <w:rFonts w:asciiTheme="majorHAnsi" w:hAnsiTheme="majorHAnsi"/>
        </w:rPr>
        <w:t xml:space="preserve"> </w:t>
      </w:r>
    </w:p>
    <w:p w14:paraId="2FBE28CA" w14:textId="145E0BD3" w:rsidR="00EC3D29" w:rsidRPr="00B70365" w:rsidRDefault="00EC3D29" w:rsidP="00EC3D29">
      <w:pPr>
        <w:spacing w:before="0"/>
        <w:rPr>
          <w:rFonts w:asciiTheme="majorHAnsi" w:hAnsiTheme="majorHAnsi"/>
        </w:rPr>
      </w:pPr>
    </w:p>
    <w:p w14:paraId="2D2F9E4F" w14:textId="77777777" w:rsidR="00EC3D29" w:rsidRPr="00B70365" w:rsidRDefault="00EC3D29" w:rsidP="00EC3D29">
      <w:pPr>
        <w:rPr>
          <w:rFonts w:asciiTheme="majorHAnsi" w:hAnsiTheme="majorHAnsi"/>
        </w:rPr>
      </w:pPr>
    </w:p>
    <w:p w14:paraId="16D8F6C6" w14:textId="77777777" w:rsidR="00EC3D29" w:rsidRPr="00B70365" w:rsidRDefault="00EC3D29" w:rsidP="00EC3D29">
      <w:pPr>
        <w:pStyle w:val="Titre2"/>
        <w:jc w:val="both"/>
        <w:rPr>
          <w:rFonts w:cstheme="majorHAnsi"/>
        </w:rPr>
      </w:pPr>
      <w:bookmarkStart w:id="48" w:name="_Toc424752490"/>
      <w:bookmarkStart w:id="49" w:name="_Toc438205979"/>
      <w:bookmarkStart w:id="50" w:name="_Toc454435093"/>
      <w:bookmarkStart w:id="51" w:name="_Toc23862557"/>
      <w:bookmarkStart w:id="52" w:name="_Toc102642648"/>
      <w:r w:rsidRPr="00B70365">
        <w:rPr>
          <w:rFonts w:cstheme="majorHAnsi"/>
        </w:rPr>
        <w:t>GESTION ELECTRONIQUE ET ARCHIVAGE DES INFORMATIONS SUR LE SERVEUR :</w:t>
      </w:r>
      <w:bookmarkEnd w:id="48"/>
      <w:bookmarkEnd w:id="49"/>
      <w:bookmarkEnd w:id="50"/>
      <w:bookmarkEnd w:id="51"/>
      <w:bookmarkEnd w:id="52"/>
    </w:p>
    <w:p w14:paraId="1C7FB4A4" w14:textId="77777777" w:rsidR="00EC3D29" w:rsidRPr="00B70365" w:rsidRDefault="00EC3D29" w:rsidP="00EC3D29">
      <w:pPr>
        <w:rPr>
          <w:rFonts w:asciiTheme="majorHAnsi" w:hAnsiTheme="majorHAnsi"/>
        </w:rPr>
      </w:pPr>
      <w:r w:rsidRPr="00B70365">
        <w:rPr>
          <w:rFonts w:asciiTheme="majorHAnsi" w:hAnsiTheme="majorHAnsi"/>
        </w:rPr>
        <w:t>Les situations de travaux sont archivées sur le serveur EDIFLEX pendant toute la durée du chantier jusqu'à la date de fermeture du service définie à l'article suivant.</w:t>
      </w:r>
    </w:p>
    <w:p w14:paraId="6A41BF95" w14:textId="77777777" w:rsidR="00EC3D29" w:rsidRPr="00B70365" w:rsidRDefault="00EC3D29" w:rsidP="00EC3D29">
      <w:pPr>
        <w:rPr>
          <w:rFonts w:asciiTheme="majorHAnsi" w:hAnsiTheme="majorHAnsi"/>
        </w:rPr>
      </w:pPr>
      <w:r w:rsidRPr="00B70365">
        <w:rPr>
          <w:rFonts w:asciiTheme="majorHAnsi" w:hAnsiTheme="majorHAnsi"/>
        </w:rPr>
        <w:t xml:space="preserve">Les abonnés peuvent récupérer sur leur ordinateur les situations de travaux archivées sur le centre serveur pour les éditer localement, </w:t>
      </w:r>
    </w:p>
    <w:p w14:paraId="775FA652" w14:textId="77777777" w:rsidR="00EC3D29" w:rsidRPr="00B70365" w:rsidRDefault="00EC3D29" w:rsidP="00EC3D29">
      <w:pPr>
        <w:rPr>
          <w:rFonts w:asciiTheme="majorHAnsi" w:hAnsiTheme="majorHAnsi"/>
        </w:rPr>
      </w:pPr>
      <w:r w:rsidRPr="00B70365">
        <w:rPr>
          <w:rFonts w:asciiTheme="majorHAnsi" w:hAnsiTheme="majorHAnsi"/>
        </w:rPr>
        <w:t>C'est la procédure utilisée pour éditer sur papier les pièces justificatives (situations de travaux et décompte général définitif (D.G.D.), pièces qui doivent être archivées sur support papier par les intervenants concernés (entreprise</w:t>
      </w:r>
      <w:r>
        <w:rPr>
          <w:rFonts w:asciiTheme="majorHAnsi" w:hAnsiTheme="majorHAnsi"/>
        </w:rPr>
        <w:t>s</w:t>
      </w:r>
      <w:r w:rsidRPr="00B70365">
        <w:rPr>
          <w:rFonts w:asciiTheme="majorHAnsi" w:hAnsiTheme="majorHAnsi"/>
        </w:rPr>
        <w:t>, Maître d'ouvrage notamment) dans leur comptabilité selon les exigences légales.</w:t>
      </w:r>
    </w:p>
    <w:p w14:paraId="2B7C86E9" w14:textId="77777777" w:rsidR="00EC3D29" w:rsidRPr="00B70365" w:rsidRDefault="00EC3D29" w:rsidP="00EC3D29">
      <w:pPr>
        <w:rPr>
          <w:rFonts w:asciiTheme="majorHAnsi" w:hAnsiTheme="majorHAnsi"/>
        </w:rPr>
      </w:pPr>
    </w:p>
    <w:p w14:paraId="63505A81" w14:textId="77777777" w:rsidR="00EC3D29" w:rsidRPr="00B70365" w:rsidRDefault="00EC3D29" w:rsidP="00EC3D29">
      <w:pPr>
        <w:pStyle w:val="Titre2"/>
        <w:jc w:val="both"/>
        <w:rPr>
          <w:rFonts w:cstheme="majorHAnsi"/>
        </w:rPr>
      </w:pPr>
      <w:bookmarkStart w:id="53" w:name="_Toc424752491"/>
      <w:bookmarkStart w:id="54" w:name="_Toc438205980"/>
      <w:bookmarkStart w:id="55" w:name="_Toc454435094"/>
      <w:bookmarkStart w:id="56" w:name="_Toc23862558"/>
      <w:bookmarkStart w:id="57" w:name="_Toc102642649"/>
      <w:r w:rsidRPr="00B70365">
        <w:rPr>
          <w:rFonts w:cstheme="majorHAnsi"/>
        </w:rPr>
        <w:t>OUVERTURE ET FERMETURE DU SERVICE :</w:t>
      </w:r>
      <w:bookmarkEnd w:id="53"/>
      <w:bookmarkEnd w:id="54"/>
      <w:bookmarkEnd w:id="55"/>
      <w:bookmarkEnd w:id="56"/>
      <w:bookmarkEnd w:id="57"/>
      <w:r w:rsidRPr="00B70365">
        <w:rPr>
          <w:rFonts w:cstheme="majorHAnsi"/>
        </w:rPr>
        <w:t xml:space="preserve"> </w:t>
      </w:r>
    </w:p>
    <w:p w14:paraId="1CACFA1B" w14:textId="77777777" w:rsidR="00EC3D29" w:rsidRPr="00B70365" w:rsidRDefault="00EC3D29" w:rsidP="00EC3D29">
      <w:pPr>
        <w:rPr>
          <w:rFonts w:asciiTheme="majorHAnsi" w:hAnsiTheme="majorHAnsi"/>
        </w:rPr>
      </w:pPr>
      <w:r w:rsidRPr="00B70365">
        <w:rPr>
          <w:rFonts w:asciiTheme="majorHAnsi" w:hAnsiTheme="majorHAnsi"/>
        </w:rPr>
        <w:t>Le service est ouvert à partir de la date de notification des marchés ; les abonnés seront alors convoqués à une séance de formation au service EDIFLEX (délai de convocation : 10 jours minimum)</w:t>
      </w:r>
    </w:p>
    <w:p w14:paraId="33039F39" w14:textId="77777777" w:rsidR="00EC3D29" w:rsidRPr="00B70365" w:rsidRDefault="00EC3D29" w:rsidP="00EC3D29">
      <w:pPr>
        <w:rPr>
          <w:rFonts w:asciiTheme="majorHAnsi" w:hAnsiTheme="majorHAnsi"/>
        </w:rPr>
      </w:pPr>
      <w:r w:rsidRPr="00B70365">
        <w:rPr>
          <w:rFonts w:asciiTheme="majorHAnsi" w:hAnsiTheme="majorHAnsi"/>
        </w:rPr>
        <w:t>Les codes d'accès et mot de passe seront remis aux participants lors de la séance de formation.</w:t>
      </w:r>
    </w:p>
    <w:p w14:paraId="2D001723" w14:textId="77777777" w:rsidR="00EC3D29" w:rsidRPr="00B70365" w:rsidRDefault="00EC3D29" w:rsidP="00EC3D29">
      <w:pPr>
        <w:rPr>
          <w:rFonts w:asciiTheme="majorHAnsi" w:hAnsiTheme="majorHAnsi"/>
        </w:rPr>
      </w:pPr>
      <w:r w:rsidRPr="00B70365">
        <w:rPr>
          <w:rFonts w:asciiTheme="majorHAnsi" w:hAnsiTheme="majorHAnsi"/>
        </w:rPr>
        <w:t>La confidentialité est garantie par le mot de passe que l'abonné peut changer à tout moment.</w:t>
      </w:r>
    </w:p>
    <w:p w14:paraId="778473DA" w14:textId="77777777" w:rsidR="00EC3D29" w:rsidRPr="00E606CC" w:rsidRDefault="00EC3D29" w:rsidP="00EC3D29">
      <w:pPr>
        <w:rPr>
          <w:rFonts w:asciiTheme="majorHAnsi" w:hAnsiTheme="majorHAnsi"/>
        </w:rPr>
      </w:pPr>
      <w:r w:rsidRPr="00B70365">
        <w:rPr>
          <w:rFonts w:asciiTheme="majorHAnsi" w:hAnsiTheme="majorHAnsi"/>
        </w:rPr>
        <w:t xml:space="preserve">L'accès au service EDIFLEX sera fermé lorsque le Maître d’ouvrage aura validé et édité les D.G.D. (Décomptes généraux définitifs) de toutes les entreprises et qu'il aura transféré les archives stockées sur le serveur EDIFLEX vers son ordinateur. Cette date de fermeture du service EDIFLEX sera confirmée par courrier adressé par le Maître d'ouvrage à la </w:t>
      </w:r>
      <w:r w:rsidRPr="00E606CC">
        <w:rPr>
          <w:rFonts w:asciiTheme="majorHAnsi" w:hAnsiTheme="majorHAnsi"/>
        </w:rPr>
        <w:t>société SOLEO.</w:t>
      </w:r>
    </w:p>
    <w:p w14:paraId="2F5D5FBE" w14:textId="77777777" w:rsidR="00EC3D29" w:rsidRPr="00B70365" w:rsidRDefault="00EC3D29" w:rsidP="00EC3D29">
      <w:pPr>
        <w:rPr>
          <w:rFonts w:asciiTheme="majorHAnsi" w:hAnsiTheme="majorHAnsi"/>
        </w:rPr>
      </w:pPr>
      <w:r w:rsidRPr="00B70365">
        <w:rPr>
          <w:rFonts w:asciiTheme="majorHAnsi" w:hAnsiTheme="majorHAnsi"/>
        </w:rPr>
        <w:t>Au-delà de cette fermeture du service, les informations ne seront plus disponibles sur le serveur EDIFLEX.</w:t>
      </w:r>
    </w:p>
    <w:p w14:paraId="2C2EC514" w14:textId="77777777" w:rsidR="00EC3D29" w:rsidRPr="00B70365" w:rsidRDefault="00EC3D29" w:rsidP="00EC3D29">
      <w:pPr>
        <w:rPr>
          <w:rFonts w:asciiTheme="majorHAnsi" w:hAnsiTheme="majorHAnsi"/>
        </w:rPr>
      </w:pPr>
    </w:p>
    <w:p w14:paraId="194B6DEE" w14:textId="77777777" w:rsidR="00EC3D29" w:rsidRPr="00B70365" w:rsidRDefault="00EC3D29" w:rsidP="00EC3D29">
      <w:pPr>
        <w:pStyle w:val="Titre2"/>
        <w:jc w:val="both"/>
        <w:rPr>
          <w:rFonts w:cstheme="majorHAnsi"/>
        </w:rPr>
      </w:pPr>
      <w:bookmarkStart w:id="58" w:name="_Toc424752492"/>
      <w:bookmarkStart w:id="59" w:name="_Toc438205981"/>
      <w:bookmarkStart w:id="60" w:name="_Toc454435095"/>
      <w:bookmarkStart w:id="61" w:name="_Toc23862559"/>
      <w:bookmarkStart w:id="62" w:name="_Toc102642650"/>
      <w:r w:rsidRPr="00B70365">
        <w:rPr>
          <w:rFonts w:cstheme="majorHAnsi"/>
        </w:rPr>
        <w:t xml:space="preserve">ROLE DE LA SOCIETE </w:t>
      </w:r>
      <w:bookmarkEnd w:id="58"/>
      <w:bookmarkEnd w:id="59"/>
      <w:bookmarkEnd w:id="60"/>
      <w:r w:rsidRPr="00B70365">
        <w:rPr>
          <w:rFonts w:cstheme="majorHAnsi"/>
        </w:rPr>
        <w:t>EPICTURE :</w:t>
      </w:r>
      <w:bookmarkEnd w:id="61"/>
      <w:bookmarkEnd w:id="62"/>
      <w:r w:rsidRPr="00B70365">
        <w:rPr>
          <w:rFonts w:cstheme="majorHAnsi"/>
        </w:rPr>
        <w:t xml:space="preserve"> </w:t>
      </w:r>
    </w:p>
    <w:p w14:paraId="7DC4F8E2" w14:textId="77777777" w:rsidR="00EC3D29" w:rsidRPr="00B70365" w:rsidRDefault="00EC3D29" w:rsidP="00EC3D29">
      <w:pPr>
        <w:pStyle w:val="Titre3"/>
        <w:jc w:val="both"/>
        <w:rPr>
          <w:rFonts w:cstheme="majorHAnsi"/>
        </w:rPr>
      </w:pPr>
      <w:bookmarkStart w:id="63" w:name="_Toc454435096"/>
      <w:bookmarkStart w:id="64" w:name="_Toc23862560"/>
      <w:bookmarkStart w:id="65" w:name="_Toc102642651"/>
      <w:r w:rsidRPr="00B70365">
        <w:rPr>
          <w:rFonts w:cstheme="majorHAnsi"/>
        </w:rPr>
        <w:t>Prestations de la société Epicture</w:t>
      </w:r>
      <w:bookmarkEnd w:id="63"/>
      <w:bookmarkEnd w:id="64"/>
      <w:bookmarkEnd w:id="65"/>
    </w:p>
    <w:p w14:paraId="088CE380" w14:textId="77777777" w:rsidR="00EC3D29" w:rsidRPr="00B70365" w:rsidRDefault="00EC3D29" w:rsidP="00EC3D29">
      <w:pPr>
        <w:rPr>
          <w:rFonts w:asciiTheme="majorHAnsi" w:hAnsiTheme="majorHAnsi"/>
        </w:rPr>
      </w:pPr>
      <w:r w:rsidRPr="00B70365">
        <w:rPr>
          <w:rFonts w:asciiTheme="majorHAnsi" w:hAnsiTheme="majorHAnsi"/>
        </w:rPr>
        <w:t xml:space="preserve">La société </w:t>
      </w:r>
      <w:smartTag w:uri="urn:schemas-microsoft-com:office:smarttags" w:element="PersonName">
        <w:r w:rsidRPr="00B70365">
          <w:rPr>
            <w:rFonts w:asciiTheme="majorHAnsi" w:hAnsiTheme="majorHAnsi"/>
            <w:b/>
          </w:rPr>
          <w:t>EPICTURE</w:t>
        </w:r>
      </w:smartTag>
      <w:r w:rsidRPr="00B70365">
        <w:rPr>
          <w:rFonts w:asciiTheme="majorHAnsi" w:hAnsiTheme="majorHAnsi"/>
        </w:rPr>
        <w:t xml:space="preserve"> exploite le service EDIFLEX et, à ce titre, assure les prestations suivantes : </w:t>
      </w:r>
    </w:p>
    <w:p w14:paraId="20006079" w14:textId="77777777" w:rsidR="00EC3D29" w:rsidRPr="00B70365" w:rsidRDefault="00EC3D29" w:rsidP="00EC3D29">
      <w:pPr>
        <w:rPr>
          <w:rFonts w:asciiTheme="majorHAnsi" w:hAnsiTheme="majorHAnsi"/>
        </w:rPr>
      </w:pPr>
      <w:r w:rsidRPr="00B70365">
        <w:rPr>
          <w:rFonts w:asciiTheme="majorHAnsi" w:hAnsiTheme="majorHAnsi"/>
        </w:rPr>
        <w:t xml:space="preserve">Maintenance technique du service, suivant les fonctionnalités décrites dans les manuels utilisateurs accessibles en ligne sur le serveur, </w:t>
      </w:r>
    </w:p>
    <w:p w14:paraId="4981B38F" w14:textId="77777777" w:rsidR="00EC3D29" w:rsidRPr="00B70365" w:rsidRDefault="00EC3D29" w:rsidP="00EC3D29">
      <w:pPr>
        <w:rPr>
          <w:rFonts w:asciiTheme="majorHAnsi" w:hAnsiTheme="majorHAnsi"/>
        </w:rPr>
      </w:pPr>
      <w:r w:rsidRPr="00B70365">
        <w:rPr>
          <w:rFonts w:asciiTheme="majorHAnsi" w:hAnsiTheme="majorHAnsi"/>
        </w:rPr>
        <w:t xml:space="preserve">Formation des abonnés à l'utilisation du service ; des séances de formation d’une ½ journée seront planifiées en fonction de l’intervention des entreprises. </w:t>
      </w:r>
    </w:p>
    <w:p w14:paraId="0FD2583C" w14:textId="77777777" w:rsidR="00EC3D29" w:rsidRPr="00B70365" w:rsidRDefault="00EC3D29" w:rsidP="00EC3D29">
      <w:pPr>
        <w:rPr>
          <w:rFonts w:asciiTheme="majorHAnsi" w:hAnsiTheme="majorHAnsi"/>
        </w:rPr>
      </w:pPr>
      <w:r w:rsidRPr="00B70365">
        <w:rPr>
          <w:rFonts w:asciiTheme="majorHAnsi" w:hAnsiTheme="majorHAnsi"/>
        </w:rPr>
        <w:t>Assistance téléphonique pour les abonnés : du lundi au vendredi de 9h00 à 12h00 et 14h00 à 18h00 (vendredi, à 17h00), en dehors des heures de bureaux les abonnées peuvent émettre des messages électroniques qui seront traités dès réception pendant les heures de bureau.</w:t>
      </w:r>
    </w:p>
    <w:p w14:paraId="138F9CC3" w14:textId="77777777" w:rsidR="00EC3D29" w:rsidRPr="00B70365" w:rsidRDefault="00EC3D29" w:rsidP="00EC3D29">
      <w:pPr>
        <w:spacing w:before="0"/>
        <w:rPr>
          <w:rFonts w:asciiTheme="majorHAnsi" w:hAnsiTheme="majorHAnsi"/>
        </w:rPr>
      </w:pPr>
    </w:p>
    <w:p w14:paraId="077DA9B4" w14:textId="77777777" w:rsidR="00EC3D29" w:rsidRPr="00B70365" w:rsidRDefault="00EC3D29" w:rsidP="00EC3D29">
      <w:pPr>
        <w:pStyle w:val="Titre3"/>
        <w:jc w:val="both"/>
        <w:rPr>
          <w:rFonts w:cstheme="majorHAnsi"/>
        </w:rPr>
      </w:pPr>
      <w:bookmarkStart w:id="66" w:name="_Toc454435097"/>
      <w:bookmarkStart w:id="67" w:name="_Toc23862561"/>
      <w:bookmarkStart w:id="68" w:name="_Toc102642652"/>
      <w:r w:rsidRPr="00B70365">
        <w:rPr>
          <w:rFonts w:cstheme="majorHAnsi"/>
        </w:rPr>
        <w:t>Qualité de service :</w:t>
      </w:r>
      <w:bookmarkEnd w:id="66"/>
      <w:bookmarkEnd w:id="67"/>
      <w:bookmarkEnd w:id="68"/>
      <w:r w:rsidRPr="00B70365">
        <w:rPr>
          <w:rFonts w:cstheme="majorHAnsi"/>
        </w:rPr>
        <w:t xml:space="preserve"> </w:t>
      </w:r>
    </w:p>
    <w:p w14:paraId="7AE40F17" w14:textId="77777777" w:rsidR="00EC3D29" w:rsidRPr="00B70365" w:rsidRDefault="00EC3D29" w:rsidP="00EC3D29">
      <w:pPr>
        <w:rPr>
          <w:rFonts w:asciiTheme="majorHAnsi" w:hAnsiTheme="majorHAnsi"/>
        </w:rPr>
      </w:pPr>
      <w:smartTag w:uri="urn:schemas-microsoft-com:office:smarttags" w:element="PersonName">
        <w:smartTagPr>
          <w:attr w:name="ProductID" w:val="La soci￩t￩ EPICTURE"/>
        </w:smartTagPr>
        <w:r w:rsidRPr="00B70365">
          <w:rPr>
            <w:rFonts w:asciiTheme="majorHAnsi" w:hAnsiTheme="majorHAnsi"/>
          </w:rPr>
          <w:t xml:space="preserve">La société </w:t>
        </w:r>
        <w:smartTag w:uri="urn:schemas-microsoft-com:office:smarttags" w:element="PersonName">
          <w:r w:rsidRPr="00B70365">
            <w:rPr>
              <w:rFonts w:asciiTheme="majorHAnsi" w:hAnsiTheme="majorHAnsi"/>
              <w:b/>
            </w:rPr>
            <w:t>EPICTURE</w:t>
          </w:r>
        </w:smartTag>
      </w:smartTag>
      <w:r w:rsidRPr="00B70365">
        <w:rPr>
          <w:rFonts w:asciiTheme="majorHAnsi" w:hAnsiTheme="majorHAnsi"/>
        </w:rPr>
        <w:t xml:space="preserve"> garantit un service accessible en temps partagé sur le serveur tous les jours ouvrables de 7h </w:t>
      </w:r>
      <w:r w:rsidRPr="00B70365">
        <w:rPr>
          <w:rFonts w:asciiTheme="majorHAnsi" w:hAnsiTheme="majorHAnsi"/>
        </w:rPr>
        <w:lastRenderedPageBreak/>
        <w:t>à 20h (du lundi au vendredi, hors jours fériés), avec un taux minimal de disponibilité supérieur à 95 %.</w:t>
      </w:r>
    </w:p>
    <w:p w14:paraId="1A23E81C" w14:textId="77777777" w:rsidR="00EC3D29" w:rsidRPr="00B70365" w:rsidRDefault="00EC3D29" w:rsidP="00EC3D29">
      <w:pPr>
        <w:spacing w:before="0"/>
        <w:rPr>
          <w:rFonts w:asciiTheme="majorHAnsi" w:hAnsiTheme="majorHAnsi"/>
        </w:rPr>
      </w:pPr>
    </w:p>
    <w:p w14:paraId="6E8C2C4C" w14:textId="77777777" w:rsidR="00EC3D29" w:rsidRPr="00B70365" w:rsidRDefault="00EC3D29" w:rsidP="00EC3D29">
      <w:pPr>
        <w:pStyle w:val="Titre3"/>
        <w:jc w:val="both"/>
        <w:rPr>
          <w:rFonts w:cstheme="majorHAnsi"/>
        </w:rPr>
      </w:pPr>
      <w:bookmarkStart w:id="69" w:name="_Toc454435098"/>
      <w:bookmarkStart w:id="70" w:name="_Toc23862562"/>
      <w:bookmarkStart w:id="71" w:name="_Toc102642653"/>
      <w:r w:rsidRPr="00B70365">
        <w:rPr>
          <w:rFonts w:cstheme="majorHAnsi"/>
        </w:rPr>
        <w:t>Obligation de discrétion :</w:t>
      </w:r>
      <w:bookmarkEnd w:id="69"/>
      <w:bookmarkEnd w:id="70"/>
      <w:bookmarkEnd w:id="71"/>
      <w:r w:rsidRPr="00B70365">
        <w:rPr>
          <w:rFonts w:cstheme="majorHAnsi"/>
        </w:rPr>
        <w:t xml:space="preserve"> </w:t>
      </w:r>
    </w:p>
    <w:p w14:paraId="128C4D4F" w14:textId="77777777" w:rsidR="00EC3D29" w:rsidRPr="00B70365" w:rsidRDefault="00EC3D29" w:rsidP="00EC3D29">
      <w:pPr>
        <w:rPr>
          <w:rFonts w:asciiTheme="majorHAnsi" w:hAnsiTheme="majorHAnsi"/>
        </w:rPr>
      </w:pPr>
      <w:r w:rsidRPr="00B70365">
        <w:rPr>
          <w:rFonts w:asciiTheme="majorHAnsi" w:hAnsiTheme="majorHAnsi"/>
        </w:rPr>
        <w:t>Les documents ou renseignements fournis par les abonnés au service, ainsi que les états, études et documents provenant de leur traitement par</w:t>
      </w:r>
      <w:r w:rsidRPr="00B70365">
        <w:rPr>
          <w:rFonts w:asciiTheme="majorHAnsi" w:hAnsiTheme="majorHAnsi"/>
          <w:b/>
        </w:rPr>
        <w:t xml:space="preserve"> </w:t>
      </w:r>
      <w:smartTag w:uri="urn:schemas-microsoft-com:office:smarttags" w:element="PersonName">
        <w:smartTagPr>
          <w:attr w:name="ProductID" w:val="La soci￩t￩ EPICTURE"/>
        </w:smartTagPr>
        <w:r w:rsidRPr="00B70365">
          <w:rPr>
            <w:rFonts w:asciiTheme="majorHAnsi" w:hAnsiTheme="majorHAnsi"/>
          </w:rPr>
          <w:t xml:space="preserve">la société </w:t>
        </w:r>
        <w:smartTag w:uri="urn:schemas-microsoft-com:office:smarttags" w:element="PersonName">
          <w:r w:rsidRPr="00B70365">
            <w:rPr>
              <w:rFonts w:asciiTheme="majorHAnsi" w:hAnsiTheme="majorHAnsi"/>
              <w:b/>
            </w:rPr>
            <w:t>EPICTURE</w:t>
          </w:r>
        </w:smartTag>
      </w:smartTag>
      <w:r w:rsidRPr="00B70365">
        <w:rPr>
          <w:rFonts w:asciiTheme="majorHAnsi" w:hAnsiTheme="majorHAnsi"/>
        </w:rPr>
        <w:t xml:space="preserve"> sont couverts par le secret professionnel.</w:t>
      </w:r>
    </w:p>
    <w:p w14:paraId="2B7E802E" w14:textId="77777777" w:rsidR="00EC3D29" w:rsidRPr="00B70365" w:rsidRDefault="00EC3D29" w:rsidP="00EC3D29">
      <w:pPr>
        <w:rPr>
          <w:rFonts w:asciiTheme="majorHAnsi" w:hAnsiTheme="majorHAnsi"/>
        </w:rPr>
      </w:pPr>
      <w:r w:rsidRPr="00B70365">
        <w:rPr>
          <w:rFonts w:asciiTheme="majorHAnsi" w:hAnsiTheme="majorHAnsi"/>
        </w:rPr>
        <w:t>En particulier, aucune communication ne pourra être effectuée à des tiers, sauf autorisation expresse du client.</w:t>
      </w:r>
      <w:r w:rsidRPr="00B70365">
        <w:rPr>
          <w:rFonts w:asciiTheme="majorHAnsi" w:hAnsiTheme="majorHAnsi"/>
          <w:b/>
        </w:rPr>
        <w:t xml:space="preserve"> </w:t>
      </w:r>
      <w:smartTag w:uri="urn:schemas-microsoft-com:office:smarttags" w:element="PersonName">
        <w:smartTagPr>
          <w:attr w:name="ProductID" w:val="La soci￩t￩ EPICTURE"/>
        </w:smartTagPr>
        <w:r w:rsidRPr="00B70365">
          <w:rPr>
            <w:rFonts w:asciiTheme="majorHAnsi" w:hAnsiTheme="majorHAnsi"/>
          </w:rPr>
          <w:t xml:space="preserve">La société </w:t>
        </w:r>
        <w:smartTag w:uri="urn:schemas-microsoft-com:office:smarttags" w:element="PersonName">
          <w:r w:rsidRPr="00B70365">
            <w:rPr>
              <w:rFonts w:asciiTheme="majorHAnsi" w:hAnsiTheme="majorHAnsi"/>
              <w:b/>
            </w:rPr>
            <w:t>EPICTURE</w:t>
          </w:r>
        </w:smartTag>
      </w:smartTag>
      <w:r w:rsidRPr="00B70365">
        <w:rPr>
          <w:rFonts w:asciiTheme="majorHAnsi" w:hAnsiTheme="majorHAnsi"/>
        </w:rPr>
        <w:t xml:space="preserve"> s'oblige à respecter de façon absolue cette obligation au secret et à la faire respecter par son personnel.</w:t>
      </w:r>
    </w:p>
    <w:p w14:paraId="2F082C32" w14:textId="77777777" w:rsidR="00EC3D29" w:rsidRPr="00B70365" w:rsidRDefault="00EC3D29" w:rsidP="00EC3D29">
      <w:pPr>
        <w:rPr>
          <w:rFonts w:asciiTheme="majorHAnsi" w:hAnsiTheme="majorHAnsi"/>
        </w:rPr>
      </w:pPr>
    </w:p>
    <w:p w14:paraId="67943894" w14:textId="77777777" w:rsidR="00EC3D29" w:rsidRPr="00B70365" w:rsidRDefault="00EC3D29" w:rsidP="00EC3D29">
      <w:pPr>
        <w:pStyle w:val="Titre2"/>
        <w:jc w:val="both"/>
        <w:rPr>
          <w:rFonts w:cstheme="majorHAnsi"/>
        </w:rPr>
      </w:pPr>
      <w:bookmarkStart w:id="72" w:name="_Toc424752493"/>
      <w:bookmarkStart w:id="73" w:name="_Toc438205982"/>
      <w:bookmarkStart w:id="74" w:name="_Toc454435099"/>
      <w:bookmarkStart w:id="75" w:name="_Toc23862563"/>
      <w:bookmarkStart w:id="76" w:name="_Toc102642654"/>
      <w:r w:rsidRPr="00B70365">
        <w:rPr>
          <w:rFonts w:cstheme="majorHAnsi"/>
        </w:rPr>
        <w:t>TERMINAL D'ACCES AU SERVICE :</w:t>
      </w:r>
      <w:bookmarkEnd w:id="72"/>
      <w:bookmarkEnd w:id="73"/>
      <w:bookmarkEnd w:id="74"/>
      <w:bookmarkEnd w:id="75"/>
      <w:bookmarkEnd w:id="76"/>
      <w:r w:rsidRPr="00B70365">
        <w:rPr>
          <w:rFonts w:cstheme="majorHAnsi"/>
        </w:rPr>
        <w:t xml:space="preserve"> </w:t>
      </w:r>
    </w:p>
    <w:p w14:paraId="3C4B6B5E" w14:textId="77777777" w:rsidR="00EC3D29" w:rsidRPr="00B70365" w:rsidRDefault="00EC3D29" w:rsidP="00EC3D29">
      <w:pPr>
        <w:rPr>
          <w:rFonts w:asciiTheme="majorHAnsi" w:hAnsiTheme="majorHAnsi"/>
        </w:rPr>
      </w:pPr>
      <w:r w:rsidRPr="00B70365">
        <w:rPr>
          <w:rFonts w:asciiTheme="majorHAnsi" w:hAnsiTheme="majorHAnsi"/>
        </w:rPr>
        <w:t>Pour accéder au service, l'abonné devra disposer d’un ordinateur avec accès à INTERNET et d’une adresse électronique de type « mail ».</w:t>
      </w:r>
    </w:p>
    <w:p w14:paraId="3462DAAD" w14:textId="77777777" w:rsidR="00EC3D29" w:rsidRPr="00B70365" w:rsidRDefault="00EC3D29" w:rsidP="00EC3D29">
      <w:pPr>
        <w:rPr>
          <w:rFonts w:asciiTheme="majorHAnsi" w:hAnsiTheme="majorHAnsi"/>
        </w:rPr>
      </w:pPr>
    </w:p>
    <w:p w14:paraId="4F6BFD68" w14:textId="77777777" w:rsidR="00EC3D29" w:rsidRPr="00B70365" w:rsidRDefault="00EC3D29" w:rsidP="00EC3D29">
      <w:pPr>
        <w:pStyle w:val="Titre2"/>
        <w:jc w:val="both"/>
        <w:rPr>
          <w:rFonts w:cstheme="majorHAnsi"/>
        </w:rPr>
      </w:pPr>
      <w:bookmarkStart w:id="77" w:name="_Toc424752494"/>
      <w:bookmarkStart w:id="78" w:name="_Toc438205983"/>
      <w:bookmarkStart w:id="79" w:name="_Toc454435100"/>
      <w:bookmarkStart w:id="80" w:name="_Toc23862564"/>
      <w:bookmarkStart w:id="81" w:name="_Toc102642655"/>
      <w:r w:rsidRPr="00B70365">
        <w:rPr>
          <w:rFonts w:cstheme="majorHAnsi"/>
        </w:rPr>
        <w:t>CONDITIONS GENERALES D'UTILISATION DU SERVICE :</w:t>
      </w:r>
      <w:bookmarkEnd w:id="77"/>
      <w:bookmarkEnd w:id="78"/>
      <w:bookmarkEnd w:id="79"/>
      <w:bookmarkEnd w:id="80"/>
      <w:bookmarkEnd w:id="81"/>
      <w:r w:rsidRPr="00B70365">
        <w:rPr>
          <w:rFonts w:cstheme="majorHAnsi"/>
        </w:rPr>
        <w:t xml:space="preserve"> </w:t>
      </w:r>
    </w:p>
    <w:p w14:paraId="7CE56175" w14:textId="77777777" w:rsidR="00EC3D29" w:rsidRPr="00B70365" w:rsidRDefault="00EC3D29" w:rsidP="00EC3D29">
      <w:pPr>
        <w:rPr>
          <w:rFonts w:asciiTheme="majorHAnsi" w:hAnsiTheme="majorHAnsi"/>
        </w:rPr>
      </w:pPr>
      <w:r w:rsidRPr="00B70365">
        <w:rPr>
          <w:rFonts w:asciiTheme="majorHAnsi" w:hAnsiTheme="majorHAnsi"/>
        </w:rPr>
        <w:t>Les informations échangées avec les autres intervenants à travers le service ont pour but de réduire les échanges de documents sur support papier ; elles présentent donc la même valeur juridique que les informations contenues dans les documents sur support papier qu'elles remplacent.</w:t>
      </w:r>
    </w:p>
    <w:p w14:paraId="06D8CE2D" w14:textId="77777777" w:rsidR="00EC3D29" w:rsidRPr="00B70365" w:rsidRDefault="00EC3D29" w:rsidP="00EC3D29">
      <w:pPr>
        <w:rPr>
          <w:rFonts w:asciiTheme="majorHAnsi" w:hAnsiTheme="majorHAnsi"/>
        </w:rPr>
      </w:pPr>
      <w:r w:rsidRPr="00B70365">
        <w:rPr>
          <w:rFonts w:asciiTheme="majorHAnsi" w:hAnsiTheme="majorHAnsi"/>
        </w:rPr>
        <w:t xml:space="preserve">A cet effet, l'abonné au service reconnaît explicitement l’application des paragraphes suivants : </w:t>
      </w:r>
    </w:p>
    <w:p w14:paraId="466A53D0" w14:textId="77777777" w:rsidR="00EC3D29" w:rsidRPr="00B70365" w:rsidRDefault="00EC3D29" w:rsidP="00EC3D29">
      <w:pPr>
        <w:rPr>
          <w:rFonts w:asciiTheme="majorHAnsi" w:hAnsiTheme="majorHAnsi"/>
        </w:rPr>
      </w:pPr>
    </w:p>
    <w:p w14:paraId="781E26A1" w14:textId="77777777" w:rsidR="00EC3D29" w:rsidRPr="00B70365" w:rsidRDefault="00EC3D29" w:rsidP="00EC3D29">
      <w:pPr>
        <w:pStyle w:val="Titre3"/>
        <w:jc w:val="both"/>
        <w:rPr>
          <w:rFonts w:cstheme="majorHAnsi"/>
        </w:rPr>
      </w:pPr>
      <w:bookmarkStart w:id="82" w:name="_Toc454435101"/>
      <w:bookmarkStart w:id="83" w:name="_Toc23862565"/>
      <w:bookmarkStart w:id="84" w:name="_Toc102642656"/>
      <w:r w:rsidRPr="00B70365">
        <w:rPr>
          <w:rFonts w:cstheme="majorHAnsi"/>
        </w:rPr>
        <w:t>Authentification de l'abonné :</w:t>
      </w:r>
      <w:bookmarkEnd w:id="82"/>
      <w:bookmarkEnd w:id="83"/>
      <w:bookmarkEnd w:id="84"/>
      <w:r w:rsidRPr="00B70365">
        <w:rPr>
          <w:rFonts w:cstheme="majorHAnsi"/>
        </w:rPr>
        <w:t xml:space="preserve"> </w:t>
      </w:r>
    </w:p>
    <w:p w14:paraId="37BCE70C" w14:textId="77777777" w:rsidR="00EC3D29" w:rsidRPr="00B70365" w:rsidRDefault="00EC3D29" w:rsidP="00EC3D29">
      <w:pPr>
        <w:rPr>
          <w:rFonts w:asciiTheme="majorHAnsi" w:hAnsiTheme="majorHAnsi"/>
        </w:rPr>
      </w:pPr>
      <w:r w:rsidRPr="00B70365">
        <w:rPr>
          <w:rFonts w:asciiTheme="majorHAnsi" w:hAnsiTheme="majorHAnsi"/>
        </w:rPr>
        <w:t>L'accès au service par son code d'accès et son mot de passe confidentiel implique son authentification vis à vis des informations qu'il émet.</w:t>
      </w:r>
    </w:p>
    <w:p w14:paraId="64F89B3D" w14:textId="77777777" w:rsidR="00EC3D29" w:rsidRPr="00B70365" w:rsidRDefault="00EC3D29" w:rsidP="00EC3D29">
      <w:pPr>
        <w:rPr>
          <w:rFonts w:asciiTheme="majorHAnsi" w:hAnsiTheme="majorHAnsi"/>
        </w:rPr>
      </w:pPr>
    </w:p>
    <w:p w14:paraId="306851DF" w14:textId="77777777" w:rsidR="00EC3D29" w:rsidRPr="00B70365" w:rsidRDefault="00EC3D29" w:rsidP="00EC3D29">
      <w:pPr>
        <w:pStyle w:val="Titre3"/>
        <w:jc w:val="both"/>
        <w:rPr>
          <w:rFonts w:cstheme="majorHAnsi"/>
        </w:rPr>
      </w:pPr>
      <w:bookmarkStart w:id="85" w:name="_Toc454435102"/>
      <w:bookmarkStart w:id="86" w:name="_Toc23862566"/>
      <w:bookmarkStart w:id="87" w:name="_Toc102642657"/>
      <w:r w:rsidRPr="00B70365">
        <w:rPr>
          <w:rFonts w:cstheme="majorHAnsi"/>
        </w:rPr>
        <w:t>Emission d'information :</w:t>
      </w:r>
      <w:bookmarkEnd w:id="85"/>
      <w:bookmarkEnd w:id="86"/>
      <w:bookmarkEnd w:id="87"/>
      <w:r w:rsidRPr="00B70365">
        <w:rPr>
          <w:rFonts w:cstheme="majorHAnsi"/>
        </w:rPr>
        <w:t xml:space="preserve"> </w:t>
      </w:r>
    </w:p>
    <w:p w14:paraId="2D19A244" w14:textId="77777777" w:rsidR="00EC3D29" w:rsidRPr="00B70365" w:rsidRDefault="00EC3D29" w:rsidP="00EC3D29">
      <w:pPr>
        <w:rPr>
          <w:rFonts w:asciiTheme="majorHAnsi" w:hAnsiTheme="majorHAnsi"/>
        </w:rPr>
      </w:pPr>
      <w:r w:rsidRPr="00B70365">
        <w:rPr>
          <w:rFonts w:asciiTheme="majorHAnsi" w:hAnsiTheme="majorHAnsi"/>
        </w:rPr>
        <w:t>Les informations qu'il transmet à travers le service lui sont opposables jusqu'à preuve d'un dysfonctionnement du service.</w:t>
      </w:r>
    </w:p>
    <w:p w14:paraId="4B72E4C4" w14:textId="77777777" w:rsidR="00EC3D29" w:rsidRPr="00B70365" w:rsidRDefault="00EC3D29" w:rsidP="00EC3D29">
      <w:pPr>
        <w:rPr>
          <w:rFonts w:asciiTheme="majorHAnsi" w:hAnsiTheme="majorHAnsi"/>
        </w:rPr>
      </w:pPr>
      <w:r w:rsidRPr="00B70365">
        <w:rPr>
          <w:rFonts w:asciiTheme="majorHAnsi" w:hAnsiTheme="majorHAnsi"/>
        </w:rPr>
        <w:t>Les validations des marchés et des situations de travaux, telles que prévues dans le service EDIFLEX et conformément au circuit de vérification imposé par ce service, valent expression de la volonté de celui qui les a effectuées.</w:t>
      </w:r>
    </w:p>
    <w:p w14:paraId="11BF19C8" w14:textId="77777777" w:rsidR="00EC3D29" w:rsidRPr="00B70365" w:rsidRDefault="00EC3D29" w:rsidP="00EC3D29">
      <w:pPr>
        <w:rPr>
          <w:rFonts w:asciiTheme="majorHAnsi" w:hAnsiTheme="majorHAnsi"/>
        </w:rPr>
      </w:pPr>
    </w:p>
    <w:p w14:paraId="6B4CDAAE" w14:textId="77777777" w:rsidR="00EC3D29" w:rsidRPr="00B70365" w:rsidRDefault="00EC3D29" w:rsidP="00EC3D29">
      <w:pPr>
        <w:pStyle w:val="Titre3"/>
        <w:jc w:val="both"/>
        <w:rPr>
          <w:rFonts w:cstheme="majorHAnsi"/>
        </w:rPr>
      </w:pPr>
      <w:bookmarkStart w:id="88" w:name="_Toc454435103"/>
      <w:bookmarkStart w:id="89" w:name="_Toc23862567"/>
      <w:bookmarkStart w:id="90" w:name="_Toc102642658"/>
      <w:r w:rsidRPr="00B70365">
        <w:rPr>
          <w:rFonts w:cstheme="majorHAnsi"/>
        </w:rPr>
        <w:t>Réception d'information :</w:t>
      </w:r>
      <w:bookmarkEnd w:id="88"/>
      <w:bookmarkEnd w:id="89"/>
      <w:bookmarkEnd w:id="90"/>
      <w:r w:rsidRPr="00B70365">
        <w:rPr>
          <w:rFonts w:cstheme="majorHAnsi"/>
        </w:rPr>
        <w:t xml:space="preserve"> </w:t>
      </w:r>
    </w:p>
    <w:p w14:paraId="7E6E3AEB" w14:textId="77777777" w:rsidR="00EC3D29" w:rsidRPr="00B70365" w:rsidRDefault="00EC3D29" w:rsidP="00EC3D29">
      <w:pPr>
        <w:rPr>
          <w:rFonts w:asciiTheme="majorHAnsi" w:hAnsiTheme="majorHAnsi"/>
        </w:rPr>
      </w:pPr>
      <w:r w:rsidRPr="00B70365">
        <w:rPr>
          <w:rFonts w:asciiTheme="majorHAnsi" w:hAnsiTheme="majorHAnsi"/>
        </w:rPr>
        <w:t>Les informations qui sont communiquées à l'abonné à travers le service lui ont été réellement transmises, charge à lui de les consulter en accédant au service sauf constat que cet accès ne lui était matériellement pas possible,</w:t>
      </w:r>
    </w:p>
    <w:p w14:paraId="65D7575C" w14:textId="77777777" w:rsidR="00EC3D29" w:rsidRPr="00B70365" w:rsidRDefault="00EC3D29" w:rsidP="00EC3D29">
      <w:pPr>
        <w:rPr>
          <w:rFonts w:asciiTheme="majorHAnsi" w:hAnsiTheme="majorHAnsi"/>
        </w:rPr>
      </w:pPr>
      <w:r w:rsidRPr="00B70365">
        <w:rPr>
          <w:rFonts w:asciiTheme="majorHAnsi" w:hAnsiTheme="majorHAnsi"/>
        </w:rPr>
        <w:t xml:space="preserve">Les validations par un intervenant des marchés et des situations de travaux, telles que prévues dans le service EDIFLEX et conformément au circuit de vérification imposé par ce service, valent </w:t>
      </w:r>
      <w:proofErr w:type="gramStart"/>
      <w:r w:rsidRPr="00B70365">
        <w:rPr>
          <w:rFonts w:asciiTheme="majorHAnsi" w:hAnsiTheme="majorHAnsi"/>
        </w:rPr>
        <w:t>accusé</w:t>
      </w:r>
      <w:proofErr w:type="gramEnd"/>
      <w:r w:rsidRPr="00B70365">
        <w:rPr>
          <w:rFonts w:asciiTheme="majorHAnsi" w:hAnsiTheme="majorHAnsi"/>
        </w:rPr>
        <w:t xml:space="preserve"> de réception pour l'intervenant suivant.</w:t>
      </w:r>
    </w:p>
    <w:p w14:paraId="113F465B" w14:textId="77777777" w:rsidR="00EC3D29" w:rsidRPr="00B70365" w:rsidRDefault="00EC3D29" w:rsidP="00EC3D29">
      <w:pPr>
        <w:rPr>
          <w:rFonts w:asciiTheme="majorHAnsi" w:hAnsiTheme="majorHAnsi"/>
        </w:rPr>
      </w:pPr>
      <w:bookmarkStart w:id="91" w:name="_Toc531766539"/>
      <w:bookmarkStart w:id="92" w:name="_Toc531766841"/>
      <w:bookmarkStart w:id="93" w:name="_Toc531766986"/>
    </w:p>
    <w:p w14:paraId="437AD40B" w14:textId="77777777" w:rsidR="00EC3D29" w:rsidRPr="00B70365" w:rsidRDefault="00EC3D29" w:rsidP="00EC3D29">
      <w:pPr>
        <w:pStyle w:val="Titre3"/>
        <w:jc w:val="both"/>
        <w:rPr>
          <w:rFonts w:cstheme="majorHAnsi"/>
        </w:rPr>
      </w:pPr>
      <w:bookmarkStart w:id="94" w:name="_Toc454435104"/>
      <w:bookmarkStart w:id="95" w:name="_Toc23862568"/>
      <w:bookmarkStart w:id="96" w:name="_Toc102642659"/>
      <w:r w:rsidRPr="00B70365">
        <w:rPr>
          <w:rFonts w:cstheme="majorHAnsi"/>
        </w:rPr>
        <w:t>Edition d'information sur support papier :</w:t>
      </w:r>
      <w:bookmarkEnd w:id="91"/>
      <w:bookmarkEnd w:id="92"/>
      <w:bookmarkEnd w:id="93"/>
      <w:bookmarkEnd w:id="94"/>
      <w:bookmarkEnd w:id="95"/>
      <w:bookmarkEnd w:id="96"/>
    </w:p>
    <w:p w14:paraId="5A2592AB" w14:textId="77777777" w:rsidR="00EC3D29" w:rsidRPr="00B70365" w:rsidRDefault="00EC3D29" w:rsidP="00EC3D29">
      <w:pPr>
        <w:rPr>
          <w:rFonts w:asciiTheme="majorHAnsi" w:hAnsiTheme="majorHAnsi"/>
        </w:rPr>
      </w:pPr>
      <w:r w:rsidRPr="00B70365">
        <w:rPr>
          <w:rFonts w:asciiTheme="majorHAnsi" w:hAnsiTheme="majorHAnsi"/>
        </w:rPr>
        <w:t>Pour des raisons juridiques, certaines informations archivées dans le serveur pourront nécessiter une édition sur support papier pour signature, par exemple le décompte général définitif.</w:t>
      </w:r>
    </w:p>
    <w:p w14:paraId="6E78A0CE" w14:textId="77777777" w:rsidR="00EC3D29" w:rsidRPr="00B70365" w:rsidRDefault="00EC3D29" w:rsidP="00EC3D29">
      <w:pPr>
        <w:rPr>
          <w:rFonts w:asciiTheme="majorHAnsi" w:hAnsiTheme="majorHAnsi"/>
        </w:rPr>
      </w:pPr>
    </w:p>
    <w:p w14:paraId="24BDF440" w14:textId="77777777" w:rsidR="00EC3D29" w:rsidRPr="00B70365" w:rsidRDefault="00EC3D29" w:rsidP="00EC3D29">
      <w:pPr>
        <w:pStyle w:val="Titre3"/>
        <w:jc w:val="both"/>
        <w:rPr>
          <w:rFonts w:cstheme="majorHAnsi"/>
        </w:rPr>
      </w:pPr>
      <w:bookmarkStart w:id="97" w:name="_Toc454435105"/>
      <w:bookmarkStart w:id="98" w:name="_Toc23862569"/>
      <w:bookmarkStart w:id="99" w:name="_Toc102642660"/>
      <w:r w:rsidRPr="00B70365">
        <w:rPr>
          <w:rFonts w:cstheme="majorHAnsi"/>
        </w:rPr>
        <w:t>Convention sur la preuve :</w:t>
      </w:r>
      <w:bookmarkEnd w:id="97"/>
      <w:bookmarkEnd w:id="98"/>
      <w:bookmarkEnd w:id="99"/>
      <w:r w:rsidRPr="00B70365">
        <w:rPr>
          <w:rFonts w:cstheme="majorHAnsi"/>
        </w:rPr>
        <w:t xml:space="preserve"> </w:t>
      </w:r>
    </w:p>
    <w:p w14:paraId="26500701" w14:textId="77777777" w:rsidR="00EC3D29" w:rsidRPr="00B70365" w:rsidRDefault="00EC3D29" w:rsidP="00EC3D29">
      <w:pPr>
        <w:rPr>
          <w:rFonts w:asciiTheme="majorHAnsi" w:hAnsiTheme="majorHAnsi"/>
        </w:rPr>
      </w:pPr>
      <w:r w:rsidRPr="00B70365">
        <w:rPr>
          <w:rFonts w:asciiTheme="majorHAnsi" w:hAnsiTheme="majorHAnsi"/>
        </w:rPr>
        <w:t xml:space="preserve">Par dérogation aux règles de preuve figurant au </w:t>
      </w:r>
      <w:r>
        <w:rPr>
          <w:rFonts w:asciiTheme="majorHAnsi" w:hAnsiTheme="majorHAnsi"/>
        </w:rPr>
        <w:t>c</w:t>
      </w:r>
      <w:r w:rsidRPr="00B70365">
        <w:rPr>
          <w:rFonts w:asciiTheme="majorHAnsi" w:hAnsiTheme="majorHAnsi"/>
        </w:rPr>
        <w:t xml:space="preserve">ode </w:t>
      </w:r>
      <w:r>
        <w:rPr>
          <w:rFonts w:asciiTheme="majorHAnsi" w:hAnsiTheme="majorHAnsi"/>
        </w:rPr>
        <w:t>c</w:t>
      </w:r>
      <w:r w:rsidRPr="00B70365">
        <w:rPr>
          <w:rFonts w:asciiTheme="majorHAnsi" w:hAnsiTheme="majorHAnsi"/>
        </w:rPr>
        <w:t xml:space="preserve">ivil et par l'application de l'article </w:t>
      </w:r>
      <w:r>
        <w:rPr>
          <w:rFonts w:asciiTheme="majorHAnsi" w:hAnsiTheme="majorHAnsi"/>
        </w:rPr>
        <w:t>L. 110-3 du code de commerce</w:t>
      </w:r>
      <w:r w:rsidRPr="00B70365">
        <w:rPr>
          <w:rFonts w:asciiTheme="majorHAnsi" w:hAnsiTheme="majorHAnsi"/>
        </w:rPr>
        <w:t xml:space="preserve">, les parties déclarent que les informations délivrées par le service </w:t>
      </w:r>
      <w:r w:rsidRPr="00B70365">
        <w:rPr>
          <w:rFonts w:asciiTheme="majorHAnsi" w:hAnsiTheme="majorHAnsi"/>
          <w:b/>
        </w:rPr>
        <w:t>EDIFLEX</w:t>
      </w:r>
      <w:r w:rsidRPr="00B70365">
        <w:rPr>
          <w:rFonts w:asciiTheme="majorHAnsi" w:hAnsiTheme="majorHAnsi"/>
        </w:rPr>
        <w:t xml:space="preserve"> de</w:t>
      </w:r>
      <w:r w:rsidRPr="00B70365">
        <w:rPr>
          <w:rFonts w:asciiTheme="majorHAnsi" w:hAnsiTheme="majorHAnsi"/>
          <w:b/>
        </w:rPr>
        <w:t xml:space="preserve"> </w:t>
      </w:r>
      <w:r w:rsidRPr="00B70365">
        <w:rPr>
          <w:rFonts w:asciiTheme="majorHAnsi" w:hAnsiTheme="majorHAnsi"/>
        </w:rPr>
        <w:t xml:space="preserve">la société </w:t>
      </w:r>
      <w:r w:rsidRPr="00B70365">
        <w:rPr>
          <w:rFonts w:asciiTheme="majorHAnsi" w:hAnsiTheme="majorHAnsi"/>
          <w:b/>
        </w:rPr>
        <w:t>EPICTURE</w:t>
      </w:r>
      <w:r w:rsidRPr="00B70365">
        <w:rPr>
          <w:rFonts w:asciiTheme="majorHAnsi" w:hAnsiTheme="majorHAnsi"/>
        </w:rPr>
        <w:t xml:space="preserve"> font foi entre elles tant qu'aucun écrit contradictoirement authentifier, venant remettre en cause ces informations informatisées, ne sera produit.</w:t>
      </w:r>
    </w:p>
    <w:p w14:paraId="67297D57" w14:textId="77777777" w:rsidR="00EC3D29" w:rsidRPr="00B70365" w:rsidRDefault="00EC3D29" w:rsidP="00EC3D29">
      <w:pPr>
        <w:rPr>
          <w:rFonts w:asciiTheme="majorHAnsi" w:hAnsiTheme="majorHAnsi"/>
        </w:rPr>
      </w:pPr>
    </w:p>
    <w:p w14:paraId="3DBA537D" w14:textId="77777777" w:rsidR="00EC3D29" w:rsidRPr="00B70365" w:rsidRDefault="00EC3D29" w:rsidP="00EC3D29">
      <w:pPr>
        <w:rPr>
          <w:rFonts w:asciiTheme="majorHAnsi" w:hAnsiTheme="majorHAnsi"/>
        </w:rPr>
      </w:pPr>
      <w:r w:rsidRPr="00B70365">
        <w:rPr>
          <w:rFonts w:asciiTheme="majorHAnsi" w:hAnsiTheme="majorHAnsi"/>
        </w:rPr>
        <w:t>En particulier, l’entreprise titulaire d’un marché reconnaît explicitement par le présent document que :</w:t>
      </w:r>
    </w:p>
    <w:p w14:paraId="3021B6EE" w14:textId="77777777" w:rsidR="00EC3D29" w:rsidRPr="00B70365" w:rsidRDefault="00EC3D29" w:rsidP="00EC3D29">
      <w:pPr>
        <w:pStyle w:val="Paragraphedeliste"/>
        <w:numPr>
          <w:ilvl w:val="0"/>
          <w:numId w:val="5"/>
        </w:numPr>
        <w:rPr>
          <w:rFonts w:asciiTheme="majorHAnsi" w:hAnsiTheme="majorHAnsi"/>
        </w:rPr>
      </w:pPr>
      <w:r w:rsidRPr="00B70365">
        <w:rPr>
          <w:rFonts w:asciiTheme="majorHAnsi" w:hAnsiTheme="majorHAnsi"/>
        </w:rPr>
        <w:t>Les attestations de paiement direct de ses sous-traitants, tel qu’éditées par le Maître d’ouvrage à l’aide du service EDIFLEX, sont des documents qui l’engagent, sans nécessité d’une signature manuscrite par l’entreprise titulaire dans la mesure où le montant des travaux base marché à payer au sous-traitant n’a pas été modifié par un tiers lors du contrôle de la situation présentée.</w:t>
      </w:r>
    </w:p>
    <w:p w14:paraId="18739E1B" w14:textId="77777777" w:rsidR="00EC3D29" w:rsidRPr="00B70365" w:rsidRDefault="00EC3D29" w:rsidP="00EC3D29">
      <w:pPr>
        <w:pStyle w:val="Paragraphedeliste"/>
        <w:numPr>
          <w:ilvl w:val="0"/>
          <w:numId w:val="5"/>
        </w:numPr>
        <w:rPr>
          <w:rFonts w:asciiTheme="majorHAnsi" w:hAnsiTheme="majorHAnsi"/>
        </w:rPr>
      </w:pPr>
      <w:r w:rsidRPr="00B70365">
        <w:rPr>
          <w:rFonts w:asciiTheme="majorHAnsi" w:hAnsiTheme="majorHAnsi"/>
        </w:rPr>
        <w:t>Dans le cas contraire, la mention « après correction du montant des travaux base marché proposé par nous-mêmes » apparaîtra sur l’édition issue du service EDIFLEX avant la somme à payer. Dans ce cas seulement, l’entreprise devra signer le document pour accord.</w:t>
      </w:r>
    </w:p>
    <w:p w14:paraId="26853CE3" w14:textId="77777777" w:rsidR="00EC3D29" w:rsidRPr="00B70365" w:rsidRDefault="00EC3D29" w:rsidP="00EC3D29">
      <w:pPr>
        <w:pStyle w:val="Paragraphedeliste"/>
        <w:numPr>
          <w:ilvl w:val="0"/>
          <w:numId w:val="5"/>
        </w:numPr>
        <w:rPr>
          <w:rFonts w:asciiTheme="majorHAnsi" w:hAnsiTheme="majorHAnsi"/>
        </w:rPr>
      </w:pPr>
      <w:r w:rsidRPr="00B70365">
        <w:rPr>
          <w:rFonts w:asciiTheme="majorHAnsi" w:hAnsiTheme="majorHAnsi"/>
        </w:rPr>
        <w:t>Sauf indication contraire par lettre recommandée avec accusé de réception, les paiements effectués aux sous-traitants par le Trésorier sur la base de ces documents ne sauraient donner lieu à contestation ultérieure dans la relation susceptible d’intervenir entre l’entreprise et ses sous-traitants, ceci pour tout marché passé avec le Maître d’ouvrage et géré dans le service EDIFLEX.</w:t>
      </w:r>
    </w:p>
    <w:p w14:paraId="607DAA74" w14:textId="77777777" w:rsidR="00EC3D29" w:rsidRPr="00B70365" w:rsidRDefault="00EC3D29" w:rsidP="00EC3D29">
      <w:pPr>
        <w:rPr>
          <w:rFonts w:asciiTheme="majorHAnsi" w:hAnsiTheme="majorHAnsi"/>
        </w:rPr>
      </w:pPr>
      <w:r w:rsidRPr="00B70365">
        <w:rPr>
          <w:rFonts w:asciiTheme="majorHAnsi" w:hAnsiTheme="majorHAnsi"/>
        </w:rPr>
        <w:t>Dans le cas des transmissions à distance de données, les éléments tels que la date d'émission ou de réception ainsi que les données transmises feront foi par priorité telles que figurant dans les systèmes de</w:t>
      </w:r>
      <w:r w:rsidRPr="00B70365">
        <w:rPr>
          <w:rFonts w:asciiTheme="majorHAnsi" w:hAnsiTheme="majorHAnsi"/>
          <w:b/>
        </w:rPr>
        <w:t xml:space="preserve"> </w:t>
      </w:r>
      <w:smartTag w:uri="urn:schemas-microsoft-com:office:smarttags" w:element="PersonName">
        <w:smartTagPr>
          <w:attr w:name="ProductID" w:val="La soci￩t￩ EPICTURE"/>
        </w:smartTagPr>
        <w:r w:rsidRPr="00B70365">
          <w:rPr>
            <w:rFonts w:asciiTheme="majorHAnsi" w:hAnsiTheme="majorHAnsi"/>
          </w:rPr>
          <w:t xml:space="preserve">la société </w:t>
        </w:r>
        <w:smartTag w:uri="urn:schemas-microsoft-com:office:smarttags" w:element="PersonName">
          <w:r w:rsidRPr="00B70365">
            <w:rPr>
              <w:rFonts w:asciiTheme="majorHAnsi" w:hAnsiTheme="majorHAnsi"/>
              <w:b/>
            </w:rPr>
            <w:t>EPICTURE</w:t>
          </w:r>
        </w:smartTag>
      </w:smartTag>
      <w:r w:rsidRPr="00B70365">
        <w:rPr>
          <w:rFonts w:asciiTheme="majorHAnsi" w:hAnsiTheme="majorHAnsi"/>
        </w:rPr>
        <w:t xml:space="preserve"> ou telles qu'authentifiées dans ses systèmes par les procédures informatisées de</w:t>
      </w:r>
      <w:r w:rsidRPr="00B70365">
        <w:rPr>
          <w:rFonts w:asciiTheme="majorHAnsi" w:hAnsiTheme="majorHAnsi"/>
          <w:b/>
        </w:rPr>
        <w:t xml:space="preserve"> </w:t>
      </w:r>
      <w:smartTag w:uri="urn:schemas-microsoft-com:office:smarttags" w:element="PersonName">
        <w:smartTagPr>
          <w:attr w:name="ProductID" w:val="la soci￩t￩ EPICTURE."/>
        </w:smartTagPr>
        <w:r w:rsidRPr="00B70365">
          <w:rPr>
            <w:rFonts w:asciiTheme="majorHAnsi" w:hAnsiTheme="majorHAnsi"/>
          </w:rPr>
          <w:t xml:space="preserve">la société </w:t>
        </w:r>
        <w:smartTag w:uri="urn:schemas-microsoft-com:office:smarttags" w:element="PersonName">
          <w:r w:rsidRPr="00B70365">
            <w:rPr>
              <w:rFonts w:asciiTheme="majorHAnsi" w:hAnsiTheme="majorHAnsi"/>
              <w:b/>
            </w:rPr>
            <w:t>EPICTURE</w:t>
          </w:r>
        </w:smartTag>
        <w:r w:rsidRPr="00B70365">
          <w:rPr>
            <w:rFonts w:asciiTheme="majorHAnsi" w:hAnsiTheme="majorHAnsi"/>
          </w:rPr>
          <w:t>.</w:t>
        </w:r>
      </w:smartTag>
    </w:p>
    <w:p w14:paraId="500103C0" w14:textId="77777777" w:rsidR="00EC3D29" w:rsidRPr="00B70365" w:rsidRDefault="00EC3D29" w:rsidP="00EC3D29">
      <w:pPr>
        <w:rPr>
          <w:rFonts w:asciiTheme="majorHAnsi" w:hAnsiTheme="majorHAnsi"/>
        </w:rPr>
      </w:pPr>
    </w:p>
    <w:p w14:paraId="51F9ADE6" w14:textId="77777777" w:rsidR="00EC3D29" w:rsidRPr="00B70365" w:rsidRDefault="00EC3D29" w:rsidP="00EC3D29">
      <w:pPr>
        <w:pStyle w:val="Titre3"/>
        <w:jc w:val="both"/>
        <w:rPr>
          <w:rFonts w:cstheme="majorHAnsi"/>
        </w:rPr>
      </w:pPr>
      <w:bookmarkStart w:id="100" w:name="_Toc454435106"/>
      <w:bookmarkStart w:id="101" w:name="_Toc23862570"/>
      <w:bookmarkStart w:id="102" w:name="_Toc102642661"/>
      <w:r w:rsidRPr="00B70365">
        <w:rPr>
          <w:rFonts w:cstheme="majorHAnsi"/>
        </w:rPr>
        <w:t>Effet de la convention :</w:t>
      </w:r>
      <w:bookmarkEnd w:id="100"/>
      <w:bookmarkEnd w:id="101"/>
      <w:bookmarkEnd w:id="102"/>
      <w:r w:rsidRPr="00B70365">
        <w:rPr>
          <w:rFonts w:cstheme="majorHAnsi"/>
        </w:rPr>
        <w:t xml:space="preserve"> </w:t>
      </w:r>
    </w:p>
    <w:p w14:paraId="72911F87" w14:textId="77777777" w:rsidR="00EC3D29" w:rsidRPr="00B70365" w:rsidRDefault="00EC3D29" w:rsidP="00EC3D29">
      <w:pPr>
        <w:rPr>
          <w:rFonts w:asciiTheme="majorHAnsi" w:hAnsiTheme="majorHAnsi"/>
        </w:rPr>
      </w:pPr>
      <w:r w:rsidRPr="00B70365">
        <w:rPr>
          <w:rFonts w:asciiTheme="majorHAnsi" w:hAnsiTheme="majorHAnsi"/>
        </w:rPr>
        <w:t>La présente convention prend effet à la date de notification des marchés de travaux par le maître d’ouvrage.</w:t>
      </w:r>
    </w:p>
    <w:p w14:paraId="4473691E" w14:textId="77777777" w:rsidR="00EC3D29" w:rsidRPr="00B70365" w:rsidRDefault="00EC3D29" w:rsidP="00EC3D29">
      <w:pPr>
        <w:rPr>
          <w:rFonts w:asciiTheme="majorHAnsi" w:hAnsiTheme="majorHAnsi"/>
        </w:rPr>
      </w:pPr>
    </w:p>
    <w:p w14:paraId="1A946D1B" w14:textId="77777777" w:rsidR="00EC3D29" w:rsidRPr="00B70365" w:rsidRDefault="00EC3D29" w:rsidP="00EC3D29">
      <w:pPr>
        <w:pStyle w:val="Titre3"/>
        <w:jc w:val="both"/>
        <w:rPr>
          <w:rFonts w:cstheme="majorHAnsi"/>
        </w:rPr>
      </w:pPr>
      <w:bookmarkStart w:id="103" w:name="_Toc454435107"/>
      <w:bookmarkStart w:id="104" w:name="_Toc23862571"/>
      <w:bookmarkStart w:id="105" w:name="_Toc102642662"/>
      <w:r w:rsidRPr="00B70365">
        <w:rPr>
          <w:rFonts w:cstheme="majorHAnsi"/>
        </w:rPr>
        <w:t>Cessation de la convention :</w:t>
      </w:r>
      <w:bookmarkEnd w:id="103"/>
      <w:bookmarkEnd w:id="104"/>
      <w:bookmarkEnd w:id="105"/>
      <w:r w:rsidRPr="00B70365">
        <w:rPr>
          <w:rFonts w:cstheme="majorHAnsi"/>
        </w:rPr>
        <w:t xml:space="preserve"> </w:t>
      </w:r>
    </w:p>
    <w:p w14:paraId="4B2A6A0B" w14:textId="77777777" w:rsidR="00EC3D29" w:rsidRPr="00B70365" w:rsidRDefault="00EC3D29" w:rsidP="00EC3D29">
      <w:pPr>
        <w:rPr>
          <w:rFonts w:asciiTheme="majorHAnsi" w:hAnsiTheme="majorHAnsi"/>
        </w:rPr>
      </w:pPr>
      <w:r w:rsidRPr="00B70365">
        <w:rPr>
          <w:rFonts w:asciiTheme="majorHAnsi" w:hAnsiTheme="majorHAnsi"/>
        </w:rPr>
        <w:t xml:space="preserve">Il sera mis fin à la présente convention par application de l'article </w:t>
      </w:r>
      <w:r>
        <w:rPr>
          <w:rFonts w:asciiTheme="majorHAnsi" w:hAnsiTheme="majorHAnsi"/>
        </w:rPr>
        <w:t>53</w:t>
      </w:r>
      <w:r w:rsidRPr="00B70365">
        <w:rPr>
          <w:rFonts w:asciiTheme="majorHAnsi" w:hAnsiTheme="majorHAnsi"/>
        </w:rPr>
        <w:t xml:space="preserve"> "Ouverture et fermeture du service". </w:t>
      </w:r>
    </w:p>
    <w:p w14:paraId="3532FB8B" w14:textId="77777777" w:rsidR="00EC3D29" w:rsidRPr="00B70365" w:rsidRDefault="00EC3D29" w:rsidP="00EC3D29">
      <w:pPr>
        <w:rPr>
          <w:rFonts w:asciiTheme="majorHAnsi" w:hAnsiTheme="majorHAnsi"/>
        </w:rPr>
      </w:pPr>
    </w:p>
    <w:p w14:paraId="7FE8CB46" w14:textId="77777777" w:rsidR="00EC3D29" w:rsidRPr="00B70365" w:rsidRDefault="00EC3D29" w:rsidP="00EC3D29">
      <w:pPr>
        <w:pStyle w:val="Titre3"/>
        <w:jc w:val="both"/>
        <w:rPr>
          <w:rFonts w:cstheme="majorHAnsi"/>
        </w:rPr>
      </w:pPr>
      <w:bookmarkStart w:id="106" w:name="_Toc454435108"/>
      <w:bookmarkStart w:id="107" w:name="_Toc23862572"/>
      <w:bookmarkStart w:id="108" w:name="_Toc102642663"/>
      <w:r w:rsidRPr="00B70365">
        <w:rPr>
          <w:rFonts w:cstheme="majorHAnsi"/>
        </w:rPr>
        <w:t>Diffusion de la convention :</w:t>
      </w:r>
      <w:bookmarkEnd w:id="106"/>
      <w:bookmarkEnd w:id="107"/>
      <w:bookmarkEnd w:id="108"/>
      <w:r w:rsidRPr="00B70365">
        <w:rPr>
          <w:rFonts w:cstheme="majorHAnsi"/>
        </w:rPr>
        <w:t xml:space="preserve"> </w:t>
      </w:r>
    </w:p>
    <w:p w14:paraId="20CB3D15" w14:textId="77777777" w:rsidR="00EC3D29" w:rsidRPr="00B70365" w:rsidRDefault="00EC3D29" w:rsidP="00EC3D29">
      <w:pPr>
        <w:rPr>
          <w:rFonts w:asciiTheme="majorHAnsi" w:hAnsiTheme="majorHAnsi"/>
        </w:rPr>
      </w:pPr>
      <w:r w:rsidRPr="00B70365">
        <w:rPr>
          <w:rFonts w:asciiTheme="majorHAnsi" w:hAnsiTheme="majorHAnsi"/>
        </w:rPr>
        <w:t>La présente convention est intégrée au marché passé entre le Maître d'ouvrage et les entreprises.</w:t>
      </w:r>
    </w:p>
    <w:p w14:paraId="2FF323D3" w14:textId="77777777" w:rsidR="00EC3D29" w:rsidRPr="00B70365" w:rsidRDefault="00EC3D29" w:rsidP="00EC3D29">
      <w:pPr>
        <w:rPr>
          <w:rFonts w:asciiTheme="majorHAnsi" w:hAnsiTheme="majorHAnsi"/>
        </w:rPr>
      </w:pPr>
    </w:p>
    <w:p w14:paraId="1DB21D49" w14:textId="77777777" w:rsidR="00EC3D29" w:rsidRPr="00B70365" w:rsidRDefault="00EC3D29" w:rsidP="00EC3D29">
      <w:pPr>
        <w:pStyle w:val="Titre2"/>
        <w:jc w:val="both"/>
        <w:rPr>
          <w:rFonts w:cstheme="majorHAnsi"/>
        </w:rPr>
      </w:pPr>
      <w:bookmarkStart w:id="109" w:name="_Toc531766543"/>
      <w:bookmarkStart w:id="110" w:name="_Toc531766845"/>
      <w:bookmarkStart w:id="111" w:name="_Toc531766990"/>
      <w:bookmarkStart w:id="112" w:name="_Toc424752495"/>
      <w:bookmarkStart w:id="113" w:name="_Toc438205984"/>
      <w:bookmarkStart w:id="114" w:name="_Toc454435109"/>
      <w:bookmarkStart w:id="115" w:name="_Toc23862573"/>
      <w:bookmarkStart w:id="116" w:name="_Toc102642664"/>
      <w:r w:rsidRPr="00B70365">
        <w:rPr>
          <w:rFonts w:cstheme="majorHAnsi"/>
        </w:rPr>
        <w:t>FACTURATION DU SERVICE EDIFLEX</w:t>
      </w:r>
      <w:bookmarkEnd w:id="109"/>
      <w:bookmarkEnd w:id="110"/>
      <w:bookmarkEnd w:id="111"/>
      <w:bookmarkEnd w:id="112"/>
      <w:bookmarkEnd w:id="113"/>
      <w:bookmarkEnd w:id="114"/>
      <w:bookmarkEnd w:id="115"/>
      <w:bookmarkEnd w:id="116"/>
    </w:p>
    <w:p w14:paraId="551A45DF" w14:textId="77777777" w:rsidR="00EC3D29" w:rsidRPr="00A4779C" w:rsidRDefault="00EC3D29" w:rsidP="00EC3D29">
      <w:pPr>
        <w:pStyle w:val="Titre3"/>
        <w:jc w:val="both"/>
        <w:rPr>
          <w:rFonts w:cstheme="majorHAnsi"/>
        </w:rPr>
      </w:pPr>
      <w:bookmarkStart w:id="117" w:name="_Toc23862574"/>
      <w:bookmarkStart w:id="118" w:name="_Toc70003379"/>
      <w:bookmarkStart w:id="119" w:name="_Toc102642665"/>
      <w:r w:rsidRPr="00A4779C">
        <w:rPr>
          <w:rFonts w:cstheme="majorHAnsi"/>
        </w:rPr>
        <w:t>Prise en charge financière</w:t>
      </w:r>
      <w:bookmarkEnd w:id="117"/>
      <w:bookmarkEnd w:id="118"/>
      <w:bookmarkEnd w:id="119"/>
    </w:p>
    <w:p w14:paraId="6BF7595F" w14:textId="77777777" w:rsidR="00EC3D29" w:rsidRPr="00A4779C" w:rsidRDefault="00EC3D29" w:rsidP="00EC3D29">
      <w:pPr>
        <w:rPr>
          <w:rFonts w:asciiTheme="majorHAnsi" w:hAnsiTheme="majorHAnsi"/>
        </w:rPr>
      </w:pPr>
      <w:r w:rsidRPr="000B2B26">
        <w:rPr>
          <w:rFonts w:asciiTheme="majorHAnsi" w:hAnsiTheme="majorHAnsi"/>
        </w:rPr>
        <w:t>Le service est à la charge de l’entreprise titulaire du lot 02.</w:t>
      </w:r>
    </w:p>
    <w:p w14:paraId="0B2C77CB" w14:textId="77777777" w:rsidR="00EC3D29" w:rsidRPr="00A4779C" w:rsidRDefault="00EC3D29" w:rsidP="00EC3D29">
      <w:pPr>
        <w:rPr>
          <w:rFonts w:asciiTheme="majorHAnsi" w:hAnsiTheme="majorHAnsi"/>
        </w:rPr>
      </w:pPr>
      <w:r w:rsidRPr="00F35C41">
        <w:rPr>
          <w:rFonts w:asciiTheme="majorHAnsi" w:hAnsiTheme="majorHAnsi"/>
        </w:rPr>
        <w:t>Sous 15 jours à compter de la notification par le Maître d’ouvrage, un contrat de licence et de prestations de service sera conclu entre SOLEO, qui assurera la mise à disposition et l’administration du service EDIFLEX, et l'entreprise du lot 02 à qui seront adressées les factures du service.</w:t>
      </w:r>
    </w:p>
    <w:p w14:paraId="43FC57F9" w14:textId="77777777" w:rsidR="00EC3D29" w:rsidRPr="00307BB9" w:rsidRDefault="00EC3D29" w:rsidP="00EC3D29">
      <w:pPr>
        <w:rPr>
          <w:rFonts w:asciiTheme="majorHAnsi" w:hAnsiTheme="majorHAnsi"/>
          <w:highlight w:val="red"/>
        </w:rPr>
      </w:pPr>
    </w:p>
    <w:p w14:paraId="42C7D242" w14:textId="77777777" w:rsidR="00EC3D29" w:rsidRPr="00A4779C" w:rsidRDefault="00EC3D29" w:rsidP="00EC3D29">
      <w:pPr>
        <w:pStyle w:val="Titre3"/>
        <w:jc w:val="both"/>
        <w:rPr>
          <w:rFonts w:cstheme="majorHAnsi"/>
        </w:rPr>
      </w:pPr>
      <w:bookmarkStart w:id="120" w:name="_Toc521926424"/>
      <w:bookmarkStart w:id="121" w:name="_Toc454435110"/>
      <w:bookmarkStart w:id="122" w:name="_Toc23862575"/>
      <w:bookmarkStart w:id="123" w:name="_Toc70003380"/>
      <w:bookmarkStart w:id="124" w:name="_Toc102642666"/>
      <w:r w:rsidRPr="00A4779C">
        <w:rPr>
          <w:rFonts w:cstheme="majorHAnsi"/>
        </w:rPr>
        <w:lastRenderedPageBreak/>
        <w:t>Tarification du service :</w:t>
      </w:r>
      <w:bookmarkEnd w:id="120"/>
      <w:bookmarkEnd w:id="121"/>
      <w:bookmarkEnd w:id="122"/>
      <w:bookmarkEnd w:id="123"/>
      <w:bookmarkEnd w:id="124"/>
      <w:r w:rsidRPr="00A4779C">
        <w:rPr>
          <w:rFonts w:cstheme="majorHAnsi"/>
        </w:rPr>
        <w:t xml:space="preserve"> </w:t>
      </w:r>
    </w:p>
    <w:p w14:paraId="69A87B1D" w14:textId="77777777" w:rsidR="001F3605" w:rsidRPr="00FC79C7" w:rsidRDefault="001F3605" w:rsidP="001F3605">
      <w:pPr>
        <w:rPr>
          <w:rFonts w:asciiTheme="majorHAnsi" w:hAnsiTheme="majorHAnsi"/>
        </w:rPr>
      </w:pPr>
      <w:r w:rsidRPr="00FC79C7">
        <w:rPr>
          <w:rFonts w:asciiTheme="majorHAnsi" w:hAnsiTheme="majorHAnsi"/>
        </w:rPr>
        <w:t xml:space="preserve">Les coûts seront à </w:t>
      </w:r>
      <w:r w:rsidRPr="0002078C">
        <w:rPr>
          <w:rFonts w:asciiTheme="majorHAnsi" w:hAnsiTheme="majorHAnsi"/>
        </w:rPr>
        <w:t>répartir par l’entreprise gestionnaire du compte prorata pour la durée totale de souscription du service, au prorata de chaque marché (ou toute répartition à convenir entre les entreprises).</w:t>
      </w:r>
    </w:p>
    <w:p w14:paraId="2F9DF27C" w14:textId="77777777" w:rsidR="001F3605" w:rsidRDefault="001F3605">
      <w:pPr>
        <w:widowControl/>
        <w:suppressAutoHyphens w:val="0"/>
        <w:kinsoku/>
        <w:autoSpaceDN/>
        <w:spacing w:before="0" w:after="160" w:line="259" w:lineRule="auto"/>
        <w:jc w:val="left"/>
        <w:rPr>
          <w:rFonts w:asciiTheme="majorHAnsi" w:hAnsiTheme="majorHAnsi"/>
        </w:rPr>
      </w:pPr>
      <w:r>
        <w:rPr>
          <w:rFonts w:asciiTheme="majorHAnsi" w:hAnsiTheme="majorHAnsi"/>
        </w:rPr>
        <w:br w:type="page"/>
      </w:r>
    </w:p>
    <w:p w14:paraId="7F87FDC5" w14:textId="7D228038" w:rsidR="001F3605" w:rsidRPr="00B80965" w:rsidRDefault="001F3605" w:rsidP="001F3605">
      <w:pPr>
        <w:rPr>
          <w:rFonts w:asciiTheme="majorHAnsi" w:hAnsiTheme="majorHAnsi"/>
        </w:rPr>
      </w:pPr>
      <w:r w:rsidRPr="00B80965">
        <w:rPr>
          <w:rFonts w:asciiTheme="majorHAnsi" w:hAnsiTheme="majorHAnsi"/>
        </w:rPr>
        <w:lastRenderedPageBreak/>
        <w:t xml:space="preserve">Couts du service imputé aux entreprises : </w:t>
      </w:r>
    </w:p>
    <w:tbl>
      <w:tblPr>
        <w:tblW w:w="9120" w:type="dxa"/>
        <w:tblLook w:val="04A0" w:firstRow="1" w:lastRow="0" w:firstColumn="1" w:lastColumn="0" w:noHBand="0" w:noVBand="1"/>
      </w:tblPr>
      <w:tblGrid>
        <w:gridCol w:w="4240"/>
        <w:gridCol w:w="1820"/>
        <w:gridCol w:w="1440"/>
        <w:gridCol w:w="1620"/>
      </w:tblGrid>
      <w:tr w:rsidR="0016436D" w:rsidRPr="0016436D" w14:paraId="59E56F42" w14:textId="77777777" w:rsidTr="0016436D">
        <w:trPr>
          <w:trHeight w:val="320"/>
        </w:trPr>
        <w:tc>
          <w:tcPr>
            <w:tcW w:w="4240" w:type="dxa"/>
            <w:shd w:val="clear" w:color="auto" w:fill="DDEBF7"/>
            <w:noWrap/>
            <w:tcMar>
              <w:top w:w="15" w:type="dxa"/>
              <w:left w:w="15" w:type="dxa"/>
              <w:bottom w:w="15" w:type="dxa"/>
              <w:right w:w="15" w:type="dxa"/>
            </w:tcMar>
            <w:vAlign w:val="bottom"/>
            <w:hideMark/>
          </w:tcPr>
          <w:p w14:paraId="7BB78AA7" w14:textId="77777777" w:rsidR="0016436D" w:rsidRPr="0016436D" w:rsidRDefault="0016436D" w:rsidP="0016436D">
            <w:pPr>
              <w:widowControl/>
              <w:suppressAutoHyphens w:val="0"/>
              <w:kinsoku/>
              <w:autoSpaceDN/>
              <w:spacing w:before="0"/>
              <w:jc w:val="left"/>
              <w:rPr>
                <w:rFonts w:ascii="Calibri" w:hAnsi="Calibri" w:cs="Calibri"/>
                <w:color w:val="000000"/>
                <w:sz w:val="22"/>
                <w:szCs w:val="22"/>
                <w:lang w:eastAsia="fr-FR" w:bidi="ar-SA"/>
              </w:rPr>
            </w:pPr>
            <w:r w:rsidRPr="0016436D">
              <w:rPr>
                <w:rFonts w:ascii="Calibri" w:hAnsi="Calibri" w:cs="Calibri"/>
                <w:b/>
                <w:bCs/>
                <w:color w:val="000000"/>
                <w:sz w:val="22"/>
                <w:szCs w:val="22"/>
                <w:lang w:eastAsia="fr-FR" w:bidi="ar-SA"/>
              </w:rPr>
              <w:t>Chantier / Prorata</w:t>
            </w:r>
          </w:p>
        </w:tc>
        <w:tc>
          <w:tcPr>
            <w:tcW w:w="1820" w:type="dxa"/>
            <w:shd w:val="clear" w:color="auto" w:fill="DDEBF7"/>
            <w:noWrap/>
            <w:tcMar>
              <w:top w:w="15" w:type="dxa"/>
              <w:left w:w="15" w:type="dxa"/>
              <w:bottom w:w="15" w:type="dxa"/>
              <w:right w:w="15" w:type="dxa"/>
            </w:tcMar>
            <w:vAlign w:val="bottom"/>
            <w:hideMark/>
          </w:tcPr>
          <w:p w14:paraId="4B4F214D" w14:textId="77777777" w:rsidR="0016436D" w:rsidRPr="0016436D" w:rsidRDefault="0016436D" w:rsidP="0016436D">
            <w:pPr>
              <w:widowControl/>
              <w:suppressAutoHyphens w:val="0"/>
              <w:kinsoku/>
              <w:autoSpaceDN/>
              <w:spacing w:before="0"/>
              <w:jc w:val="left"/>
              <w:rPr>
                <w:rFonts w:ascii="Calibri" w:hAnsi="Calibri" w:cs="Calibri"/>
                <w:color w:val="000000"/>
                <w:sz w:val="22"/>
                <w:szCs w:val="22"/>
                <w:lang w:eastAsia="fr-FR" w:bidi="ar-SA"/>
              </w:rPr>
            </w:pPr>
            <w:r w:rsidRPr="0016436D">
              <w:rPr>
                <w:rFonts w:ascii="Calibri" w:hAnsi="Calibri" w:cs="Calibri"/>
                <w:color w:val="000000"/>
                <w:sz w:val="22"/>
                <w:szCs w:val="22"/>
                <w:lang w:eastAsia="fr-FR" w:bidi="ar-SA"/>
              </w:rPr>
              <w:t> </w:t>
            </w:r>
          </w:p>
        </w:tc>
        <w:tc>
          <w:tcPr>
            <w:tcW w:w="1440" w:type="dxa"/>
            <w:shd w:val="clear" w:color="auto" w:fill="DDEBF7"/>
            <w:noWrap/>
            <w:tcMar>
              <w:top w:w="15" w:type="dxa"/>
              <w:left w:w="15" w:type="dxa"/>
              <w:bottom w:w="15" w:type="dxa"/>
              <w:right w:w="15" w:type="dxa"/>
            </w:tcMar>
            <w:vAlign w:val="bottom"/>
            <w:hideMark/>
          </w:tcPr>
          <w:p w14:paraId="35BD71E5" w14:textId="77777777" w:rsidR="0016436D" w:rsidRPr="0016436D" w:rsidRDefault="0016436D" w:rsidP="0016436D">
            <w:pPr>
              <w:widowControl/>
              <w:suppressAutoHyphens w:val="0"/>
              <w:kinsoku/>
              <w:autoSpaceDN/>
              <w:spacing w:before="0"/>
              <w:jc w:val="left"/>
              <w:rPr>
                <w:rFonts w:ascii="Calibri" w:hAnsi="Calibri" w:cs="Calibri"/>
                <w:color w:val="000000"/>
                <w:sz w:val="22"/>
                <w:szCs w:val="22"/>
                <w:lang w:eastAsia="fr-FR" w:bidi="ar-SA"/>
              </w:rPr>
            </w:pPr>
            <w:r w:rsidRPr="0016436D">
              <w:rPr>
                <w:rFonts w:ascii="Calibri" w:hAnsi="Calibri" w:cs="Calibri"/>
                <w:color w:val="000000"/>
                <w:sz w:val="22"/>
                <w:szCs w:val="22"/>
                <w:lang w:eastAsia="fr-FR" w:bidi="ar-SA"/>
              </w:rPr>
              <w:t> </w:t>
            </w:r>
          </w:p>
        </w:tc>
        <w:tc>
          <w:tcPr>
            <w:tcW w:w="1620" w:type="dxa"/>
            <w:shd w:val="clear" w:color="auto" w:fill="DDEBF7"/>
            <w:noWrap/>
            <w:tcMar>
              <w:top w:w="15" w:type="dxa"/>
              <w:left w:w="15" w:type="dxa"/>
              <w:bottom w:w="15" w:type="dxa"/>
              <w:right w:w="15" w:type="dxa"/>
            </w:tcMar>
            <w:vAlign w:val="bottom"/>
            <w:hideMark/>
          </w:tcPr>
          <w:p w14:paraId="3FC73FC0" w14:textId="77777777" w:rsidR="0016436D" w:rsidRPr="0016436D" w:rsidRDefault="0016436D" w:rsidP="0016436D">
            <w:pPr>
              <w:widowControl/>
              <w:suppressAutoHyphens w:val="0"/>
              <w:kinsoku/>
              <w:autoSpaceDN/>
              <w:spacing w:before="0"/>
              <w:jc w:val="left"/>
              <w:rPr>
                <w:rFonts w:ascii="Calibri" w:hAnsi="Calibri" w:cs="Calibri"/>
                <w:color w:val="000000"/>
                <w:sz w:val="22"/>
                <w:szCs w:val="22"/>
                <w:lang w:eastAsia="fr-FR" w:bidi="ar-SA"/>
              </w:rPr>
            </w:pPr>
            <w:r w:rsidRPr="0016436D">
              <w:rPr>
                <w:rFonts w:ascii="Calibri" w:hAnsi="Calibri" w:cs="Calibri"/>
                <w:i/>
                <w:iCs/>
                <w:color w:val="000000"/>
                <w:sz w:val="22"/>
                <w:szCs w:val="22"/>
                <w:lang w:eastAsia="fr-FR" w:bidi="ar-SA"/>
              </w:rPr>
              <w:t>valeur 09/2024</w:t>
            </w:r>
          </w:p>
        </w:tc>
      </w:tr>
      <w:tr w:rsidR="0016436D" w:rsidRPr="0016436D" w14:paraId="454F50F0" w14:textId="77777777" w:rsidTr="0016436D">
        <w:trPr>
          <w:trHeight w:val="325"/>
        </w:trPr>
        <w:tc>
          <w:tcPr>
            <w:tcW w:w="4240" w:type="dxa"/>
            <w:tcBorders>
              <w:top w:val="nil"/>
              <w:left w:val="nil"/>
              <w:bottom w:val="single" w:sz="4" w:space="0" w:color="auto"/>
              <w:right w:val="nil"/>
            </w:tcBorders>
            <w:shd w:val="clear" w:color="auto" w:fill="FFFFFF"/>
            <w:noWrap/>
            <w:tcMar>
              <w:top w:w="15" w:type="dxa"/>
              <w:left w:w="15" w:type="dxa"/>
              <w:bottom w:w="15" w:type="dxa"/>
              <w:right w:w="15" w:type="dxa"/>
            </w:tcMar>
            <w:vAlign w:val="bottom"/>
            <w:hideMark/>
          </w:tcPr>
          <w:p w14:paraId="51EA0DE5" w14:textId="77777777" w:rsidR="0016436D" w:rsidRPr="0016436D" w:rsidRDefault="0016436D" w:rsidP="0016436D">
            <w:pPr>
              <w:widowControl/>
              <w:suppressAutoHyphens w:val="0"/>
              <w:kinsoku/>
              <w:autoSpaceDN/>
              <w:spacing w:before="0"/>
              <w:jc w:val="left"/>
              <w:rPr>
                <w:rFonts w:ascii="Calibri" w:hAnsi="Calibri" w:cs="Calibri"/>
                <w:color w:val="000000"/>
                <w:sz w:val="22"/>
                <w:szCs w:val="22"/>
                <w:lang w:eastAsia="fr-FR" w:bidi="ar-SA"/>
              </w:rPr>
            </w:pPr>
            <w:r w:rsidRPr="0016436D">
              <w:rPr>
                <w:rFonts w:ascii="Calibri" w:hAnsi="Calibri" w:cs="Calibri"/>
                <w:b/>
                <w:bCs/>
                <w:color w:val="000000"/>
                <w:sz w:val="22"/>
                <w:szCs w:val="22"/>
                <w:lang w:eastAsia="fr-FR" w:bidi="ar-SA"/>
              </w:rPr>
              <w:t>Couts initiaux</w:t>
            </w:r>
          </w:p>
        </w:tc>
        <w:tc>
          <w:tcPr>
            <w:tcW w:w="1820" w:type="dxa"/>
            <w:tcBorders>
              <w:top w:val="nil"/>
              <w:left w:val="nil"/>
              <w:bottom w:val="single" w:sz="4" w:space="0" w:color="auto"/>
              <w:right w:val="nil"/>
            </w:tcBorders>
            <w:shd w:val="clear" w:color="auto" w:fill="FFFFFF"/>
            <w:noWrap/>
            <w:tcMar>
              <w:top w:w="15" w:type="dxa"/>
              <w:left w:w="15" w:type="dxa"/>
              <w:bottom w:w="15" w:type="dxa"/>
              <w:right w:w="15" w:type="dxa"/>
            </w:tcMar>
            <w:vAlign w:val="bottom"/>
            <w:hideMark/>
          </w:tcPr>
          <w:p w14:paraId="1B23D8A5" w14:textId="77777777" w:rsidR="0016436D" w:rsidRPr="0016436D" w:rsidRDefault="0016436D" w:rsidP="0016436D">
            <w:pPr>
              <w:widowControl/>
              <w:suppressAutoHyphens w:val="0"/>
              <w:kinsoku/>
              <w:autoSpaceDN/>
              <w:spacing w:before="0"/>
              <w:jc w:val="left"/>
              <w:rPr>
                <w:rFonts w:ascii="Calibri" w:hAnsi="Calibri" w:cs="Calibri"/>
                <w:color w:val="000000"/>
                <w:sz w:val="22"/>
                <w:szCs w:val="22"/>
                <w:lang w:eastAsia="fr-FR" w:bidi="ar-SA"/>
              </w:rPr>
            </w:pPr>
            <w:r w:rsidRPr="0016436D">
              <w:rPr>
                <w:rFonts w:ascii="Calibri" w:hAnsi="Calibri" w:cs="Calibri"/>
                <w:b/>
                <w:bCs/>
                <w:color w:val="000000"/>
                <w:sz w:val="22"/>
                <w:szCs w:val="22"/>
                <w:lang w:eastAsia="fr-FR" w:bidi="ar-SA"/>
              </w:rPr>
              <w:t> </w:t>
            </w:r>
          </w:p>
        </w:tc>
        <w:tc>
          <w:tcPr>
            <w:tcW w:w="1440" w:type="dxa"/>
            <w:tcBorders>
              <w:top w:val="nil"/>
              <w:left w:val="nil"/>
              <w:bottom w:val="single" w:sz="4" w:space="0" w:color="auto"/>
              <w:right w:val="single" w:sz="4" w:space="0" w:color="auto"/>
            </w:tcBorders>
            <w:shd w:val="clear" w:color="auto" w:fill="FFFFFF"/>
            <w:noWrap/>
            <w:tcMar>
              <w:top w:w="15" w:type="dxa"/>
              <w:left w:w="15" w:type="dxa"/>
              <w:bottom w:w="15" w:type="dxa"/>
              <w:right w:w="15" w:type="dxa"/>
            </w:tcMar>
            <w:vAlign w:val="bottom"/>
            <w:hideMark/>
          </w:tcPr>
          <w:p w14:paraId="493AEC3C" w14:textId="77777777" w:rsidR="0016436D" w:rsidRPr="0016436D" w:rsidRDefault="0016436D" w:rsidP="0016436D">
            <w:pPr>
              <w:widowControl/>
              <w:suppressAutoHyphens w:val="0"/>
              <w:kinsoku/>
              <w:autoSpaceDN/>
              <w:spacing w:before="0"/>
              <w:jc w:val="left"/>
              <w:rPr>
                <w:rFonts w:ascii="Calibri" w:hAnsi="Calibri" w:cs="Calibri"/>
                <w:color w:val="000000"/>
                <w:sz w:val="22"/>
                <w:szCs w:val="22"/>
                <w:lang w:eastAsia="fr-FR" w:bidi="ar-SA"/>
              </w:rPr>
            </w:pPr>
            <w:r w:rsidRPr="0016436D">
              <w:rPr>
                <w:rFonts w:ascii="Calibri" w:hAnsi="Calibri" w:cs="Calibri"/>
                <w:b/>
                <w:bCs/>
                <w:color w:val="000000"/>
                <w:sz w:val="22"/>
                <w:szCs w:val="22"/>
                <w:lang w:eastAsia="fr-FR" w:bidi="ar-SA"/>
              </w:rPr>
              <w:t> </w:t>
            </w:r>
          </w:p>
        </w:tc>
        <w:tc>
          <w:tcPr>
            <w:tcW w:w="1620" w:type="dxa"/>
            <w:tcBorders>
              <w:top w:val="single" w:sz="4" w:space="0" w:color="auto"/>
              <w:left w:val="nil"/>
              <w:bottom w:val="nil"/>
              <w:right w:val="single" w:sz="4" w:space="0" w:color="auto"/>
            </w:tcBorders>
            <w:shd w:val="clear" w:color="auto" w:fill="FFFFFF"/>
            <w:noWrap/>
            <w:tcMar>
              <w:top w:w="15" w:type="dxa"/>
              <w:left w:w="15" w:type="dxa"/>
              <w:bottom w:w="15" w:type="dxa"/>
              <w:right w:w="15" w:type="dxa"/>
            </w:tcMar>
            <w:vAlign w:val="center"/>
            <w:hideMark/>
          </w:tcPr>
          <w:p w14:paraId="74859FC5" w14:textId="77777777" w:rsidR="0016436D" w:rsidRPr="0016436D" w:rsidRDefault="0016436D" w:rsidP="0016436D">
            <w:pPr>
              <w:widowControl/>
              <w:suppressAutoHyphens w:val="0"/>
              <w:kinsoku/>
              <w:autoSpaceDN/>
              <w:spacing w:before="0"/>
              <w:jc w:val="center"/>
              <w:rPr>
                <w:rFonts w:ascii="Calibri" w:hAnsi="Calibri" w:cs="Calibri"/>
                <w:color w:val="000000"/>
                <w:sz w:val="22"/>
                <w:szCs w:val="22"/>
                <w:lang w:eastAsia="fr-FR" w:bidi="ar-SA"/>
              </w:rPr>
            </w:pPr>
            <w:r w:rsidRPr="0016436D">
              <w:rPr>
                <w:rFonts w:ascii="Calibri" w:hAnsi="Calibri" w:cs="Calibri"/>
                <w:color w:val="000000"/>
                <w:sz w:val="22"/>
                <w:szCs w:val="22"/>
                <w:lang w:eastAsia="fr-FR" w:bidi="ar-SA"/>
              </w:rPr>
              <w:t>Couts HT</w:t>
            </w:r>
          </w:p>
        </w:tc>
      </w:tr>
      <w:tr w:rsidR="0016436D" w:rsidRPr="0016436D" w14:paraId="0FA37C30" w14:textId="77777777" w:rsidTr="0016436D">
        <w:trPr>
          <w:trHeight w:val="325"/>
        </w:trPr>
        <w:tc>
          <w:tcPr>
            <w:tcW w:w="4240" w:type="dxa"/>
            <w:tcBorders>
              <w:top w:val="nil"/>
              <w:left w:val="single" w:sz="4" w:space="0" w:color="auto"/>
              <w:bottom w:val="nil"/>
              <w:right w:val="nil"/>
            </w:tcBorders>
            <w:shd w:val="clear" w:color="auto" w:fill="FFFFFF"/>
            <w:noWrap/>
            <w:tcMar>
              <w:top w:w="15" w:type="dxa"/>
              <w:left w:w="15" w:type="dxa"/>
              <w:bottom w:w="15" w:type="dxa"/>
              <w:right w:w="15" w:type="dxa"/>
            </w:tcMar>
            <w:vAlign w:val="center"/>
            <w:hideMark/>
          </w:tcPr>
          <w:p w14:paraId="0EE0D125" w14:textId="77777777" w:rsidR="0016436D" w:rsidRPr="0016436D" w:rsidRDefault="0016436D" w:rsidP="0016436D">
            <w:pPr>
              <w:widowControl/>
              <w:suppressAutoHyphens w:val="0"/>
              <w:kinsoku/>
              <w:autoSpaceDN/>
              <w:spacing w:before="0"/>
              <w:jc w:val="left"/>
              <w:rPr>
                <w:rFonts w:ascii="Calibri" w:hAnsi="Calibri" w:cs="Calibri"/>
                <w:color w:val="000000"/>
                <w:sz w:val="22"/>
                <w:szCs w:val="22"/>
                <w:lang w:eastAsia="fr-FR" w:bidi="ar-SA"/>
              </w:rPr>
            </w:pPr>
            <w:r w:rsidRPr="0016436D">
              <w:rPr>
                <w:rFonts w:ascii="Calibri" w:hAnsi="Calibri" w:cs="Calibri"/>
                <w:color w:val="000000"/>
                <w:sz w:val="22"/>
                <w:szCs w:val="22"/>
                <w:u w:val="single"/>
                <w:lang w:eastAsia="fr-FR" w:bidi="ar-SA"/>
              </w:rPr>
              <w:t>Participation aux couts initiaux</w:t>
            </w:r>
          </w:p>
        </w:tc>
        <w:tc>
          <w:tcPr>
            <w:tcW w:w="1820" w:type="dxa"/>
            <w:shd w:val="clear" w:color="auto" w:fill="FFFFFF"/>
            <w:tcMar>
              <w:top w:w="15" w:type="dxa"/>
              <w:left w:w="15" w:type="dxa"/>
              <w:bottom w:w="15" w:type="dxa"/>
              <w:right w:w="15" w:type="dxa"/>
            </w:tcMar>
            <w:vAlign w:val="center"/>
            <w:hideMark/>
          </w:tcPr>
          <w:p w14:paraId="61C436A1" w14:textId="77777777" w:rsidR="0016436D" w:rsidRPr="0016436D" w:rsidRDefault="0016436D" w:rsidP="0016436D">
            <w:pPr>
              <w:widowControl/>
              <w:suppressAutoHyphens w:val="0"/>
              <w:kinsoku/>
              <w:autoSpaceDN/>
              <w:spacing w:before="0"/>
              <w:jc w:val="left"/>
              <w:rPr>
                <w:rFonts w:ascii="Calibri" w:hAnsi="Calibri" w:cs="Calibri"/>
                <w:color w:val="000000"/>
                <w:sz w:val="22"/>
                <w:szCs w:val="22"/>
                <w:lang w:eastAsia="fr-FR" w:bidi="ar-SA"/>
              </w:rPr>
            </w:pPr>
            <w:r w:rsidRPr="0016436D">
              <w:rPr>
                <w:rFonts w:ascii="Calibri" w:hAnsi="Calibri" w:cs="Calibri"/>
                <w:color w:val="000000"/>
                <w:sz w:val="22"/>
                <w:szCs w:val="22"/>
                <w:u w:val="single"/>
                <w:lang w:eastAsia="fr-FR" w:bidi="ar-SA"/>
              </w:rPr>
              <w:t> </w:t>
            </w:r>
          </w:p>
        </w:tc>
        <w:tc>
          <w:tcPr>
            <w:tcW w:w="1440" w:type="dxa"/>
            <w:tcBorders>
              <w:top w:val="nil"/>
              <w:left w:val="nil"/>
              <w:bottom w:val="nil"/>
              <w:right w:val="single" w:sz="4" w:space="0" w:color="auto"/>
            </w:tcBorders>
            <w:shd w:val="clear" w:color="auto" w:fill="FFFFFF"/>
            <w:tcMar>
              <w:top w:w="15" w:type="dxa"/>
              <w:left w:w="15" w:type="dxa"/>
              <w:bottom w:w="15" w:type="dxa"/>
              <w:right w:w="15" w:type="dxa"/>
            </w:tcMar>
            <w:vAlign w:val="center"/>
            <w:hideMark/>
          </w:tcPr>
          <w:p w14:paraId="3F70B58D" w14:textId="77777777" w:rsidR="0016436D" w:rsidRPr="0016436D" w:rsidRDefault="0016436D" w:rsidP="0016436D">
            <w:pPr>
              <w:widowControl/>
              <w:suppressAutoHyphens w:val="0"/>
              <w:kinsoku/>
              <w:autoSpaceDN/>
              <w:spacing w:before="0"/>
              <w:jc w:val="left"/>
              <w:rPr>
                <w:rFonts w:ascii="Calibri" w:hAnsi="Calibri" w:cs="Calibri"/>
                <w:color w:val="000000"/>
                <w:sz w:val="22"/>
                <w:szCs w:val="22"/>
                <w:lang w:eastAsia="fr-FR" w:bidi="ar-SA"/>
              </w:rPr>
            </w:pPr>
            <w:r w:rsidRPr="0016436D">
              <w:rPr>
                <w:rFonts w:ascii="Calibri" w:hAnsi="Calibri" w:cs="Calibri"/>
                <w:color w:val="000000"/>
                <w:sz w:val="22"/>
                <w:szCs w:val="22"/>
                <w:u w:val="single"/>
                <w:lang w:eastAsia="fr-FR" w:bidi="ar-SA"/>
              </w:rPr>
              <w:t> </w:t>
            </w:r>
          </w:p>
        </w:tc>
        <w:tc>
          <w:tcPr>
            <w:tcW w:w="1620" w:type="dxa"/>
            <w:tcBorders>
              <w:top w:val="single" w:sz="4" w:space="0" w:color="auto"/>
              <w:left w:val="nil"/>
              <w:bottom w:val="nil"/>
              <w:right w:val="single" w:sz="4" w:space="0" w:color="auto"/>
            </w:tcBorders>
            <w:shd w:val="clear" w:color="auto" w:fill="FFFFFF"/>
            <w:noWrap/>
            <w:tcMar>
              <w:top w:w="15" w:type="dxa"/>
              <w:left w:w="15" w:type="dxa"/>
              <w:bottom w:w="15" w:type="dxa"/>
              <w:right w:w="15" w:type="dxa"/>
            </w:tcMar>
            <w:vAlign w:val="bottom"/>
            <w:hideMark/>
          </w:tcPr>
          <w:p w14:paraId="61F1ADC0" w14:textId="77777777" w:rsidR="0016436D" w:rsidRPr="0016436D" w:rsidRDefault="0016436D" w:rsidP="0016436D">
            <w:pPr>
              <w:widowControl/>
              <w:suppressAutoHyphens w:val="0"/>
              <w:kinsoku/>
              <w:autoSpaceDN/>
              <w:spacing w:before="0"/>
              <w:jc w:val="left"/>
              <w:rPr>
                <w:rFonts w:ascii="Calibri" w:hAnsi="Calibri" w:cs="Calibri"/>
                <w:color w:val="000000"/>
                <w:sz w:val="22"/>
                <w:szCs w:val="22"/>
                <w:lang w:eastAsia="fr-FR" w:bidi="ar-SA"/>
              </w:rPr>
            </w:pPr>
            <w:r w:rsidRPr="0016436D">
              <w:rPr>
                <w:rFonts w:ascii="Calibri" w:hAnsi="Calibri" w:cs="Calibri"/>
                <w:color w:val="000000"/>
                <w:sz w:val="22"/>
                <w:szCs w:val="22"/>
                <w:lang w:eastAsia="fr-FR" w:bidi="ar-SA"/>
              </w:rPr>
              <w:t> </w:t>
            </w:r>
          </w:p>
        </w:tc>
      </w:tr>
      <w:tr w:rsidR="0016436D" w:rsidRPr="0016436D" w14:paraId="6ED6E4AF" w14:textId="77777777" w:rsidTr="0016436D">
        <w:trPr>
          <w:trHeight w:val="320"/>
        </w:trPr>
        <w:tc>
          <w:tcPr>
            <w:tcW w:w="6060" w:type="dxa"/>
            <w:gridSpan w:val="2"/>
            <w:tcBorders>
              <w:top w:val="nil"/>
              <w:left w:val="single" w:sz="4" w:space="0" w:color="auto"/>
              <w:bottom w:val="nil"/>
              <w:right w:val="nil"/>
            </w:tcBorders>
            <w:shd w:val="clear" w:color="auto" w:fill="FFFFFF"/>
            <w:noWrap/>
            <w:tcMar>
              <w:top w:w="15" w:type="dxa"/>
              <w:left w:w="15" w:type="dxa"/>
              <w:bottom w:w="15" w:type="dxa"/>
              <w:right w:w="15" w:type="dxa"/>
            </w:tcMar>
            <w:vAlign w:val="center"/>
            <w:hideMark/>
          </w:tcPr>
          <w:p w14:paraId="0DE00453" w14:textId="77777777" w:rsidR="0016436D" w:rsidRPr="0016436D" w:rsidRDefault="0016436D" w:rsidP="0016436D">
            <w:pPr>
              <w:widowControl/>
              <w:suppressAutoHyphens w:val="0"/>
              <w:kinsoku/>
              <w:autoSpaceDN/>
              <w:spacing w:before="0"/>
              <w:jc w:val="left"/>
              <w:rPr>
                <w:rFonts w:ascii="Calibri" w:hAnsi="Calibri" w:cs="Calibri"/>
                <w:color w:val="000000"/>
                <w:sz w:val="22"/>
                <w:szCs w:val="22"/>
                <w:lang w:eastAsia="fr-FR" w:bidi="ar-SA"/>
              </w:rPr>
            </w:pPr>
            <w:r w:rsidRPr="0016436D">
              <w:rPr>
                <w:rFonts w:ascii="Calibri" w:hAnsi="Calibri" w:cs="Calibri"/>
                <w:color w:val="000000"/>
                <w:sz w:val="22"/>
                <w:szCs w:val="22"/>
                <w:lang w:eastAsia="fr-FR" w:bidi="ar-SA"/>
              </w:rPr>
              <w:t>Mise en place du service / paramétrages / formations</w:t>
            </w:r>
          </w:p>
        </w:tc>
        <w:tc>
          <w:tcPr>
            <w:tcW w:w="1440" w:type="dxa"/>
            <w:tcBorders>
              <w:top w:val="nil"/>
              <w:left w:val="nil"/>
              <w:bottom w:val="nil"/>
              <w:right w:val="single" w:sz="4" w:space="0" w:color="auto"/>
            </w:tcBorders>
            <w:shd w:val="clear" w:color="auto" w:fill="FFFFFF"/>
            <w:noWrap/>
            <w:tcMar>
              <w:top w:w="15" w:type="dxa"/>
              <w:left w:w="15" w:type="dxa"/>
              <w:bottom w:w="15" w:type="dxa"/>
              <w:right w:w="15" w:type="dxa"/>
            </w:tcMar>
            <w:vAlign w:val="center"/>
            <w:hideMark/>
          </w:tcPr>
          <w:p w14:paraId="6612912F" w14:textId="77777777" w:rsidR="0016436D" w:rsidRPr="0016436D" w:rsidRDefault="0016436D" w:rsidP="0016436D">
            <w:pPr>
              <w:widowControl/>
              <w:suppressAutoHyphens w:val="0"/>
              <w:kinsoku/>
              <w:autoSpaceDN/>
              <w:spacing w:before="0"/>
              <w:jc w:val="left"/>
              <w:rPr>
                <w:rFonts w:ascii="Calibri" w:hAnsi="Calibri" w:cs="Calibri"/>
                <w:color w:val="000000"/>
                <w:sz w:val="22"/>
                <w:szCs w:val="22"/>
                <w:lang w:eastAsia="fr-FR" w:bidi="ar-SA"/>
              </w:rPr>
            </w:pPr>
            <w:r w:rsidRPr="0016436D">
              <w:rPr>
                <w:rFonts w:ascii="Calibri" w:hAnsi="Calibri" w:cs="Calibri"/>
                <w:color w:val="000000"/>
                <w:sz w:val="22"/>
                <w:szCs w:val="22"/>
                <w:lang w:eastAsia="fr-FR" w:bidi="ar-SA"/>
              </w:rPr>
              <w:t> </w:t>
            </w:r>
          </w:p>
        </w:tc>
        <w:tc>
          <w:tcPr>
            <w:tcW w:w="1620" w:type="dxa"/>
            <w:tcBorders>
              <w:top w:val="nil"/>
              <w:left w:val="nil"/>
              <w:bottom w:val="nil"/>
              <w:right w:val="single" w:sz="4" w:space="0" w:color="auto"/>
            </w:tcBorders>
            <w:shd w:val="clear" w:color="auto" w:fill="FFFFFF"/>
            <w:noWrap/>
            <w:tcMar>
              <w:top w:w="15" w:type="dxa"/>
              <w:left w:w="15" w:type="dxa"/>
              <w:bottom w:w="15" w:type="dxa"/>
              <w:right w:w="15" w:type="dxa"/>
            </w:tcMar>
            <w:vAlign w:val="center"/>
            <w:hideMark/>
          </w:tcPr>
          <w:p w14:paraId="71589848" w14:textId="77777777" w:rsidR="0016436D" w:rsidRPr="0016436D" w:rsidRDefault="0016436D" w:rsidP="0016436D">
            <w:pPr>
              <w:widowControl/>
              <w:suppressAutoHyphens w:val="0"/>
              <w:kinsoku/>
              <w:autoSpaceDN/>
              <w:spacing w:before="0"/>
              <w:jc w:val="left"/>
              <w:rPr>
                <w:rFonts w:ascii="Calibri" w:hAnsi="Calibri" w:cs="Calibri"/>
                <w:color w:val="000000"/>
                <w:sz w:val="22"/>
                <w:szCs w:val="22"/>
                <w:lang w:eastAsia="fr-FR" w:bidi="ar-SA"/>
              </w:rPr>
            </w:pPr>
            <w:r w:rsidRPr="0016436D">
              <w:rPr>
                <w:rFonts w:ascii="Calibri" w:hAnsi="Calibri" w:cs="Calibri"/>
                <w:color w:val="000000"/>
                <w:sz w:val="22"/>
                <w:szCs w:val="22"/>
                <w:lang w:eastAsia="fr-FR" w:bidi="ar-SA"/>
              </w:rPr>
              <w:t>                  4 915 €</w:t>
            </w:r>
          </w:p>
        </w:tc>
      </w:tr>
      <w:tr w:rsidR="0016436D" w:rsidRPr="0016436D" w14:paraId="6A15D3C7" w14:textId="77777777" w:rsidTr="0016436D">
        <w:trPr>
          <w:trHeight w:val="325"/>
        </w:trPr>
        <w:tc>
          <w:tcPr>
            <w:tcW w:w="6060" w:type="dxa"/>
            <w:gridSpan w:val="2"/>
            <w:tcBorders>
              <w:top w:val="nil"/>
              <w:left w:val="single" w:sz="4" w:space="0" w:color="auto"/>
              <w:bottom w:val="single" w:sz="4" w:space="0" w:color="auto"/>
              <w:right w:val="nil"/>
            </w:tcBorders>
            <w:shd w:val="clear" w:color="auto" w:fill="FFFFFF"/>
            <w:noWrap/>
            <w:tcMar>
              <w:top w:w="15" w:type="dxa"/>
              <w:left w:w="15" w:type="dxa"/>
              <w:bottom w:w="15" w:type="dxa"/>
              <w:right w:w="15" w:type="dxa"/>
            </w:tcMar>
            <w:vAlign w:val="center"/>
            <w:hideMark/>
          </w:tcPr>
          <w:p w14:paraId="45100862" w14:textId="77777777" w:rsidR="0016436D" w:rsidRPr="0016436D" w:rsidRDefault="0016436D" w:rsidP="0016436D">
            <w:pPr>
              <w:widowControl/>
              <w:suppressAutoHyphens w:val="0"/>
              <w:kinsoku/>
              <w:autoSpaceDN/>
              <w:spacing w:before="0"/>
              <w:jc w:val="left"/>
              <w:rPr>
                <w:rFonts w:ascii="Calibri" w:hAnsi="Calibri" w:cs="Calibri"/>
                <w:color w:val="000000"/>
                <w:sz w:val="22"/>
                <w:szCs w:val="22"/>
                <w:lang w:eastAsia="fr-FR" w:bidi="ar-SA"/>
              </w:rPr>
            </w:pPr>
            <w:r w:rsidRPr="0016436D">
              <w:rPr>
                <w:rFonts w:ascii="Calibri" w:hAnsi="Calibri" w:cs="Calibri"/>
                <w:color w:val="000000"/>
                <w:sz w:val="22"/>
                <w:szCs w:val="22"/>
                <w:lang w:eastAsia="fr-FR" w:bidi="ar-SA"/>
              </w:rPr>
              <w:t>Formation des entreprises / webinars mensuels en accès libre</w:t>
            </w:r>
          </w:p>
        </w:tc>
        <w:tc>
          <w:tcPr>
            <w:tcW w:w="1440" w:type="dxa"/>
            <w:tcBorders>
              <w:top w:val="nil"/>
              <w:left w:val="nil"/>
              <w:bottom w:val="single" w:sz="4" w:space="0" w:color="auto"/>
              <w:right w:val="single" w:sz="4" w:space="0" w:color="auto"/>
            </w:tcBorders>
            <w:shd w:val="clear" w:color="auto" w:fill="FFFFFF"/>
            <w:noWrap/>
            <w:tcMar>
              <w:top w:w="15" w:type="dxa"/>
              <w:left w:w="15" w:type="dxa"/>
              <w:bottom w:w="15" w:type="dxa"/>
              <w:right w:w="15" w:type="dxa"/>
            </w:tcMar>
            <w:vAlign w:val="center"/>
            <w:hideMark/>
          </w:tcPr>
          <w:p w14:paraId="131E665B" w14:textId="77777777" w:rsidR="0016436D" w:rsidRPr="0016436D" w:rsidRDefault="0016436D" w:rsidP="0016436D">
            <w:pPr>
              <w:widowControl/>
              <w:suppressAutoHyphens w:val="0"/>
              <w:kinsoku/>
              <w:autoSpaceDN/>
              <w:spacing w:before="0"/>
              <w:jc w:val="left"/>
              <w:rPr>
                <w:rFonts w:ascii="Calibri" w:hAnsi="Calibri" w:cs="Calibri"/>
                <w:color w:val="000000"/>
                <w:sz w:val="22"/>
                <w:szCs w:val="22"/>
                <w:lang w:eastAsia="fr-FR" w:bidi="ar-SA"/>
              </w:rPr>
            </w:pPr>
            <w:r w:rsidRPr="0016436D">
              <w:rPr>
                <w:rFonts w:ascii="Calibri" w:hAnsi="Calibri" w:cs="Calibri"/>
                <w:color w:val="000000"/>
                <w:sz w:val="22"/>
                <w:szCs w:val="22"/>
                <w:lang w:eastAsia="fr-FR" w:bidi="ar-SA"/>
              </w:rPr>
              <w:t> </w:t>
            </w:r>
          </w:p>
        </w:tc>
        <w:tc>
          <w:tcPr>
            <w:tcW w:w="1620" w:type="dxa"/>
            <w:tcBorders>
              <w:top w:val="nil"/>
              <w:left w:val="nil"/>
              <w:bottom w:val="single" w:sz="4" w:space="0" w:color="auto"/>
              <w:right w:val="single" w:sz="4" w:space="0" w:color="auto"/>
            </w:tcBorders>
            <w:shd w:val="clear" w:color="auto" w:fill="FFFFFF"/>
            <w:noWrap/>
            <w:tcMar>
              <w:top w:w="15" w:type="dxa"/>
              <w:left w:w="15" w:type="dxa"/>
              <w:bottom w:w="15" w:type="dxa"/>
              <w:right w:w="15" w:type="dxa"/>
            </w:tcMar>
            <w:vAlign w:val="center"/>
            <w:hideMark/>
          </w:tcPr>
          <w:p w14:paraId="104960DE" w14:textId="77777777" w:rsidR="0016436D" w:rsidRPr="0016436D" w:rsidRDefault="0016436D" w:rsidP="0016436D">
            <w:pPr>
              <w:widowControl/>
              <w:suppressAutoHyphens w:val="0"/>
              <w:kinsoku/>
              <w:autoSpaceDN/>
              <w:spacing w:before="0"/>
              <w:jc w:val="left"/>
              <w:rPr>
                <w:rFonts w:ascii="Calibri" w:hAnsi="Calibri" w:cs="Calibri"/>
                <w:color w:val="000000"/>
                <w:sz w:val="22"/>
                <w:szCs w:val="22"/>
                <w:lang w:eastAsia="fr-FR" w:bidi="ar-SA"/>
              </w:rPr>
            </w:pPr>
            <w:r w:rsidRPr="0016436D">
              <w:rPr>
                <w:rFonts w:ascii="Calibri" w:hAnsi="Calibri" w:cs="Calibri"/>
                <w:color w:val="000000"/>
                <w:sz w:val="22"/>
                <w:szCs w:val="22"/>
                <w:lang w:eastAsia="fr-FR" w:bidi="ar-SA"/>
              </w:rPr>
              <w:t> inclus </w:t>
            </w:r>
          </w:p>
        </w:tc>
      </w:tr>
      <w:tr w:rsidR="0016436D" w:rsidRPr="0016436D" w14:paraId="3CE1620E" w14:textId="77777777" w:rsidTr="0016436D">
        <w:trPr>
          <w:trHeight w:val="325"/>
        </w:trPr>
        <w:tc>
          <w:tcPr>
            <w:tcW w:w="4240" w:type="dxa"/>
            <w:shd w:val="clear" w:color="auto" w:fill="FFFFFF"/>
            <w:noWrap/>
            <w:tcMar>
              <w:top w:w="15" w:type="dxa"/>
              <w:left w:w="15" w:type="dxa"/>
              <w:bottom w:w="15" w:type="dxa"/>
              <w:right w:w="15" w:type="dxa"/>
            </w:tcMar>
            <w:vAlign w:val="center"/>
            <w:hideMark/>
          </w:tcPr>
          <w:p w14:paraId="626A5CCC" w14:textId="77777777" w:rsidR="0016436D" w:rsidRPr="0016436D" w:rsidRDefault="0016436D" w:rsidP="0016436D">
            <w:pPr>
              <w:widowControl/>
              <w:suppressAutoHyphens w:val="0"/>
              <w:kinsoku/>
              <w:autoSpaceDN/>
              <w:spacing w:before="0"/>
              <w:jc w:val="left"/>
              <w:rPr>
                <w:rFonts w:ascii="Calibri" w:hAnsi="Calibri" w:cs="Calibri"/>
                <w:color w:val="000000"/>
                <w:sz w:val="22"/>
                <w:szCs w:val="22"/>
                <w:lang w:eastAsia="fr-FR" w:bidi="ar-SA"/>
              </w:rPr>
            </w:pPr>
            <w:r w:rsidRPr="0016436D">
              <w:rPr>
                <w:rFonts w:ascii="Calibri" w:hAnsi="Calibri" w:cs="Calibri"/>
                <w:color w:val="000000"/>
                <w:sz w:val="22"/>
                <w:szCs w:val="22"/>
                <w:lang w:eastAsia="fr-FR" w:bidi="ar-SA"/>
              </w:rPr>
              <w:t> </w:t>
            </w:r>
          </w:p>
        </w:tc>
        <w:tc>
          <w:tcPr>
            <w:tcW w:w="1820" w:type="dxa"/>
            <w:shd w:val="clear" w:color="auto" w:fill="FFFFFF"/>
            <w:noWrap/>
            <w:tcMar>
              <w:top w:w="15" w:type="dxa"/>
              <w:left w:w="15" w:type="dxa"/>
              <w:bottom w:w="15" w:type="dxa"/>
              <w:right w:w="15" w:type="dxa"/>
            </w:tcMar>
            <w:vAlign w:val="center"/>
            <w:hideMark/>
          </w:tcPr>
          <w:p w14:paraId="2576E058" w14:textId="77777777" w:rsidR="0016436D" w:rsidRPr="0016436D" w:rsidRDefault="0016436D" w:rsidP="0016436D">
            <w:pPr>
              <w:widowControl/>
              <w:suppressAutoHyphens w:val="0"/>
              <w:kinsoku/>
              <w:autoSpaceDN/>
              <w:spacing w:before="0"/>
              <w:jc w:val="left"/>
              <w:rPr>
                <w:rFonts w:ascii="Calibri" w:hAnsi="Calibri" w:cs="Calibri"/>
                <w:color w:val="000000"/>
                <w:sz w:val="22"/>
                <w:szCs w:val="22"/>
                <w:lang w:eastAsia="fr-FR" w:bidi="ar-SA"/>
              </w:rPr>
            </w:pPr>
            <w:r w:rsidRPr="0016436D">
              <w:rPr>
                <w:rFonts w:ascii="Calibri" w:hAnsi="Calibri" w:cs="Calibri"/>
                <w:color w:val="000000"/>
                <w:sz w:val="22"/>
                <w:szCs w:val="22"/>
                <w:lang w:eastAsia="fr-FR" w:bidi="ar-SA"/>
              </w:rPr>
              <w:t> </w:t>
            </w:r>
          </w:p>
        </w:tc>
        <w:tc>
          <w:tcPr>
            <w:tcW w:w="1440" w:type="dxa"/>
            <w:shd w:val="clear" w:color="auto" w:fill="FFFFFF"/>
            <w:noWrap/>
            <w:tcMar>
              <w:top w:w="15" w:type="dxa"/>
              <w:left w:w="15" w:type="dxa"/>
              <w:bottom w:w="15" w:type="dxa"/>
              <w:right w:w="15" w:type="dxa"/>
            </w:tcMar>
            <w:vAlign w:val="center"/>
            <w:hideMark/>
          </w:tcPr>
          <w:p w14:paraId="5C894877" w14:textId="77777777" w:rsidR="0016436D" w:rsidRPr="0016436D" w:rsidRDefault="0016436D" w:rsidP="0016436D">
            <w:pPr>
              <w:widowControl/>
              <w:suppressAutoHyphens w:val="0"/>
              <w:kinsoku/>
              <w:autoSpaceDN/>
              <w:spacing w:before="0"/>
              <w:jc w:val="left"/>
              <w:rPr>
                <w:rFonts w:ascii="Calibri" w:hAnsi="Calibri" w:cs="Calibri"/>
                <w:color w:val="000000"/>
                <w:sz w:val="22"/>
                <w:szCs w:val="22"/>
                <w:lang w:eastAsia="fr-FR" w:bidi="ar-SA"/>
              </w:rPr>
            </w:pPr>
            <w:r w:rsidRPr="0016436D">
              <w:rPr>
                <w:rFonts w:ascii="Calibri" w:hAnsi="Calibri" w:cs="Calibri"/>
                <w:color w:val="000000"/>
                <w:sz w:val="22"/>
                <w:szCs w:val="22"/>
                <w:lang w:eastAsia="fr-FR" w:bidi="ar-SA"/>
              </w:rPr>
              <w:t> </w:t>
            </w:r>
          </w:p>
        </w:tc>
        <w:tc>
          <w:tcPr>
            <w:tcW w:w="1620" w:type="dxa"/>
            <w:shd w:val="clear" w:color="auto" w:fill="FFFFFF"/>
            <w:noWrap/>
            <w:tcMar>
              <w:top w:w="15" w:type="dxa"/>
              <w:left w:w="15" w:type="dxa"/>
              <w:bottom w:w="15" w:type="dxa"/>
              <w:right w:w="15" w:type="dxa"/>
            </w:tcMar>
            <w:vAlign w:val="center"/>
            <w:hideMark/>
          </w:tcPr>
          <w:p w14:paraId="19ADD56C" w14:textId="77777777" w:rsidR="0016436D" w:rsidRPr="0016436D" w:rsidRDefault="0016436D" w:rsidP="0016436D">
            <w:pPr>
              <w:widowControl/>
              <w:suppressAutoHyphens w:val="0"/>
              <w:kinsoku/>
              <w:autoSpaceDN/>
              <w:spacing w:before="0"/>
              <w:jc w:val="left"/>
              <w:rPr>
                <w:rFonts w:ascii="Calibri" w:hAnsi="Calibri" w:cs="Calibri"/>
                <w:color w:val="000000"/>
                <w:sz w:val="22"/>
                <w:szCs w:val="22"/>
                <w:lang w:eastAsia="fr-FR" w:bidi="ar-SA"/>
              </w:rPr>
            </w:pPr>
            <w:r w:rsidRPr="0016436D">
              <w:rPr>
                <w:rFonts w:ascii="Calibri" w:hAnsi="Calibri" w:cs="Calibri"/>
                <w:color w:val="000000"/>
                <w:sz w:val="22"/>
                <w:szCs w:val="22"/>
                <w:lang w:eastAsia="fr-FR" w:bidi="ar-SA"/>
              </w:rPr>
              <w:t> </w:t>
            </w:r>
          </w:p>
        </w:tc>
      </w:tr>
      <w:tr w:rsidR="0016436D" w:rsidRPr="0016436D" w14:paraId="6D200579" w14:textId="77777777" w:rsidTr="0016436D">
        <w:trPr>
          <w:trHeight w:val="325"/>
        </w:trPr>
        <w:tc>
          <w:tcPr>
            <w:tcW w:w="4240" w:type="dxa"/>
            <w:tcBorders>
              <w:top w:val="nil"/>
              <w:left w:val="nil"/>
              <w:bottom w:val="single" w:sz="4" w:space="0" w:color="auto"/>
              <w:right w:val="nil"/>
            </w:tcBorders>
            <w:shd w:val="clear" w:color="auto" w:fill="FFFFFF"/>
            <w:noWrap/>
            <w:tcMar>
              <w:top w:w="15" w:type="dxa"/>
              <w:left w:w="15" w:type="dxa"/>
              <w:bottom w:w="15" w:type="dxa"/>
              <w:right w:w="15" w:type="dxa"/>
            </w:tcMar>
            <w:vAlign w:val="bottom"/>
            <w:hideMark/>
          </w:tcPr>
          <w:p w14:paraId="2D7B9A6A" w14:textId="77777777" w:rsidR="0016436D" w:rsidRPr="0016436D" w:rsidRDefault="0016436D" w:rsidP="0016436D">
            <w:pPr>
              <w:widowControl/>
              <w:suppressAutoHyphens w:val="0"/>
              <w:kinsoku/>
              <w:autoSpaceDN/>
              <w:spacing w:before="0"/>
              <w:jc w:val="left"/>
              <w:rPr>
                <w:rFonts w:ascii="Calibri" w:hAnsi="Calibri" w:cs="Calibri"/>
                <w:color w:val="000000"/>
                <w:sz w:val="22"/>
                <w:szCs w:val="22"/>
                <w:lang w:eastAsia="fr-FR" w:bidi="ar-SA"/>
              </w:rPr>
            </w:pPr>
            <w:r w:rsidRPr="0016436D">
              <w:rPr>
                <w:rFonts w:ascii="Calibri" w:hAnsi="Calibri" w:cs="Calibri"/>
                <w:b/>
                <w:bCs/>
                <w:color w:val="000000"/>
                <w:sz w:val="22"/>
                <w:szCs w:val="22"/>
                <w:lang w:eastAsia="fr-FR" w:bidi="ar-SA"/>
              </w:rPr>
              <w:t>Couts Mensuels</w:t>
            </w:r>
          </w:p>
        </w:tc>
        <w:tc>
          <w:tcPr>
            <w:tcW w:w="1820" w:type="dxa"/>
            <w:tcBorders>
              <w:top w:val="nil"/>
              <w:left w:val="nil"/>
              <w:bottom w:val="single" w:sz="4" w:space="0" w:color="auto"/>
              <w:right w:val="nil"/>
            </w:tcBorders>
            <w:shd w:val="clear" w:color="auto" w:fill="FFFFFF"/>
            <w:noWrap/>
            <w:tcMar>
              <w:top w:w="15" w:type="dxa"/>
              <w:left w:w="15" w:type="dxa"/>
              <w:bottom w:w="15" w:type="dxa"/>
              <w:right w:w="15" w:type="dxa"/>
            </w:tcMar>
            <w:vAlign w:val="bottom"/>
            <w:hideMark/>
          </w:tcPr>
          <w:p w14:paraId="79DF9A7D" w14:textId="77777777" w:rsidR="0016436D" w:rsidRPr="0016436D" w:rsidRDefault="0016436D" w:rsidP="0016436D">
            <w:pPr>
              <w:widowControl/>
              <w:suppressAutoHyphens w:val="0"/>
              <w:kinsoku/>
              <w:autoSpaceDN/>
              <w:spacing w:before="0"/>
              <w:jc w:val="left"/>
              <w:rPr>
                <w:rFonts w:ascii="Calibri" w:hAnsi="Calibri" w:cs="Calibri"/>
                <w:color w:val="000000"/>
                <w:sz w:val="22"/>
                <w:szCs w:val="22"/>
                <w:lang w:eastAsia="fr-FR" w:bidi="ar-SA"/>
              </w:rPr>
            </w:pPr>
            <w:r w:rsidRPr="0016436D">
              <w:rPr>
                <w:rFonts w:ascii="Calibri" w:hAnsi="Calibri" w:cs="Calibri"/>
                <w:b/>
                <w:bCs/>
                <w:color w:val="000000"/>
                <w:sz w:val="22"/>
                <w:szCs w:val="22"/>
                <w:lang w:eastAsia="fr-FR" w:bidi="ar-SA"/>
              </w:rPr>
              <w:t> </w:t>
            </w:r>
          </w:p>
        </w:tc>
        <w:tc>
          <w:tcPr>
            <w:tcW w:w="1440" w:type="dxa"/>
            <w:tcBorders>
              <w:top w:val="nil"/>
              <w:left w:val="nil"/>
              <w:bottom w:val="single" w:sz="4" w:space="0" w:color="auto"/>
              <w:right w:val="single" w:sz="4" w:space="0" w:color="auto"/>
            </w:tcBorders>
            <w:shd w:val="clear" w:color="auto" w:fill="FFFFFF"/>
            <w:noWrap/>
            <w:tcMar>
              <w:top w:w="15" w:type="dxa"/>
              <w:left w:w="15" w:type="dxa"/>
              <w:bottom w:w="15" w:type="dxa"/>
              <w:right w:w="15" w:type="dxa"/>
            </w:tcMar>
            <w:vAlign w:val="bottom"/>
            <w:hideMark/>
          </w:tcPr>
          <w:p w14:paraId="1236A047" w14:textId="77777777" w:rsidR="0016436D" w:rsidRPr="0016436D" w:rsidRDefault="0016436D" w:rsidP="0016436D">
            <w:pPr>
              <w:widowControl/>
              <w:suppressAutoHyphens w:val="0"/>
              <w:kinsoku/>
              <w:autoSpaceDN/>
              <w:spacing w:before="0"/>
              <w:jc w:val="left"/>
              <w:rPr>
                <w:rFonts w:ascii="Calibri" w:hAnsi="Calibri" w:cs="Calibri"/>
                <w:color w:val="000000"/>
                <w:sz w:val="22"/>
                <w:szCs w:val="22"/>
                <w:lang w:eastAsia="fr-FR" w:bidi="ar-SA"/>
              </w:rPr>
            </w:pPr>
            <w:r w:rsidRPr="0016436D">
              <w:rPr>
                <w:rFonts w:ascii="Calibri" w:hAnsi="Calibri" w:cs="Calibri"/>
                <w:b/>
                <w:bCs/>
                <w:color w:val="000000"/>
                <w:sz w:val="22"/>
                <w:szCs w:val="22"/>
                <w:lang w:eastAsia="fr-FR" w:bidi="ar-SA"/>
              </w:rPr>
              <w:t> </w:t>
            </w:r>
          </w:p>
        </w:tc>
        <w:tc>
          <w:tcPr>
            <w:tcW w:w="1620" w:type="dxa"/>
            <w:tcBorders>
              <w:top w:val="single" w:sz="4" w:space="0" w:color="auto"/>
              <w:left w:val="nil"/>
              <w:bottom w:val="nil"/>
              <w:right w:val="single" w:sz="4" w:space="0" w:color="auto"/>
            </w:tcBorders>
            <w:shd w:val="clear" w:color="auto" w:fill="FFFFFF"/>
            <w:noWrap/>
            <w:tcMar>
              <w:top w:w="15" w:type="dxa"/>
              <w:left w:w="15" w:type="dxa"/>
              <w:bottom w:w="15" w:type="dxa"/>
              <w:right w:w="15" w:type="dxa"/>
            </w:tcMar>
            <w:vAlign w:val="center"/>
            <w:hideMark/>
          </w:tcPr>
          <w:p w14:paraId="54AF88CD" w14:textId="77777777" w:rsidR="0016436D" w:rsidRPr="0016436D" w:rsidRDefault="0016436D" w:rsidP="0016436D">
            <w:pPr>
              <w:widowControl/>
              <w:suppressAutoHyphens w:val="0"/>
              <w:kinsoku/>
              <w:autoSpaceDN/>
              <w:spacing w:before="0"/>
              <w:jc w:val="center"/>
              <w:rPr>
                <w:rFonts w:ascii="Calibri" w:hAnsi="Calibri" w:cs="Calibri"/>
                <w:color w:val="000000"/>
                <w:sz w:val="22"/>
                <w:szCs w:val="22"/>
                <w:lang w:eastAsia="fr-FR" w:bidi="ar-SA"/>
              </w:rPr>
            </w:pPr>
            <w:r w:rsidRPr="0016436D">
              <w:rPr>
                <w:rFonts w:ascii="Calibri" w:hAnsi="Calibri" w:cs="Calibri"/>
                <w:color w:val="000000"/>
                <w:sz w:val="22"/>
                <w:szCs w:val="22"/>
                <w:lang w:eastAsia="fr-FR" w:bidi="ar-SA"/>
              </w:rPr>
              <w:t>Couts HT</w:t>
            </w:r>
          </w:p>
        </w:tc>
      </w:tr>
      <w:tr w:rsidR="0016436D" w:rsidRPr="0016436D" w14:paraId="5109A962" w14:textId="77777777" w:rsidTr="0016436D">
        <w:trPr>
          <w:trHeight w:val="325"/>
        </w:trPr>
        <w:tc>
          <w:tcPr>
            <w:tcW w:w="6060" w:type="dxa"/>
            <w:gridSpan w:val="2"/>
            <w:tcBorders>
              <w:top w:val="single" w:sz="4" w:space="0" w:color="auto"/>
              <w:left w:val="single" w:sz="4" w:space="0" w:color="auto"/>
              <w:bottom w:val="nil"/>
              <w:right w:val="nil"/>
            </w:tcBorders>
            <w:shd w:val="clear" w:color="auto" w:fill="FFFFFF"/>
            <w:noWrap/>
            <w:tcMar>
              <w:top w:w="15" w:type="dxa"/>
              <w:left w:w="15" w:type="dxa"/>
              <w:bottom w:w="15" w:type="dxa"/>
              <w:right w:w="15" w:type="dxa"/>
            </w:tcMar>
            <w:vAlign w:val="center"/>
            <w:hideMark/>
          </w:tcPr>
          <w:p w14:paraId="007EED78" w14:textId="77777777" w:rsidR="0016436D" w:rsidRPr="0016436D" w:rsidRDefault="0016436D" w:rsidP="0016436D">
            <w:pPr>
              <w:widowControl/>
              <w:suppressAutoHyphens w:val="0"/>
              <w:kinsoku/>
              <w:autoSpaceDN/>
              <w:spacing w:before="0"/>
              <w:jc w:val="left"/>
              <w:rPr>
                <w:rFonts w:ascii="Calibri" w:hAnsi="Calibri" w:cs="Calibri"/>
                <w:color w:val="000000"/>
                <w:sz w:val="22"/>
                <w:szCs w:val="22"/>
                <w:lang w:eastAsia="fr-FR" w:bidi="ar-SA"/>
              </w:rPr>
            </w:pPr>
            <w:r w:rsidRPr="0016436D">
              <w:rPr>
                <w:rFonts w:ascii="Calibri" w:hAnsi="Calibri" w:cs="Calibri"/>
                <w:color w:val="000000"/>
                <w:sz w:val="22"/>
                <w:szCs w:val="22"/>
                <w:u w:val="single"/>
                <w:lang w:eastAsia="fr-FR" w:bidi="ar-SA"/>
              </w:rPr>
              <w:t>Participation au cout mensuel d'abonnement au service EDIFLEX</w:t>
            </w:r>
          </w:p>
        </w:tc>
        <w:tc>
          <w:tcPr>
            <w:tcW w:w="1440" w:type="dxa"/>
            <w:tcBorders>
              <w:top w:val="nil"/>
              <w:left w:val="nil"/>
              <w:bottom w:val="nil"/>
              <w:right w:val="single" w:sz="4" w:space="0" w:color="auto"/>
            </w:tcBorders>
            <w:shd w:val="clear" w:color="auto" w:fill="FFFFFF"/>
            <w:tcMar>
              <w:top w:w="15" w:type="dxa"/>
              <w:left w:w="15" w:type="dxa"/>
              <w:bottom w:w="15" w:type="dxa"/>
              <w:right w:w="15" w:type="dxa"/>
            </w:tcMar>
            <w:vAlign w:val="center"/>
            <w:hideMark/>
          </w:tcPr>
          <w:p w14:paraId="2068C779" w14:textId="77777777" w:rsidR="0016436D" w:rsidRPr="0016436D" w:rsidRDefault="0016436D" w:rsidP="0016436D">
            <w:pPr>
              <w:widowControl/>
              <w:suppressAutoHyphens w:val="0"/>
              <w:kinsoku/>
              <w:autoSpaceDN/>
              <w:spacing w:before="0"/>
              <w:jc w:val="left"/>
              <w:rPr>
                <w:rFonts w:ascii="Calibri" w:hAnsi="Calibri" w:cs="Calibri"/>
                <w:color w:val="000000"/>
                <w:sz w:val="22"/>
                <w:szCs w:val="22"/>
                <w:lang w:eastAsia="fr-FR" w:bidi="ar-SA"/>
              </w:rPr>
            </w:pPr>
            <w:r w:rsidRPr="0016436D">
              <w:rPr>
                <w:rFonts w:ascii="Calibri" w:hAnsi="Calibri" w:cs="Calibri"/>
                <w:color w:val="000000"/>
                <w:sz w:val="22"/>
                <w:szCs w:val="22"/>
                <w:u w:val="single"/>
                <w:lang w:eastAsia="fr-FR" w:bidi="ar-SA"/>
              </w:rPr>
              <w:t> </w:t>
            </w:r>
          </w:p>
        </w:tc>
        <w:tc>
          <w:tcPr>
            <w:tcW w:w="1620" w:type="dxa"/>
            <w:tcBorders>
              <w:top w:val="single" w:sz="4" w:space="0" w:color="auto"/>
              <w:left w:val="nil"/>
              <w:bottom w:val="nil"/>
              <w:right w:val="single" w:sz="4" w:space="0" w:color="auto"/>
            </w:tcBorders>
            <w:shd w:val="clear" w:color="auto" w:fill="FFFFFF"/>
            <w:noWrap/>
            <w:tcMar>
              <w:top w:w="15" w:type="dxa"/>
              <w:left w:w="15" w:type="dxa"/>
              <w:bottom w:w="15" w:type="dxa"/>
              <w:right w:w="15" w:type="dxa"/>
            </w:tcMar>
            <w:vAlign w:val="center"/>
            <w:hideMark/>
          </w:tcPr>
          <w:p w14:paraId="6EB92D3F" w14:textId="77777777" w:rsidR="0016436D" w:rsidRPr="0016436D" w:rsidRDefault="0016436D" w:rsidP="0016436D">
            <w:pPr>
              <w:widowControl/>
              <w:suppressAutoHyphens w:val="0"/>
              <w:kinsoku/>
              <w:autoSpaceDN/>
              <w:spacing w:before="0"/>
              <w:jc w:val="left"/>
              <w:rPr>
                <w:rFonts w:ascii="Calibri" w:hAnsi="Calibri" w:cs="Calibri"/>
                <w:color w:val="000000"/>
                <w:sz w:val="22"/>
                <w:szCs w:val="22"/>
                <w:lang w:eastAsia="fr-FR" w:bidi="ar-SA"/>
              </w:rPr>
            </w:pPr>
            <w:r w:rsidRPr="0016436D">
              <w:rPr>
                <w:rFonts w:ascii="Calibri" w:hAnsi="Calibri" w:cs="Calibri"/>
                <w:color w:val="000000"/>
                <w:sz w:val="22"/>
                <w:szCs w:val="22"/>
                <w:lang w:eastAsia="fr-FR" w:bidi="ar-SA"/>
              </w:rPr>
              <w:t> </w:t>
            </w:r>
          </w:p>
        </w:tc>
      </w:tr>
      <w:tr w:rsidR="0016436D" w:rsidRPr="0016436D" w14:paraId="27B4CC37" w14:textId="77777777" w:rsidTr="0016436D">
        <w:trPr>
          <w:trHeight w:val="325"/>
        </w:trPr>
        <w:tc>
          <w:tcPr>
            <w:tcW w:w="6060" w:type="dxa"/>
            <w:gridSpan w:val="2"/>
            <w:tcBorders>
              <w:top w:val="nil"/>
              <w:left w:val="single" w:sz="4" w:space="0" w:color="auto"/>
              <w:bottom w:val="single" w:sz="4" w:space="0" w:color="auto"/>
              <w:right w:val="nil"/>
            </w:tcBorders>
            <w:shd w:val="clear" w:color="auto" w:fill="FFFFFF"/>
            <w:noWrap/>
            <w:tcMar>
              <w:top w:w="15" w:type="dxa"/>
              <w:left w:w="15" w:type="dxa"/>
              <w:bottom w:w="15" w:type="dxa"/>
              <w:right w:w="15" w:type="dxa"/>
            </w:tcMar>
            <w:vAlign w:val="center"/>
            <w:hideMark/>
          </w:tcPr>
          <w:p w14:paraId="7AB3EE96" w14:textId="77777777" w:rsidR="0016436D" w:rsidRPr="0016436D" w:rsidRDefault="0016436D" w:rsidP="0016436D">
            <w:pPr>
              <w:widowControl/>
              <w:suppressAutoHyphens w:val="0"/>
              <w:kinsoku/>
              <w:autoSpaceDN/>
              <w:spacing w:before="0"/>
              <w:jc w:val="left"/>
              <w:rPr>
                <w:rFonts w:ascii="Calibri" w:hAnsi="Calibri" w:cs="Calibri"/>
                <w:color w:val="000000"/>
                <w:sz w:val="22"/>
                <w:szCs w:val="22"/>
                <w:lang w:eastAsia="fr-FR" w:bidi="ar-SA"/>
              </w:rPr>
            </w:pPr>
            <w:r w:rsidRPr="0016436D">
              <w:rPr>
                <w:rFonts w:ascii="Calibri" w:hAnsi="Calibri" w:cs="Calibri"/>
                <w:color w:val="000000"/>
                <w:sz w:val="22"/>
                <w:szCs w:val="22"/>
                <w:lang w:eastAsia="fr-FR" w:bidi="ar-SA"/>
              </w:rPr>
              <w:t>Prise en charge à répartir au prorata des marchés des entreprises</w:t>
            </w:r>
          </w:p>
        </w:tc>
        <w:tc>
          <w:tcPr>
            <w:tcW w:w="1440" w:type="dxa"/>
            <w:tcBorders>
              <w:top w:val="nil"/>
              <w:left w:val="nil"/>
              <w:bottom w:val="single" w:sz="4" w:space="0" w:color="auto"/>
              <w:right w:val="single" w:sz="4" w:space="0" w:color="auto"/>
            </w:tcBorders>
            <w:shd w:val="clear" w:color="auto" w:fill="FFFFFF"/>
            <w:noWrap/>
            <w:tcMar>
              <w:top w:w="15" w:type="dxa"/>
              <w:left w:w="15" w:type="dxa"/>
              <w:bottom w:w="15" w:type="dxa"/>
              <w:right w:w="15" w:type="dxa"/>
            </w:tcMar>
            <w:vAlign w:val="center"/>
            <w:hideMark/>
          </w:tcPr>
          <w:p w14:paraId="63D4F676" w14:textId="77777777" w:rsidR="0016436D" w:rsidRPr="0016436D" w:rsidRDefault="0016436D" w:rsidP="0016436D">
            <w:pPr>
              <w:widowControl/>
              <w:suppressAutoHyphens w:val="0"/>
              <w:kinsoku/>
              <w:autoSpaceDN/>
              <w:spacing w:before="0"/>
              <w:jc w:val="left"/>
              <w:rPr>
                <w:rFonts w:ascii="Calibri" w:hAnsi="Calibri" w:cs="Calibri"/>
                <w:color w:val="000000"/>
                <w:sz w:val="22"/>
                <w:szCs w:val="22"/>
                <w:lang w:eastAsia="fr-FR" w:bidi="ar-SA"/>
              </w:rPr>
            </w:pPr>
            <w:r w:rsidRPr="0016436D">
              <w:rPr>
                <w:rFonts w:ascii="Calibri" w:hAnsi="Calibri" w:cs="Calibri"/>
                <w:color w:val="000000"/>
                <w:sz w:val="22"/>
                <w:szCs w:val="22"/>
                <w:lang w:eastAsia="fr-FR" w:bidi="ar-SA"/>
              </w:rPr>
              <w:t> </w:t>
            </w:r>
          </w:p>
        </w:tc>
        <w:tc>
          <w:tcPr>
            <w:tcW w:w="1620" w:type="dxa"/>
            <w:tcBorders>
              <w:top w:val="nil"/>
              <w:left w:val="nil"/>
              <w:bottom w:val="single" w:sz="4" w:space="0" w:color="auto"/>
              <w:right w:val="single" w:sz="4" w:space="0" w:color="auto"/>
            </w:tcBorders>
            <w:shd w:val="clear" w:color="auto" w:fill="FFFFFF"/>
            <w:noWrap/>
            <w:tcMar>
              <w:top w:w="15" w:type="dxa"/>
              <w:left w:w="15" w:type="dxa"/>
              <w:bottom w:w="15" w:type="dxa"/>
              <w:right w:w="15" w:type="dxa"/>
            </w:tcMar>
            <w:vAlign w:val="center"/>
            <w:hideMark/>
          </w:tcPr>
          <w:p w14:paraId="7C000460" w14:textId="77777777" w:rsidR="0016436D" w:rsidRPr="0016436D" w:rsidRDefault="0016436D" w:rsidP="0016436D">
            <w:pPr>
              <w:widowControl/>
              <w:suppressAutoHyphens w:val="0"/>
              <w:kinsoku/>
              <w:autoSpaceDN/>
              <w:spacing w:before="0"/>
              <w:jc w:val="left"/>
              <w:rPr>
                <w:rFonts w:ascii="Calibri" w:hAnsi="Calibri" w:cs="Calibri"/>
                <w:color w:val="000000"/>
                <w:sz w:val="22"/>
                <w:szCs w:val="22"/>
                <w:lang w:eastAsia="fr-FR" w:bidi="ar-SA"/>
              </w:rPr>
            </w:pPr>
            <w:r w:rsidRPr="0016436D">
              <w:rPr>
                <w:rFonts w:ascii="Calibri" w:hAnsi="Calibri" w:cs="Calibri"/>
                <w:color w:val="000000"/>
                <w:sz w:val="22"/>
                <w:szCs w:val="22"/>
                <w:lang w:eastAsia="fr-FR" w:bidi="ar-SA"/>
              </w:rPr>
              <w:t>                     750 €</w:t>
            </w:r>
          </w:p>
        </w:tc>
      </w:tr>
    </w:tbl>
    <w:p w14:paraId="5E0B1ED7" w14:textId="77777777" w:rsidR="0016436D" w:rsidRPr="0016436D" w:rsidRDefault="0016436D" w:rsidP="0016436D">
      <w:pPr>
        <w:widowControl/>
        <w:suppressAutoHyphens w:val="0"/>
        <w:kinsoku/>
        <w:autoSpaceDN/>
        <w:spacing w:before="0"/>
        <w:jc w:val="left"/>
        <w:rPr>
          <w:rFonts w:ascii="Calibri" w:hAnsi="Calibri" w:cs="Calibri"/>
          <w:color w:val="000000"/>
          <w:sz w:val="22"/>
          <w:szCs w:val="22"/>
          <w:lang w:eastAsia="fr-FR" w:bidi="ar-SA"/>
        </w:rPr>
      </w:pPr>
    </w:p>
    <w:p w14:paraId="23E4FED4" w14:textId="596C488D" w:rsidR="001F3605" w:rsidRDefault="001F3605" w:rsidP="001F3605">
      <w:pPr>
        <w:rPr>
          <w:rFonts w:asciiTheme="majorHAnsi" w:hAnsiTheme="majorHAnsi"/>
        </w:rPr>
      </w:pPr>
      <w:r w:rsidRPr="00FC79C7">
        <w:rPr>
          <w:rFonts w:asciiTheme="majorHAnsi" w:hAnsiTheme="majorHAnsi"/>
        </w:rPr>
        <w:t>La facturation démarre à l'ouverture du service (notification du marché de travaux) et dure jusqu'à l'envoi des dernières situations par les entreprises à l'issue de la réception des ouvrages.</w:t>
      </w:r>
    </w:p>
    <w:p w14:paraId="1368ABE1" w14:textId="77777777" w:rsidR="00EC3D29" w:rsidRPr="002219A1" w:rsidRDefault="00EC3D29" w:rsidP="00EC3D29">
      <w:pPr>
        <w:rPr>
          <w:rFonts w:asciiTheme="majorHAnsi" w:hAnsiTheme="majorHAnsi"/>
        </w:rPr>
      </w:pPr>
    </w:p>
    <w:p w14:paraId="3196948E" w14:textId="77777777" w:rsidR="00EC3D29" w:rsidRPr="00B70365" w:rsidRDefault="00EC3D29" w:rsidP="00EC3D29">
      <w:pPr>
        <w:pStyle w:val="Titre3"/>
        <w:jc w:val="both"/>
        <w:rPr>
          <w:rFonts w:cstheme="majorHAnsi"/>
        </w:rPr>
      </w:pPr>
      <w:bookmarkStart w:id="125" w:name="_Toc521926425"/>
      <w:bookmarkStart w:id="126" w:name="_Toc454435111"/>
      <w:bookmarkStart w:id="127" w:name="_Toc23862576"/>
      <w:bookmarkStart w:id="128" w:name="_Toc102642667"/>
      <w:r w:rsidRPr="00B70365">
        <w:rPr>
          <w:rFonts w:cstheme="majorHAnsi"/>
        </w:rPr>
        <w:t>Conditions générales</w:t>
      </w:r>
      <w:bookmarkEnd w:id="125"/>
      <w:bookmarkEnd w:id="126"/>
      <w:bookmarkEnd w:id="127"/>
      <w:bookmarkEnd w:id="128"/>
    </w:p>
    <w:p w14:paraId="78CDDFCD" w14:textId="77777777" w:rsidR="00EC3D29" w:rsidRPr="00B70365" w:rsidRDefault="00EC3D29" w:rsidP="00EC3D29">
      <w:pPr>
        <w:rPr>
          <w:rFonts w:asciiTheme="majorHAnsi" w:hAnsiTheme="majorHAnsi"/>
        </w:rPr>
      </w:pPr>
      <w:r w:rsidRPr="00B70365">
        <w:rPr>
          <w:rFonts w:asciiTheme="majorHAnsi" w:hAnsiTheme="majorHAnsi"/>
        </w:rPr>
        <w:t>L’abonnement au service comprend :</w:t>
      </w:r>
    </w:p>
    <w:p w14:paraId="0D0FC1F9" w14:textId="77777777" w:rsidR="00EC3D29" w:rsidRPr="00B70365" w:rsidRDefault="00EC3D29" w:rsidP="00EC3D29">
      <w:pPr>
        <w:pStyle w:val="Paragraphedeliste"/>
        <w:numPr>
          <w:ilvl w:val="0"/>
          <w:numId w:val="4"/>
        </w:numPr>
        <w:rPr>
          <w:rFonts w:asciiTheme="majorHAnsi" w:hAnsiTheme="majorHAnsi"/>
        </w:rPr>
      </w:pPr>
      <w:r w:rsidRPr="00B70365">
        <w:rPr>
          <w:rFonts w:asciiTheme="majorHAnsi" w:hAnsiTheme="majorHAnsi"/>
        </w:rPr>
        <w:t>L’ouverture des codes d’accès sur le serveur,</w:t>
      </w:r>
    </w:p>
    <w:p w14:paraId="309122BB" w14:textId="77777777" w:rsidR="00EC3D29" w:rsidRPr="00B70365" w:rsidRDefault="00EC3D29" w:rsidP="00EC3D29">
      <w:pPr>
        <w:pStyle w:val="Paragraphedeliste"/>
        <w:numPr>
          <w:ilvl w:val="0"/>
          <w:numId w:val="4"/>
        </w:numPr>
        <w:rPr>
          <w:rFonts w:asciiTheme="majorHAnsi" w:hAnsiTheme="majorHAnsi"/>
        </w:rPr>
      </w:pPr>
      <w:r w:rsidRPr="00B70365">
        <w:rPr>
          <w:rFonts w:asciiTheme="majorHAnsi" w:hAnsiTheme="majorHAnsi"/>
        </w:rPr>
        <w:t>La mise à disposition des manuels utilisateurs, code d'accès et mot de passe ;</w:t>
      </w:r>
    </w:p>
    <w:p w14:paraId="4AEE3F64" w14:textId="77777777" w:rsidR="00EC3D29" w:rsidRPr="00B70365" w:rsidRDefault="00EC3D29" w:rsidP="00EC3D29">
      <w:pPr>
        <w:pStyle w:val="Paragraphedeliste"/>
        <w:numPr>
          <w:ilvl w:val="0"/>
          <w:numId w:val="4"/>
        </w:numPr>
        <w:rPr>
          <w:rFonts w:asciiTheme="majorHAnsi" w:hAnsiTheme="majorHAnsi"/>
        </w:rPr>
      </w:pPr>
      <w:r w:rsidRPr="00B70365">
        <w:rPr>
          <w:rFonts w:asciiTheme="majorHAnsi" w:hAnsiTheme="majorHAnsi"/>
        </w:rPr>
        <w:t>L’assistance téléphonique pour l'utilisation du service,</w:t>
      </w:r>
    </w:p>
    <w:p w14:paraId="3102C8E7" w14:textId="77777777" w:rsidR="00EC3D29" w:rsidRPr="00B70365" w:rsidRDefault="00EC3D29" w:rsidP="00EC3D29">
      <w:pPr>
        <w:pStyle w:val="Paragraphedeliste"/>
        <w:numPr>
          <w:ilvl w:val="0"/>
          <w:numId w:val="4"/>
        </w:numPr>
        <w:rPr>
          <w:rFonts w:asciiTheme="majorHAnsi" w:hAnsiTheme="majorHAnsi"/>
          <w:b/>
        </w:rPr>
      </w:pPr>
      <w:r w:rsidRPr="00B70365">
        <w:rPr>
          <w:rFonts w:asciiTheme="majorHAnsi" w:hAnsiTheme="majorHAnsi"/>
        </w:rPr>
        <w:t xml:space="preserve">Le droit d'utilisation du service EDIFLEX (connexion sur le serveur), </w:t>
      </w:r>
    </w:p>
    <w:p w14:paraId="52E21D22" w14:textId="77777777" w:rsidR="00EC3D29" w:rsidRPr="00B70365" w:rsidRDefault="00EC3D29" w:rsidP="00EC3D29">
      <w:pPr>
        <w:pStyle w:val="Paragraphedeliste"/>
        <w:numPr>
          <w:ilvl w:val="0"/>
          <w:numId w:val="4"/>
        </w:numPr>
        <w:rPr>
          <w:rFonts w:asciiTheme="majorHAnsi" w:hAnsiTheme="majorHAnsi"/>
        </w:rPr>
      </w:pPr>
      <w:r w:rsidRPr="00B70365">
        <w:rPr>
          <w:rFonts w:asciiTheme="majorHAnsi" w:hAnsiTheme="majorHAnsi"/>
        </w:rPr>
        <w:t>L’archivage des informations sur le serveur durant le chantier.</w:t>
      </w:r>
    </w:p>
    <w:p w14:paraId="47848BAD" w14:textId="77777777" w:rsidR="00EC3D29" w:rsidRPr="00B70365" w:rsidRDefault="00EC3D29" w:rsidP="00EC3D29">
      <w:pPr>
        <w:pStyle w:val="Paragraphedeliste"/>
        <w:numPr>
          <w:ilvl w:val="0"/>
          <w:numId w:val="0"/>
        </w:numPr>
        <w:ind w:left="991"/>
        <w:rPr>
          <w:rFonts w:asciiTheme="majorHAnsi" w:hAnsiTheme="majorHAnsi"/>
        </w:rPr>
      </w:pPr>
    </w:p>
    <w:p w14:paraId="42EF3C05" w14:textId="77777777" w:rsidR="00EC3D29" w:rsidRPr="00B70365" w:rsidRDefault="00EC3D29" w:rsidP="00EC3D29">
      <w:pPr>
        <w:rPr>
          <w:rFonts w:asciiTheme="majorHAnsi" w:hAnsiTheme="majorHAnsi"/>
        </w:rPr>
      </w:pPr>
      <w:r w:rsidRPr="00B70365">
        <w:rPr>
          <w:rFonts w:asciiTheme="majorHAnsi" w:hAnsiTheme="majorHAnsi"/>
        </w:rPr>
        <w:t>Le coût des fournitures suivantes est à la charge de chaque abonné au service :</w:t>
      </w:r>
    </w:p>
    <w:p w14:paraId="6EDE734A" w14:textId="77777777" w:rsidR="00EC3D29" w:rsidRPr="00B70365" w:rsidRDefault="00EC3D29" w:rsidP="00EC3D29">
      <w:pPr>
        <w:pStyle w:val="Paragraphedeliste"/>
        <w:numPr>
          <w:ilvl w:val="0"/>
          <w:numId w:val="4"/>
        </w:numPr>
        <w:rPr>
          <w:rFonts w:asciiTheme="majorHAnsi" w:hAnsiTheme="majorHAnsi"/>
        </w:rPr>
      </w:pPr>
      <w:r w:rsidRPr="00B70365">
        <w:rPr>
          <w:rFonts w:asciiTheme="majorHAnsi" w:hAnsiTheme="majorHAnsi"/>
        </w:rPr>
        <w:t>Terminal d’accès au service (ordinateur + accès à Internet),</w:t>
      </w:r>
    </w:p>
    <w:p w14:paraId="66F9D82A" w14:textId="77777777" w:rsidR="00EC3D29" w:rsidRPr="00B70365" w:rsidRDefault="00EC3D29" w:rsidP="00EC3D29">
      <w:pPr>
        <w:pStyle w:val="Paragraphedeliste"/>
        <w:numPr>
          <w:ilvl w:val="0"/>
          <w:numId w:val="4"/>
        </w:numPr>
        <w:rPr>
          <w:rFonts w:asciiTheme="majorHAnsi" w:hAnsiTheme="majorHAnsi"/>
        </w:rPr>
      </w:pPr>
      <w:r w:rsidRPr="00B70365">
        <w:rPr>
          <w:rFonts w:asciiTheme="majorHAnsi" w:hAnsiTheme="majorHAnsi"/>
        </w:rPr>
        <w:t>Frais de télécommunications lors de la connexion au serveur,</w:t>
      </w:r>
    </w:p>
    <w:p w14:paraId="19E6ADE2" w14:textId="77777777" w:rsidR="00EC3D29" w:rsidRPr="00B70365" w:rsidRDefault="00EC3D29" w:rsidP="00EC3D29">
      <w:pPr>
        <w:rPr>
          <w:rFonts w:asciiTheme="majorHAnsi" w:hAnsiTheme="majorHAnsi"/>
        </w:rPr>
      </w:pPr>
    </w:p>
    <w:p w14:paraId="41A97CC9" w14:textId="77777777" w:rsidR="00EC3D29" w:rsidRPr="00B70365" w:rsidRDefault="00EC3D29" w:rsidP="00EC3D29">
      <w:pPr>
        <w:pStyle w:val="Titre2"/>
        <w:jc w:val="both"/>
        <w:rPr>
          <w:rFonts w:cstheme="majorHAnsi"/>
        </w:rPr>
      </w:pPr>
      <w:bookmarkStart w:id="129" w:name="_Toc424752496"/>
      <w:bookmarkStart w:id="130" w:name="_Toc438205985"/>
      <w:bookmarkStart w:id="131" w:name="_Toc454435112"/>
      <w:bookmarkStart w:id="132" w:name="_Ref496032827"/>
      <w:bookmarkStart w:id="133" w:name="_Toc23862577"/>
      <w:bookmarkStart w:id="134" w:name="_Toc102642668"/>
      <w:r w:rsidRPr="00B70365">
        <w:rPr>
          <w:rFonts w:cstheme="majorHAnsi"/>
        </w:rPr>
        <w:t>DEROGATIONS RELATIVES A L’ARTICLE 12 DU CCAG</w:t>
      </w:r>
      <w:bookmarkEnd w:id="129"/>
      <w:bookmarkEnd w:id="130"/>
      <w:bookmarkEnd w:id="131"/>
      <w:bookmarkEnd w:id="132"/>
      <w:bookmarkEnd w:id="133"/>
      <w:bookmarkEnd w:id="134"/>
    </w:p>
    <w:p w14:paraId="1E250203" w14:textId="51B71656" w:rsidR="00EC3D29" w:rsidRPr="00B70365" w:rsidRDefault="00EC3D29" w:rsidP="00EC3D29">
      <w:pPr>
        <w:pStyle w:val="Paragraphedeliste"/>
        <w:numPr>
          <w:ilvl w:val="0"/>
          <w:numId w:val="6"/>
        </w:numPr>
        <w:rPr>
          <w:rFonts w:asciiTheme="majorHAnsi" w:hAnsiTheme="majorHAnsi"/>
        </w:rPr>
      </w:pPr>
      <w:r w:rsidRPr="00B70365">
        <w:rPr>
          <w:rFonts w:asciiTheme="majorHAnsi" w:hAnsiTheme="majorHAnsi"/>
        </w:rPr>
        <w:t xml:space="preserve">Article </w:t>
      </w:r>
      <w:r w:rsidR="00E02155" w:rsidRPr="00E02155">
        <w:rPr>
          <w:rFonts w:asciiTheme="majorHAnsi" w:hAnsiTheme="majorHAnsi"/>
        </w:rPr>
        <w:t>12.1. Demandes de paiement mensuelles</w:t>
      </w:r>
      <w:r w:rsidRPr="00B70365">
        <w:rPr>
          <w:rFonts w:asciiTheme="majorHAnsi" w:hAnsiTheme="majorHAnsi"/>
        </w:rPr>
        <w:t xml:space="preserve">, </w:t>
      </w:r>
    </w:p>
    <w:p w14:paraId="0CCB0283" w14:textId="77777777" w:rsidR="00EC3D29" w:rsidRPr="00B70365" w:rsidRDefault="00EC3D29" w:rsidP="00EC3D29">
      <w:pPr>
        <w:pStyle w:val="Paragraphedeliste"/>
        <w:numPr>
          <w:ilvl w:val="0"/>
          <w:numId w:val="6"/>
        </w:numPr>
        <w:rPr>
          <w:rFonts w:asciiTheme="majorHAnsi" w:hAnsiTheme="majorHAnsi"/>
        </w:rPr>
      </w:pPr>
      <w:r w:rsidRPr="00B70365">
        <w:rPr>
          <w:rFonts w:asciiTheme="majorHAnsi" w:hAnsiTheme="majorHAnsi"/>
        </w:rPr>
        <w:t>Article 12.2 : Acomptes mensuels</w:t>
      </w:r>
    </w:p>
    <w:p w14:paraId="632C11C3" w14:textId="77777777" w:rsidR="00EC3D29" w:rsidRPr="00B70365" w:rsidRDefault="00EC3D29" w:rsidP="00EC3D29">
      <w:pPr>
        <w:rPr>
          <w:rFonts w:asciiTheme="majorHAnsi" w:hAnsiTheme="majorHAnsi"/>
        </w:rPr>
      </w:pPr>
      <w:r w:rsidRPr="00B70365">
        <w:rPr>
          <w:rFonts w:asciiTheme="majorHAnsi" w:hAnsiTheme="majorHAnsi"/>
        </w:rPr>
        <w:t xml:space="preserve">Les dates de présentation des situations par l’entreprise, de vérification et de validation par les représentants cités au chapitre 2 ci-dessus, telles qu’elles figurent sur les écrans et les éditions du service Ediflex, font foi. Ces dates valent </w:t>
      </w:r>
      <w:proofErr w:type="gramStart"/>
      <w:r w:rsidRPr="00B70365">
        <w:rPr>
          <w:rFonts w:asciiTheme="majorHAnsi" w:hAnsiTheme="majorHAnsi"/>
        </w:rPr>
        <w:t>accusé</w:t>
      </w:r>
      <w:proofErr w:type="gramEnd"/>
      <w:r w:rsidRPr="00B70365">
        <w:rPr>
          <w:rFonts w:asciiTheme="majorHAnsi" w:hAnsiTheme="majorHAnsi"/>
        </w:rPr>
        <w:t xml:space="preserve"> de réception pour l’abonné suivant, conformément au circuit de vérification imposé par le service.</w:t>
      </w:r>
    </w:p>
    <w:p w14:paraId="2CB24C32" w14:textId="77777777" w:rsidR="00EC3D29" w:rsidRPr="002219A1" w:rsidRDefault="00EC3D29" w:rsidP="00EC3D29">
      <w:pPr>
        <w:rPr>
          <w:rFonts w:asciiTheme="majorHAnsi" w:hAnsiTheme="majorHAnsi"/>
        </w:rPr>
      </w:pPr>
      <w:r w:rsidRPr="00B70365">
        <w:rPr>
          <w:rFonts w:asciiTheme="majorHAnsi" w:hAnsiTheme="majorHAnsi"/>
        </w:rPr>
        <w:t>Les décomptes mensuels sont pris en charge et gérés par le service Ediflex qui détermine les informations qui les constituent, leur circuit de vérification et le modèle de présentation des pièces justificatives transmises au comptable public. Le service Ediflex évite ainsi les transmissions systématiques de décomptes sur support papier, l’envoi de lettres recommandées.</w:t>
      </w:r>
    </w:p>
    <w:p w14:paraId="4F21D249" w14:textId="77777777" w:rsidR="00EC3D29" w:rsidRPr="002219A1" w:rsidRDefault="00EC3D29" w:rsidP="00EC3D29">
      <w:pPr>
        <w:rPr>
          <w:rFonts w:asciiTheme="majorHAnsi" w:hAnsiTheme="majorHAnsi"/>
        </w:rPr>
      </w:pPr>
    </w:p>
    <w:p w14:paraId="0A537C24" w14:textId="77777777" w:rsidR="00EE733C" w:rsidRDefault="00EE733C"/>
    <w:sectPr w:rsidR="00EE733C">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AB32ED" w14:textId="77777777" w:rsidR="00B70B72" w:rsidRDefault="00B70B72" w:rsidP="00A75A9E">
      <w:pPr>
        <w:spacing w:before="0"/>
      </w:pPr>
      <w:r>
        <w:separator/>
      </w:r>
    </w:p>
  </w:endnote>
  <w:endnote w:type="continuationSeparator" w:id="0">
    <w:p w14:paraId="7A4F5A95" w14:textId="77777777" w:rsidR="00B70B72" w:rsidRDefault="00B70B72" w:rsidP="00A75A9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Yu Mincho">
    <w:altName w:val="Yu Gothic UI"/>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2"/>
      <w:tblW w:w="10495" w:type="dxa"/>
      <w:tblInd w:w="-11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8363"/>
      <w:gridCol w:w="856"/>
    </w:tblGrid>
    <w:tr w:rsidR="00A75A9E" w:rsidRPr="00A75A9E" w14:paraId="33E4C786" w14:textId="77777777" w:rsidTr="00840456">
      <w:trPr>
        <w:trHeight w:hRule="exact" w:val="284"/>
      </w:trPr>
      <w:tc>
        <w:tcPr>
          <w:tcW w:w="1276" w:type="dxa"/>
          <w:vMerge w:val="restart"/>
        </w:tcPr>
        <w:p w14:paraId="759B99F5" w14:textId="77777777" w:rsidR="00A75A9E" w:rsidRPr="00A75A9E" w:rsidRDefault="00A75A9E" w:rsidP="00A75A9E">
          <w:pPr>
            <w:widowControl/>
            <w:tabs>
              <w:tab w:val="center" w:pos="4536"/>
              <w:tab w:val="right" w:pos="9072"/>
            </w:tabs>
            <w:suppressAutoHyphens w:val="0"/>
            <w:kinsoku/>
            <w:autoSpaceDN/>
            <w:spacing w:before="0"/>
            <w:jc w:val="center"/>
            <w:rPr>
              <w:rFonts w:ascii="Calibri" w:eastAsia="Yu Mincho" w:hAnsi="Calibri" w:cs="Calibri"/>
              <w:noProof/>
              <w:sz w:val="16"/>
              <w:lang w:eastAsia="en-US" w:bidi="ar-SA"/>
            </w:rPr>
          </w:pPr>
          <w:r w:rsidRPr="00A75A9E">
            <w:rPr>
              <w:rFonts w:ascii="Calibri" w:eastAsia="Yu Mincho" w:hAnsi="Calibri" w:cs="Calibri"/>
              <w:noProof/>
              <w:sz w:val="16"/>
              <w:lang w:eastAsia="fr-FR" w:bidi="ar-SA"/>
            </w:rPr>
            <w:drawing>
              <wp:anchor distT="0" distB="0" distL="114300" distR="114300" simplePos="0" relativeHeight="251661312" behindDoc="1" locked="0" layoutInCell="1" allowOverlap="1" wp14:anchorId="743D1943" wp14:editId="7AB74A2F">
                <wp:simplePos x="0" y="0"/>
                <wp:positionH relativeFrom="page">
                  <wp:posOffset>59055</wp:posOffset>
                </wp:positionH>
                <wp:positionV relativeFrom="page">
                  <wp:posOffset>3175</wp:posOffset>
                </wp:positionV>
                <wp:extent cx="669600" cy="356400"/>
                <wp:effectExtent l="0" t="0" r="0" b="0"/>
                <wp:wrapNone/>
                <wp:docPr id="1" name="Image 1" descr="Une image contenant Police, Graphique, logo, symbo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Police, Graphique, logo, symbol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9600" cy="356400"/>
                        </a:xfrm>
                        <a:prstGeom prst="rect">
                          <a:avLst/>
                        </a:prstGeom>
                        <a:noFill/>
                        <a:ln>
                          <a:noFill/>
                        </a:ln>
                        <a:extLst>
                          <a:ext uri="{FAA26D3D-D897-4be2-8F04-BA451C77F1D7}">
                            <ma14:placeholderFlag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margin">
                  <wp14:pctWidth>0</wp14:pctWidth>
                </wp14:sizeRelH>
                <wp14:sizeRelV relativeFrom="margin">
                  <wp14:pctHeight>0</wp14:pctHeight>
                </wp14:sizeRelV>
              </wp:anchor>
            </w:drawing>
          </w:r>
        </w:p>
      </w:tc>
      <w:tc>
        <w:tcPr>
          <w:tcW w:w="8363" w:type="dxa"/>
        </w:tcPr>
        <w:p w14:paraId="6D6E46A9" w14:textId="77777777" w:rsidR="00A75A9E" w:rsidRPr="00A75A9E" w:rsidRDefault="00A75A9E" w:rsidP="00A75A9E">
          <w:pPr>
            <w:widowControl/>
            <w:tabs>
              <w:tab w:val="center" w:pos="4536"/>
              <w:tab w:val="right" w:pos="9072"/>
            </w:tabs>
            <w:suppressAutoHyphens w:val="0"/>
            <w:kinsoku/>
            <w:autoSpaceDN/>
            <w:spacing w:before="0"/>
            <w:jc w:val="center"/>
            <w:rPr>
              <w:rFonts w:ascii="Calibri" w:eastAsia="Yu Mincho" w:hAnsi="Calibri" w:cs="Calibri"/>
              <w:noProof/>
              <w:sz w:val="16"/>
              <w:lang w:eastAsia="en-US" w:bidi="ar-SA"/>
            </w:rPr>
          </w:pPr>
          <w:r w:rsidRPr="00A75A9E">
            <w:rPr>
              <w:rFonts w:ascii="Calibri" w:eastAsia="Yu Mincho" w:hAnsi="Calibri" w:cs="Calibri"/>
              <w:noProof/>
              <w:sz w:val="16"/>
              <w:lang w:eastAsia="en-US" w:bidi="ar-SA"/>
            </w:rPr>
            <w:t>2024DTA0073 - Cahier des Clauses Administratives Particulières (CCAP)</w:t>
          </w:r>
        </w:p>
      </w:tc>
      <w:tc>
        <w:tcPr>
          <w:tcW w:w="856" w:type="dxa"/>
          <w:vMerge w:val="restart"/>
          <w:vAlign w:val="center"/>
        </w:tcPr>
        <w:p w14:paraId="3A99A892" w14:textId="70CBEE57" w:rsidR="00A75A9E" w:rsidRPr="00A75A9E" w:rsidRDefault="00A75A9E" w:rsidP="00A75A9E">
          <w:pPr>
            <w:widowControl/>
            <w:tabs>
              <w:tab w:val="center" w:pos="4536"/>
              <w:tab w:val="right" w:pos="9072"/>
            </w:tabs>
            <w:suppressAutoHyphens w:val="0"/>
            <w:kinsoku/>
            <w:autoSpaceDN/>
            <w:spacing w:before="0"/>
            <w:jc w:val="center"/>
            <w:rPr>
              <w:rFonts w:ascii="Calibri" w:eastAsia="Yu Mincho" w:hAnsi="Calibri" w:cs="Calibri"/>
              <w:noProof/>
              <w:sz w:val="16"/>
              <w:lang w:eastAsia="en-US" w:bidi="ar-SA"/>
            </w:rPr>
          </w:pPr>
          <w:r w:rsidRPr="00A75A9E">
            <w:rPr>
              <w:rFonts w:ascii="Calibri" w:eastAsia="Yu Mincho" w:hAnsi="Calibri" w:cs="Calibri"/>
              <w:noProof/>
              <w:sz w:val="16"/>
              <w:lang w:eastAsia="en-US" w:bidi="ar-SA"/>
            </w:rPr>
            <w:t xml:space="preserve">Page </w:t>
          </w:r>
          <w:r w:rsidRPr="00A75A9E">
            <w:rPr>
              <w:rFonts w:ascii="Calibri" w:eastAsia="Yu Mincho" w:hAnsi="Calibri" w:cs="Calibri"/>
              <w:noProof/>
              <w:sz w:val="16"/>
              <w:lang w:eastAsia="en-US" w:bidi="ar-SA"/>
            </w:rPr>
            <w:fldChar w:fldCharType="begin"/>
          </w:r>
          <w:r w:rsidRPr="00A75A9E">
            <w:rPr>
              <w:rFonts w:ascii="Calibri" w:eastAsia="Yu Mincho" w:hAnsi="Calibri" w:cs="Calibri"/>
              <w:noProof/>
              <w:sz w:val="16"/>
              <w:lang w:eastAsia="en-US" w:bidi="ar-SA"/>
            </w:rPr>
            <w:instrText xml:space="preserve"> PAGE  \* Arabic  \* MERGEFORMAT </w:instrText>
          </w:r>
          <w:r w:rsidRPr="00A75A9E">
            <w:rPr>
              <w:rFonts w:ascii="Calibri" w:eastAsia="Yu Mincho" w:hAnsi="Calibri" w:cs="Calibri"/>
              <w:noProof/>
              <w:sz w:val="16"/>
              <w:lang w:eastAsia="en-US" w:bidi="ar-SA"/>
            </w:rPr>
            <w:fldChar w:fldCharType="separate"/>
          </w:r>
          <w:r w:rsidR="00EF36A2">
            <w:rPr>
              <w:rFonts w:ascii="Calibri" w:eastAsia="Yu Mincho" w:hAnsi="Calibri" w:cs="Calibri"/>
              <w:noProof/>
              <w:sz w:val="16"/>
              <w:lang w:eastAsia="en-US" w:bidi="ar-SA"/>
            </w:rPr>
            <w:t>4</w:t>
          </w:r>
          <w:r w:rsidRPr="00A75A9E">
            <w:rPr>
              <w:rFonts w:ascii="Calibri" w:eastAsia="Yu Mincho" w:hAnsi="Calibri" w:cs="Calibri"/>
              <w:noProof/>
              <w:sz w:val="16"/>
              <w:lang w:eastAsia="en-US" w:bidi="ar-SA"/>
            </w:rPr>
            <w:fldChar w:fldCharType="end"/>
          </w:r>
        </w:p>
      </w:tc>
    </w:tr>
    <w:tr w:rsidR="00A75A9E" w:rsidRPr="00A75A9E" w14:paraId="0816F837" w14:textId="77777777" w:rsidTr="00840456">
      <w:trPr>
        <w:trHeight w:hRule="exact" w:val="284"/>
      </w:trPr>
      <w:tc>
        <w:tcPr>
          <w:tcW w:w="1276" w:type="dxa"/>
          <w:vMerge/>
        </w:tcPr>
        <w:p w14:paraId="6AC73B64" w14:textId="77777777" w:rsidR="00A75A9E" w:rsidRPr="00A75A9E" w:rsidRDefault="00A75A9E" w:rsidP="00A75A9E">
          <w:pPr>
            <w:widowControl/>
            <w:tabs>
              <w:tab w:val="center" w:pos="4536"/>
              <w:tab w:val="right" w:pos="9072"/>
            </w:tabs>
            <w:suppressAutoHyphens w:val="0"/>
            <w:kinsoku/>
            <w:autoSpaceDN/>
            <w:spacing w:before="0"/>
            <w:jc w:val="center"/>
            <w:rPr>
              <w:rFonts w:ascii="Calibri" w:eastAsia="Yu Mincho" w:hAnsi="Calibri" w:cs="Calibri"/>
              <w:noProof/>
              <w:sz w:val="16"/>
              <w:lang w:eastAsia="en-US" w:bidi="ar-SA"/>
            </w:rPr>
          </w:pPr>
        </w:p>
      </w:tc>
      <w:tc>
        <w:tcPr>
          <w:tcW w:w="8363" w:type="dxa"/>
        </w:tcPr>
        <w:p w14:paraId="783E51C1" w14:textId="77777777" w:rsidR="00A75A9E" w:rsidRPr="00A75A9E" w:rsidRDefault="00A75A9E" w:rsidP="00A75A9E">
          <w:pPr>
            <w:widowControl/>
            <w:tabs>
              <w:tab w:val="center" w:pos="4536"/>
              <w:tab w:val="right" w:pos="9072"/>
            </w:tabs>
            <w:suppressAutoHyphens w:val="0"/>
            <w:kinsoku/>
            <w:autoSpaceDN/>
            <w:spacing w:before="0"/>
            <w:jc w:val="center"/>
            <w:rPr>
              <w:rFonts w:ascii="Calibri" w:eastAsia="Yu Mincho" w:hAnsi="Calibri" w:cs="Calibri"/>
              <w:noProof/>
              <w:sz w:val="16"/>
              <w:lang w:eastAsia="en-US" w:bidi="ar-SA"/>
            </w:rPr>
          </w:pPr>
          <w:r w:rsidRPr="00A75A9E">
            <w:rPr>
              <w:rFonts w:ascii="Calibri" w:eastAsia="Yu Mincho" w:hAnsi="Calibri" w:cs="Calibri"/>
              <w:noProof/>
              <w:sz w:val="16"/>
              <w:lang w:eastAsia="en-US" w:bidi="ar-SA"/>
            </w:rPr>
            <w:t>Septembre 2024</w:t>
          </w:r>
        </w:p>
      </w:tc>
      <w:tc>
        <w:tcPr>
          <w:tcW w:w="856" w:type="dxa"/>
          <w:vMerge/>
        </w:tcPr>
        <w:p w14:paraId="09D33EA5" w14:textId="77777777" w:rsidR="00A75A9E" w:rsidRPr="00A75A9E" w:rsidRDefault="00A75A9E" w:rsidP="00A75A9E">
          <w:pPr>
            <w:widowControl/>
            <w:tabs>
              <w:tab w:val="center" w:pos="4536"/>
              <w:tab w:val="right" w:pos="9072"/>
            </w:tabs>
            <w:suppressAutoHyphens w:val="0"/>
            <w:kinsoku/>
            <w:autoSpaceDN/>
            <w:spacing w:before="0"/>
            <w:jc w:val="center"/>
            <w:rPr>
              <w:rFonts w:ascii="Calibri" w:eastAsia="Yu Mincho" w:hAnsi="Calibri" w:cs="Calibri"/>
              <w:noProof/>
              <w:sz w:val="16"/>
              <w:lang w:eastAsia="en-US" w:bidi="ar-SA"/>
            </w:rPr>
          </w:pPr>
        </w:p>
      </w:tc>
    </w:tr>
  </w:tbl>
  <w:p w14:paraId="1479B07F" w14:textId="77777777" w:rsidR="00A75A9E" w:rsidRDefault="00A75A9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4965B1" w14:textId="77777777" w:rsidR="00B70B72" w:rsidRDefault="00B70B72" w:rsidP="00A75A9E">
      <w:pPr>
        <w:spacing w:before="0"/>
      </w:pPr>
      <w:r>
        <w:separator/>
      </w:r>
    </w:p>
  </w:footnote>
  <w:footnote w:type="continuationSeparator" w:id="0">
    <w:p w14:paraId="31E862B7" w14:textId="77777777" w:rsidR="00B70B72" w:rsidRDefault="00B70B72" w:rsidP="00A75A9E">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1"/>
      <w:tblW w:w="10353" w:type="dxa"/>
      <w:tblInd w:w="-11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9077"/>
    </w:tblGrid>
    <w:tr w:rsidR="00A75A9E" w:rsidRPr="00A75A9E" w14:paraId="23221E61" w14:textId="77777777" w:rsidTr="00840456">
      <w:trPr>
        <w:trHeight w:hRule="exact" w:val="568"/>
      </w:trPr>
      <w:tc>
        <w:tcPr>
          <w:tcW w:w="1276" w:type="dxa"/>
          <w:vMerge w:val="restart"/>
        </w:tcPr>
        <w:p w14:paraId="7567EB71" w14:textId="77777777" w:rsidR="00A75A9E" w:rsidRPr="00A75A9E" w:rsidRDefault="00A75A9E" w:rsidP="00A75A9E">
          <w:pPr>
            <w:widowControl/>
            <w:tabs>
              <w:tab w:val="center" w:pos="4536"/>
              <w:tab w:val="right" w:pos="9072"/>
            </w:tabs>
            <w:suppressAutoHyphens w:val="0"/>
            <w:kinsoku/>
            <w:autoSpaceDN/>
            <w:spacing w:before="0"/>
            <w:jc w:val="center"/>
            <w:rPr>
              <w:rFonts w:ascii="Calibri" w:eastAsia="Yu Mincho" w:hAnsi="Calibri" w:cs="Arial"/>
              <w:noProof/>
              <w:sz w:val="16"/>
              <w:szCs w:val="22"/>
              <w:lang w:eastAsia="en-US" w:bidi="ar-SA"/>
            </w:rPr>
          </w:pPr>
          <w:bookmarkStart w:id="135" w:name="_Hlk171851171"/>
          <w:r w:rsidRPr="00A75A9E">
            <w:rPr>
              <w:rFonts w:ascii="Calibri" w:eastAsia="Yu Mincho" w:hAnsi="Calibri" w:cs="Arial"/>
              <w:i/>
              <w:noProof/>
              <w:sz w:val="16"/>
              <w:szCs w:val="22"/>
              <w:lang w:eastAsia="fr-FR" w:bidi="ar-SA"/>
            </w:rPr>
            <w:drawing>
              <wp:anchor distT="0" distB="0" distL="114300" distR="114300" simplePos="0" relativeHeight="251659264" behindDoc="1" locked="0" layoutInCell="1" allowOverlap="1" wp14:anchorId="5C3FF75E" wp14:editId="3362D9C8">
                <wp:simplePos x="0" y="0"/>
                <wp:positionH relativeFrom="leftMargin">
                  <wp:posOffset>118744</wp:posOffset>
                </wp:positionH>
                <wp:positionV relativeFrom="paragraph">
                  <wp:posOffset>36194</wp:posOffset>
                </wp:positionV>
                <wp:extent cx="523875" cy="523875"/>
                <wp:effectExtent l="0" t="0" r="9525" b="9525"/>
                <wp:wrapNone/>
                <wp:docPr id="5" name="Image 5"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descr="Une image contenant texte, Police, logo, Graphiqu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523875" cy="523875"/>
                        </a:xfrm>
                        <a:prstGeom prst="rect">
                          <a:avLst/>
                        </a:prstGeom>
                      </pic:spPr>
                    </pic:pic>
                  </a:graphicData>
                </a:graphic>
                <wp14:sizeRelH relativeFrom="margin">
                  <wp14:pctWidth>0</wp14:pctWidth>
                </wp14:sizeRelH>
                <wp14:sizeRelV relativeFrom="margin">
                  <wp14:pctHeight>0</wp14:pctHeight>
                </wp14:sizeRelV>
              </wp:anchor>
            </w:drawing>
          </w:r>
        </w:p>
      </w:tc>
      <w:tc>
        <w:tcPr>
          <w:tcW w:w="9077" w:type="dxa"/>
        </w:tcPr>
        <w:p w14:paraId="2EC0524D" w14:textId="77777777" w:rsidR="00A75A9E" w:rsidRPr="00A75A9E" w:rsidRDefault="00A75A9E" w:rsidP="00A75A9E">
          <w:pPr>
            <w:widowControl/>
            <w:tabs>
              <w:tab w:val="left" w:pos="6672"/>
            </w:tabs>
            <w:suppressAutoHyphens w:val="0"/>
            <w:kinsoku/>
            <w:autoSpaceDN/>
            <w:spacing w:before="0"/>
            <w:jc w:val="left"/>
            <w:rPr>
              <w:rFonts w:ascii="Calibri Light" w:eastAsia="Yu Gothic Light" w:hAnsi="Calibri Light" w:cs="Times New Roman"/>
              <w:b/>
              <w:color w:val="008795"/>
              <w:sz w:val="28"/>
              <w:szCs w:val="22"/>
              <w:highlight w:val="yellow"/>
              <w:lang w:eastAsia="en-US" w:bidi="ar-SA"/>
            </w:rPr>
          </w:pPr>
          <w:r w:rsidRPr="00A75A9E">
            <w:rPr>
              <w:rFonts w:ascii="Calibri Light" w:eastAsia="Yu Gothic Light" w:hAnsi="Calibri Light" w:cs="Times New Roman"/>
              <w:b/>
              <w:color w:val="008795"/>
              <w:sz w:val="28"/>
              <w:szCs w:val="22"/>
              <w:lang w:eastAsia="en-US" w:bidi="ar-SA"/>
            </w:rPr>
            <w:t>CHU de Brest – Reconstruction de l’Hôpital de Bohars</w:t>
          </w:r>
          <w:r w:rsidRPr="00A75A9E">
            <w:rPr>
              <w:rFonts w:ascii="Calibri Light" w:eastAsia="Yu Gothic Light" w:hAnsi="Calibri Light" w:cs="Times New Roman"/>
              <w:b/>
              <w:color w:val="008795"/>
              <w:sz w:val="28"/>
              <w:szCs w:val="22"/>
              <w:lang w:eastAsia="en-US" w:bidi="ar-SA"/>
            </w:rPr>
            <w:tab/>
          </w:r>
        </w:p>
      </w:tc>
    </w:tr>
    <w:tr w:rsidR="00A75A9E" w:rsidRPr="00A75A9E" w14:paraId="14AA16F8" w14:textId="77777777" w:rsidTr="00840456">
      <w:trPr>
        <w:trHeight w:hRule="exact" w:val="444"/>
      </w:trPr>
      <w:tc>
        <w:tcPr>
          <w:tcW w:w="1276" w:type="dxa"/>
          <w:vMerge/>
        </w:tcPr>
        <w:p w14:paraId="6EF430DF" w14:textId="77777777" w:rsidR="00A75A9E" w:rsidRPr="00A75A9E" w:rsidRDefault="00A75A9E" w:rsidP="00A75A9E">
          <w:pPr>
            <w:widowControl/>
            <w:tabs>
              <w:tab w:val="center" w:pos="4536"/>
              <w:tab w:val="right" w:pos="9072"/>
            </w:tabs>
            <w:suppressAutoHyphens w:val="0"/>
            <w:kinsoku/>
            <w:autoSpaceDN/>
            <w:spacing w:before="0"/>
            <w:jc w:val="center"/>
            <w:rPr>
              <w:rFonts w:ascii="Calibri" w:eastAsia="Yu Mincho" w:hAnsi="Calibri" w:cs="Arial"/>
              <w:noProof/>
              <w:sz w:val="16"/>
              <w:szCs w:val="22"/>
              <w:lang w:eastAsia="en-US" w:bidi="ar-SA"/>
            </w:rPr>
          </w:pPr>
        </w:p>
      </w:tc>
      <w:tc>
        <w:tcPr>
          <w:tcW w:w="9077" w:type="dxa"/>
        </w:tcPr>
        <w:p w14:paraId="2903DFB6" w14:textId="5FC755E9" w:rsidR="00A75A9E" w:rsidRPr="00A75A9E" w:rsidRDefault="00A75A9E" w:rsidP="00A75A9E">
          <w:pPr>
            <w:rPr>
              <w:rFonts w:eastAsia="Yu Mincho"/>
              <w:caps/>
              <w:highlight w:val="yellow"/>
              <w:lang w:eastAsia="en-US" w:bidi="ar-SA"/>
            </w:rPr>
          </w:pPr>
          <w:r w:rsidRPr="00A75A9E">
            <w:rPr>
              <w:rFonts w:eastAsia="Yu Mincho"/>
              <w:lang w:eastAsia="en-US" w:bidi="ar-SA"/>
            </w:rPr>
            <w:t xml:space="preserve">CCAP </w:t>
          </w:r>
          <w:r>
            <w:rPr>
              <w:rFonts w:eastAsia="Yu Mincho"/>
              <w:lang w:eastAsia="en-US" w:bidi="ar-SA"/>
            </w:rPr>
            <w:t>- Annexe</w:t>
          </w:r>
        </w:p>
      </w:tc>
    </w:tr>
    <w:bookmarkEnd w:id="135"/>
  </w:tbl>
  <w:p w14:paraId="7479C845" w14:textId="77777777" w:rsidR="00A75A9E" w:rsidRDefault="00A75A9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1F0767A"/>
    <w:lvl w:ilvl="0">
      <w:numFmt w:val="bullet"/>
      <w:lvlText w:val="*"/>
      <w:lvlJc w:val="left"/>
    </w:lvl>
  </w:abstractNum>
  <w:abstractNum w:abstractNumId="1" w15:restartNumberingAfterBreak="0">
    <w:nsid w:val="0781038E"/>
    <w:multiLevelType w:val="multilevel"/>
    <w:tmpl w:val="6EDA1EE6"/>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lvl>
    <w:lvl w:ilvl="2">
      <w:numFmt w:val="bullet"/>
      <w:lvlText w:val="-"/>
      <w:lvlJc w:val="left"/>
      <w:pPr>
        <w:ind w:left="2160" w:hanging="360"/>
      </w:pPr>
      <w:rPr>
        <w:rFonts w:ascii="Arial" w:eastAsia="Arial" w:hAnsi="Arial" w:cs="Aria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D853D01"/>
    <w:multiLevelType w:val="hybridMultilevel"/>
    <w:tmpl w:val="FB045600"/>
    <w:lvl w:ilvl="0" w:tplc="8956250C">
      <w:start w:val="1"/>
      <w:numFmt w:val="bullet"/>
      <w:lvlText w:val=""/>
      <w:lvlJc w:val="left"/>
      <w:pPr>
        <w:tabs>
          <w:tab w:val="num" w:pos="1080"/>
        </w:tabs>
        <w:ind w:left="1080" w:hanging="360"/>
      </w:pPr>
      <w:rPr>
        <w:rFonts w:ascii="Symbol" w:hAnsi="Symbol" w:hint="default"/>
        <w:color w:val="auto"/>
      </w:rPr>
    </w:lvl>
    <w:lvl w:ilvl="1" w:tplc="040C0003">
      <w:start w:val="1"/>
      <w:numFmt w:val="bullet"/>
      <w:lvlText w:val="o"/>
      <w:lvlJc w:val="left"/>
      <w:pPr>
        <w:tabs>
          <w:tab w:val="num" w:pos="2145"/>
        </w:tabs>
        <w:ind w:left="2145" w:hanging="360"/>
      </w:pPr>
      <w:rPr>
        <w:rFonts w:ascii="Courier New" w:hAnsi="Courier New" w:cs="Courier New" w:hint="default"/>
      </w:rPr>
    </w:lvl>
    <w:lvl w:ilvl="2" w:tplc="7504B1A2">
      <w:start w:val="1"/>
      <w:numFmt w:val="bullet"/>
      <w:lvlText w:val=""/>
      <w:lvlJc w:val="left"/>
      <w:pPr>
        <w:tabs>
          <w:tab w:val="num" w:pos="2865"/>
        </w:tabs>
        <w:ind w:left="2865" w:hanging="360"/>
      </w:pPr>
      <w:rPr>
        <w:rFonts w:ascii="Symbol" w:hAnsi="Symbol" w:hint="default"/>
        <w:color w:val="auto"/>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3" w15:restartNumberingAfterBreak="0">
    <w:nsid w:val="6F6C432B"/>
    <w:multiLevelType w:val="hybridMultilevel"/>
    <w:tmpl w:val="A0FA3B84"/>
    <w:lvl w:ilvl="0" w:tplc="23BE8BE4">
      <w:start w:val="1"/>
      <w:numFmt w:val="bullet"/>
      <w:pStyle w:val="Paragraphedeliste"/>
      <w:lvlText w:val="►"/>
      <w:lvlJc w:val="left"/>
      <w:pPr>
        <w:ind w:left="1004" w:hanging="360"/>
      </w:pPr>
      <w:rPr>
        <w:rFonts w:ascii="Courier New" w:hAnsi="Courier New" w:hint="default"/>
      </w:rPr>
    </w:lvl>
    <w:lvl w:ilvl="1" w:tplc="76A2C4C4">
      <w:start w:val="1"/>
      <w:numFmt w:val="bullet"/>
      <w:lvlText w:val="o"/>
      <w:lvlJc w:val="left"/>
      <w:pPr>
        <w:ind w:left="1134" w:hanging="335"/>
      </w:pPr>
      <w:rPr>
        <w:rFonts w:ascii="Courier New" w:hAnsi="Courier New" w:hint="default"/>
      </w:rPr>
    </w:lvl>
    <w:lvl w:ilvl="2" w:tplc="CC42BCF6">
      <w:start w:val="1"/>
      <w:numFmt w:val="bullet"/>
      <w:lvlText w:val=""/>
      <w:lvlJc w:val="left"/>
      <w:pPr>
        <w:ind w:left="1310" w:hanging="357"/>
      </w:pPr>
      <w:rPr>
        <w:rFonts w:ascii="Wingdings" w:hAnsi="Wingdings" w:hint="default"/>
      </w:rPr>
    </w:lvl>
    <w:lvl w:ilvl="3" w:tplc="43B4C33E">
      <w:start w:val="1"/>
      <w:numFmt w:val="bullet"/>
      <w:lvlText w:val=""/>
      <w:lvlJc w:val="left"/>
      <w:pPr>
        <w:ind w:left="1418" w:hanging="284"/>
      </w:pPr>
      <w:rPr>
        <w:rFonts w:ascii="Symbol" w:hAnsi="Symbol" w:hint="default"/>
      </w:rPr>
    </w:lvl>
    <w:lvl w:ilvl="4" w:tplc="B5364A88">
      <w:start w:val="1"/>
      <w:numFmt w:val="bullet"/>
      <w:lvlText w:val="o"/>
      <w:lvlJc w:val="left"/>
      <w:pPr>
        <w:ind w:left="1985" w:hanging="454"/>
      </w:pPr>
      <w:rPr>
        <w:rFonts w:ascii="Courier New" w:hAnsi="Courier New" w:hint="default"/>
      </w:rPr>
    </w:lvl>
    <w:lvl w:ilvl="5" w:tplc="040C0005">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 w15:restartNumberingAfterBreak="0">
    <w:nsid w:val="6FEC078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AB241F4"/>
    <w:multiLevelType w:val="multilevel"/>
    <w:tmpl w:val="59B84FE6"/>
    <w:lvl w:ilvl="0">
      <w:start w:val="1"/>
      <w:numFmt w:val="upperLetter"/>
      <w:pStyle w:val="Titre1"/>
      <w:lvlText w:val="%1"/>
      <w:lvlJc w:val="left"/>
      <w:pPr>
        <w:ind w:left="0" w:hanging="99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itre2"/>
      <w:lvlText w:val="%2"/>
      <w:lvlJc w:val="left"/>
      <w:pPr>
        <w:ind w:left="0" w:hanging="992"/>
      </w:pPr>
      <w:rPr>
        <w:rFonts w:hint="default"/>
      </w:rPr>
    </w:lvl>
    <w:lvl w:ilvl="2">
      <w:start w:val="1"/>
      <w:numFmt w:val="decimal"/>
      <w:pStyle w:val="Titre3"/>
      <w:lvlText w:val="%2.%3"/>
      <w:lvlJc w:val="left"/>
      <w:pPr>
        <w:ind w:left="0" w:hanging="992"/>
      </w:pPr>
      <w:rPr>
        <w:rFonts w:hint="default"/>
        <w:sz w:val="28"/>
        <w:szCs w:val="28"/>
      </w:rPr>
    </w:lvl>
    <w:lvl w:ilvl="3">
      <w:start w:val="1"/>
      <w:numFmt w:val="decimal"/>
      <w:pStyle w:val="Titre4"/>
      <w:lvlText w:val="%2.%3.%4"/>
      <w:lvlJc w:val="left"/>
      <w:pPr>
        <w:ind w:left="0" w:hanging="99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re5"/>
      <w:lvlText w:val="%2.%3.%4.%5"/>
      <w:lvlJc w:val="left"/>
      <w:pPr>
        <w:ind w:left="0" w:hanging="99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Titre6"/>
      <w:lvlText w:val="%2.%3.%4.%5.%6"/>
      <w:lvlJc w:val="left"/>
      <w:pPr>
        <w:ind w:left="0" w:hanging="992"/>
      </w:pPr>
      <w:rPr>
        <w:rFonts w:hint="default"/>
      </w:rPr>
    </w:lvl>
    <w:lvl w:ilvl="6">
      <w:start w:val="1"/>
      <w:numFmt w:val="decimal"/>
      <w:pStyle w:val="Titre7"/>
      <w:lvlText w:val="%2.%3.%4.%5.%6.%7"/>
      <w:lvlJc w:val="left"/>
      <w:pPr>
        <w:ind w:left="0" w:hanging="992"/>
      </w:pPr>
      <w:rPr>
        <w:rFonts w:hint="default"/>
      </w:rPr>
    </w:lvl>
    <w:lvl w:ilvl="7">
      <w:start w:val="1"/>
      <w:numFmt w:val="decimal"/>
      <w:lvlText w:val="%2.%3.%4.%5.%6.%7.%8"/>
      <w:lvlJc w:val="left"/>
      <w:pPr>
        <w:ind w:left="0" w:hanging="992"/>
      </w:pPr>
      <w:rPr>
        <w:rFonts w:hint="default"/>
      </w:rPr>
    </w:lvl>
    <w:lvl w:ilvl="8">
      <w:start w:val="1"/>
      <w:numFmt w:val="decimal"/>
      <w:lvlText w:val="%1.%2.%3.%4.%5.%6.%7.%8.%9"/>
      <w:lvlJc w:val="left"/>
      <w:pPr>
        <w:ind w:left="0" w:hanging="992"/>
      </w:pPr>
      <w:rPr>
        <w:rFonts w:hint="default"/>
      </w:rPr>
    </w:lvl>
  </w:abstractNum>
  <w:num w:numId="1">
    <w:abstractNumId w:val="3"/>
  </w:num>
  <w:num w:numId="2">
    <w:abstractNumId w:val="1"/>
    <w:lvlOverride w:ilvl="0"/>
    <w:lvlOverride w:ilvl="1">
      <w:startOverride w:val="1"/>
    </w:lvlOverride>
    <w:lvlOverride w:ilvl="2"/>
    <w:lvlOverride w:ilvl="3"/>
    <w:lvlOverride w:ilvl="4"/>
    <w:lvlOverride w:ilvl="5"/>
    <w:lvlOverride w:ilvl="6"/>
    <w:lvlOverride w:ilvl="7"/>
    <w:lvlOverride w:ilvl="8"/>
  </w:num>
  <w:num w:numId="3">
    <w:abstractNumId w:val="5"/>
  </w:num>
  <w:num w:numId="4">
    <w:abstractNumId w:val="0"/>
    <w:lvlOverride w:ilvl="0">
      <w:lvl w:ilvl="0">
        <w:start w:val="1"/>
        <w:numFmt w:val="bullet"/>
        <w:lvlText w:val=""/>
        <w:legacy w:legacy="1" w:legacySpace="0" w:legacyIndent="283"/>
        <w:lvlJc w:val="left"/>
        <w:pPr>
          <w:ind w:left="991" w:hanging="283"/>
        </w:pPr>
        <w:rPr>
          <w:rFonts w:ascii="Symbol" w:hAnsi="Symbol" w:hint="default"/>
        </w:rPr>
      </w:lvl>
    </w:lvlOverride>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D29"/>
    <w:rsid w:val="0002078C"/>
    <w:rsid w:val="000C5250"/>
    <w:rsid w:val="0016436D"/>
    <w:rsid w:val="001F3605"/>
    <w:rsid w:val="00264ECA"/>
    <w:rsid w:val="007B5EE3"/>
    <w:rsid w:val="00960811"/>
    <w:rsid w:val="00A75A9E"/>
    <w:rsid w:val="00B70B72"/>
    <w:rsid w:val="00DD7F40"/>
    <w:rsid w:val="00E02155"/>
    <w:rsid w:val="00EC3D29"/>
    <w:rsid w:val="00EE733C"/>
    <w:rsid w:val="00EF36A2"/>
    <w:rsid w:val="00FD51F9"/>
    <w:rsid w:val="17E3075A"/>
    <w:rsid w:val="1A07AB08"/>
    <w:rsid w:val="29C64245"/>
    <w:rsid w:val="337B1791"/>
    <w:rsid w:val="349F4BAE"/>
    <w:rsid w:val="3E2AD506"/>
    <w:rsid w:val="719DC4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27CCBD5"/>
  <w15:chartTrackingRefBased/>
  <w15:docId w15:val="{796C9D5B-DD69-448D-9C6F-1BAC0E6CD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3"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3D29"/>
    <w:pPr>
      <w:widowControl w:val="0"/>
      <w:suppressAutoHyphens/>
      <w:kinsoku w:val="0"/>
      <w:autoSpaceDN w:val="0"/>
      <w:spacing w:before="120" w:after="0" w:line="240" w:lineRule="auto"/>
      <w:jc w:val="both"/>
    </w:pPr>
    <w:rPr>
      <w:rFonts w:eastAsia="Times New Roman" w:cstheme="majorHAnsi"/>
      <w:kern w:val="0"/>
      <w:sz w:val="20"/>
      <w:szCs w:val="20"/>
      <w:lang w:eastAsia="hi-IN" w:bidi="hi-IN"/>
      <w14:ligatures w14:val="none"/>
    </w:rPr>
  </w:style>
  <w:style w:type="paragraph" w:styleId="Titre1">
    <w:name w:val="heading 1"/>
    <w:basedOn w:val="Normal"/>
    <w:next w:val="Titre2"/>
    <w:link w:val="Titre1Car"/>
    <w:uiPriority w:val="9"/>
    <w:qFormat/>
    <w:rsid w:val="00EC3D29"/>
    <w:pPr>
      <w:keepNext/>
      <w:keepLines/>
      <w:numPr>
        <w:numId w:val="3"/>
      </w:numPr>
      <w:spacing w:before="240"/>
      <w:jc w:val="left"/>
      <w:outlineLvl w:val="0"/>
    </w:pPr>
    <w:rPr>
      <w:rFonts w:asciiTheme="majorHAnsi" w:eastAsiaTheme="majorEastAsia" w:hAnsiTheme="majorHAnsi" w:cstheme="majorBidi"/>
      <w:b/>
      <w:caps/>
      <w:color w:val="44546A" w:themeColor="text2"/>
      <w:sz w:val="28"/>
      <w:szCs w:val="36"/>
    </w:rPr>
  </w:style>
  <w:style w:type="paragraph" w:styleId="Titre2">
    <w:name w:val="heading 2"/>
    <w:basedOn w:val="Normal"/>
    <w:next w:val="Titre3"/>
    <w:link w:val="Titre2Car"/>
    <w:uiPriority w:val="9"/>
    <w:qFormat/>
    <w:rsid w:val="00EC3D29"/>
    <w:pPr>
      <w:keepNext/>
      <w:keepLines/>
      <w:numPr>
        <w:ilvl w:val="1"/>
        <w:numId w:val="3"/>
      </w:numPr>
      <w:jc w:val="left"/>
      <w:outlineLvl w:val="1"/>
    </w:pPr>
    <w:rPr>
      <w:rFonts w:asciiTheme="majorHAnsi" w:eastAsiaTheme="majorEastAsia" w:hAnsiTheme="majorHAnsi" w:cstheme="majorBidi"/>
      <w:b/>
      <w:color w:val="44546A" w:themeColor="text2"/>
      <w:sz w:val="28"/>
      <w:szCs w:val="32"/>
    </w:rPr>
  </w:style>
  <w:style w:type="paragraph" w:styleId="Titre3">
    <w:name w:val="heading 3"/>
    <w:basedOn w:val="Normal"/>
    <w:next w:val="Normal"/>
    <w:link w:val="Titre3Car"/>
    <w:uiPriority w:val="9"/>
    <w:qFormat/>
    <w:rsid w:val="00EC3D29"/>
    <w:pPr>
      <w:keepNext/>
      <w:keepLines/>
      <w:numPr>
        <w:ilvl w:val="2"/>
        <w:numId w:val="3"/>
      </w:numPr>
      <w:jc w:val="left"/>
      <w:outlineLvl w:val="2"/>
    </w:pPr>
    <w:rPr>
      <w:rFonts w:asciiTheme="majorHAnsi" w:eastAsiaTheme="majorEastAsia" w:hAnsiTheme="majorHAnsi" w:cstheme="majorBidi"/>
      <w:color w:val="44546A" w:themeColor="text2"/>
      <w:sz w:val="28"/>
      <w:szCs w:val="28"/>
    </w:rPr>
  </w:style>
  <w:style w:type="paragraph" w:styleId="Titre4">
    <w:name w:val="heading 4"/>
    <w:basedOn w:val="Normal"/>
    <w:next w:val="Normal"/>
    <w:link w:val="Titre4Car"/>
    <w:uiPriority w:val="9"/>
    <w:qFormat/>
    <w:rsid w:val="00EC3D29"/>
    <w:pPr>
      <w:keepNext/>
      <w:keepLines/>
      <w:numPr>
        <w:ilvl w:val="3"/>
        <w:numId w:val="3"/>
      </w:numPr>
      <w:spacing w:after="40"/>
      <w:jc w:val="left"/>
      <w:outlineLvl w:val="3"/>
    </w:pPr>
    <w:rPr>
      <w:rFonts w:asciiTheme="majorHAnsi" w:eastAsiaTheme="majorEastAsia" w:hAnsiTheme="majorHAnsi" w:cstheme="majorBidi"/>
      <w:b/>
      <w:sz w:val="24"/>
      <w:szCs w:val="24"/>
    </w:rPr>
  </w:style>
  <w:style w:type="paragraph" w:styleId="Titre5">
    <w:name w:val="heading 5"/>
    <w:basedOn w:val="Normal"/>
    <w:next w:val="Normal"/>
    <w:link w:val="Titre5Car"/>
    <w:uiPriority w:val="3"/>
    <w:qFormat/>
    <w:rsid w:val="00EC3D29"/>
    <w:pPr>
      <w:keepNext/>
      <w:keepLines/>
      <w:numPr>
        <w:ilvl w:val="4"/>
        <w:numId w:val="3"/>
      </w:numPr>
      <w:spacing w:before="40"/>
      <w:jc w:val="left"/>
      <w:outlineLvl w:val="4"/>
    </w:pPr>
    <w:rPr>
      <w:rFonts w:asciiTheme="majorHAnsi" w:eastAsiaTheme="majorEastAsia" w:hAnsiTheme="majorHAnsi" w:cstheme="majorBidi"/>
      <w:caps/>
    </w:rPr>
  </w:style>
  <w:style w:type="paragraph" w:styleId="Titre6">
    <w:name w:val="heading 6"/>
    <w:basedOn w:val="Normal"/>
    <w:next w:val="Normal"/>
    <w:link w:val="Titre6Car"/>
    <w:uiPriority w:val="9"/>
    <w:qFormat/>
    <w:rsid w:val="00EC3D29"/>
    <w:pPr>
      <w:keepNext/>
      <w:keepLines/>
      <w:numPr>
        <w:ilvl w:val="5"/>
        <w:numId w:val="3"/>
      </w:numPr>
      <w:spacing w:before="40"/>
      <w:jc w:val="left"/>
      <w:outlineLvl w:val="5"/>
    </w:pPr>
    <w:rPr>
      <w:rFonts w:asciiTheme="majorHAnsi" w:eastAsiaTheme="majorEastAsia" w:hAnsiTheme="majorHAnsi" w:cstheme="majorBidi"/>
      <w:i/>
      <w:iCs/>
      <w:caps/>
      <w:color w:val="1F3864" w:themeColor="accent1" w:themeShade="80"/>
    </w:rPr>
  </w:style>
  <w:style w:type="paragraph" w:styleId="Titre7">
    <w:name w:val="heading 7"/>
    <w:basedOn w:val="Normal"/>
    <w:next w:val="Normal"/>
    <w:link w:val="Titre7Car"/>
    <w:uiPriority w:val="9"/>
    <w:qFormat/>
    <w:rsid w:val="00EC3D29"/>
    <w:pPr>
      <w:keepNext/>
      <w:keepLines/>
      <w:numPr>
        <w:ilvl w:val="6"/>
        <w:numId w:val="3"/>
      </w:numPr>
      <w:spacing w:before="40"/>
      <w:jc w:val="left"/>
      <w:outlineLvl w:val="6"/>
    </w:pPr>
    <w:rPr>
      <w:rFonts w:asciiTheme="majorHAnsi" w:eastAsiaTheme="majorEastAsia" w:hAnsiTheme="majorHAnsi" w:cstheme="majorBidi"/>
      <w:b/>
      <w:bCs/>
      <w:color w:val="1F3864" w:themeColor="accent1"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C3D29"/>
    <w:rPr>
      <w:rFonts w:asciiTheme="majorHAnsi" w:eastAsiaTheme="majorEastAsia" w:hAnsiTheme="majorHAnsi" w:cstheme="majorBidi"/>
      <w:b/>
      <w:caps/>
      <w:color w:val="44546A" w:themeColor="text2"/>
      <w:kern w:val="0"/>
      <w:sz w:val="28"/>
      <w:szCs w:val="36"/>
      <w:lang w:eastAsia="hi-IN" w:bidi="hi-IN"/>
      <w14:ligatures w14:val="none"/>
    </w:rPr>
  </w:style>
  <w:style w:type="character" w:customStyle="1" w:styleId="Titre2Car">
    <w:name w:val="Titre 2 Car"/>
    <w:basedOn w:val="Policepardfaut"/>
    <w:link w:val="Titre2"/>
    <w:uiPriority w:val="9"/>
    <w:rsid w:val="00EC3D29"/>
    <w:rPr>
      <w:rFonts w:asciiTheme="majorHAnsi" w:eastAsiaTheme="majorEastAsia" w:hAnsiTheme="majorHAnsi" w:cstheme="majorBidi"/>
      <w:b/>
      <w:color w:val="44546A" w:themeColor="text2"/>
      <w:kern w:val="0"/>
      <w:sz w:val="28"/>
      <w:szCs w:val="32"/>
      <w:lang w:eastAsia="hi-IN" w:bidi="hi-IN"/>
      <w14:ligatures w14:val="none"/>
    </w:rPr>
  </w:style>
  <w:style w:type="character" w:customStyle="1" w:styleId="Titre3Car">
    <w:name w:val="Titre 3 Car"/>
    <w:basedOn w:val="Policepardfaut"/>
    <w:link w:val="Titre3"/>
    <w:uiPriority w:val="9"/>
    <w:rsid w:val="00EC3D29"/>
    <w:rPr>
      <w:rFonts w:asciiTheme="majorHAnsi" w:eastAsiaTheme="majorEastAsia" w:hAnsiTheme="majorHAnsi" w:cstheme="majorBidi"/>
      <w:color w:val="44546A" w:themeColor="text2"/>
      <w:kern w:val="0"/>
      <w:sz w:val="28"/>
      <w:szCs w:val="28"/>
      <w:lang w:eastAsia="hi-IN" w:bidi="hi-IN"/>
      <w14:ligatures w14:val="none"/>
    </w:rPr>
  </w:style>
  <w:style w:type="character" w:customStyle="1" w:styleId="Titre4Car">
    <w:name w:val="Titre 4 Car"/>
    <w:basedOn w:val="Policepardfaut"/>
    <w:link w:val="Titre4"/>
    <w:uiPriority w:val="9"/>
    <w:rsid w:val="00EC3D29"/>
    <w:rPr>
      <w:rFonts w:asciiTheme="majorHAnsi" w:eastAsiaTheme="majorEastAsia" w:hAnsiTheme="majorHAnsi" w:cstheme="majorBidi"/>
      <w:b/>
      <w:kern w:val="0"/>
      <w:sz w:val="24"/>
      <w:szCs w:val="24"/>
      <w:lang w:eastAsia="hi-IN" w:bidi="hi-IN"/>
      <w14:ligatures w14:val="none"/>
    </w:rPr>
  </w:style>
  <w:style w:type="character" w:customStyle="1" w:styleId="Titre5Car">
    <w:name w:val="Titre 5 Car"/>
    <w:basedOn w:val="Policepardfaut"/>
    <w:link w:val="Titre5"/>
    <w:uiPriority w:val="3"/>
    <w:rsid w:val="00EC3D29"/>
    <w:rPr>
      <w:rFonts w:asciiTheme="majorHAnsi" w:eastAsiaTheme="majorEastAsia" w:hAnsiTheme="majorHAnsi" w:cstheme="majorBidi"/>
      <w:caps/>
      <w:kern w:val="0"/>
      <w:sz w:val="20"/>
      <w:szCs w:val="20"/>
      <w:lang w:eastAsia="hi-IN" w:bidi="hi-IN"/>
      <w14:ligatures w14:val="none"/>
    </w:rPr>
  </w:style>
  <w:style w:type="character" w:customStyle="1" w:styleId="Titre6Car">
    <w:name w:val="Titre 6 Car"/>
    <w:basedOn w:val="Policepardfaut"/>
    <w:link w:val="Titre6"/>
    <w:uiPriority w:val="9"/>
    <w:rsid w:val="00EC3D29"/>
    <w:rPr>
      <w:rFonts w:asciiTheme="majorHAnsi" w:eastAsiaTheme="majorEastAsia" w:hAnsiTheme="majorHAnsi" w:cstheme="majorBidi"/>
      <w:i/>
      <w:iCs/>
      <w:caps/>
      <w:color w:val="1F3864" w:themeColor="accent1" w:themeShade="80"/>
      <w:kern w:val="0"/>
      <w:sz w:val="20"/>
      <w:szCs w:val="20"/>
      <w:lang w:eastAsia="hi-IN" w:bidi="hi-IN"/>
      <w14:ligatures w14:val="none"/>
    </w:rPr>
  </w:style>
  <w:style w:type="character" w:customStyle="1" w:styleId="Titre7Car">
    <w:name w:val="Titre 7 Car"/>
    <w:basedOn w:val="Policepardfaut"/>
    <w:link w:val="Titre7"/>
    <w:uiPriority w:val="9"/>
    <w:rsid w:val="00EC3D29"/>
    <w:rPr>
      <w:rFonts w:asciiTheme="majorHAnsi" w:eastAsiaTheme="majorEastAsia" w:hAnsiTheme="majorHAnsi" w:cstheme="majorBidi"/>
      <w:b/>
      <w:bCs/>
      <w:color w:val="1F3864" w:themeColor="accent1" w:themeShade="80"/>
      <w:kern w:val="0"/>
      <w:sz w:val="20"/>
      <w:szCs w:val="20"/>
      <w:lang w:eastAsia="hi-IN" w:bidi="hi-IN"/>
      <w14:ligatures w14:val="none"/>
    </w:rPr>
  </w:style>
  <w:style w:type="paragraph" w:styleId="Paragraphedeliste">
    <w:name w:val="List Paragraph"/>
    <w:aliases w:val="Tab n1,Tab 1,Paragraphe de liste1,Paragraphe de liste num,Paragraphe de liste 1,Listes,Liste couleur - Accent 11,Liste H3C,Liste SItéa,texte de base,6 pt paragraphe carré,Puce focus,Legende,List Paragraph,Normal bullet 2,Paragraph"/>
    <w:basedOn w:val="Normal"/>
    <w:link w:val="ParagraphedelisteCar"/>
    <w:uiPriority w:val="34"/>
    <w:qFormat/>
    <w:rsid w:val="00EC3D29"/>
    <w:pPr>
      <w:numPr>
        <w:numId w:val="1"/>
      </w:numPr>
      <w:contextualSpacing/>
    </w:pPr>
    <w:rPr>
      <w:lang w:eastAsia="fr-FR"/>
    </w:rPr>
  </w:style>
  <w:style w:type="character" w:customStyle="1" w:styleId="ParagraphedelisteCar">
    <w:name w:val="Paragraphe de liste Car"/>
    <w:aliases w:val="Tab n1 Car,Tab 1 Car,Paragraphe de liste1 Car,Paragraphe de liste num Car,Paragraphe de liste 1 Car,Listes Car,Liste couleur - Accent 11 Car,Liste H3C Car,Liste SItéa Car,texte de base Car,6 pt paragraphe carré Car,Puce focus Car"/>
    <w:basedOn w:val="Policepardfaut"/>
    <w:link w:val="Paragraphedeliste"/>
    <w:uiPriority w:val="34"/>
    <w:qFormat/>
    <w:rsid w:val="00EC3D29"/>
    <w:rPr>
      <w:rFonts w:eastAsia="Times New Roman" w:cstheme="majorHAnsi"/>
      <w:kern w:val="0"/>
      <w:sz w:val="20"/>
      <w:szCs w:val="20"/>
      <w:lang w:eastAsia="fr-FR" w:bidi="hi-IN"/>
      <w14:ligatures w14:val="none"/>
    </w:rPr>
  </w:style>
  <w:style w:type="paragraph" w:styleId="En-tte">
    <w:name w:val="header"/>
    <w:basedOn w:val="Normal"/>
    <w:link w:val="En-tteCar"/>
    <w:uiPriority w:val="99"/>
    <w:unhideWhenUsed/>
    <w:rsid w:val="00A75A9E"/>
    <w:pPr>
      <w:tabs>
        <w:tab w:val="center" w:pos="4536"/>
        <w:tab w:val="right" w:pos="9072"/>
      </w:tabs>
      <w:spacing w:before="0"/>
    </w:pPr>
    <w:rPr>
      <w:rFonts w:cs="Mangal"/>
      <w:szCs w:val="18"/>
    </w:rPr>
  </w:style>
  <w:style w:type="character" w:customStyle="1" w:styleId="En-tteCar">
    <w:name w:val="En-tête Car"/>
    <w:basedOn w:val="Policepardfaut"/>
    <w:link w:val="En-tte"/>
    <w:uiPriority w:val="99"/>
    <w:rsid w:val="00A75A9E"/>
    <w:rPr>
      <w:rFonts w:eastAsia="Times New Roman" w:cs="Mangal"/>
      <w:kern w:val="0"/>
      <w:sz w:val="20"/>
      <w:szCs w:val="18"/>
      <w:lang w:eastAsia="hi-IN" w:bidi="hi-IN"/>
      <w14:ligatures w14:val="none"/>
    </w:rPr>
  </w:style>
  <w:style w:type="paragraph" w:styleId="Pieddepage">
    <w:name w:val="footer"/>
    <w:basedOn w:val="Normal"/>
    <w:link w:val="PieddepageCar"/>
    <w:uiPriority w:val="99"/>
    <w:unhideWhenUsed/>
    <w:rsid w:val="00A75A9E"/>
    <w:pPr>
      <w:tabs>
        <w:tab w:val="center" w:pos="4536"/>
        <w:tab w:val="right" w:pos="9072"/>
      </w:tabs>
      <w:spacing w:before="0"/>
    </w:pPr>
    <w:rPr>
      <w:rFonts w:cs="Mangal"/>
      <w:szCs w:val="18"/>
    </w:rPr>
  </w:style>
  <w:style w:type="character" w:customStyle="1" w:styleId="PieddepageCar">
    <w:name w:val="Pied de page Car"/>
    <w:basedOn w:val="Policepardfaut"/>
    <w:link w:val="Pieddepage"/>
    <w:uiPriority w:val="99"/>
    <w:rsid w:val="00A75A9E"/>
    <w:rPr>
      <w:rFonts w:eastAsia="Times New Roman" w:cs="Mangal"/>
      <w:kern w:val="0"/>
      <w:sz w:val="20"/>
      <w:szCs w:val="18"/>
      <w:lang w:eastAsia="hi-IN" w:bidi="hi-IN"/>
      <w14:ligatures w14:val="none"/>
    </w:rPr>
  </w:style>
  <w:style w:type="table" w:customStyle="1" w:styleId="Grilledutableau1">
    <w:name w:val="Grille du tableau1"/>
    <w:basedOn w:val="TableauNormal"/>
    <w:next w:val="Grilledutableau"/>
    <w:rsid w:val="00A75A9E"/>
    <w:pPr>
      <w:spacing w:after="0" w:line="240" w:lineRule="auto"/>
    </w:pPr>
    <w:rPr>
      <w:rFonts w:eastAsia="Yu Mincho"/>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A75A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rsid w:val="00A75A9E"/>
    <w:pPr>
      <w:spacing w:after="0" w:line="240" w:lineRule="auto"/>
    </w:pPr>
    <w:rPr>
      <w:rFonts w:eastAsia="Yu Mincho"/>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284479">
      <w:bodyDiv w:val="1"/>
      <w:marLeft w:val="0"/>
      <w:marRight w:val="0"/>
      <w:marTop w:val="0"/>
      <w:marBottom w:val="0"/>
      <w:divBdr>
        <w:top w:val="none" w:sz="0" w:space="0" w:color="auto"/>
        <w:left w:val="none" w:sz="0" w:space="0" w:color="auto"/>
        <w:bottom w:val="none" w:sz="0" w:space="0" w:color="auto"/>
        <w:right w:val="none" w:sz="0" w:space="0" w:color="auto"/>
      </w:divBdr>
    </w:div>
    <w:div w:id="622733155">
      <w:bodyDiv w:val="1"/>
      <w:marLeft w:val="0"/>
      <w:marRight w:val="0"/>
      <w:marTop w:val="0"/>
      <w:marBottom w:val="0"/>
      <w:divBdr>
        <w:top w:val="none" w:sz="0" w:space="0" w:color="auto"/>
        <w:left w:val="none" w:sz="0" w:space="0" w:color="auto"/>
        <w:bottom w:val="none" w:sz="0" w:space="0" w:color="auto"/>
        <w:right w:val="none" w:sz="0" w:space="0" w:color="auto"/>
      </w:divBdr>
    </w:div>
    <w:div w:id="204829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93FF1D16C462B4BB98DB5098034BCB3" ma:contentTypeVersion="4" ma:contentTypeDescription="Crée un document." ma:contentTypeScope="" ma:versionID="5e2a8c2bceb1c1acd23536b9fcd79f39">
  <xsd:schema xmlns:xsd="http://www.w3.org/2001/XMLSchema" xmlns:xs="http://www.w3.org/2001/XMLSchema" xmlns:p="http://schemas.microsoft.com/office/2006/metadata/properties" xmlns:ns2="d8535867-8c23-4926-8ede-10ec2d1735b3" targetNamespace="http://schemas.microsoft.com/office/2006/metadata/properties" ma:root="true" ma:fieldsID="707e9215287938b488516ce43b3e3f46" ns2:_="">
    <xsd:import namespace="d8535867-8c23-4926-8ede-10ec2d1735b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535867-8c23-4926-8ede-10ec2d1735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B3E46B-F010-4EDA-AE88-9DB799E5DE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C489D75-5796-4C4E-8DFB-96D5C84F940E}">
  <ds:schemaRefs>
    <ds:schemaRef ds:uri="http://schemas.microsoft.com/sharepoint/v3/contenttype/forms"/>
  </ds:schemaRefs>
</ds:datastoreItem>
</file>

<file path=customXml/itemProps3.xml><?xml version="1.0" encoding="utf-8"?>
<ds:datastoreItem xmlns:ds="http://schemas.openxmlformats.org/officeDocument/2006/customXml" ds:itemID="{FF936EF1-EE7A-4A8A-AF59-C8F6E66258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535867-8c23-4926-8ede-10ec2d1735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2392</Words>
  <Characters>13157</Characters>
  <Application>Microsoft Office Word</Application>
  <DocSecurity>0</DocSecurity>
  <Lines>109</Lines>
  <Paragraphs>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 LOISEAU</dc:creator>
  <cp:keywords/>
  <dc:description/>
  <cp:lastModifiedBy>AGNETTI Sabrina</cp:lastModifiedBy>
  <cp:revision>9</cp:revision>
  <dcterms:created xsi:type="dcterms:W3CDTF">2023-06-05T06:50:00Z</dcterms:created>
  <dcterms:modified xsi:type="dcterms:W3CDTF">2024-10-24T08:59:00Z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0x010100893FF1D16C462B4BB98DB5098034BCB3</vt:lpwstr>
  </property>
</Properties>
</file>