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hAnsi="Arial" w:cs="Arial"/>
          <w:u w:val="single"/>
        </w:rPr>
      </w:pPr>
      <w:r>
        <w:rPr>
          <w:rFonts w:ascii="Arial" w:hAnsi="Arial" w:cs="Arial"/>
          <w:u w:val="single"/>
        </w:rPr>
        <w:t xml:space="preserve">Objet du marché : </w:t>
      </w:r>
    </w:p>
    <w:p>
      <w:pPr>
        <w:shd w:val="clear" w:color="auto" w:fill="FFFFFF"/>
        <w:spacing w:after="0" w:line="240" w:lineRule="auto"/>
        <w:jc w:val="both"/>
        <w:rPr>
          <w:rFonts w:ascii="Arial" w:eastAsia="Times New Roman" w:hAnsi="Arial" w:cs="Arial"/>
          <w:b/>
          <w:sz w:val="28"/>
          <w:szCs w:val="28"/>
          <w:lang w:eastAsia="fr-FR"/>
        </w:rPr>
      </w:pPr>
      <w:r>
        <w:rPr>
          <w:rFonts w:ascii="Arial" w:eastAsia="Times New Roman" w:hAnsi="Arial" w:cs="Arial"/>
          <w:b/>
          <w:sz w:val="28"/>
          <w:szCs w:val="28"/>
          <w:lang w:eastAsia="fr-FR"/>
        </w:rPr>
        <w:t>H</w:t>
      </w:r>
      <w:r>
        <w:rPr>
          <w:rFonts w:ascii="Arial" w:eastAsia="Times New Roman" w:hAnsi="Arial" w:cs="Arial"/>
          <w:b/>
          <w:sz w:val="28"/>
          <w:szCs w:val="28"/>
          <w:lang w:eastAsia="fr-FR"/>
        </w:rPr>
        <w:t>ébergement de contenus audiovisuels sur Internet et la réalisation de prestations complémentaires, au profit du Secrétariat général du Ministère de l’Économie, des Finances et de l’Industrie (MINEFI)</w:t>
      </w:r>
    </w:p>
    <w:p>
      <w:pPr>
        <w:shd w:val="clear" w:color="auto" w:fill="FFFFFF"/>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___________________________________________________________________________</w:t>
      </w:r>
    </w:p>
    <w:p>
      <w:pPr>
        <w:spacing w:line="276" w:lineRule="auto"/>
        <w:jc w:val="both"/>
        <w:rPr>
          <w:rFonts w:ascii="Arial" w:hAnsi="Arial" w:cs="Arial"/>
          <w:b/>
        </w:rPr>
      </w:pPr>
    </w:p>
    <w:p>
      <w:pPr>
        <w:jc w:val="center"/>
        <w:rPr>
          <w:b/>
          <w:bCs/>
        </w:rPr>
      </w:pPr>
      <w:r>
        <w:rPr>
          <w:b/>
          <w:bCs/>
        </w:rPr>
        <w:t xml:space="preserve">Annexe n° 2 au CCAP </w:t>
      </w:r>
    </w:p>
    <w:p>
      <w:pPr>
        <w:jc w:val="center"/>
      </w:pPr>
      <w:r>
        <w:t>PROTECTION DES DONNEES PERSONNELLES</w:t>
      </w:r>
    </w:p>
    <w:p>
      <w:pPr>
        <w:jc w:val="center"/>
      </w:pPr>
      <w:r>
        <w:t>Règlement (UE) 2016/679 du Parlement européen et du Conseil du 27 avril 2016, applicable à compter du 25 mai 2018 (le règlement européen sur la protection des données) et loi n° 2018-493 du 20 juin 2018 relative à la protection des données personnelles</w:t>
      </w:r>
    </w:p>
    <w:p>
      <w:pPr>
        <w:rPr>
          <w:highlight w:val="green"/>
        </w:rPr>
      </w:pPr>
    </w:p>
    <w:p>
      <w:pPr>
        <w:jc w:val="both"/>
        <w:rPr>
          <w:highlight w:val="white"/>
        </w:rPr>
      </w:pPr>
      <w:r>
        <w:rPr>
          <w:highlight w:val="white"/>
        </w:rPr>
        <w:t>L’acheteur est responsable du traitement des données à caractère personnel. Le titulaire est sous-traitant au sens du RGPD. Le présent article a pour objet de définir les conditions dans lesquelles le(s) titulaire(s) du présent marché public s'engage(nt) à effectuer pour le compte de l'acheteur les opérations de traitement de données à caractère personnel définies ci-après.</w:t>
      </w:r>
    </w:p>
    <w:p>
      <w:pPr>
        <w:jc w:val="both"/>
        <w:rPr>
          <w:highlight w:val="white"/>
        </w:rPr>
      </w:pPr>
      <w:r>
        <w:rPr>
          <w:highlight w:val="white"/>
        </w:rP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p>
      <w:pPr>
        <w:rPr>
          <w:u w:val="single"/>
        </w:rPr>
      </w:pPr>
      <w:r>
        <w:rPr>
          <w:b/>
          <w:bCs/>
          <w:u w:val="single"/>
        </w:rPr>
        <w:t>Précisions terminologiques</w:t>
      </w:r>
      <w:r>
        <w:rPr>
          <w:u w:val="single"/>
        </w:rPr>
        <w:t xml:space="preserve"> :</w:t>
      </w:r>
    </w:p>
    <w:p>
      <w:pPr>
        <w:jc w:val="both"/>
      </w:pPr>
      <w:r>
        <w:t xml:space="preserve">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w:t>
      </w:r>
      <w:r>
        <w:rPr>
          <w:highlight w:val="white"/>
        </w:rPr>
        <w:t>est l'acheteur et le sous-traitant est le titulaire du marché.</w:t>
      </w:r>
    </w:p>
    <w:p/>
    <w:p>
      <w:pPr>
        <w:rPr>
          <w:b/>
          <w:bCs/>
          <w:u w:val="single"/>
        </w:rPr>
      </w:pPr>
      <w:r>
        <w:rPr>
          <w:b/>
          <w:bCs/>
          <w:u w:val="single"/>
        </w:rPr>
        <w:t>Nature, durée, finalité et description du traitement de données à caractère personnel :</w:t>
      </w:r>
    </w:p>
    <w:p>
      <w:r>
        <w:t>Le titulaire est autorisé à traiter pour le compte de l'acheteur, les données à caractère personnel nécessaires pour fournir la ou les prestations (s) suivante (s) :</w:t>
      </w:r>
    </w:p>
    <w:p>
      <w:pPr>
        <w:pStyle w:val="Paragraphedeliste"/>
        <w:numPr>
          <w:ilvl w:val="0"/>
          <w:numId w:val="14"/>
        </w:numPr>
      </w:pPr>
      <w:r>
        <w:t>Hébergement de vidéos avec accès à l’interface de dépôt/gestion des vidéos</w:t>
      </w:r>
    </w:p>
    <w:p>
      <w:pPr>
        <w:pStyle w:val="Paragraphedeliste"/>
        <w:numPr>
          <w:ilvl w:val="0"/>
          <w:numId w:val="14"/>
        </w:numPr>
      </w:pPr>
      <w:r>
        <w:t>Diffusion de vidéos</w:t>
      </w:r>
    </w:p>
    <w:p>
      <w:r>
        <w:t>Les données à caractère personnel sont traitées pour une durée de :</w:t>
      </w:r>
    </w:p>
    <w:p>
      <w:pPr>
        <w:pStyle w:val="Paragraphedeliste"/>
        <w:numPr>
          <w:ilvl w:val="0"/>
          <w:numId w:val="14"/>
        </w:numPr>
      </w:pPr>
      <w:r>
        <w:t>Correspondante à l’exécution du présent marché soit 4 ans maximum</w:t>
      </w:r>
    </w:p>
    <w:p>
      <w:r>
        <w:lastRenderedPageBreak/>
        <w:t>Nature des opérations réalisées sur les données :</w:t>
      </w:r>
    </w:p>
    <w:p>
      <w:pPr>
        <w:pStyle w:val="Paragraphedeliste"/>
        <w:numPr>
          <w:ilvl w:val="0"/>
          <w:numId w:val="14"/>
        </w:numPr>
      </w:pPr>
      <w:r>
        <w:t>Diffusion de la vidéo, les données sont encryptées et non modifiables</w:t>
      </w:r>
    </w:p>
    <w:p>
      <w:pPr>
        <w:pStyle w:val="Paragraphedeliste"/>
        <w:numPr>
          <w:ilvl w:val="0"/>
          <w:numId w:val="14"/>
        </w:numPr>
      </w:pPr>
      <w:r>
        <w:t xml:space="preserve">Stockage de vidéos  </w:t>
      </w:r>
    </w:p>
    <w:p>
      <w:pPr>
        <w:pStyle w:val="Paragraphedeliste"/>
        <w:numPr>
          <w:ilvl w:val="0"/>
          <w:numId w:val="14"/>
        </w:numPr>
      </w:pPr>
      <w:r>
        <w:t>Gestion des droits de dépôts/retraits de vidéos</w:t>
      </w:r>
    </w:p>
    <w:p>
      <w:r>
        <w:t xml:space="preserve">La ou les finalité(s) du traitement sont les suivantes : </w:t>
      </w:r>
    </w:p>
    <w:p>
      <w:pPr>
        <w:pStyle w:val="Paragraphedeliste"/>
        <w:numPr>
          <w:ilvl w:val="0"/>
          <w:numId w:val="14"/>
        </w:numPr>
      </w:pPr>
      <w:r>
        <w:t xml:space="preserve">Hébergement de vidéos </w:t>
      </w:r>
    </w:p>
    <w:p>
      <w:pPr>
        <w:pStyle w:val="Paragraphedeliste"/>
        <w:numPr>
          <w:ilvl w:val="0"/>
          <w:numId w:val="14"/>
        </w:numPr>
      </w:pPr>
      <w:r>
        <w:t>Diffusion des vidéos</w:t>
      </w:r>
    </w:p>
    <w:p>
      <w:pPr>
        <w:pStyle w:val="Paragraphedeliste"/>
        <w:numPr>
          <w:ilvl w:val="0"/>
          <w:numId w:val="14"/>
        </w:numPr>
      </w:pPr>
      <w:r>
        <w:t>Authentification à l’interface de dépôt/gestion des vidéos</w:t>
      </w:r>
    </w:p>
    <w:p>
      <w:r>
        <w:t xml:space="preserve">Les types de données à caractère personnel traitées sont les suivantes : </w:t>
      </w:r>
    </w:p>
    <w:p>
      <w:pPr>
        <w:pStyle w:val="Paragraphedeliste"/>
        <w:numPr>
          <w:ilvl w:val="0"/>
          <w:numId w:val="14"/>
        </w:numPr>
      </w:pPr>
      <w:bookmarkStart w:id="0" w:name="_Hlk136346499"/>
      <w:r>
        <w:t>Etat-civil, identification : Vidéos</w:t>
      </w:r>
    </w:p>
    <w:p>
      <w:pPr>
        <w:pStyle w:val="Paragraphedeliste"/>
        <w:numPr>
          <w:ilvl w:val="0"/>
          <w:numId w:val="14"/>
        </w:numPr>
      </w:pPr>
      <w:r>
        <w:t>Données de connexion : Identifiant de connexion (comportant à minima le nom de famille de l’utilisateur) selon le modèle : première lettre du prénom + nom, mot de passe ; logs de connexion, adresses IP </w:t>
      </w:r>
      <w:bookmarkEnd w:id="0"/>
    </w:p>
    <w:p>
      <w:r>
        <w:t xml:space="preserve">Les catégories de personnes concernées par les données sont les suivantes : </w:t>
      </w:r>
    </w:p>
    <w:p>
      <w:pPr>
        <w:pStyle w:val="Paragraphedeliste"/>
        <w:numPr>
          <w:ilvl w:val="0"/>
          <w:numId w:val="14"/>
        </w:numPr>
      </w:pPr>
      <w:r>
        <w:t>Personnes présentes sur les vidéos</w:t>
      </w:r>
    </w:p>
    <w:p>
      <w:pPr>
        <w:pStyle w:val="Paragraphedeliste"/>
        <w:numPr>
          <w:ilvl w:val="0"/>
          <w:numId w:val="14"/>
        </w:numPr>
      </w:pPr>
      <w:r>
        <w:t>Agents de l’administration ayant accès à l’interface de gestion/dépôt des vidéos</w:t>
      </w:r>
    </w:p>
    <w:p>
      <w:r>
        <w:t>Pour l'exécution des prestations objets du présent marché public, l'acheteur met à la disposition du titulaire les informations nécessaires suivantes :</w:t>
      </w:r>
    </w:p>
    <w:p>
      <w:pPr>
        <w:pStyle w:val="Paragraphedeliste"/>
        <w:numPr>
          <w:ilvl w:val="0"/>
          <w:numId w:val="14"/>
        </w:numPr>
      </w:pPr>
      <w:r>
        <w:t>L’ensemble du catalogue vidéo</w:t>
      </w:r>
    </w:p>
    <w:p>
      <w:pPr>
        <w:pStyle w:val="Paragraphedeliste"/>
        <w:numPr>
          <w:ilvl w:val="0"/>
          <w:numId w:val="14"/>
        </w:numPr>
      </w:pPr>
      <w:r>
        <w:t>Identifiants des personnes habilitées à gérer des vidéos</w:t>
      </w:r>
    </w:p>
    <w:p/>
    <w:p>
      <w:pPr>
        <w:rPr>
          <w:b/>
          <w:bCs/>
          <w:u w:val="single"/>
        </w:rPr>
      </w:pPr>
      <w:r>
        <w:rPr>
          <w:b/>
          <w:bCs/>
          <w:u w:val="single"/>
        </w:rPr>
        <w:t>Concernant les données sensibles :</w:t>
      </w:r>
    </w:p>
    <w:p>
      <w:pPr>
        <w:jc w:val="both"/>
      </w:pPr>
      <w: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p>
      <w:pPr>
        <w:rPr>
          <w:b/>
          <w:bCs/>
          <w:u w:val="single"/>
        </w:rPr>
      </w:pPr>
      <w:r>
        <w:rPr>
          <w:b/>
          <w:bCs/>
          <w:u w:val="single"/>
        </w:rPr>
        <w:t>Concernant la mise en œuvre du traitement :</w:t>
      </w:r>
    </w:p>
    <w:p>
      <w:pPr>
        <w:pStyle w:val="Paragraphedeliste"/>
        <w:numPr>
          <w:ilvl w:val="0"/>
          <w:numId w:val="12"/>
        </w:numPr>
        <w:rPr>
          <w:u w:val="single"/>
        </w:rPr>
      </w:pPr>
      <w:r>
        <w:rPr>
          <w:u w:val="single"/>
        </w:rPr>
        <w:t>Obligations du titulaire vis-à-vis de l'acheteur</w:t>
      </w:r>
    </w:p>
    <w:p>
      <w:r>
        <w:t>Le titulaire du marché public s'engage, notamment, à :</w:t>
      </w:r>
    </w:p>
    <w:p>
      <w:pPr>
        <w:ind w:left="708"/>
        <w:jc w:val="both"/>
      </w:pPr>
      <w:r>
        <w:t>1. traiter les données uniquement pour la ou les seule(s) finalité(s) qui fait/font l'objet du présent marché public ;</w:t>
      </w:r>
    </w:p>
    <w:p>
      <w:pPr>
        <w:ind w:left="708"/>
        <w:jc w:val="both"/>
      </w:pPr>
      <w:r>
        <w:t xml:space="preserve">2. traiter les données conformément aux instructions documentées de l'acheteur figurant dans la présente annexe et dans les documents contractuels du présent marché. Si le titulaire considère qu'une instruction est donnée en violation du règlement général sur la protection </w:t>
      </w:r>
      <w:r>
        <w:lastRenderedPageBreak/>
        <w:t>des données ou de toute autre disposition du droit de l'Union ou du droit des Etats membres relative à la protection des données, il en informe immédiatement l'acheteur ;</w:t>
      </w:r>
    </w:p>
    <w:p>
      <w:pPr>
        <w:ind w:left="708"/>
        <w:jc w:val="both"/>
      </w:pPr>
      <w:r>
        <w:t>3. 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pPr>
        <w:ind w:left="708"/>
        <w:jc w:val="both"/>
      </w:pPr>
      <w: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pPr>
        <w:ind w:left="708"/>
        <w:jc w:val="both"/>
      </w:pPr>
      <w:r>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pPr>
        <w:ind w:left="708"/>
        <w:jc w:val="both"/>
      </w:pPr>
      <w:r>
        <w:t>Si les modalités d'exécution ne peuvent être adaptées, l'acheteur procède à la résiliation du marché pour motif d'intérêt général dans les conditions prévues par le CCAG de référence.</w:t>
      </w:r>
    </w:p>
    <w:p>
      <w:pPr>
        <w:ind w:left="708"/>
        <w:jc w:val="both"/>
      </w:pPr>
      <w:r>
        <w:t>4. garantir la confidentialité des données à caractère personnel traitées dans le cadre du présent marché public ;</w:t>
      </w:r>
    </w:p>
    <w:p>
      <w:pPr>
        <w:ind w:left="708"/>
        <w:jc w:val="both"/>
      </w:pPr>
      <w:r>
        <w:t>5. veiller à ce que les personnes autorisées à traiter les données à caractère personnel en vertu du présent marché public :</w:t>
      </w:r>
    </w:p>
    <w:p>
      <w:pPr>
        <w:pStyle w:val="Paragraphedeliste"/>
        <w:numPr>
          <w:ilvl w:val="0"/>
          <w:numId w:val="11"/>
        </w:numPr>
        <w:jc w:val="both"/>
      </w:pPr>
      <w:proofErr w:type="gramStart"/>
      <w:r>
        <w:t>s'engagent</w:t>
      </w:r>
      <w:proofErr w:type="gramEnd"/>
      <w:r>
        <w:t xml:space="preserve"> à respecter la confidentialité ou soient soumises à une obligation légale appropriée de confidentialité ;</w:t>
      </w:r>
    </w:p>
    <w:p>
      <w:pPr>
        <w:pStyle w:val="Paragraphedeliste"/>
        <w:numPr>
          <w:ilvl w:val="0"/>
          <w:numId w:val="11"/>
        </w:numPr>
        <w:jc w:val="both"/>
      </w:pPr>
      <w:proofErr w:type="gramStart"/>
      <w:r>
        <w:t>reçoivent</w:t>
      </w:r>
      <w:proofErr w:type="gramEnd"/>
      <w:r>
        <w:t xml:space="preserve"> la formation nécessaire en matière de protection des données à caractère personnel.</w:t>
      </w:r>
    </w:p>
    <w:p>
      <w:pPr>
        <w:ind w:left="708"/>
        <w:jc w:val="both"/>
      </w:pPr>
      <w:r>
        <w:t>6. prendre en compte, s'agissant de ses outils, produits, applications ou services, les principes de protection des données dès la conception et de protection des données par défaut.</w:t>
      </w:r>
    </w:p>
    <w:p/>
    <w:p>
      <w:pPr>
        <w:pStyle w:val="Paragraphedeliste"/>
        <w:numPr>
          <w:ilvl w:val="0"/>
          <w:numId w:val="12"/>
        </w:numPr>
        <w:rPr>
          <w:u w:val="single"/>
        </w:rPr>
      </w:pPr>
      <w:r>
        <w:rPr>
          <w:u w:val="single"/>
        </w:rPr>
        <w:t>Sous-traitance des activités de traitement</w:t>
      </w:r>
    </w:p>
    <w:p>
      <w:pPr>
        <w:jc w:val="both"/>
      </w:pPr>
      <w:r>
        <w:t>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pPr>
        <w:jc w:val="both"/>
      </w:pPr>
      <w:r>
        <w:t xml:space="preserve">Afin d'obtenir l'acceptation et l'agrément de l'acheteur, le titulaire doit présenter son sous-traitant par le biais de l'acte spécial de sous-traitance, dont les formalités sont comprises dans le formulaire DC4 ou tout autre document équivalent. </w:t>
      </w:r>
    </w:p>
    <w:p>
      <w:pPr>
        <w:jc w:val="both"/>
      </w:pPr>
      <w:r>
        <w:t>Le formulaire DC4 est téléchargeable sur :</w:t>
      </w:r>
    </w:p>
    <w:p>
      <w:pPr>
        <w:jc w:val="both"/>
      </w:pPr>
      <w:hyperlink r:id="rId8" w:tooltip="https://www.economie.gouv.fr/daj/formulaires-declaration-du-candidat" w:history="1">
        <w:r>
          <w:rPr>
            <w:rStyle w:val="Lienhypertexte"/>
          </w:rPr>
          <w:t>https://www.economie.gouv.fr/daj/formulaires-declaration-du-candidat</w:t>
        </w:r>
      </w:hyperlink>
    </w:p>
    <w:p>
      <w:pPr>
        <w:jc w:val="both"/>
      </w:pPr>
      <w:r>
        <w:t xml:space="preserve">Le sous-traitant est tenu de respecter les obligations du présent marché public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w:t>
      </w:r>
    </w:p>
    <w:p>
      <w:pPr>
        <w:jc w:val="both"/>
      </w:pPr>
      <w: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p>
      <w:pPr>
        <w:pStyle w:val="Paragraphedeliste"/>
        <w:numPr>
          <w:ilvl w:val="0"/>
          <w:numId w:val="12"/>
        </w:numPr>
        <w:rPr>
          <w:u w:val="single"/>
        </w:rPr>
      </w:pPr>
      <w:r>
        <w:rPr>
          <w:u w:val="single"/>
        </w:rPr>
        <w:t>Droit d'information et exercice des personnes concernées par le traitement</w:t>
      </w:r>
    </w:p>
    <w:p>
      <w:r>
        <w:t>Il appartient à l'acheteur de fournir l'information aux personnes concernées par les opérations de traitement au moment de la collecte des données.</w:t>
      </w:r>
    </w:p>
    <w:p>
      <w: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pPr>
        <w:jc w:val="both"/>
      </w:pPr>
      <w: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pPr>
        <w:pStyle w:val="Paragraphedeliste"/>
        <w:numPr>
          <w:ilvl w:val="0"/>
          <w:numId w:val="13"/>
        </w:numPr>
        <w:jc w:val="both"/>
      </w:pPr>
      <w:r>
        <w:t>De l’Espace économique européen ;</w:t>
      </w:r>
    </w:p>
    <w:p>
      <w:pPr>
        <w:pStyle w:val="Paragraphedeliste"/>
        <w:numPr>
          <w:ilvl w:val="0"/>
          <w:numId w:val="13"/>
        </w:numPr>
        <w:jc w:val="both"/>
      </w:pPr>
      <w:r>
        <w:t>D’un État tiers bénéficiant d’une décision d’adéquation au sens de l’article 45 du    RGPD ;</w:t>
      </w:r>
    </w:p>
    <w:p>
      <w:pPr>
        <w:pStyle w:val="Paragraphedeliste"/>
        <w:numPr>
          <w:ilvl w:val="0"/>
          <w:numId w:val="13"/>
        </w:numPr>
        <w:jc w:val="both"/>
      </w:pPr>
      <w:r>
        <w:t>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pPr>
        <w:jc w:val="both"/>
      </w:pPr>
      <w:r>
        <w:t xml:space="preserve">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 </w:t>
      </w:r>
    </w:p>
    <w:p>
      <w:pPr>
        <w:jc w:val="both"/>
      </w:pPr>
      <w: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pPr>
        <w:pStyle w:val="Paragraphedeliste"/>
        <w:numPr>
          <w:ilvl w:val="0"/>
          <w:numId w:val="12"/>
        </w:numPr>
        <w:rPr>
          <w:u w:val="single"/>
        </w:rPr>
      </w:pPr>
      <w:bookmarkStart w:id="1" w:name="_Hlk139296131"/>
      <w:r>
        <w:rPr>
          <w:u w:val="single"/>
        </w:rPr>
        <w:t>Notification des violations de données à caractère personnel</w:t>
      </w:r>
    </w:p>
    <w:p>
      <w:pPr>
        <w:jc w:val="both"/>
      </w:pPr>
      <w:r>
        <w:t>Le titulaire notifie à l'acheteur toute violation de données à caractère personnel dans un délai de 24</w:t>
      </w:r>
      <w:r>
        <w:rPr>
          <w:color w:val="FF0000"/>
        </w:rPr>
        <w:t xml:space="preserve"> </w:t>
      </w:r>
      <w:r>
        <w:t xml:space="preserve">heures après en avoir pris connaissance et par le moyen suivant : </w:t>
      </w:r>
    </w:p>
    <w:p>
      <w:pPr>
        <w:pStyle w:val="Paragraphedeliste"/>
        <w:numPr>
          <w:ilvl w:val="0"/>
          <w:numId w:val="11"/>
        </w:numPr>
        <w:ind w:left="360"/>
        <w:jc w:val="both"/>
      </w:pPr>
      <w:r>
        <w:lastRenderedPageBreak/>
        <w:t>Courriel au chef de projet désigné par l’Administration, Gaetan Ballanger (gaetan.ballanger@finances.gouv.fr) doublé d’une lettre recommandée avec demande d’avis de réception (BATIMENT SULLY, BUREAU 351V, 64 ALLEE DE BERCY, 75572 PARIS CEDEX 12</w:t>
      </w:r>
      <w:bookmarkEnd w:id="1"/>
      <w:r>
        <w:t>)</w:t>
      </w:r>
    </w:p>
    <w:p>
      <w:pPr>
        <w:jc w:val="both"/>
      </w:pPr>
      <w:r>
        <w:t>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pPr>
        <w:jc w:val="both"/>
      </w:pPr>
      <w:r>
        <w:t>Après accord écrit de l'acheteur, le titulaire notifie à l'autorité de contrôle compétente, au nom et pour le compte de l'acheteur, les violations de données à caractère personnel dans un délai maximum de</w:t>
      </w:r>
      <w:r>
        <w:rPr>
          <w:color w:val="FF0000"/>
        </w:rPr>
        <w:t xml:space="preserve"> </w:t>
      </w:r>
      <w:r>
        <w:t>24 heures à moins que la violation en question ne soit pas susceptible d'engendrer un risque pour les droits et libertés des personnes physiques.</w:t>
      </w:r>
    </w:p>
    <w:p>
      <w:pPr>
        <w:jc w:val="both"/>
      </w:pPr>
      <w:r>
        <w:t>La notification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w:t>
      </w:r>
    </w:p>
    <w:p>
      <w:pPr>
        <w:jc w:val="both"/>
      </w:pPr>
      <w:r>
        <w:t>Si, et dans la mesure où il n'est pas possible de fournir toutes ces informations en même temps, les informations peuvent être communiquées de manière échelonnée sans retard indu.</w:t>
      </w:r>
    </w:p>
    <w:p>
      <w:pPr>
        <w:jc w:val="both"/>
      </w:pPr>
      <w: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pPr>
        <w:jc w:val="both"/>
      </w:pPr>
      <w:r>
        <w:t>La communication à la personne concernée décrit, en des termes clairs et simples, la nature de la violation de données à caractère personnel et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lastRenderedPageBreak/>
        <w:t>- la description des mesures prises ou que l'acheteur propose de prendre pour remédier à la violation de données à caractère personnel, y compris, le cas échéant, les mesures pour en atténuer les éventuelles conséquences négatives ;</w:t>
      </w:r>
    </w:p>
    <w:p>
      <w:pPr>
        <w:ind w:left="708"/>
        <w:jc w:val="both"/>
      </w:pPr>
      <w:r>
        <w:t>- Aide du titulaire dans le cadre du respect par l'acheteur de ses obligations.</w:t>
      </w:r>
    </w:p>
    <w:p/>
    <w:p>
      <w:r>
        <w:t>Le titulaire aide l'acheteur :</w:t>
      </w:r>
    </w:p>
    <w:p>
      <w:pPr>
        <w:ind w:left="708"/>
      </w:pPr>
      <w:r>
        <w:t>- à la réalisation d'analyses d'impact relative à la protection des données ;</w:t>
      </w:r>
    </w:p>
    <w:p>
      <w:pPr>
        <w:ind w:left="708"/>
      </w:pPr>
      <w:r>
        <w:t>- à la réalisation de la consultation préalable de l'autorité de contrôle.</w:t>
      </w:r>
    </w:p>
    <w:p>
      <w:pPr>
        <w:jc w:val="both"/>
      </w:pPr>
      <w: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p>
      <w:pPr>
        <w:pStyle w:val="Paragraphedeliste"/>
        <w:numPr>
          <w:ilvl w:val="0"/>
          <w:numId w:val="12"/>
        </w:numPr>
        <w:rPr>
          <w:u w:val="single"/>
        </w:rPr>
      </w:pPr>
      <w:r>
        <w:rPr>
          <w:u w:val="single"/>
        </w:rPr>
        <w:t>Mesures de sécurité</w:t>
      </w:r>
    </w:p>
    <w:p>
      <w:r>
        <w:t>Le titulaire met en œuvre les mesures de sécurité suivantes :</w:t>
      </w:r>
    </w:p>
    <w:p>
      <w:pPr>
        <w:pStyle w:val="Paragraphedeliste"/>
        <w:numPr>
          <w:ilvl w:val="0"/>
          <w:numId w:val="8"/>
        </w:numPr>
        <w:jc w:val="both"/>
      </w:pPr>
      <w:proofErr w:type="gramStart"/>
      <w:r>
        <w:t>la</w:t>
      </w:r>
      <w:proofErr w:type="gramEnd"/>
      <w:r>
        <w:t xml:space="preserve"> </w:t>
      </w:r>
      <w:proofErr w:type="spellStart"/>
      <w:r>
        <w:t>pseudonymisation</w:t>
      </w:r>
      <w:proofErr w:type="spellEnd"/>
      <w:r>
        <w:t xml:space="preserve"> et le chiffrement des données à caractère personnel</w:t>
      </w:r>
    </w:p>
    <w:p>
      <w:pPr>
        <w:pStyle w:val="Paragraphedeliste"/>
        <w:numPr>
          <w:ilvl w:val="0"/>
          <w:numId w:val="8"/>
        </w:numPr>
        <w:jc w:val="both"/>
      </w:pPr>
      <w:proofErr w:type="gramStart"/>
      <w:r>
        <w:t>les</w:t>
      </w:r>
      <w:proofErr w:type="gramEnd"/>
      <w:r>
        <w:t xml:space="preserve"> moyens permettant de garantir la confidentialité, l'intégrité, la disponibilité et la résilience constantes des systèmes et des services de traitement ;</w:t>
      </w:r>
    </w:p>
    <w:p>
      <w:pPr>
        <w:pStyle w:val="Paragraphedeliste"/>
        <w:numPr>
          <w:ilvl w:val="0"/>
          <w:numId w:val="8"/>
        </w:numPr>
        <w:jc w:val="both"/>
      </w:pPr>
      <w:proofErr w:type="gramStart"/>
      <w:r>
        <w:t>les</w:t>
      </w:r>
      <w:proofErr w:type="gramEnd"/>
      <w:r>
        <w:t xml:space="preserve"> moyens permettant de rétablir la disponibilité des données à caractère personnel et l'accès à celles-ci dans des délais appropriés en cas d'incident physique ou technique ;</w:t>
      </w:r>
    </w:p>
    <w:p>
      <w:pPr>
        <w:pStyle w:val="Paragraphedeliste"/>
        <w:numPr>
          <w:ilvl w:val="0"/>
          <w:numId w:val="8"/>
        </w:numPr>
        <w:jc w:val="both"/>
      </w:pPr>
      <w:proofErr w:type="gramStart"/>
      <w:r>
        <w:t>une</w:t>
      </w:r>
      <w:proofErr w:type="gramEnd"/>
      <w:r>
        <w:t xml:space="preserve"> procédure visant à tester, à analyser et à évaluer régulièrement l'efficacité des mesures techniques et organisationnelles pour assurer la sécurité du traitement</w:t>
      </w:r>
    </w:p>
    <w:p>
      <w:r>
        <w:t>Le titulaire met en œuvre les mesures de sécurité prévues par l’ANSSI.</w:t>
      </w:r>
    </w:p>
    <w:p>
      <w:pPr>
        <w:jc w:val="both"/>
        <w:rPr>
          <w:color w:val="FF0000"/>
        </w:rPr>
      </w:pPr>
      <w:r>
        <w:rPr>
          <w:color w:val="FF0000"/>
        </w:rPr>
        <w:t>Rappel : dans la mesure où l'article 32 du règlement général sur la protection des données prévoit que la mise en œuvre des mesures de sécurité incombe au responsable du traitement et au sous-traitant, il est recommandé de déterminer précisément les responsabilités de chacune des parties au regard des mesures à mettre en œuvre.</w:t>
      </w:r>
    </w:p>
    <w:p/>
    <w:p>
      <w:pPr>
        <w:pStyle w:val="Paragraphedeliste"/>
        <w:numPr>
          <w:ilvl w:val="0"/>
          <w:numId w:val="12"/>
        </w:numPr>
        <w:rPr>
          <w:u w:val="single"/>
        </w:rPr>
      </w:pPr>
      <w:r>
        <w:rPr>
          <w:u w:val="single"/>
        </w:rPr>
        <w:t>Sort des données</w:t>
      </w:r>
    </w:p>
    <w:p>
      <w:pPr>
        <w:jc w:val="both"/>
      </w:pPr>
      <w:r>
        <w:t>Au terme de l'exécution du présent marché public, l'acheteur informe le titulaire de sa décision relative au sort des données. L'acheteur peut demander au titulaire de :</w:t>
      </w:r>
    </w:p>
    <w:p>
      <w:pPr>
        <w:pStyle w:val="Paragraphedeliste"/>
        <w:numPr>
          <w:ilvl w:val="0"/>
          <w:numId w:val="9"/>
        </w:numPr>
        <w:jc w:val="both"/>
      </w:pPr>
      <w:proofErr w:type="gramStart"/>
      <w:r>
        <w:t>détruire</w:t>
      </w:r>
      <w:proofErr w:type="gramEnd"/>
      <w:r>
        <w:t xml:space="preserve"> toutes les données à caractère personnel ;</w:t>
      </w:r>
    </w:p>
    <w:p>
      <w:pPr>
        <w:pStyle w:val="Paragraphedeliste"/>
        <w:numPr>
          <w:ilvl w:val="0"/>
          <w:numId w:val="9"/>
        </w:numPr>
        <w:jc w:val="both"/>
      </w:pPr>
      <w:proofErr w:type="gramStart"/>
      <w:r>
        <w:t>renvoyer</w:t>
      </w:r>
      <w:proofErr w:type="gramEnd"/>
      <w:r>
        <w:t xml:space="preserve"> toutes les données à caractère personnel à l'acheteur ou au tiers désigné par l'acheteur.</w:t>
      </w:r>
    </w:p>
    <w:p>
      <w:pPr>
        <w:jc w:val="both"/>
      </w:pPr>
      <w:r>
        <w:t>Le renvoi doit s'accompagner de la destruction de toutes les copies existantes dans les systèmes d'information du sous-traitant. Une fois détruites, le sous-traitant doit justifier par écrit de la destruction</w:t>
      </w:r>
    </w:p>
    <w:p/>
    <w:p>
      <w:pPr>
        <w:pStyle w:val="Paragraphedeliste"/>
        <w:numPr>
          <w:ilvl w:val="0"/>
          <w:numId w:val="12"/>
        </w:numPr>
        <w:rPr>
          <w:b/>
          <w:bCs/>
        </w:rPr>
      </w:pPr>
      <w:r>
        <w:rPr>
          <w:u w:val="single"/>
        </w:rPr>
        <w:lastRenderedPageBreak/>
        <w:t>Délégué à la protection des données</w:t>
      </w:r>
    </w:p>
    <w:p>
      <w:pPr>
        <w:jc w:val="both"/>
      </w:pPr>
      <w:bookmarkStart w:id="2" w:name="_Hlk137736787"/>
      <w:r>
        <w:t>Dès la notification du marché public, l’acheteur communique au titulaire le nom et les coordonnées de son délégué à la protection des données.</w:t>
      </w:r>
      <w:bookmarkEnd w:id="2"/>
      <w:r>
        <w:tab/>
      </w:r>
    </w:p>
    <w:p/>
    <w:p>
      <w:pPr>
        <w:pStyle w:val="Paragraphedeliste"/>
        <w:numPr>
          <w:ilvl w:val="0"/>
          <w:numId w:val="12"/>
        </w:numPr>
        <w:rPr>
          <w:u w:val="single"/>
        </w:rPr>
      </w:pPr>
      <w:r>
        <w:rPr>
          <w:u w:val="single"/>
        </w:rPr>
        <w:t>Registre des activités de traitement</w:t>
      </w:r>
    </w:p>
    <w:p>
      <w:r>
        <w:t>Le titulaire tient par écrit un registre de toutes les activités de traitement effectuées pour le compte de l'acheteur comprenant :</w:t>
      </w:r>
    </w:p>
    <w:p>
      <w:r>
        <w:t>1. le nom et les coordonnées de l'acheteur pour le compte duquel il agit, des éventuels sous-traitants et, le cas échéant, du délégué à la protection des données ;</w:t>
      </w:r>
    </w:p>
    <w:p>
      <w:r>
        <w:t>2. les catégories de traitements effectués pour le compte de l'acheteur ;</w:t>
      </w:r>
    </w:p>
    <w:p>
      <w:pPr>
        <w:jc w:val="both"/>
      </w:pPr>
      <w: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pPr>
        <w:jc w:val="both"/>
      </w:pPr>
      <w:r>
        <w:t>4. dans la mesure du possible, une description générale des mesures de sécurité techniques et organisationnelles, notamment, selon les besoins :</w:t>
      </w:r>
    </w:p>
    <w:p>
      <w:pPr>
        <w:pStyle w:val="Paragraphedeliste"/>
        <w:numPr>
          <w:ilvl w:val="0"/>
          <w:numId w:val="10"/>
        </w:numPr>
        <w:jc w:val="both"/>
      </w:pPr>
      <w:proofErr w:type="gramStart"/>
      <w:r>
        <w:t>la</w:t>
      </w:r>
      <w:proofErr w:type="gramEnd"/>
      <w:r>
        <w:t xml:space="preserve"> </w:t>
      </w:r>
      <w:proofErr w:type="spellStart"/>
      <w:r>
        <w:t>pseudonymisation</w:t>
      </w:r>
      <w:proofErr w:type="spellEnd"/>
      <w:r>
        <w:t xml:space="preserve"> et le chiffrement des données à caractère personnel ;</w:t>
      </w:r>
    </w:p>
    <w:p>
      <w:pPr>
        <w:pStyle w:val="Paragraphedeliste"/>
        <w:numPr>
          <w:ilvl w:val="0"/>
          <w:numId w:val="10"/>
        </w:numPr>
        <w:jc w:val="both"/>
      </w:pPr>
      <w:proofErr w:type="gramStart"/>
      <w:r>
        <w:t>des</w:t>
      </w:r>
      <w:proofErr w:type="gramEnd"/>
      <w:r>
        <w:t xml:space="preserve"> moyens permettant de garantir la confidentialité, l'intégrité, la disponibilité et la résilience constantes des systèmes et des services de traitement ;</w:t>
      </w:r>
    </w:p>
    <w:p>
      <w:pPr>
        <w:pStyle w:val="Paragraphedeliste"/>
        <w:numPr>
          <w:ilvl w:val="0"/>
          <w:numId w:val="10"/>
        </w:numPr>
        <w:jc w:val="both"/>
      </w:pPr>
      <w:proofErr w:type="gramStart"/>
      <w:r>
        <w:t>des</w:t>
      </w:r>
      <w:proofErr w:type="gramEnd"/>
      <w:r>
        <w:t xml:space="preserve"> moyens permettant de rétablir la disponibilité des données à caractère personnel et l'accès à celles-ci dans des délais appropriés en cas d'incident physique ou  technique ;</w:t>
      </w:r>
    </w:p>
    <w:p>
      <w:pPr>
        <w:pStyle w:val="Paragraphedeliste"/>
        <w:numPr>
          <w:ilvl w:val="0"/>
          <w:numId w:val="10"/>
        </w:numPr>
        <w:jc w:val="both"/>
      </w:pPr>
      <w:proofErr w:type="gramStart"/>
      <w:r>
        <w:t>une</w:t>
      </w:r>
      <w:proofErr w:type="gramEnd"/>
      <w:r>
        <w:t xml:space="preserve"> procédure visant à tester, à analyser et à évaluer régulièrement l'efficacité des mesures techniques et organisationnelles pour assurer la sécurité du traitement ;</w:t>
      </w:r>
    </w:p>
    <w:p>
      <w:pPr>
        <w:spacing w:line="276" w:lineRule="auto"/>
        <w:jc w:val="both"/>
        <w:rPr>
          <w:rFonts w:ascii="Arial" w:hAnsi="Arial" w:cs="Arial"/>
          <w:color w:val="0563C1"/>
          <w:u w:val="single"/>
        </w:rPr>
      </w:pPr>
    </w:p>
    <w:p>
      <w:pPr>
        <w:rPr>
          <w:rFonts w:ascii="Arial" w:hAnsi="Arial" w:cs="Arial"/>
        </w:rPr>
      </w:pPr>
    </w:p>
    <w:sectPr>
      <w:headerReference w:type="firs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sz="4" w:space="1" w:color="000000"/>
        <w:left w:val="single" w:sz="4" w:space="4" w:color="000000"/>
        <w:bottom w:val="single" w:sz="4" w:space="1" w:color="000000"/>
        <w:right w:val="single" w:sz="4" w:space="4" w:color="000000"/>
      </w:pBdr>
      <w:spacing w:after="0" w:line="240" w:lineRule="auto"/>
      <w:jc w:val="center"/>
      <w:rPr>
        <w:rFonts w:ascii="Arial" w:eastAsia="Times New Roman" w:hAnsi="Arial" w:cs="Arial"/>
        <w:b/>
        <w:sz w:val="24"/>
        <w:szCs w:val="24"/>
        <w:lang w:eastAsia="fr-FR"/>
      </w:rPr>
    </w:pPr>
    <w:bookmarkStart w:id="3" w:name="_Hlk136341271"/>
    <w:r>
      <w:rPr>
        <w:rFonts w:ascii="Arial" w:eastAsia="Times New Roman" w:hAnsi="Arial" w:cs="Arial"/>
        <w:b/>
        <w:sz w:val="24"/>
        <w:szCs w:val="24"/>
        <w:lang w:eastAsia="fr-FR"/>
      </w:rPr>
      <w:t>PROTECTION DES DONNEES PERSONNELLES</w:t>
    </w:r>
  </w:p>
  <w:p>
    <w:pPr>
      <w:pBdr>
        <w:top w:val="single" w:sz="4" w:space="1" w:color="000000"/>
        <w:left w:val="single" w:sz="4" w:space="4" w:color="000000"/>
        <w:bottom w:val="single" w:sz="4" w:space="1" w:color="000000"/>
        <w:right w:val="single" w:sz="4" w:space="4" w:color="000000"/>
      </w:pBdr>
      <w:spacing w:after="0" w:line="240" w:lineRule="auto"/>
      <w:jc w:val="center"/>
      <w:rPr>
        <w:rFonts w:ascii="Arial" w:eastAsia="Times New Roman" w:hAnsi="Arial" w:cs="Arial"/>
        <w:b/>
        <w:sz w:val="18"/>
        <w:szCs w:val="18"/>
        <w:lang w:eastAsia="fr-FR"/>
      </w:rPr>
    </w:pPr>
  </w:p>
  <w:p>
    <w:pPr>
      <w:pBdr>
        <w:top w:val="single" w:sz="4" w:space="1" w:color="000000"/>
        <w:left w:val="single" w:sz="4" w:space="4" w:color="000000"/>
        <w:bottom w:val="single" w:sz="4" w:space="1" w:color="000000"/>
        <w:right w:val="single" w:sz="4" w:space="4" w:color="000000"/>
      </w:pBdr>
      <w:spacing w:after="0" w:line="240" w:lineRule="auto"/>
      <w:jc w:val="center"/>
      <w:rPr>
        <w:rFonts w:ascii="Arial" w:eastAsia="Times New Roman" w:hAnsi="Arial" w:cs="Arial"/>
        <w:b/>
        <w:sz w:val="18"/>
        <w:szCs w:val="18"/>
        <w:lang w:eastAsia="fr-FR"/>
      </w:rPr>
    </w:pPr>
    <w:r>
      <w:rPr>
        <w:rFonts w:ascii="Arial" w:eastAsia="Times New Roman" w:hAnsi="Arial" w:cs="Arial"/>
        <w:b/>
        <w:sz w:val="18"/>
        <w:szCs w:val="18"/>
        <w:lang w:eastAsia="fr-FR"/>
      </w:rPr>
      <w:t xml:space="preserve">Règlement (UE) 2016/679 du Parlement européen et du Conseil du 27 avril 2016, applicable à compter du 25 mai 2018 (le règlement européen sur la protection des données) et </w:t>
    </w:r>
    <w:r>
      <w:rPr>
        <w:rFonts w:ascii="Arial" w:eastAsia="Times New Roman" w:hAnsi="Arial" w:cs="Arial"/>
        <w:b/>
        <w:bCs/>
        <w:sz w:val="18"/>
        <w:szCs w:val="18"/>
        <w:lang w:eastAsia="fr-FR"/>
      </w:rPr>
      <w:t>loi n° 2018-493 du 20 juin 2018 relative à la protection des données personnelles</w:t>
    </w:r>
    <w:bookmarkEnd w:id="3"/>
  </w:p>
  <w:p>
    <w:pPr>
      <w:pBdr>
        <w:top w:val="single" w:sz="4" w:space="1" w:color="000000"/>
        <w:left w:val="single" w:sz="4" w:space="4" w:color="000000"/>
        <w:bottom w:val="single" w:sz="4" w:space="1" w:color="000000"/>
        <w:right w:val="single" w:sz="4" w:space="4" w:color="000000"/>
      </w:pBdr>
      <w:spacing w:after="0" w:line="240" w:lineRule="auto"/>
      <w:jc w:val="center"/>
      <w:rPr>
        <w:rFonts w:ascii="Arial" w:eastAsia="Times New Roman" w:hAnsi="Arial" w:cs="Arial"/>
        <w:b/>
        <w:sz w:val="18"/>
        <w:szCs w:val="18"/>
        <w:lang w:eastAsia="fr-FR"/>
      </w:rPr>
    </w:pPr>
  </w:p>
  <w:p>
    <w:pPr>
      <w:tabs>
        <w:tab w:val="center" w:pos="4536"/>
        <w:tab w:val="right" w:pos="9072"/>
      </w:tabs>
      <w:spacing w:after="0" w:line="240" w:lineRule="auto"/>
      <w:rPr>
        <w:rFonts w:ascii="Times New Roman" w:eastAsia="Times New Roman" w:hAnsi="Times New Roman" w:cs="Times New Roman"/>
        <w:sz w:val="24"/>
        <w:szCs w:val="24"/>
        <w:lang w:eastAsia="fr-FR"/>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A7A79"/>
    <w:multiLevelType w:val="multilevel"/>
    <w:tmpl w:val="9462E19C"/>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FDE3A52"/>
    <w:multiLevelType w:val="multilevel"/>
    <w:tmpl w:val="33D6170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 w15:restartNumberingAfterBreak="0">
    <w:nsid w:val="21CE193C"/>
    <w:multiLevelType w:val="multilevel"/>
    <w:tmpl w:val="70C0E27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284D4BC2"/>
    <w:multiLevelType w:val="multilevel"/>
    <w:tmpl w:val="372608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B452ED6"/>
    <w:multiLevelType w:val="multilevel"/>
    <w:tmpl w:val="03B46A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D502301"/>
    <w:multiLevelType w:val="multilevel"/>
    <w:tmpl w:val="32C87C9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6" w15:restartNumberingAfterBreak="0">
    <w:nsid w:val="433B61B9"/>
    <w:multiLevelType w:val="multilevel"/>
    <w:tmpl w:val="84E81C4C"/>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D655526"/>
    <w:multiLevelType w:val="multilevel"/>
    <w:tmpl w:val="D460FCEE"/>
    <w:lvl w:ilvl="0">
      <w:numFmt w:val="bullet"/>
      <w:lvlText w:val="-"/>
      <w:lvlJc w:val="left"/>
      <w:pPr>
        <w:ind w:left="720" w:hanging="360"/>
      </w:pPr>
      <w:rPr>
        <w:rFonts w:ascii="Calibri" w:eastAsiaTheme="minorHAnsi" w:hAnsi="Calibri" w:cs="Calibri" w:hint="default"/>
        <w:color w:val="FF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51F51C5"/>
    <w:multiLevelType w:val="multilevel"/>
    <w:tmpl w:val="881042A6"/>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A314DBB"/>
    <w:multiLevelType w:val="multilevel"/>
    <w:tmpl w:val="65A49D8A"/>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8C1703E"/>
    <w:multiLevelType w:val="multilevel"/>
    <w:tmpl w:val="764EF9A8"/>
    <w:lvl w:ilvl="0">
      <w:numFmt w:val="bullet"/>
      <w:lvlText w:val="-"/>
      <w:lvlJc w:val="left"/>
      <w:pPr>
        <w:ind w:left="2136" w:hanging="360"/>
      </w:pPr>
      <w:rPr>
        <w:rFonts w:ascii="Arial" w:eastAsiaTheme="minorHAnsi" w:hAnsi="Arial" w:cs="Aria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hint="default"/>
      </w:rPr>
    </w:lvl>
  </w:abstractNum>
  <w:abstractNum w:abstractNumId="11" w15:restartNumberingAfterBreak="0">
    <w:nsid w:val="6AEE72DA"/>
    <w:multiLevelType w:val="multilevel"/>
    <w:tmpl w:val="A6FEFC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2F200EE"/>
    <w:multiLevelType w:val="multilevel"/>
    <w:tmpl w:val="9F2CD05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B5E1802"/>
    <w:multiLevelType w:val="multilevel"/>
    <w:tmpl w:val="54A6C7EE"/>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3"/>
  </w:num>
  <w:num w:numId="4">
    <w:abstractNumId w:val="6"/>
  </w:num>
  <w:num w:numId="5">
    <w:abstractNumId w:val="9"/>
  </w:num>
  <w:num w:numId="6">
    <w:abstractNumId w:val="2"/>
  </w:num>
  <w:num w:numId="7">
    <w:abstractNumId w:val="4"/>
  </w:num>
  <w:num w:numId="8">
    <w:abstractNumId w:val="3"/>
  </w:num>
  <w:num w:numId="9">
    <w:abstractNumId w:val="12"/>
  </w:num>
  <w:num w:numId="10">
    <w:abstractNumId w:val="5"/>
  </w:num>
  <w:num w:numId="11">
    <w:abstractNumId w:val="10"/>
  </w:num>
  <w:num w:numId="12">
    <w:abstractNumId w:val="11"/>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25FAF6-1CE9-4D46-8AF1-971CE834F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6141-3748-4B97-9C44-DDA90D50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2790</Words>
  <Characters>15346</Characters>
  <Application>Microsoft Office Word</Application>
  <DocSecurity>0</DocSecurity>
  <Lines>127</Lines>
  <Paragraphs>36</Paragraphs>
  <ScaleCrop>false</ScaleCrop>
  <Company>Ministere Finances</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CASTARRAINGTS Eva</dc:creator>
  <cp:keywords/>
  <dc:description/>
  <cp:lastModifiedBy>SAVOURAT Francois</cp:lastModifiedBy>
  <cp:revision>2</cp:revision>
  <dcterms:created xsi:type="dcterms:W3CDTF">2024-10-07T15:15:00Z</dcterms:created>
  <dcterms:modified xsi:type="dcterms:W3CDTF">2024-10-07T15:15:00Z</dcterms:modified>
</cp:coreProperties>
</file>