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tandard"/>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r>
        <w:rPr>
          <w:rFonts w:ascii="Arial" w:hAnsi="Arial" w:cs="Arial"/>
          <w:color w:val="000000"/>
          <w:sz w:val="32"/>
          <w:szCs w:val="32"/>
        </w:rPr>
        <w:t xml:space="preserve">ANNEXE </w:t>
      </w:r>
      <w:r>
        <w:rPr>
          <w:rFonts w:ascii="Arial" w:hAnsi="Arial" w:cs="Arial"/>
          <w:sz w:val="32"/>
          <w:szCs w:val="32"/>
        </w:rPr>
        <w:t>AU REGLEMENT DE LA CONSULTATION</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i/>
          <w:sz w:val="32"/>
          <w:szCs w:val="32"/>
        </w:rPr>
      </w:pPr>
      <w:r>
        <w:rPr>
          <w:rFonts w:ascii="Arial" w:hAnsi="Arial" w:cs="Arial"/>
          <w:i/>
          <w:sz w:val="32"/>
          <w:szCs w:val="32"/>
        </w:rPr>
        <w:t xml:space="preserve">Clause sociale de formation sous statut scolaire : </w:t>
      </w:r>
      <w:r>
        <w:rPr>
          <w:rFonts w:ascii="Arial" w:hAnsi="Arial" w:cs="Arial"/>
          <w:i/>
          <w:sz w:val="32"/>
          <w:szCs w:val="32"/>
        </w:rPr>
        <w:br/>
        <w:t>mode d’emploi</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ind w:hanging="2"/>
        <w:jc w:val="both"/>
        <w:rPr>
          <w:rFonts w:eastAsia="Arial"/>
          <w:color w:val="FF3333"/>
        </w:rPr>
      </w:pPr>
    </w:p>
    <w:p>
      <w:pPr>
        <w:ind w:hanging="2"/>
        <w:jc w:val="both"/>
        <w:rPr>
          <w:rFonts w:ascii="Arial" w:hAnsi="Arial" w:cs="Arial"/>
          <w:iCs/>
          <w:sz w:val="20"/>
          <w:szCs w:val="20"/>
        </w:rPr>
      </w:pPr>
    </w:p>
    <w:p>
      <w:pPr>
        <w:pStyle w:val="Standard"/>
        <w:jc w:val="both"/>
      </w:pPr>
      <w:r>
        <w:rPr>
          <w:rFonts w:ascii="Arial" w:hAnsi="Arial" w:cs="Arial"/>
          <w:iCs/>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 il s’agit de jeunes entre </w:t>
      </w:r>
      <w:r>
        <w:rPr>
          <w:rFonts w:ascii="Arial" w:hAnsi="Arial" w:cs="Arial"/>
          <w:iCs/>
          <w:color w:val="000000"/>
          <w:sz w:val="20"/>
          <w:szCs w:val="20"/>
        </w:rPr>
        <w:t>16 et 25 ans</w:t>
      </w:r>
      <w:r>
        <w:rPr>
          <w:rFonts w:ascii="Arial" w:hAnsi="Arial" w:cs="Arial"/>
          <w:iCs/>
          <w:color w:val="FF0000"/>
          <w:sz w:val="20"/>
          <w:szCs w:val="20"/>
        </w:rPr>
        <w:t xml:space="preserve"> </w:t>
      </w:r>
      <w:r>
        <w:rPr>
          <w:rFonts w:ascii="Arial" w:hAnsi="Arial" w:cs="Arial"/>
          <w:iCs/>
          <w:sz w:val="20"/>
          <w:szCs w:val="20"/>
        </w:rPr>
        <w:t>d’un niveau de qualification inférieur à celui mentionné à l'article L. 313-7 du code de l'éducation, tel que modifié par le décret n° 2010-1781 du 31 décembre 2010.</w:t>
      </w:r>
    </w:p>
    <w:p>
      <w:pPr>
        <w:pStyle w:val="Standard"/>
        <w:jc w:val="both"/>
        <w:rPr>
          <w:rFonts w:ascii="Arial" w:hAnsi="Arial" w:cs="Arial"/>
          <w:iCs/>
          <w:sz w:val="20"/>
          <w:szCs w:val="20"/>
        </w:rPr>
      </w:pPr>
    </w:p>
    <w:p>
      <w:pPr>
        <w:pStyle w:val="Standard"/>
        <w:jc w:val="both"/>
        <w:rPr>
          <w:rFonts w:ascii="Arial" w:hAnsi="Arial" w:cs="Arial"/>
          <w:b/>
          <w:iCs/>
          <w:sz w:val="20"/>
          <w:szCs w:val="20"/>
        </w:rPr>
      </w:pPr>
      <w:r>
        <w:rPr>
          <w:rFonts w:ascii="Arial" w:hAnsi="Arial" w:cs="Arial"/>
          <w:b/>
          <w:iCs/>
          <w:sz w:val="20"/>
          <w:szCs w:val="20"/>
        </w:rPr>
        <w:t>Pour réaliser cette action obligatoire, le MESFIN</w:t>
      </w:r>
      <w:r>
        <w:rPr>
          <w:rFonts w:ascii="Arial" w:hAnsi="Arial" w:cs="Arial"/>
          <w:b/>
          <w:iCs/>
          <w:color w:val="FF0000"/>
          <w:sz w:val="20"/>
          <w:szCs w:val="20"/>
        </w:rPr>
        <w:t xml:space="preserve"> </w:t>
      </w:r>
      <w:r>
        <w:rPr>
          <w:rFonts w:ascii="Arial" w:hAnsi="Arial" w:cs="Arial"/>
          <w:b/>
          <w:iCs/>
          <w:sz w:val="20"/>
          <w:szCs w:val="20"/>
        </w:rPr>
        <w:t>demande aux candidats de proposer un projet en faveur de jeunes en situation de décrochage scolaire.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 xml:space="preserve">En effet, le </w:t>
      </w:r>
      <w:r>
        <w:rPr>
          <w:rFonts w:ascii="Arial" w:hAnsi="Arial" w:cs="Arial"/>
          <w:b/>
          <w:iCs/>
          <w:sz w:val="20"/>
          <w:szCs w:val="20"/>
        </w:rPr>
        <w:t>décrochage scolaire</w:t>
      </w:r>
      <w:r>
        <w:rPr>
          <w:rFonts w:ascii="Arial" w:hAnsi="Arial" w:cs="Arial"/>
          <w:iCs/>
          <w:sz w:val="20"/>
          <w:szCs w:val="20"/>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 stratégie Europe 2020 », stratégie commune aux institutions de l'Union européenne, aux États membres et aux partenaires sociaux.</w:t>
      </w:r>
    </w:p>
    <w:p>
      <w:pPr>
        <w:pStyle w:val="Standard"/>
        <w:jc w:val="both"/>
        <w:rPr>
          <w:rFonts w:ascii="Arial" w:hAnsi="Arial" w:cs="Arial"/>
          <w:iCs/>
          <w:sz w:val="20"/>
          <w:szCs w:val="20"/>
        </w:rPr>
      </w:pPr>
    </w:p>
    <w:p>
      <w:pPr>
        <w:pStyle w:val="Standard"/>
        <w:jc w:val="both"/>
        <w:rPr>
          <w:rFonts w:ascii="Arial" w:hAnsi="Arial" w:cs="Arial"/>
          <w:iCs/>
          <w:color w:val="FF0000"/>
          <w:sz w:val="20"/>
          <w:szCs w:val="20"/>
          <w:shd w:val="clear" w:color="auto" w:fill="FFFF00"/>
        </w:rPr>
      </w:pPr>
      <w:r>
        <w:rPr>
          <w:rFonts w:ascii="Arial" w:hAnsi="Arial" w:cs="Arial"/>
          <w:iCs/>
          <w:color w:val="000000"/>
          <w:sz w:val="20"/>
          <w:szCs w:val="20"/>
        </w:rPr>
        <w:t>La clause sociale constitue un levier de remobilisation et d’ouverture au monde professionnel  pour les élèves.</w:t>
      </w:r>
    </w:p>
    <w:p>
      <w:pPr>
        <w:pStyle w:val="Standard"/>
        <w:jc w:val="both"/>
        <w:rPr>
          <w:rFonts w:ascii="Arial" w:hAnsi="Arial" w:cs="Arial"/>
          <w:iCs/>
          <w:color w:val="000000"/>
          <w:sz w:val="20"/>
          <w:szCs w:val="20"/>
        </w:rPr>
      </w:pPr>
    </w:p>
    <w:p>
      <w:pPr>
        <w:pStyle w:val="Standard"/>
        <w:jc w:val="both"/>
        <w:rPr>
          <w:rFonts w:ascii="Arial" w:hAnsi="Arial" w:cs="Arial"/>
          <w:iCs/>
          <w:color w:val="FF0000"/>
          <w:sz w:val="20"/>
          <w:szCs w:val="20"/>
        </w:rPr>
      </w:pPr>
      <w:r>
        <w:rPr>
          <w:rFonts w:ascii="Arial" w:hAnsi="Arial" w:cs="Arial"/>
          <w:iCs/>
          <w:color w:val="000000"/>
          <w:sz w:val="20"/>
          <w:szCs w:val="20"/>
        </w:rPr>
        <w:t xml:space="preserve">L’objet de ce dispositif est de permettre au jeune de bénéficier d’une expérience professionnelle au cours de laquelle </w:t>
      </w:r>
      <w:r>
        <w:rPr>
          <w:rFonts w:ascii="Arial" w:hAnsi="Arial" w:cs="Arial"/>
          <w:b/>
          <w:iCs/>
          <w:color w:val="000000"/>
          <w:sz w:val="20"/>
          <w:szCs w:val="20"/>
        </w:rPr>
        <w:t>savoir-faire</w:t>
      </w:r>
      <w:r>
        <w:rPr>
          <w:rFonts w:ascii="Arial" w:hAnsi="Arial" w:cs="Arial"/>
          <w:iCs/>
          <w:color w:val="000000"/>
          <w:sz w:val="20"/>
          <w:szCs w:val="20"/>
        </w:rPr>
        <w:t xml:space="preserve"> (missions et tâches demandées, autonomie, travail en équipe, etc.) et </w:t>
      </w:r>
      <w:r>
        <w:rPr>
          <w:rFonts w:ascii="Arial" w:hAnsi="Arial" w:cs="Arial"/>
          <w:b/>
          <w:iCs/>
          <w:color w:val="000000"/>
          <w:sz w:val="20"/>
          <w:szCs w:val="20"/>
        </w:rPr>
        <w:t>savoir-être</w:t>
      </w:r>
      <w:r>
        <w:rPr>
          <w:rFonts w:ascii="Arial" w:hAnsi="Arial" w:cs="Arial"/>
          <w:iCs/>
          <w:color w:val="000000"/>
          <w:sz w:val="20"/>
          <w:szCs w:val="20"/>
        </w:rPr>
        <w:t xml:space="preserve"> (ponctualité, tenue vestimentaire, comportement à adopter dans le milieu professionnel) lui seront enseigné avec pédagogie et bienveillance.</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tabs>
          <w:tab w:val="left" w:pos="2160"/>
        </w:tabs>
        <w:ind w:left="1440" w:hanging="360"/>
        <w:jc w:val="both"/>
        <w:rPr>
          <w:rFonts w:ascii="Arial" w:hAnsi="Arial" w:cs="Arial"/>
          <w:i/>
          <w:iCs/>
          <w:sz w:val="22"/>
          <w:szCs w:val="22"/>
        </w:rPr>
      </w:pPr>
      <w:r>
        <w:rPr>
          <w:rFonts w:ascii="Arial" w:hAnsi="Arial" w:cs="Arial"/>
          <w:i/>
          <w:iCs/>
          <w:sz w:val="22"/>
          <w:szCs w:val="22"/>
        </w:rPr>
        <w:t>Contexte :</w:t>
      </w:r>
    </w:p>
    <w:p>
      <w:pPr>
        <w:pStyle w:val="Standard"/>
        <w:jc w:val="both"/>
        <w:rPr>
          <w:rFonts w:ascii="Arial" w:hAnsi="Arial" w:cs="Arial"/>
          <w:iCs/>
          <w:sz w:val="20"/>
          <w:szCs w:val="20"/>
        </w:rPr>
      </w:pPr>
    </w:p>
    <w:p>
      <w:pPr>
        <w:pStyle w:val="Standard"/>
        <w:jc w:val="both"/>
      </w:pPr>
      <w:r>
        <w:rPr>
          <w:rFonts w:ascii="Arial" w:hAnsi="Arial" w:cs="Arial"/>
          <w:iCs/>
          <w:sz w:val="20"/>
          <w:szCs w:val="20"/>
        </w:rPr>
        <w:t>Le</w:t>
      </w:r>
      <w:r>
        <w:rPr>
          <w:rFonts w:ascii="Arial" w:hAnsi="Arial" w:cs="Arial"/>
          <w:b/>
          <w:iCs/>
          <w:sz w:val="20"/>
          <w:szCs w:val="20"/>
        </w:rPr>
        <w:t xml:space="preserve"> MESFIN</w:t>
      </w:r>
      <w:r>
        <w:rPr>
          <w:rFonts w:ascii="Arial" w:hAnsi="Arial" w:cs="Arial"/>
          <w:iCs/>
          <w:color w:val="000000"/>
          <w:sz w:val="20"/>
          <w:szCs w:val="20"/>
        </w:rPr>
        <w:t xml:space="preserve"> </w:t>
      </w:r>
      <w:r>
        <w:rPr>
          <w:rFonts w:ascii="Arial" w:hAnsi="Arial" w:cs="Arial"/>
          <w:iCs/>
          <w:sz w:val="20"/>
          <w:szCs w:val="20"/>
        </w:rPr>
        <w:t>propose aux soumissionnaires de participer à une action de remobilisation et de formation, destinée à permettre la reprise de scolarité et/ou l’accès à l’emploi de jeunes en situation de décrochage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Cette action est accompagnée par la « Mission de lutte contre le décrochage scolaire » (MLDS</w:t>
      </w:r>
      <w:r>
        <w:rPr>
          <w:rFonts w:ascii="Arial" w:hAnsi="Arial" w:cs="Arial"/>
          <w:iCs/>
          <w:color w:val="00B050"/>
          <w:sz w:val="20"/>
          <w:szCs w:val="20"/>
        </w:rPr>
        <w:t xml:space="preserve"> </w:t>
      </w:r>
      <w:r>
        <w:rPr>
          <w:rFonts w:ascii="Arial" w:hAnsi="Arial" w:cs="Arial"/>
          <w:iCs/>
          <w:sz w:val="20"/>
          <w:szCs w:val="20"/>
        </w:rPr>
        <w:t xml:space="preserve">du ministère de l’Education nationale, </w:t>
      </w:r>
      <w:r>
        <w:rPr>
          <w:rFonts w:ascii="Arial" w:hAnsi="Arial" w:cs="Arial"/>
          <w:iCs/>
          <w:color w:val="000000"/>
          <w:sz w:val="20"/>
          <w:szCs w:val="20"/>
        </w:rPr>
        <w:t>de la jeunesse et des sports</w:t>
      </w:r>
      <w:r>
        <w:rPr>
          <w:rFonts w:ascii="Arial" w:hAnsi="Arial" w:cs="Arial"/>
          <w:iCs/>
          <w:sz w:val="20"/>
          <w:szCs w:val="20"/>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lastRenderedPageBreak/>
        <w:t xml:space="preserve">Le bénéficiaire de la clause sociale est un jeune en situation </w:t>
      </w:r>
      <w:r>
        <w:rPr>
          <w:rFonts w:ascii="Arial" w:hAnsi="Arial" w:cs="Arial"/>
          <w:iCs/>
          <w:color w:val="000000"/>
          <w:sz w:val="20"/>
          <w:szCs w:val="20"/>
        </w:rPr>
        <w:t>ou en risque de décrochage scolaire, c’est-à-dire qu’il s’agit d’une personne ayant quitté le système éducatif ou en voie de le quitter.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w:t>
      </w:r>
    </w:p>
    <w:p>
      <w:pPr>
        <w:pStyle w:val="Standard"/>
        <w:jc w:val="both"/>
        <w:rPr>
          <w:rFonts w:ascii="Arial" w:hAnsi="Arial" w:cs="Arial"/>
          <w:iCs/>
          <w:color w:val="000000"/>
          <w:sz w:val="20"/>
          <w:szCs w:val="20"/>
        </w:rPr>
      </w:pPr>
    </w:p>
    <w:p>
      <w:pPr>
        <w:pStyle w:val="Standard"/>
        <w:jc w:val="both"/>
      </w:pPr>
      <w:r>
        <w:rPr>
          <w:rFonts w:ascii="Arial" w:hAnsi="Arial" w:cs="Arial"/>
          <w:iCs/>
          <w:color w:val="000000"/>
          <w:sz w:val="20"/>
          <w:szCs w:val="20"/>
        </w:rPr>
        <w:t>Grâce à ce dispositif de clause sociale, le jeune bénéficiaire peut réaliser un parcours d'entreprise en vue d'une remobilisation</w:t>
      </w:r>
      <w:r>
        <w:rPr>
          <w:rFonts w:ascii="Arial" w:hAnsi="Arial" w:cs="Arial"/>
          <w:iCs/>
          <w:sz w:val="20"/>
          <w:szCs w:val="20"/>
        </w:rPr>
        <w:t xml:space="preserve">. Agé de </w:t>
      </w:r>
      <w:r>
        <w:rPr>
          <w:rFonts w:ascii="Arial" w:hAnsi="Arial" w:cs="Arial"/>
          <w:iCs/>
          <w:color w:val="000000"/>
          <w:sz w:val="20"/>
          <w:szCs w:val="20"/>
        </w:rPr>
        <w:t>16 à 25 ans,</w:t>
      </w:r>
      <w:r>
        <w:rPr>
          <w:rFonts w:ascii="Arial" w:hAnsi="Arial" w:cs="Arial"/>
          <w:iCs/>
          <w:sz w:val="20"/>
          <w:szCs w:val="20"/>
        </w:rPr>
        <w:t xml:space="preserve"> il a été repéré par la plate-forme de suivi et d'appui aux jeunes décrocheurs et bénéficie à nouveau d'un statut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pPr>
        <w:pStyle w:val="Standard"/>
        <w:jc w:val="both"/>
        <w:rPr>
          <w:rFonts w:ascii="Arial" w:hAnsi="Arial" w:cs="Arial"/>
          <w:iCs/>
          <w:sz w:val="20"/>
          <w:szCs w:val="20"/>
        </w:rPr>
      </w:pPr>
    </w:p>
    <w:p>
      <w:pPr>
        <w:pStyle w:val="Standard"/>
        <w:jc w:val="both"/>
      </w:pPr>
      <w:r>
        <w:rPr>
          <w:rFonts w:ascii="Arial" w:hAnsi="Arial" w:cs="Arial"/>
          <w:iCs/>
          <w:sz w:val="20"/>
          <w:szCs w:val="20"/>
        </w:rPr>
        <w:t>D’une durée maximale de 6 mois (= 900 heures), chaque parcours peut se décomposer comme suit :</w:t>
      </w:r>
    </w:p>
    <w:p>
      <w:pPr>
        <w:pStyle w:val="Standard"/>
        <w:numPr>
          <w:ilvl w:val="0"/>
          <w:numId w:val="1"/>
        </w:numPr>
        <w:jc w:val="both"/>
        <w:rPr>
          <w:rFonts w:ascii="Arial" w:hAnsi="Arial" w:cs="Arial"/>
          <w:iCs/>
          <w:sz w:val="20"/>
          <w:szCs w:val="20"/>
        </w:rPr>
      </w:pPr>
      <w:r>
        <w:rPr>
          <w:rFonts w:ascii="Arial" w:hAnsi="Arial" w:cs="Arial"/>
          <w:iCs/>
          <w:sz w:val="20"/>
          <w:szCs w:val="20"/>
        </w:rPr>
        <w:t>une phase de découverte du monde de l'entreprise (1 mois = 150 heures),</w:t>
      </w:r>
    </w:p>
    <w:p>
      <w:pPr>
        <w:pStyle w:val="Standard"/>
        <w:numPr>
          <w:ilvl w:val="0"/>
          <w:numId w:val="1"/>
        </w:numPr>
        <w:jc w:val="both"/>
        <w:rPr>
          <w:rFonts w:ascii="Arial" w:hAnsi="Arial" w:cs="Arial"/>
          <w:iCs/>
          <w:sz w:val="20"/>
          <w:szCs w:val="20"/>
        </w:rPr>
      </w:pPr>
      <w:r>
        <w:rPr>
          <w:rFonts w:ascii="Arial" w:hAnsi="Arial" w:cs="Arial"/>
          <w:iCs/>
          <w:sz w:val="20"/>
          <w:szCs w:val="20"/>
        </w:rPr>
        <w:t>une phase de définition d’un projet professionnel (2 mois = 300 heures),</w:t>
      </w:r>
    </w:p>
    <w:p>
      <w:pPr>
        <w:pStyle w:val="Standard"/>
        <w:numPr>
          <w:ilvl w:val="0"/>
          <w:numId w:val="1"/>
        </w:numPr>
        <w:jc w:val="both"/>
        <w:rPr>
          <w:rFonts w:ascii="Arial" w:hAnsi="Arial" w:cs="Arial"/>
          <w:iCs/>
          <w:sz w:val="20"/>
          <w:szCs w:val="20"/>
        </w:rPr>
      </w:pPr>
      <w:r>
        <w:rPr>
          <w:rFonts w:ascii="Arial" w:hAnsi="Arial" w:cs="Arial"/>
          <w:iCs/>
          <w:sz w:val="20"/>
          <w:szCs w:val="20"/>
        </w:rPr>
        <w:t>une phase de confirmation de ce projet (3 mois = 450 heures).</w:t>
      </w:r>
    </w:p>
    <w:p>
      <w:pPr>
        <w:pStyle w:val="Standard"/>
        <w:jc w:val="both"/>
        <w:rPr>
          <w:rFonts w:ascii="Arial" w:hAnsi="Arial" w:cs="Arial"/>
          <w:iCs/>
          <w:sz w:val="20"/>
          <w:szCs w:val="20"/>
        </w:rPr>
      </w:pPr>
    </w:p>
    <w:p>
      <w:pPr>
        <w:widowControl/>
        <w:suppressAutoHyphens w:val="0"/>
        <w:jc w:val="both"/>
        <w:textAlignment w:val="auto"/>
        <w:rPr>
          <w:rFonts w:ascii="Arial" w:eastAsia="Times New Roman" w:hAnsi="Arial" w:cs="Arial"/>
          <w:b/>
          <w:iCs/>
          <w:sz w:val="20"/>
          <w:szCs w:val="20"/>
          <w:lang w:eastAsia="fr-FR" w:bidi="ar-SA"/>
        </w:rPr>
      </w:pPr>
      <w:r>
        <w:rPr>
          <w:rFonts w:ascii="Arial" w:eastAsia="Times New Roman" w:hAnsi="Arial" w:cs="Arial"/>
          <w:b/>
          <w:iCs/>
          <w:sz w:val="20"/>
          <w:szCs w:val="20"/>
          <w:lang w:eastAsia="fr-FR" w:bidi="ar-SA"/>
        </w:rPr>
        <w:t xml:space="preserve">La clause sociale prévue au présent marché permet de réaliser la totalité ou une partie d’un parcours en entreprise d’un jeune en situation </w:t>
      </w:r>
      <w:r>
        <w:rPr>
          <w:rFonts w:ascii="Arial" w:eastAsia="Times New Roman" w:hAnsi="Arial" w:cs="Arial"/>
          <w:b/>
          <w:iCs/>
          <w:color w:val="000000"/>
          <w:sz w:val="20"/>
          <w:szCs w:val="20"/>
          <w:lang w:eastAsia="fr-FR" w:bidi="ar-SA"/>
        </w:rPr>
        <w:t xml:space="preserve">ou en risque </w:t>
      </w:r>
      <w:r>
        <w:rPr>
          <w:rFonts w:ascii="Arial" w:eastAsia="Times New Roman" w:hAnsi="Arial" w:cs="Arial"/>
          <w:b/>
          <w:iCs/>
          <w:sz w:val="20"/>
          <w:szCs w:val="20"/>
          <w:lang w:eastAsia="fr-FR" w:bidi="ar-SA"/>
        </w:rPr>
        <w:t>de décrochage scolaire.</w:t>
      </w:r>
    </w:p>
    <w:p>
      <w:pPr>
        <w:widowControl/>
        <w:suppressAutoHyphens w:val="0"/>
        <w:jc w:val="both"/>
        <w:textAlignment w:val="auto"/>
        <w:rPr>
          <w:rFonts w:ascii="Arial" w:eastAsia="Times New Roman" w:hAnsi="Arial" w:cs="Arial"/>
          <w:iCs/>
          <w:sz w:val="20"/>
          <w:szCs w:val="20"/>
          <w:lang w:eastAsia="fr-FR" w:bidi="ar-SA"/>
        </w:rPr>
      </w:pPr>
    </w:p>
    <w:p>
      <w:pPr>
        <w:pStyle w:val="Commentaire"/>
        <w:jc w:val="both"/>
      </w:pPr>
      <w:r>
        <w:rPr>
          <w:rFonts w:ascii="Arial" w:eastAsia="Times New Roman" w:hAnsi="Arial" w:cs="Arial"/>
          <w:iCs/>
          <w:szCs w:val="20"/>
          <w:lang w:eastAsia="fr-FR" w:bidi="ar-SA"/>
        </w:rPr>
        <w:t xml:space="preserve">L’entrée du jeune bénéficiaire de la clause sociale en entreprise nécessite la conclusion d'une convention de stage tripartite entre le titulaire du marché, le jeune (ou son représentant légal) </w:t>
      </w:r>
      <w:r>
        <w:rPr>
          <w:color w:val="000000"/>
        </w:rPr>
        <w:t>et son établissement scolaire de rattachement. Le suivi du jeune sera assuré par un coordonnateur de la MLDS ou par un acteur de l’Education nationale (</w:t>
      </w:r>
      <w:r>
        <w:rPr>
          <w:rFonts w:ascii="Arial" w:eastAsia="Arial" w:hAnsi="Arial" w:cs="Arial"/>
          <w:b/>
          <w:bCs/>
          <w:iCs/>
          <w:color w:val="000000"/>
          <w:szCs w:val="20"/>
          <w:lang w:eastAsia="fr-FR" w:bidi="ar-SA"/>
        </w:rPr>
        <w:t>référent Education Nationale à savoir enseignants, CPE, référent décrochage scolaire, intervenant SRE, coordonnateur de dispositifs relais).</w:t>
      </w:r>
    </w:p>
    <w:p>
      <w:pPr>
        <w:widowControl/>
        <w:suppressAutoHyphens w:val="0"/>
        <w:jc w:val="both"/>
        <w:textAlignment w:val="auto"/>
        <w:rPr>
          <w:rFonts w:ascii="Arial" w:eastAsia="Times New Roman" w:hAnsi="Arial" w:cs="Arial"/>
          <w:iCs/>
          <w:strike/>
          <w:sz w:val="20"/>
          <w:szCs w:val="20"/>
          <w:lang w:eastAsia="fr-FR" w:bidi="ar-SA"/>
        </w:rPr>
      </w:pPr>
    </w:p>
    <w:p>
      <w:pPr>
        <w:widowControl/>
        <w:suppressAutoHyphens w:val="0"/>
        <w:jc w:val="both"/>
        <w:textAlignment w:val="auto"/>
        <w:rPr>
          <w:rFonts w:ascii="Arial" w:eastAsia="Times New Roman" w:hAnsi="Arial" w:cs="Arial"/>
          <w:iCs/>
          <w:sz w:val="20"/>
          <w:szCs w:val="20"/>
          <w:lang w:eastAsia="fr-FR" w:bidi="ar-SA"/>
        </w:rPr>
      </w:pPr>
    </w:p>
    <w:p>
      <w:pPr>
        <w:ind w:hanging="2"/>
        <w:jc w:val="both"/>
        <w:rPr>
          <w:color w:val="000000"/>
        </w:rPr>
      </w:pPr>
      <w:r>
        <w:rPr>
          <w:rFonts w:ascii="Arial" w:eastAsia="Arial" w:hAnsi="Arial" w:cs="Arial"/>
          <w:color w:val="000000"/>
          <w:sz w:val="20"/>
          <w:szCs w:val="20"/>
        </w:rPr>
        <w:t>Tout parcours fait l’objet d’une gratification mensuelle, versée au bénéficiaire.</w:t>
      </w:r>
    </w:p>
    <w:p>
      <w:pPr>
        <w:widowControl/>
        <w:suppressAutoHyphens w:val="0"/>
        <w:jc w:val="both"/>
        <w:textAlignment w:val="auto"/>
        <w:rPr>
          <w:rFonts w:ascii="Arial" w:eastAsia="Times New Roman" w:hAnsi="Arial" w:cs="Arial"/>
          <w:iCs/>
          <w:color w:val="000000"/>
          <w:sz w:val="20"/>
          <w:szCs w:val="20"/>
          <w:lang w:eastAsia="fr-FR" w:bidi="ar-SA"/>
        </w:rPr>
      </w:pPr>
    </w:p>
    <w:p>
      <w:pPr>
        <w:widowControl/>
        <w:suppressAutoHyphens w:val="0"/>
        <w:jc w:val="both"/>
        <w:textAlignment w:val="auto"/>
        <w:rPr>
          <w:rFonts w:ascii="Arial" w:eastAsia="Times New Roman" w:hAnsi="Arial" w:cs="Arial"/>
          <w:iCs/>
          <w:color w:val="FF0000"/>
          <w:sz w:val="20"/>
          <w:szCs w:val="20"/>
          <w:lang w:eastAsia="fr-FR" w:bidi="ar-SA"/>
        </w:rPr>
      </w:pPr>
      <w:r>
        <w:rPr>
          <w:rFonts w:ascii="Arial" w:eastAsia="Times New Roman" w:hAnsi="Arial" w:cs="Arial"/>
          <w:iCs/>
          <w:color w:val="000000"/>
          <w:sz w:val="20"/>
          <w:szCs w:val="20"/>
          <w:lang w:eastAsia="fr-FR" w:bidi="ar-SA"/>
        </w:rPr>
        <w:t>S’il le souhaite, le titulaire peut prolonger la période en entreprise, en accord avec le bénéficiaire de la clause sociale et de la MLDS. Toutefois la durée totale du parcours ne peut excéder 6 mois.</w:t>
      </w:r>
    </w:p>
    <w:p>
      <w:pPr>
        <w:pStyle w:val="Standard"/>
        <w:jc w:val="both"/>
        <w:rPr>
          <w:rFonts w:ascii="Arial" w:hAnsi="Arial" w:cs="Arial"/>
          <w:b/>
          <w:iCs/>
          <w:sz w:val="20"/>
          <w:szCs w:val="20"/>
        </w:rPr>
      </w:pPr>
    </w:p>
    <w:p>
      <w:pPr>
        <w:pStyle w:val="Standard"/>
        <w:jc w:val="both"/>
        <w:rPr>
          <w:rFonts w:ascii="Arial" w:hAnsi="Arial" w:cs="Arial"/>
          <w:b/>
          <w:iCs/>
          <w:sz w:val="20"/>
          <w:szCs w:val="20"/>
        </w:rPr>
      </w:pPr>
    </w:p>
    <w:p>
      <w:pPr>
        <w:pStyle w:val="Standard"/>
        <w:numPr>
          <w:ilvl w:val="0"/>
          <w:numId w:val="2"/>
        </w:numPr>
        <w:jc w:val="both"/>
        <w:rPr>
          <w:sz w:val="22"/>
          <w:szCs w:val="22"/>
        </w:rPr>
      </w:pPr>
      <w:r>
        <w:rPr>
          <w:rFonts w:ascii="Arial" w:hAnsi="Arial" w:cs="Arial"/>
          <w:i/>
          <w:iCs/>
          <w:sz w:val="22"/>
          <w:szCs w:val="22"/>
        </w:rPr>
        <w:t>Action attendue par l’acheteur :</w:t>
      </w:r>
    </w:p>
    <w:p>
      <w:pPr>
        <w:pStyle w:val="Standard"/>
        <w:jc w:val="both"/>
        <w:rPr>
          <w:rFonts w:ascii="Arial" w:hAnsi="Arial" w:cs="Arial"/>
          <w:b/>
          <w:iCs/>
          <w:sz w:val="20"/>
          <w:szCs w:val="20"/>
        </w:rPr>
      </w:pPr>
    </w:p>
    <w:p>
      <w:pPr>
        <w:pStyle w:val="Standard"/>
        <w:jc w:val="both"/>
        <w:rPr>
          <w:color w:val="000000"/>
        </w:rPr>
      </w:pPr>
      <w:r>
        <w:rPr>
          <w:rFonts w:ascii="Arial" w:hAnsi="Arial" w:cs="Arial"/>
          <w:b/>
          <w:bCs/>
          <w:iCs/>
          <w:color w:val="000000"/>
          <w:sz w:val="20"/>
          <w:szCs w:val="20"/>
        </w:rPr>
        <w:t>Le</w:t>
      </w:r>
      <w:r>
        <w:rPr>
          <w:rFonts w:ascii="Arial" w:hAnsi="Arial" w:cs="Arial"/>
          <w:b/>
          <w:iCs/>
          <w:sz w:val="20"/>
          <w:szCs w:val="20"/>
        </w:rPr>
        <w:t xml:space="preserve"> MESFIN</w:t>
      </w:r>
      <w:r>
        <w:rPr>
          <w:rFonts w:ascii="Arial" w:hAnsi="Arial" w:cs="Arial"/>
          <w:b/>
          <w:bCs/>
          <w:iCs/>
          <w:color w:val="000000"/>
          <w:sz w:val="20"/>
          <w:szCs w:val="20"/>
        </w:rPr>
        <w:t xml:space="preserve"> attend</w:t>
      </w:r>
      <w:r>
        <w:rPr>
          <w:rFonts w:ascii="Arial" w:hAnsi="Arial" w:cs="Arial"/>
          <w:b/>
          <w:iCs/>
          <w:color w:val="000000"/>
          <w:sz w:val="20"/>
          <w:szCs w:val="20"/>
        </w:rPr>
        <w:t xml:space="preserve"> du titulaire qu’il réalise une (ou plusieurs) phases d’un parcours d’un jeune en situation de décrochage scolaire.</w:t>
      </w:r>
    </w:p>
    <w:p>
      <w:pPr>
        <w:pStyle w:val="Standard"/>
        <w:jc w:val="both"/>
        <w:rPr>
          <w:rFonts w:ascii="Arial" w:hAnsi="Arial" w:cs="Arial"/>
          <w:iCs/>
          <w:color w:val="000000"/>
          <w:sz w:val="20"/>
          <w:szCs w:val="20"/>
        </w:rPr>
      </w:pPr>
    </w:p>
    <w:p>
      <w:pPr>
        <w:pStyle w:val="Standard"/>
        <w:jc w:val="both"/>
        <w:rPr>
          <w:rFonts w:ascii="Arial" w:hAnsi="Arial" w:cs="Arial"/>
          <w:b/>
          <w:iCs/>
          <w:color w:val="000000"/>
          <w:sz w:val="20"/>
          <w:szCs w:val="20"/>
        </w:rPr>
      </w:pPr>
      <w:r>
        <w:rPr>
          <w:rFonts w:ascii="Arial" w:hAnsi="Arial" w:cs="Arial"/>
          <w:b/>
          <w:iCs/>
          <w:color w:val="000000"/>
          <w:sz w:val="20"/>
          <w:szCs w:val="20"/>
        </w:rPr>
        <w:t xml:space="preserve">Pour ce faire, les candidats </w:t>
      </w:r>
      <w:r>
        <w:rPr>
          <w:rFonts w:ascii="Arial" w:hAnsi="Arial" w:cs="Arial"/>
          <w:b/>
          <w:iCs/>
          <w:color w:val="auto"/>
          <w:sz w:val="20"/>
          <w:szCs w:val="20"/>
        </w:rPr>
        <w:t>remplissent préalablement – et obligatoirement – la « Fiche entreprise (cadre de réponse) » (</w:t>
      </w:r>
      <w:r>
        <w:rPr>
          <w:rFonts w:ascii="Arial" w:hAnsi="Arial" w:cs="Arial"/>
          <w:b/>
          <w:i/>
          <w:iCs/>
          <w:color w:val="auto"/>
          <w:sz w:val="20"/>
          <w:szCs w:val="20"/>
        </w:rPr>
        <w:t>cf. annexe 2 au Règlement de la consultation)</w:t>
      </w:r>
      <w:r>
        <w:rPr>
          <w:rFonts w:ascii="Arial" w:hAnsi="Arial" w:cs="Arial"/>
          <w:b/>
          <w:iCs/>
          <w:color w:val="auto"/>
          <w:sz w:val="20"/>
          <w:szCs w:val="20"/>
        </w:rPr>
        <w:t xml:space="preserve">. Après </w:t>
      </w:r>
      <w:r>
        <w:rPr>
          <w:rFonts w:ascii="Arial" w:hAnsi="Arial" w:cs="Arial"/>
          <w:b/>
          <w:iCs/>
          <w:color w:val="000000"/>
          <w:sz w:val="20"/>
          <w:szCs w:val="20"/>
        </w:rPr>
        <w:t>notification du marché, cette fiche sera adaptée aux capacités du jeune proposé par la MLDS.</w:t>
      </w:r>
    </w:p>
    <w:p>
      <w:pPr>
        <w:pStyle w:val="Standard"/>
        <w:jc w:val="both"/>
        <w:rPr>
          <w:rFonts w:ascii="Arial" w:hAnsi="Arial" w:cs="Arial"/>
          <w:iCs/>
          <w:color w:val="000000"/>
          <w:sz w:val="20"/>
          <w:szCs w:val="20"/>
        </w:rPr>
      </w:pPr>
    </w:p>
    <w:tbl>
      <w:tblPr>
        <w:tblStyle w:val="Grilledutableau"/>
        <w:tblW w:w="9212" w:type="dxa"/>
        <w:tblInd w:w="-5" w:type="dxa"/>
        <w:tblCellMar>
          <w:left w:w="103" w:type="dxa"/>
        </w:tblCellMar>
        <w:tblLook w:val="04A0" w:firstRow="1" w:lastRow="0" w:firstColumn="1" w:lastColumn="0" w:noHBand="0" w:noVBand="1"/>
      </w:tblPr>
      <w:tblGrid>
        <w:gridCol w:w="9212"/>
      </w:tblGrid>
      <w:tr>
        <w:tc>
          <w:tcPr>
            <w:tcW w:w="9212" w:type="dxa"/>
            <w:shd w:val="clear" w:color="auto" w:fill="auto"/>
            <w:tcMar>
              <w:left w:w="103" w:type="dxa"/>
            </w:tcMar>
          </w:tcPr>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En tout état de cause, quel que soit le projet présenté par les candidats dans la « fiche entreprise », ce projet peut être adapté au moment de sa mise en œuvre opérationnelle, afin de répondre du mieux possible au profil du jeune présenté par la MLDS.</w:t>
            </w:r>
          </w:p>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 xml:space="preserve">Il est donc demandé au titulaire de faire preuve de bienveillance et de souplesse, pour que le parcours proposé par l’entreprise soit le mieux adapté possible. </w:t>
            </w:r>
          </w:p>
          <w:p>
            <w:pPr>
              <w:pStyle w:val="Standard"/>
              <w:spacing w:line="240" w:lineRule="auto"/>
              <w:jc w:val="both"/>
              <w:rPr>
                <w:rFonts w:ascii="Arial" w:hAnsi="Arial" w:cs="Arial"/>
                <w:iCs/>
                <w:sz w:val="20"/>
                <w:szCs w:val="20"/>
              </w:rPr>
            </w:pPr>
            <w:r>
              <w:rPr>
                <w:rFonts w:ascii="Arial" w:hAnsi="Arial" w:cs="Arial"/>
                <w:iCs/>
                <w:color w:val="000000"/>
                <w:sz w:val="20"/>
                <w:szCs w:val="20"/>
              </w:rPr>
              <w:t>En ce sens, une réunion de présentation du jeune à l’entreprise est organisée en amont, préalablement à son intégration au sein de l’entreprise, permettant également la prise en considération des attentes de chacun.</w:t>
            </w:r>
          </w:p>
        </w:tc>
      </w:tr>
    </w:tbl>
    <w:p>
      <w:pPr>
        <w:pStyle w:val="Standard"/>
        <w:jc w:val="both"/>
        <w:rPr>
          <w:rFonts w:ascii="Arial" w:hAnsi="Arial" w:cs="Arial"/>
          <w:iCs/>
          <w:sz w:val="20"/>
          <w:szCs w:val="20"/>
        </w:rPr>
      </w:pPr>
      <w:r>
        <w:rPr>
          <w:rFonts w:ascii="Arial" w:hAnsi="Arial" w:cs="Arial"/>
          <w:iCs/>
          <w:sz w:val="20"/>
          <w:szCs w:val="20"/>
        </w:rPr>
        <w:t>L’application de la présente clause sociale implique que le titulaire du marché reçoive le jeune dans ses locaux, en immersion complète.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lastRenderedPageBreak/>
        <w:t>Le jeune est accompagné :</w:t>
      </w:r>
    </w:p>
    <w:p>
      <w:pPr>
        <w:pStyle w:val="Standard"/>
        <w:numPr>
          <w:ilvl w:val="0"/>
          <w:numId w:val="3"/>
        </w:numPr>
        <w:jc w:val="both"/>
        <w:rPr>
          <w:rFonts w:ascii="Arial" w:hAnsi="Arial" w:cs="Arial"/>
          <w:iCs/>
          <w:sz w:val="20"/>
          <w:szCs w:val="20"/>
        </w:rPr>
      </w:pPr>
      <w:r>
        <w:rPr>
          <w:rFonts w:ascii="Arial" w:hAnsi="Arial" w:cs="Arial"/>
          <w:iCs/>
          <w:sz w:val="20"/>
          <w:szCs w:val="20"/>
        </w:rPr>
        <w:t>sur l’ensemble de son parcours, par la MLDS, qui désigne un tuteur pédagogique ;</w:t>
      </w:r>
    </w:p>
    <w:p>
      <w:pPr>
        <w:pStyle w:val="Standard"/>
        <w:numPr>
          <w:ilvl w:val="0"/>
          <w:numId w:val="3"/>
        </w:numPr>
        <w:jc w:val="both"/>
        <w:rPr>
          <w:rFonts w:ascii="Arial" w:hAnsi="Arial" w:cs="Arial"/>
          <w:iCs/>
          <w:sz w:val="20"/>
          <w:szCs w:val="20"/>
        </w:rPr>
      </w:pPr>
      <w:r>
        <w:rPr>
          <w:rFonts w:ascii="Arial" w:hAnsi="Arial" w:cs="Arial"/>
          <w:iCs/>
          <w:sz w:val="20"/>
          <w:szCs w:val="20"/>
        </w:rPr>
        <w:t>et par un référent au sein de l’entreprise partenaire (référent désigné par le titulaire du marché).</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jc w:val="both"/>
        <w:rPr>
          <w:rFonts w:ascii="Arial" w:hAnsi="Arial" w:cs="Arial"/>
          <w:i/>
          <w:iCs/>
          <w:sz w:val="22"/>
          <w:szCs w:val="22"/>
        </w:rPr>
      </w:pPr>
      <w:r>
        <w:rPr>
          <w:rFonts w:ascii="Arial" w:hAnsi="Arial" w:cs="Arial"/>
          <w:i/>
          <w:iCs/>
          <w:sz w:val="22"/>
          <w:szCs w:val="22"/>
        </w:rPr>
        <w:t>Valorisation de l’action du titulaire :</w:t>
      </w:r>
    </w:p>
    <w:p>
      <w:pPr>
        <w:pStyle w:val="Standard"/>
        <w:jc w:val="both"/>
        <w:rPr>
          <w:rFonts w:ascii="Arial" w:hAnsi="Arial" w:cs="Arial"/>
          <w:iCs/>
          <w:sz w:val="20"/>
          <w:szCs w:val="20"/>
        </w:rPr>
      </w:pPr>
    </w:p>
    <w:p>
      <w:pPr>
        <w:pStyle w:val="Standard"/>
        <w:jc w:val="both"/>
      </w:pPr>
      <w:r>
        <w:rPr>
          <w:rFonts w:ascii="Arial" w:hAnsi="Arial" w:cs="Arial"/>
          <w:iCs/>
          <w:sz w:val="20"/>
          <w:szCs w:val="20"/>
        </w:rPr>
        <w:t>Les résultats obtenus et les parcours réussis peuvent faire l’objet d’une valorisation par le ministère chargé de l’Éducation nationale.</w:t>
      </w:r>
    </w:p>
    <w:p>
      <w:pPr>
        <w:pStyle w:val="Standard"/>
        <w:jc w:val="both"/>
        <w:rPr>
          <w:rFonts w:ascii="Arial" w:hAnsi="Arial" w:cs="Arial"/>
          <w:iCs/>
          <w:sz w:val="20"/>
          <w:szCs w:val="20"/>
        </w:rPr>
      </w:pPr>
    </w:p>
    <w:p>
      <w:pPr>
        <w:pStyle w:val="Standard"/>
        <w:jc w:val="both"/>
      </w:pPr>
      <w:r>
        <w:rPr>
          <w:rFonts w:ascii="Arial" w:hAnsi="Arial" w:cs="Arial"/>
          <w:b/>
          <w:iCs/>
          <w:sz w:val="20"/>
          <w:szCs w:val="20"/>
        </w:rPr>
        <w:t>Un engagement ferme de réaliser les heures prévues dans le cadre du marché est exigé des candidats, se traduisant par la présentation d’éléments concrets, précis et détaillés (</w:t>
      </w:r>
      <w:r>
        <w:rPr>
          <w:rFonts w:ascii="Arial" w:hAnsi="Arial" w:cs="Arial"/>
          <w:b/>
          <w:i/>
          <w:iCs/>
          <w:sz w:val="20"/>
          <w:szCs w:val="20"/>
        </w:rPr>
        <w:t>en remplissant la « Fiche entreprise » cadre de réponse</w:t>
      </w:r>
      <w:r>
        <w:rPr>
          <w:rFonts w:ascii="Arial" w:hAnsi="Arial" w:cs="Arial"/>
          <w:b/>
          <w:iCs/>
          <w:sz w:val="20"/>
          <w:szCs w:val="20"/>
        </w:rPr>
        <w:t>).</w:t>
      </w:r>
    </w:p>
    <w:p>
      <w:pPr>
        <w:pStyle w:val="Standard"/>
      </w:pPr>
    </w:p>
    <w:p>
      <w:pPr>
        <w:pStyle w:val="Standard"/>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pPr>
              <w:pStyle w:val="Standard"/>
            </w:pPr>
          </w:p>
          <w:p>
            <w:pPr>
              <w:pStyle w:val="Standard"/>
              <w:jc w:val="center"/>
              <w:rPr>
                <w:rFonts w:ascii="Helv" w:hAnsi="Helv" w:cs="Helv"/>
                <w:b/>
                <w:i/>
                <w:color w:val="000000"/>
                <w:sz w:val="22"/>
                <w:szCs w:val="22"/>
              </w:rPr>
            </w:pPr>
            <w:r>
              <w:rPr>
                <w:rFonts w:ascii="Helv" w:hAnsi="Helv" w:cs="Helv"/>
                <w:b/>
                <w:i/>
                <w:color w:val="000000"/>
                <w:sz w:val="22"/>
                <w:szCs w:val="22"/>
              </w:rPr>
              <w:t>Quelques précisions concernant le projet du ministère de l’Education nationale :</w:t>
            </w:r>
          </w:p>
          <w:p>
            <w:pPr>
              <w:pStyle w:val="Standard"/>
              <w:jc w:val="both"/>
              <w:rPr>
                <w:rFonts w:ascii="Helv" w:hAnsi="Helv" w:cs="Helv"/>
                <w:i/>
                <w:color w:val="000000"/>
                <w:sz w:val="20"/>
                <w:szCs w:val="20"/>
              </w:rPr>
            </w:pPr>
          </w:p>
          <w:p>
            <w:pPr>
              <w:pStyle w:val="Standard"/>
              <w:jc w:val="both"/>
              <w:rPr>
                <w:color w:val="FF0000"/>
              </w:rPr>
            </w:pPr>
            <w:r>
              <w:rPr>
                <w:rFonts w:ascii="Helv" w:hAnsi="Helv" w:cs="Helv"/>
                <w:i/>
                <w:sz w:val="20"/>
                <w:szCs w:val="20"/>
              </w:rPr>
              <w:t xml:space="preserve">L’acheteur </w:t>
            </w:r>
            <w:r>
              <w:rPr>
                <w:rFonts w:ascii="Helv" w:hAnsi="Helv" w:cs="Helv"/>
                <w:i/>
                <w:color w:val="000000"/>
                <w:sz w:val="20"/>
                <w:szCs w:val="20"/>
              </w:rPr>
              <w:t xml:space="preserve">assure le lien entre la </w:t>
            </w:r>
            <w:r>
              <w:rPr>
                <w:rFonts w:ascii="Arial" w:hAnsi="Arial" w:cs="Arial"/>
                <w:i/>
                <w:iCs/>
                <w:sz w:val="20"/>
                <w:szCs w:val="20"/>
              </w:rPr>
              <w:t>Mission de Lutte contre le Décrochage Scolaire (MLDS)</w:t>
            </w:r>
            <w:r>
              <w:rPr>
                <w:rFonts w:ascii="Helv" w:hAnsi="Helv" w:cs="Helv"/>
                <w:i/>
                <w:color w:val="000000"/>
                <w:sz w:val="20"/>
                <w:szCs w:val="20"/>
              </w:rPr>
              <w:t xml:space="preserve"> et le titulaire du marché en déclarant l’offre de parcours de l’entreprise titulaire dans un formulaire dédié.</w:t>
            </w:r>
          </w:p>
          <w:p>
            <w:pPr>
              <w:pStyle w:val="Standard"/>
              <w:jc w:val="both"/>
              <w:rPr>
                <w:rFonts w:ascii="Helv" w:hAnsi="Helv" w:cs="Helv"/>
                <w:i/>
                <w:color w:val="000000"/>
                <w:sz w:val="20"/>
                <w:szCs w:val="20"/>
              </w:rPr>
            </w:pPr>
          </w:p>
          <w:p>
            <w:pPr>
              <w:pStyle w:val="Standard"/>
              <w:jc w:val="both"/>
            </w:pPr>
            <w:r>
              <w:rPr>
                <w:rFonts w:ascii="Helv" w:hAnsi="Helv" w:cs="Helv"/>
                <w:i/>
                <w:color w:val="000000"/>
                <w:sz w:val="20"/>
                <w:szCs w:val="20"/>
              </w:rPr>
              <w:t>Le jeune bénéficiaire de la clause est identifié par la MLDS</w:t>
            </w:r>
            <w:r>
              <w:rPr>
                <w:rFonts w:ascii="Helv" w:hAnsi="Helv" w:cs="Helv"/>
                <w:i/>
                <w:color w:val="FF0000"/>
                <w:sz w:val="20"/>
                <w:szCs w:val="20"/>
              </w:rPr>
              <w:t xml:space="preserve">, </w:t>
            </w:r>
            <w:r>
              <w:rPr>
                <w:rFonts w:ascii="Helv" w:hAnsi="Helv" w:cs="Helv"/>
                <w:i/>
                <w:color w:val="000000"/>
                <w:sz w:val="20"/>
                <w:szCs w:val="20"/>
              </w:rPr>
              <w:t xml:space="preserve">qui vérifie sa motivation et son souhait de réaliser un parcours en entreprise. La MLDS, via l’acheteur, </w:t>
            </w:r>
            <w:r>
              <w:rPr>
                <w:rFonts w:ascii="Helv" w:hAnsi="Helv" w:cs="Helv"/>
                <w:i/>
                <w:sz w:val="20"/>
                <w:szCs w:val="20"/>
              </w:rPr>
              <w:t xml:space="preserve">propose au titulaire un profil, avec transmission d'une lettre de motivation et </w:t>
            </w:r>
            <w:r>
              <w:rPr>
                <w:rFonts w:ascii="Helv" w:hAnsi="Helv" w:cs="Helv"/>
                <w:i/>
                <w:color w:val="000000"/>
                <w:sz w:val="20"/>
                <w:szCs w:val="20"/>
              </w:rPr>
              <w:t>d'un Curriculum Vitae.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titulaire du marché peut refuser le profil proposé, à condition de motiver sa décision. Un autre profil lui est alors proposé par la MLDS.</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 xml:space="preserve">Les tâches proposées au jeune bénéficiaire de la clause peuvent être d'ordre administratif ou technique. Néanmoins, le titulaire prévoit </w:t>
            </w:r>
            <w:proofErr w:type="gramStart"/>
            <w:r>
              <w:rPr>
                <w:rFonts w:ascii="Helv" w:hAnsi="Helv" w:cs="Helv"/>
                <w:i/>
                <w:color w:val="000000"/>
                <w:sz w:val="20"/>
                <w:szCs w:val="20"/>
              </w:rPr>
              <w:t>a</w:t>
            </w:r>
            <w:proofErr w:type="gramEnd"/>
            <w:r>
              <w:rPr>
                <w:rFonts w:ascii="Helv" w:hAnsi="Helv"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référent</w:t>
            </w:r>
            <w:r>
              <w:rPr>
                <w:rFonts w:ascii="Helv" w:hAnsi="Helv" w:cs="Helv"/>
                <w:i/>
                <w:sz w:val="20"/>
                <w:szCs w:val="20"/>
              </w:rPr>
              <w:t xml:space="preserve"> « Entreprise » </w:t>
            </w:r>
            <w:r>
              <w:rPr>
                <w:rFonts w:ascii="Helv" w:hAnsi="Helv" w:cs="Helv"/>
                <w:i/>
                <w:color w:val="000000"/>
                <w:sz w:val="20"/>
                <w:szCs w:val="20"/>
              </w:rPr>
              <w:t>n’est pas nécessairement responsable des ressources humaines (RRH). Néa</w:t>
            </w:r>
            <w:r>
              <w:rPr>
                <w:rFonts w:ascii="Helv" w:hAnsi="Helv" w:cs="Helv"/>
                <w:i/>
                <w:sz w:val="20"/>
                <w:szCs w:val="20"/>
              </w:rPr>
              <w:t>nmoins, les can</w:t>
            </w:r>
            <w:r>
              <w:rPr>
                <w:rFonts w:ascii="Helv" w:hAnsi="Helv" w:cs="Helv"/>
                <w:i/>
                <w:color w:val="000000"/>
                <w:sz w:val="20"/>
                <w:szCs w:val="20"/>
              </w:rPr>
              <w:t>didats doivent préciser dans leur offre le nom du RRH, ainsi que le nom du référent « entreprise » s'il est différent.</w:t>
            </w:r>
          </w:p>
          <w:p>
            <w:pPr>
              <w:pStyle w:val="Standard"/>
              <w:jc w:val="both"/>
              <w:rPr>
                <w:rFonts w:ascii="Helv" w:hAnsi="Helv" w:cs="Helv"/>
                <w:i/>
                <w:color w:val="000000"/>
                <w:sz w:val="20"/>
                <w:szCs w:val="20"/>
              </w:rPr>
            </w:pPr>
          </w:p>
          <w:p>
            <w:pPr>
              <w:ind w:hanging="2"/>
              <w:jc w:val="both"/>
            </w:pPr>
            <w:r>
              <w:rPr>
                <w:rFonts w:ascii="Arial" w:eastAsia="Arial" w:hAnsi="Arial" w:cs="Arial"/>
                <w:i/>
                <w:color w:val="000000"/>
                <w:sz w:val="20"/>
                <w:szCs w:val="20"/>
              </w:rPr>
              <w:t>La gratification mensuelle, versée au bénéficiaire peut être calculé à partir de la page suivante :</w:t>
            </w:r>
            <w:r>
              <w:rPr>
                <w:rFonts w:ascii="Arial" w:eastAsia="Arial" w:hAnsi="Arial" w:cs="Arial"/>
                <w:i/>
                <w:color w:val="FF0000"/>
                <w:sz w:val="20"/>
                <w:szCs w:val="20"/>
              </w:rPr>
              <w:t xml:space="preserve"> </w:t>
            </w:r>
            <w:hyperlink r:id="rId8">
              <w:r>
                <w:rPr>
                  <w:rStyle w:val="LienInternet"/>
                  <w:rFonts w:ascii="Arial" w:eastAsia="Arial" w:hAnsi="Arial" w:cs="Arial"/>
                  <w:i/>
                  <w:color w:val="0000FF"/>
                  <w:sz w:val="20"/>
                  <w:szCs w:val="20"/>
                </w:rPr>
                <w:t>https://www.service-public.fr/simulateur/calcul/gratification-stagiaire</w:t>
              </w:r>
            </w:hyperlink>
            <w:r>
              <w:rPr>
                <w:rFonts w:ascii="Arial" w:eastAsia="Arial" w:hAnsi="Arial" w:cs="Arial"/>
                <w:i/>
                <w:sz w:val="20"/>
                <w:szCs w:val="20"/>
              </w:rPr>
              <w:t>.</w:t>
            </w:r>
          </w:p>
          <w:p>
            <w:pPr>
              <w:pStyle w:val="Standard"/>
              <w:tabs>
                <w:tab w:val="left" w:pos="0"/>
                <w:tab w:val="left" w:pos="72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A l’issue du parcours du jeune, le titulaire est invité à explorer toutes les solutions d’avenir pérennes pour le jeune, en fonction de son projet professionnel – désormais établi – et de ses souhaits.</w:t>
            </w: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La MLDS informe le titulaire de la réussite du parcours et de la solution retenue par l’Education nationale en faveur du jeune.</w:t>
            </w:r>
          </w:p>
        </w:tc>
      </w:tr>
    </w:tbl>
    <w:p/>
    <w:sectPr>
      <w:headerReference w:type="default" r:id="rId9"/>
      <w:footerReference w:type="default" r:id="rId10"/>
      <w:headerReference w:type="first" r:id="rId11"/>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87634"/>
      <w:docPartObj>
        <w:docPartGallery w:val="Page Numbers (Bottom of Page)"/>
        <w:docPartUnique/>
      </w:docPartObj>
    </w:sdtPr>
    <w:sdtContent>
      <w:p>
        <w:pPr>
          <w:pStyle w:val="Pieddepage"/>
          <w:jc w:val="center"/>
        </w:pPr>
        <w:r>
          <w:fldChar w:fldCharType="begin"/>
        </w:r>
        <w:r>
          <w:instrText>PAGE</w:instrText>
        </w:r>
        <w:r>
          <w:fldChar w:fldCharType="separate"/>
        </w:r>
        <w:r>
          <w:rPr>
            <w:noProof/>
          </w:rPr>
          <w:t>3</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Standard"/>
      <w:rPr>
        <w:rFonts w:eastAsia="Times"/>
        <w:sz w:val="20"/>
        <w:szCs w:val="20"/>
      </w:rPr>
    </w:pPr>
  </w:p>
  <w:p>
    <w:pPr>
      <w:pStyle w:val="Standard"/>
      <w:rPr>
        <w:rFonts w:eastAsia="Times"/>
        <w:sz w:val="20"/>
        <w:szCs w:val="20"/>
      </w:rPr>
    </w:pPr>
  </w:p>
  <w:p>
    <w:pPr>
      <w:rPr>
        <w:rFonts w:eastAsia="Times"/>
        <w:sz w:val="20"/>
        <w:szCs w:val="20"/>
      </w:rPr>
    </w:pPr>
  </w:p>
  <w:p>
    <w:pPr>
      <w:jc w:val="center"/>
      <w:rPr>
        <w:rFonts w:eastAsia="Times"/>
        <w:sz w:val="20"/>
        <w:szCs w:val="20"/>
      </w:rPr>
    </w:pPr>
  </w:p>
  <w:p>
    <w:pPr>
      <w:jc w:val="center"/>
      <w:rPr>
        <w:rFonts w:eastAsia="Times"/>
        <w:sz w:val="20"/>
        <w:szCs w:val="20"/>
      </w:rPr>
    </w:pPr>
  </w:p>
  <w:p>
    <w:pPr>
      <w:jc w:val="center"/>
      <w:rPr>
        <w:rFonts w:ascii="Times New Roman" w:eastAsia="Times" w:hAnsi="Times New Roman" w:cs="Times New Roman"/>
        <w:color w:val="00000A"/>
        <w:sz w:val="20"/>
        <w:szCs w:val="20"/>
        <w:lang w:eastAsia="fr-FR" w:bidi="ar-SA"/>
      </w:rPr>
    </w:pPr>
    <w:r>
      <w:rPr>
        <w:rFonts w:ascii="Times New Roman" w:eastAsia="Times" w:hAnsi="Times New Roman" w:cs="Times New Roman"/>
        <w:color w:val="00000A"/>
        <w:sz w:val="20"/>
        <w:szCs w:val="20"/>
        <w:lang w:eastAsia="fr-FR" w:bidi="ar-SA"/>
      </w:rPr>
      <w:t>MINISTÈRE DE L’ÉDUCATION NATIONALE ET DE LA JEUNESSE</w:t>
    </w:r>
  </w:p>
  <w:p>
    <w:pPr>
      <w:pStyle w:val="En-tte"/>
      <w:jc w:val="center"/>
    </w:pPr>
    <w:r>
      <w:rPr>
        <w:rFonts w:eastAsia="Times"/>
        <w:sz w:val="20"/>
        <w:szCs w:val="20"/>
      </w:rPr>
      <w:t>MINISTERE DE L’ENSEIGNEMENT SUPÉRIEUR, DE LA RECHERCHE</w:t>
    </w:r>
    <w:r>
      <w:rPr>
        <w:noProof/>
      </w:rPr>
      <w:drawing>
        <wp:anchor distT="0" distB="0" distL="114300" distR="114300" simplePos="0" relativeHeight="2" behindDoc="1" locked="0" layoutInCell="1" allowOverlap="1">
          <wp:simplePos x="0" y="0"/>
          <wp:positionH relativeFrom="page">
            <wp:posOffset>3392805</wp:posOffset>
          </wp:positionH>
          <wp:positionV relativeFrom="page">
            <wp:posOffset>512445</wp:posOffset>
          </wp:positionV>
          <wp:extent cx="1078865" cy="633730"/>
          <wp:effectExtent l="0" t="0" r="0" b="0"/>
          <wp:wrapTopAndBottom/>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rianne"/>
                  <pic:cNvPicPr>
                    <a:picLocks noChangeAspect="1" noChangeArrowheads="1"/>
                  </pic:cNvPicPr>
                </pic:nvPicPr>
                <pic:blipFill>
                  <a:blip r:embed="rId1"/>
                  <a:stretch>
                    <a:fillRect/>
                  </a:stretch>
                </pic:blipFill>
                <pic:spPr bwMode="auto">
                  <a:xfrm>
                    <a:off x="0" y="0"/>
                    <a:ext cx="1078865" cy="633730"/>
                  </a:xfrm>
                  <a:prstGeom prst="rect">
                    <a:avLst/>
                  </a:prstGeom>
                  <a:noFill/>
                  <a:ln w="9525">
                    <a:noFill/>
                    <a:miter lim="800000"/>
                    <a:headEnd/>
                    <a:tailEnd/>
                  </a:ln>
                </pic:spPr>
              </pic:pic>
            </a:graphicData>
          </a:graphic>
        </wp:anchor>
      </w:drawing>
    </w:r>
    <w:r>
      <w:rPr>
        <w:rFonts w:eastAsia="Times"/>
        <w:sz w:val="20"/>
        <w:szCs w:val="20"/>
      </w:rPr>
      <w:t xml:space="preserve"> ET DE L’INNOVATION</w:t>
    </w:r>
  </w:p>
  <w:p>
    <w:pPr>
      <w:pStyle w:val="Standard"/>
      <w:rPr>
        <w:rFonts w:eastAsia="Times"/>
        <w:sz w:val="20"/>
        <w:szCs w:val="20"/>
      </w:rPr>
    </w:pPr>
  </w:p>
  <w:p>
    <w:pPr>
      <w:pStyle w:val="Standard"/>
      <w:rPr>
        <w:rFonts w:eastAsia="Time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92644"/>
    <w:multiLevelType w:val="multilevel"/>
    <w:tmpl w:val="82A69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1168EA"/>
    <w:multiLevelType w:val="multilevel"/>
    <w:tmpl w:val="6D1C24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3B757E5"/>
    <w:multiLevelType w:val="multilevel"/>
    <w:tmpl w:val="72163D3E"/>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3" w15:restartNumberingAfterBreak="0">
    <w:nsid w:val="792D7730"/>
    <w:multiLevelType w:val="multilevel"/>
    <w:tmpl w:val="644E6882"/>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655586-F362-46F1-995A-E9CEA810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pPr>
      <w:tabs>
        <w:tab w:val="center" w:pos="4536"/>
        <w:tab w:val="right" w:pos="9072"/>
      </w:tabs>
    </w:pPr>
  </w:style>
  <w:style w:type="paragraph" w:styleId="Pieddepage">
    <w:name w:val="footer"/>
    <w:basedOn w:val="Normal"/>
    <w:link w:val="PieddepageCar"/>
    <w:uiPriority w:val="99"/>
    <w:unhideWhenUsed/>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Pr>
      <w:rFonts w:ascii="Segoe UI" w:hAnsi="Segoe UI"/>
      <w:sz w:val="18"/>
      <w:szCs w:val="16"/>
    </w:rPr>
  </w:style>
  <w:style w:type="paragraph" w:styleId="Commentaire">
    <w:name w:val="annotation text"/>
    <w:basedOn w:val="Normal"/>
    <w:link w:val="CommentaireCar"/>
    <w:uiPriority w:val="99"/>
    <w:unhideWhenUsed/>
    <w:qFormat/>
    <w:rPr>
      <w:sz w:val="20"/>
      <w:szCs w:val="18"/>
    </w:rPr>
  </w:style>
  <w:style w:type="paragraph" w:styleId="Objetducommentaire">
    <w:name w:val="annotation subject"/>
    <w:basedOn w:val="Commentaire"/>
    <w:link w:val="ObjetducommentaireCar"/>
    <w:uiPriority w:val="99"/>
    <w:semiHidden/>
    <w:unhideWhenUsed/>
    <w:qFormat/>
    <w:rPr>
      <w:b/>
      <w:bCs/>
    </w:rPr>
  </w:style>
  <w:style w:type="table" w:styleId="Grilledutableau">
    <w:name w:val="Table Grid"/>
    <w:basedOn w:val="Tableau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678DC-D7E4-4BAD-B914-4A0C2A9A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1381</Words>
  <Characters>7601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SAVOURAT Francois</cp:lastModifiedBy>
  <cp:revision>4</cp:revision>
  <cp:lastPrinted>2020-07-17T14:30:00Z</cp:lastPrinted>
  <dcterms:created xsi:type="dcterms:W3CDTF">2023-02-24T14:23:00Z</dcterms:created>
  <dcterms:modified xsi:type="dcterms:W3CDTF">2024-09-06T12:46:00Z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