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DF998" w14:textId="77777777" w:rsidR="007602C8" w:rsidRPr="00406BB2" w:rsidRDefault="007602C8" w:rsidP="007602C8">
      <w:pPr>
        <w:spacing w:after="0" w:line="240" w:lineRule="auto"/>
        <w:ind w:left="-426"/>
        <w:rPr>
          <w:rFonts w:ascii="Calibri" w:eastAsia="Calibri" w:hAnsi="Calibri"/>
        </w:rPr>
      </w:pPr>
      <w:r w:rsidRPr="00406BB2">
        <w:rPr>
          <w:rFonts w:ascii="Arial" w:eastAsia="Calibri" w:hAnsi="Arial" w:cs="Arial"/>
          <w:noProof/>
          <w:color w:val="17365D"/>
          <w:sz w:val="20"/>
          <w:szCs w:val="20"/>
        </w:rPr>
        <w:drawing>
          <wp:anchor distT="0" distB="0" distL="114300" distR="114300" simplePos="0" relativeHeight="251680768" behindDoc="0" locked="0" layoutInCell="1" allowOverlap="1" wp14:anchorId="56C8E092" wp14:editId="735C26F0">
            <wp:simplePos x="0" y="0"/>
            <wp:positionH relativeFrom="column">
              <wp:posOffset>3428819</wp:posOffset>
            </wp:positionH>
            <wp:positionV relativeFrom="paragraph">
              <wp:posOffset>3810</wp:posOffset>
            </wp:positionV>
            <wp:extent cx="2489835" cy="484505"/>
            <wp:effectExtent l="0" t="0" r="5715" b="0"/>
            <wp:wrapNone/>
            <wp:docPr id="1" name="Image 4" descr="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QU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89835" cy="484505"/>
                    </a:xfrm>
                    <a:prstGeom prst="rect">
                      <a:avLst/>
                    </a:prstGeom>
                    <a:noFill/>
                    <a:ln>
                      <a:noFill/>
                    </a:ln>
                  </pic:spPr>
                </pic:pic>
              </a:graphicData>
            </a:graphic>
          </wp:anchor>
        </w:drawing>
      </w:r>
      <w:r w:rsidRPr="00406BB2">
        <w:rPr>
          <w:rFonts w:ascii="Arial" w:eastAsia="Calibri" w:hAnsi="Arial" w:cs="Arial"/>
          <w:noProof/>
          <w:color w:val="17365D"/>
          <w:sz w:val="18"/>
          <w:szCs w:val="18"/>
        </w:rPr>
        <w:drawing>
          <wp:inline distT="0" distB="0" distL="0" distR="0" wp14:anchorId="314EC697" wp14:editId="36255D02">
            <wp:extent cx="1311275" cy="617220"/>
            <wp:effectExtent l="0" t="0" r="3175" b="0"/>
            <wp:docPr id="4"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Pr="00406BB2">
        <w:rPr>
          <w:rFonts w:ascii="Arial" w:eastAsia="Calibri" w:hAnsi="Arial" w:cs="Arial"/>
          <w:color w:val="17365D"/>
          <w:sz w:val="18"/>
          <w:szCs w:val="18"/>
        </w:rPr>
        <w:t>  </w:t>
      </w:r>
      <w:r w:rsidRPr="00406BB2">
        <w:rPr>
          <w:rFonts w:ascii="Trebuchet MS" w:eastAsia="Calibri" w:hAnsi="Trebuchet MS"/>
          <w:noProof/>
          <w:color w:val="0062AE"/>
          <w:sz w:val="16"/>
          <w:szCs w:val="16"/>
        </w:rPr>
        <w:drawing>
          <wp:inline distT="0" distB="0" distL="0" distR="0" wp14:anchorId="526DDA83" wp14:editId="5B64A3B0">
            <wp:extent cx="396875" cy="374650"/>
            <wp:effectExtent l="0" t="0" r="3175" b="6350"/>
            <wp:docPr id="5"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96875" cy="374650"/>
                    </a:xfrm>
                    <a:prstGeom prst="rect">
                      <a:avLst/>
                    </a:prstGeom>
                    <a:noFill/>
                    <a:ln>
                      <a:noFill/>
                    </a:ln>
                  </pic:spPr>
                </pic:pic>
              </a:graphicData>
            </a:graphic>
          </wp:inline>
        </w:drawing>
      </w:r>
      <w:r w:rsidRPr="00406BB2">
        <w:rPr>
          <w:rFonts w:ascii="Arial" w:eastAsia="Calibri" w:hAnsi="Arial" w:cs="Arial"/>
          <w:color w:val="17365D"/>
          <w:sz w:val="20"/>
          <w:szCs w:val="20"/>
        </w:rPr>
        <w:t xml:space="preserve">    </w:t>
      </w:r>
    </w:p>
    <w:p w14:paraId="399D1C81" w14:textId="77777777" w:rsidR="007602C8" w:rsidRPr="00406BB2" w:rsidRDefault="007602C8" w:rsidP="007602C8">
      <w:r w:rsidRPr="00406BB2">
        <w:rPr>
          <w:noProof/>
        </w:rPr>
        <mc:AlternateContent>
          <mc:Choice Requires="wps">
            <w:drawing>
              <wp:anchor distT="0" distB="0" distL="114300" distR="114300" simplePos="0" relativeHeight="251679744" behindDoc="0" locked="0" layoutInCell="1" allowOverlap="1" wp14:anchorId="3EE87772" wp14:editId="773B2874">
                <wp:simplePos x="0" y="0"/>
                <wp:positionH relativeFrom="column">
                  <wp:posOffset>-436406</wp:posOffset>
                </wp:positionH>
                <wp:positionV relativeFrom="paragraph">
                  <wp:posOffset>178909</wp:posOffset>
                </wp:positionV>
                <wp:extent cx="1897039" cy="1610436"/>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11EA817C" w14:textId="77777777" w:rsidR="00986764" w:rsidRPr="00225EA9" w:rsidRDefault="00986764" w:rsidP="007602C8">
                            <w:pPr>
                              <w:spacing w:after="0"/>
                              <w:rPr>
                                <w:rFonts w:cs="Arial"/>
                                <w:sz w:val="20"/>
                                <w:szCs w:val="20"/>
                              </w:rPr>
                            </w:pPr>
                            <w:r w:rsidRPr="00225EA9">
                              <w:rPr>
                                <w:rFonts w:cs="Arial"/>
                                <w:sz w:val="20"/>
                                <w:szCs w:val="20"/>
                              </w:rPr>
                              <w:t>ACHATS CENTRAUX</w:t>
                            </w:r>
                          </w:p>
                          <w:p w14:paraId="6C76370E" w14:textId="77777777" w:rsidR="00986764" w:rsidRPr="00225EA9" w:rsidRDefault="00986764" w:rsidP="007602C8">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0E2AF918" w14:textId="77777777" w:rsidR="00986764" w:rsidRPr="00225EA9" w:rsidRDefault="00986764" w:rsidP="007602C8">
                            <w:pPr>
                              <w:spacing w:after="0"/>
                              <w:rPr>
                                <w:rFonts w:cs="Arial"/>
                                <w:sz w:val="20"/>
                                <w:szCs w:val="20"/>
                              </w:rPr>
                            </w:pPr>
                            <w:r w:rsidRPr="00225EA9">
                              <w:rPr>
                                <w:rFonts w:cs="Arial"/>
                                <w:sz w:val="20"/>
                                <w:szCs w:val="20"/>
                              </w:rPr>
                              <w:t>Hôpital Bicêtre</w:t>
                            </w:r>
                          </w:p>
                          <w:p w14:paraId="21A2BB81" w14:textId="77777777" w:rsidR="00986764" w:rsidRPr="00225EA9" w:rsidRDefault="00986764" w:rsidP="007602C8">
                            <w:pPr>
                              <w:spacing w:after="0"/>
                              <w:rPr>
                                <w:rFonts w:cs="Arial"/>
                                <w:sz w:val="20"/>
                                <w:szCs w:val="20"/>
                              </w:rPr>
                            </w:pPr>
                            <w:r w:rsidRPr="00225EA9">
                              <w:rPr>
                                <w:rFonts w:cs="Arial"/>
                                <w:sz w:val="20"/>
                                <w:szCs w:val="20"/>
                              </w:rPr>
                              <w:t>78, rue du Général Leclerc</w:t>
                            </w:r>
                          </w:p>
                          <w:p w14:paraId="7AFFF6A9" w14:textId="77777777" w:rsidR="00986764" w:rsidRPr="00225EA9" w:rsidRDefault="00986764" w:rsidP="007602C8">
                            <w:pPr>
                              <w:spacing w:after="0"/>
                              <w:rPr>
                                <w:rFonts w:cs="Arial"/>
                              </w:rPr>
                            </w:pPr>
                            <w:r w:rsidRPr="00225EA9">
                              <w:rPr>
                                <w:rFonts w:cs="Arial"/>
                                <w:sz w:val="20"/>
                                <w:szCs w:val="20"/>
                              </w:rPr>
                              <w:t>94270 Le Kremlin</w:t>
                            </w:r>
                            <w:r w:rsidRPr="00225EA9">
                              <w:rPr>
                                <w:rFonts w:cs="Arial"/>
                              </w:rPr>
                              <w:t xml:space="preserve"> Bicêtre</w:t>
                            </w:r>
                          </w:p>
                          <w:p w14:paraId="48A6B771" w14:textId="77777777" w:rsidR="00986764" w:rsidRPr="00225EA9" w:rsidRDefault="00986764" w:rsidP="007602C8">
                            <w:pPr>
                              <w:spacing w:after="0"/>
                              <w:rPr>
                                <w:rFonts w:cs="Arial"/>
                                <w:sz w:val="20"/>
                                <w:szCs w:val="20"/>
                              </w:rPr>
                            </w:pPr>
                            <w:r w:rsidRPr="00225EA9">
                              <w:rPr>
                                <w:rFonts w:cs="Arial"/>
                                <w:sz w:val="20"/>
                                <w:szCs w:val="20"/>
                              </w:rPr>
                              <w:t>Tél. : 01 53 14 69 00</w:t>
                            </w:r>
                          </w:p>
                          <w:p w14:paraId="3ED8423E" w14:textId="77777777" w:rsidR="00986764" w:rsidRPr="00225EA9" w:rsidRDefault="00986764" w:rsidP="007602C8">
                            <w:pPr>
                              <w:spacing w:after="0"/>
                              <w:rPr>
                                <w:rFonts w:cs="Arial"/>
                                <w:sz w:val="20"/>
                                <w:szCs w:val="20"/>
                              </w:rPr>
                            </w:pPr>
                            <w:r w:rsidRPr="00225EA9">
                              <w:rPr>
                                <w:rFonts w:cs="Arial"/>
                                <w:sz w:val="20"/>
                                <w:szCs w:val="20"/>
                              </w:rPr>
                              <w:t xml:space="preserve">Fax : </w:t>
                            </w:r>
                            <w:r>
                              <w:rPr>
                                <w:rFonts w:cs="Arial"/>
                                <w:sz w:val="20"/>
                                <w:szCs w:val="20"/>
                              </w:rPr>
                              <w:t>01 45 15 01 60</w:t>
                            </w:r>
                          </w:p>
                          <w:p w14:paraId="09721659" w14:textId="77777777" w:rsidR="00986764" w:rsidRDefault="00986764" w:rsidP="007602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E87772" id="_x0000_t202" coordsize="21600,21600" o:spt="202" path="m,l,21600r21600,l21600,xe">
                <v:stroke joinstyle="miter"/>
                <v:path gradientshapeok="t" o:connecttype="rect"/>
              </v:shapetype>
              <v:shape id="Zone de texte 2" o:spid="_x0000_s1026" type="#_x0000_t202" style="position:absolute;margin-left:-34.35pt;margin-top:14.1pt;width:149.35pt;height:126.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" filled="f" stroked="f" strokeweight=".5pt">
                <v:textbox>
                  <w:txbxContent>
                    <w:p w14:paraId="11EA817C" w14:textId="77777777" w:rsidR="00986764" w:rsidRPr="00225EA9" w:rsidRDefault="00986764" w:rsidP="007602C8">
                      <w:pPr>
                        <w:spacing w:after="0"/>
                        <w:rPr>
                          <w:rFonts w:cs="Arial"/>
                          <w:sz w:val="20"/>
                          <w:szCs w:val="20"/>
                        </w:rPr>
                      </w:pPr>
                      <w:r w:rsidRPr="00225EA9">
                        <w:rPr>
                          <w:rFonts w:cs="Arial"/>
                          <w:sz w:val="20"/>
                          <w:szCs w:val="20"/>
                        </w:rPr>
                        <w:t>ACHATS CENTRAUX</w:t>
                      </w:r>
                    </w:p>
                    <w:p w14:paraId="6C76370E" w14:textId="77777777" w:rsidR="00986764" w:rsidRPr="00225EA9" w:rsidRDefault="00986764" w:rsidP="007602C8">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0E2AF918" w14:textId="77777777" w:rsidR="00986764" w:rsidRPr="00225EA9" w:rsidRDefault="00986764" w:rsidP="007602C8">
                      <w:pPr>
                        <w:spacing w:after="0"/>
                        <w:rPr>
                          <w:rFonts w:cs="Arial"/>
                          <w:sz w:val="20"/>
                          <w:szCs w:val="20"/>
                        </w:rPr>
                      </w:pPr>
                      <w:r w:rsidRPr="00225EA9">
                        <w:rPr>
                          <w:rFonts w:cs="Arial"/>
                          <w:sz w:val="20"/>
                          <w:szCs w:val="20"/>
                        </w:rPr>
                        <w:t>Hôpital Bicêtre</w:t>
                      </w:r>
                    </w:p>
                    <w:p w14:paraId="21A2BB81" w14:textId="77777777" w:rsidR="00986764" w:rsidRPr="00225EA9" w:rsidRDefault="00986764" w:rsidP="007602C8">
                      <w:pPr>
                        <w:spacing w:after="0"/>
                        <w:rPr>
                          <w:rFonts w:cs="Arial"/>
                          <w:sz w:val="20"/>
                          <w:szCs w:val="20"/>
                        </w:rPr>
                      </w:pPr>
                      <w:r w:rsidRPr="00225EA9">
                        <w:rPr>
                          <w:rFonts w:cs="Arial"/>
                          <w:sz w:val="20"/>
                          <w:szCs w:val="20"/>
                        </w:rPr>
                        <w:t>78, rue du Général Leclerc</w:t>
                      </w:r>
                    </w:p>
                    <w:p w14:paraId="7AFFF6A9" w14:textId="77777777" w:rsidR="00986764" w:rsidRPr="00225EA9" w:rsidRDefault="00986764" w:rsidP="007602C8">
                      <w:pPr>
                        <w:spacing w:after="0"/>
                        <w:rPr>
                          <w:rFonts w:cs="Arial"/>
                        </w:rPr>
                      </w:pPr>
                      <w:r w:rsidRPr="00225EA9">
                        <w:rPr>
                          <w:rFonts w:cs="Arial"/>
                          <w:sz w:val="20"/>
                          <w:szCs w:val="20"/>
                        </w:rPr>
                        <w:t>94270 Le Kremlin</w:t>
                      </w:r>
                      <w:r w:rsidRPr="00225EA9">
                        <w:rPr>
                          <w:rFonts w:cs="Arial"/>
                        </w:rPr>
                        <w:t xml:space="preserve"> Bicêtre</w:t>
                      </w:r>
                    </w:p>
                    <w:p w14:paraId="48A6B771" w14:textId="77777777" w:rsidR="00986764" w:rsidRPr="00225EA9" w:rsidRDefault="00986764" w:rsidP="007602C8">
                      <w:pPr>
                        <w:spacing w:after="0"/>
                        <w:rPr>
                          <w:rFonts w:cs="Arial"/>
                          <w:sz w:val="20"/>
                          <w:szCs w:val="20"/>
                        </w:rPr>
                      </w:pPr>
                      <w:r w:rsidRPr="00225EA9">
                        <w:rPr>
                          <w:rFonts w:cs="Arial"/>
                          <w:sz w:val="20"/>
                          <w:szCs w:val="20"/>
                        </w:rPr>
                        <w:t>Tél. : 01 53 14 69 00</w:t>
                      </w:r>
                    </w:p>
                    <w:p w14:paraId="3ED8423E" w14:textId="77777777" w:rsidR="00986764" w:rsidRPr="00225EA9" w:rsidRDefault="00986764" w:rsidP="007602C8">
                      <w:pPr>
                        <w:spacing w:after="0"/>
                        <w:rPr>
                          <w:rFonts w:cs="Arial"/>
                          <w:sz w:val="20"/>
                          <w:szCs w:val="20"/>
                        </w:rPr>
                      </w:pPr>
                      <w:r w:rsidRPr="00225EA9">
                        <w:rPr>
                          <w:rFonts w:cs="Arial"/>
                          <w:sz w:val="20"/>
                          <w:szCs w:val="20"/>
                        </w:rPr>
                        <w:t xml:space="preserve">Fax : </w:t>
                      </w:r>
                      <w:r>
                        <w:rPr>
                          <w:rFonts w:cs="Arial"/>
                          <w:sz w:val="20"/>
                          <w:szCs w:val="20"/>
                        </w:rPr>
                        <w:t>01 45 15 01 60</w:t>
                      </w:r>
                    </w:p>
                    <w:p w14:paraId="09721659" w14:textId="77777777" w:rsidR="00986764" w:rsidRDefault="00986764" w:rsidP="007602C8"/>
                  </w:txbxContent>
                </v:textbox>
              </v:shape>
            </w:pict>
          </mc:Fallback>
        </mc:AlternateContent>
      </w:r>
    </w:p>
    <w:p w14:paraId="5B5B43FF" w14:textId="77777777" w:rsidR="007F34BC" w:rsidRPr="00406BB2" w:rsidRDefault="007F34BC" w:rsidP="00172421">
      <w:pPr>
        <w:tabs>
          <w:tab w:val="left" w:pos="0"/>
        </w:tabs>
      </w:pPr>
    </w:p>
    <w:p w14:paraId="574C843F" w14:textId="77777777" w:rsidR="009C2E6B" w:rsidRPr="00406BB2" w:rsidRDefault="009C2E6B" w:rsidP="00172421">
      <w:pPr>
        <w:tabs>
          <w:tab w:val="left" w:pos="0"/>
        </w:tabs>
      </w:pPr>
    </w:p>
    <w:p w14:paraId="2D7A5355" w14:textId="77777777" w:rsidR="009C2E6B" w:rsidRPr="00406BB2" w:rsidRDefault="009C2E6B" w:rsidP="00172421">
      <w:pPr>
        <w:tabs>
          <w:tab w:val="left" w:pos="0"/>
        </w:tabs>
      </w:pPr>
    </w:p>
    <w:p w14:paraId="48DBB3AD" w14:textId="77777777" w:rsidR="009C2E6B" w:rsidRPr="00406BB2" w:rsidRDefault="009C2E6B" w:rsidP="00172421">
      <w:pPr>
        <w:tabs>
          <w:tab w:val="left" w:pos="0"/>
        </w:tabs>
      </w:pPr>
    </w:p>
    <w:p w14:paraId="2F88DED9" w14:textId="77777777" w:rsidR="009C2E6B" w:rsidRPr="00406BB2" w:rsidRDefault="009C2E6B" w:rsidP="00172421">
      <w:pPr>
        <w:tabs>
          <w:tab w:val="left" w:pos="0"/>
        </w:tabs>
      </w:pPr>
    </w:p>
    <w:p w14:paraId="30D9ECFF" w14:textId="1FF5DF68" w:rsidR="008B70EE" w:rsidRPr="00406BB2" w:rsidRDefault="008B70EE" w:rsidP="00172421">
      <w:pPr>
        <w:pBdr>
          <w:top w:val="dotted" w:sz="2" w:space="1" w:color="632423"/>
          <w:bottom w:val="dotted" w:sz="2" w:space="6" w:color="632423"/>
        </w:pBdr>
        <w:tabs>
          <w:tab w:val="left" w:pos="0"/>
        </w:tabs>
        <w:spacing w:before="500" w:after="300" w:line="240" w:lineRule="auto"/>
        <w:ind w:left="426" w:right="425"/>
        <w:jc w:val="center"/>
        <w:rPr>
          <w:color w:val="632423"/>
          <w:sz w:val="32"/>
          <w:szCs w:val="32"/>
        </w:rPr>
      </w:pPr>
      <w:r w:rsidRPr="00406BB2">
        <w:rPr>
          <w:color w:val="632423"/>
          <w:sz w:val="32"/>
          <w:szCs w:val="32"/>
        </w:rPr>
        <w:t xml:space="preserve">Fourniture livraison installation et mise en service                                               </w:t>
      </w:r>
      <w:r w:rsidR="00062067" w:rsidRPr="00406BB2">
        <w:rPr>
          <w:color w:val="632423"/>
          <w:sz w:val="32"/>
          <w:szCs w:val="32"/>
        </w:rPr>
        <w:t>de systèmes de contrôle électronique d’accès</w:t>
      </w:r>
      <w:r w:rsidR="00155C72" w:rsidRPr="00406BB2">
        <w:rPr>
          <w:color w:val="632423"/>
          <w:sz w:val="32"/>
          <w:szCs w:val="32"/>
        </w:rPr>
        <w:t xml:space="preserve"> physique</w:t>
      </w:r>
      <w:r w:rsidR="00B12E58" w:rsidRPr="00406BB2">
        <w:rPr>
          <w:color w:val="632423"/>
          <w:sz w:val="32"/>
          <w:szCs w:val="32"/>
        </w:rPr>
        <w:t xml:space="preserve"> </w:t>
      </w:r>
      <w:r w:rsidR="00406BB2">
        <w:rPr>
          <w:color w:val="632423"/>
          <w:sz w:val="32"/>
          <w:szCs w:val="32"/>
        </w:rPr>
        <w:t>pour</w:t>
      </w:r>
      <w:r w:rsidR="00C62BFB">
        <w:rPr>
          <w:color w:val="632423"/>
          <w:sz w:val="32"/>
          <w:szCs w:val="32"/>
        </w:rPr>
        <w:t xml:space="preserve"> </w:t>
      </w:r>
      <w:r w:rsidR="00406BB2">
        <w:rPr>
          <w:color w:val="632423"/>
          <w:sz w:val="32"/>
          <w:szCs w:val="32"/>
        </w:rPr>
        <w:t>le PIC ACHAT</w:t>
      </w:r>
    </w:p>
    <w:p w14:paraId="3365B506" w14:textId="77777777" w:rsidR="008B70EE" w:rsidRPr="00406BB2" w:rsidRDefault="008B70EE" w:rsidP="00172421">
      <w:pPr>
        <w:tabs>
          <w:tab w:val="left" w:pos="0"/>
        </w:tabs>
        <w:ind w:left="426" w:right="425"/>
        <w:jc w:val="center"/>
        <w:rPr>
          <w:rFonts w:ascii="Times New Roman" w:hAnsi="Times New Roman"/>
          <w:b/>
          <w:sz w:val="24"/>
          <w:szCs w:val="24"/>
          <w:highlight w:val="green"/>
        </w:rPr>
      </w:pPr>
    </w:p>
    <w:p w14:paraId="5FDE7E78" w14:textId="77777777" w:rsidR="008B70EE" w:rsidRPr="00406BB2" w:rsidRDefault="008B70EE" w:rsidP="00172421">
      <w:pPr>
        <w:tabs>
          <w:tab w:val="left" w:pos="0"/>
        </w:tabs>
        <w:ind w:left="426" w:right="425"/>
        <w:jc w:val="center"/>
        <w:rPr>
          <w:b/>
          <w:bCs/>
          <w:i/>
          <w:iCs/>
          <w:color w:val="622423"/>
          <w:sz w:val="32"/>
          <w:szCs w:val="32"/>
        </w:rPr>
      </w:pPr>
      <w:r w:rsidRPr="00406BB2">
        <w:rPr>
          <w:b/>
          <w:bCs/>
          <w:i/>
          <w:iCs/>
          <w:color w:val="622423"/>
          <w:sz w:val="32"/>
          <w:szCs w:val="32"/>
        </w:rPr>
        <w:t xml:space="preserve">Cahier des Clauses Techniques Particulières </w:t>
      </w:r>
    </w:p>
    <w:p w14:paraId="17297A85" w14:textId="4EDC4CD5" w:rsidR="007F34BC" w:rsidRPr="00406BB2" w:rsidRDefault="0013127C" w:rsidP="00172421">
      <w:pPr>
        <w:tabs>
          <w:tab w:val="left" w:pos="0"/>
        </w:tabs>
        <w:ind w:left="426" w:right="425"/>
        <w:jc w:val="center"/>
        <w:rPr>
          <w:b/>
          <w:sz w:val="24"/>
          <w:szCs w:val="24"/>
        </w:rPr>
      </w:pPr>
      <w:r w:rsidRPr="00406BB2">
        <w:rPr>
          <w:b/>
          <w:bCs/>
          <w:i/>
          <w:iCs/>
          <w:color w:val="622423"/>
          <w:sz w:val="32"/>
          <w:szCs w:val="32"/>
        </w:rPr>
        <w:t xml:space="preserve">N° </w:t>
      </w:r>
      <w:r w:rsidR="00406BB2" w:rsidRPr="00406BB2">
        <w:rPr>
          <w:b/>
          <w:bCs/>
          <w:i/>
          <w:iCs/>
          <w:color w:val="622423"/>
          <w:sz w:val="32"/>
          <w:szCs w:val="32"/>
        </w:rPr>
        <w:t>24/110</w:t>
      </w:r>
    </w:p>
    <w:p w14:paraId="2D4E01E1" w14:textId="77777777" w:rsidR="007F34BC" w:rsidRPr="00406BB2" w:rsidRDefault="007F34BC" w:rsidP="00AF0F00">
      <w:pPr>
        <w:tabs>
          <w:tab w:val="left" w:pos="0"/>
        </w:tabs>
        <w:jc w:val="both"/>
      </w:pPr>
    </w:p>
    <w:p w14:paraId="24AAEC1B" w14:textId="1BAF40D0" w:rsidR="007F34BC" w:rsidRPr="00406BB2" w:rsidRDefault="007F34BC" w:rsidP="00AF0F00">
      <w:pPr>
        <w:tabs>
          <w:tab w:val="left" w:pos="0"/>
        </w:tabs>
        <w:jc w:val="both"/>
      </w:pPr>
      <w:r w:rsidRPr="00406BB2">
        <w:t xml:space="preserve">Objet : </w:t>
      </w:r>
      <w:r w:rsidR="000C3C79" w:rsidRPr="00406BB2">
        <w:t xml:space="preserve">Fourniture, livraison, installation et </w:t>
      </w:r>
      <w:r w:rsidR="005D5B39">
        <w:t xml:space="preserve">intégration de solution logicielle pour </w:t>
      </w:r>
      <w:r w:rsidR="000C3C79" w:rsidRPr="00406BB2">
        <w:t>mise en service</w:t>
      </w:r>
      <w:r w:rsidR="000C3C79" w:rsidRPr="00406BB2">
        <w:rPr>
          <w:bCs/>
        </w:rPr>
        <w:t xml:space="preserve"> </w:t>
      </w:r>
      <w:r w:rsidR="00062067" w:rsidRPr="00406BB2">
        <w:rPr>
          <w:bCs/>
        </w:rPr>
        <w:t>de systèmes de contrôles électroniques d’accès</w:t>
      </w:r>
      <w:r w:rsidR="00CB12C7" w:rsidRPr="00406BB2">
        <w:rPr>
          <w:bCs/>
        </w:rPr>
        <w:t xml:space="preserve"> physique</w:t>
      </w:r>
      <w:r w:rsidR="000C3C79" w:rsidRPr="00406BB2">
        <w:rPr>
          <w:bCs/>
        </w:rPr>
        <w:t xml:space="preserve"> </w:t>
      </w:r>
      <w:r w:rsidR="0050418C" w:rsidRPr="00406BB2">
        <w:rPr>
          <w:bCs/>
        </w:rPr>
        <w:t xml:space="preserve">nécessaires </w:t>
      </w:r>
      <w:r w:rsidR="00AE3034" w:rsidRPr="00406BB2">
        <w:rPr>
          <w:bCs/>
        </w:rPr>
        <w:t>aux besoins d</w:t>
      </w:r>
      <w:r w:rsidR="00406BB2" w:rsidRPr="00406BB2">
        <w:rPr>
          <w:bCs/>
        </w:rPr>
        <w:t>u PIC ACHAT</w:t>
      </w:r>
      <w:r w:rsidR="00AE3034" w:rsidRPr="00406BB2">
        <w:rPr>
          <w:bCs/>
        </w:rPr>
        <w:t xml:space="preserve"> </w:t>
      </w:r>
      <w:r w:rsidR="0050418C" w:rsidRPr="00406BB2">
        <w:rPr>
          <w:bCs/>
        </w:rPr>
        <w:t xml:space="preserve">de l’Assistance-Publique Hôpitaux de Paris. </w:t>
      </w:r>
    </w:p>
    <w:p w14:paraId="4C3099B4" w14:textId="77777777" w:rsidR="007F34BC" w:rsidRPr="00406BB2" w:rsidRDefault="007F34BC" w:rsidP="00AF0F00">
      <w:pPr>
        <w:tabs>
          <w:tab w:val="left" w:pos="0"/>
        </w:tabs>
        <w:jc w:val="both"/>
        <w:rPr>
          <w:highlight w:val="green"/>
        </w:rPr>
      </w:pPr>
    </w:p>
    <w:p w14:paraId="380CC77D" w14:textId="77777777" w:rsidR="00D45EC2" w:rsidRPr="005D5B39" w:rsidRDefault="00D45EC2" w:rsidP="00D45EC2">
      <w:pPr>
        <w:ind w:right="-427"/>
      </w:pPr>
      <w:r w:rsidRPr="005D5B39">
        <w:t>Le marché est conclu pour la période ferme allant de la date de notification pendant 48 mois éventuellement résiliable sans indemnités la seule initiative de l’Assistance Publique – Hôpitaux de Paris, à compter de 6 mois avant la fin du marché.</w:t>
      </w:r>
    </w:p>
    <w:p w14:paraId="1CE38A9C" w14:textId="77777777" w:rsidR="00D45EC2" w:rsidRPr="00406BB2" w:rsidRDefault="00D45EC2" w:rsidP="006C0D1C">
      <w:pPr>
        <w:ind w:left="-284" w:right="-427"/>
        <w:jc w:val="center"/>
        <w:rPr>
          <w:highlight w:val="green"/>
        </w:rPr>
      </w:pPr>
    </w:p>
    <w:p w14:paraId="77A2DE6C" w14:textId="1A7C9281" w:rsidR="00EB44D2" w:rsidRPr="008927C1" w:rsidRDefault="00EB44D2" w:rsidP="006C0D1C">
      <w:pPr>
        <w:ind w:left="-284" w:right="-427"/>
        <w:jc w:val="center"/>
      </w:pPr>
      <w:r w:rsidRPr="008927C1">
        <w:t xml:space="preserve">Ce </w:t>
      </w:r>
      <w:r w:rsidR="005D1ACD" w:rsidRPr="008927C1">
        <w:t xml:space="preserve">document </w:t>
      </w:r>
      <w:r w:rsidR="00CF0BF5" w:rsidRPr="008927C1">
        <w:t>comprend 39</w:t>
      </w:r>
      <w:r w:rsidRPr="008927C1">
        <w:t xml:space="preserve"> pages et est associé au Cahier des Clauses Administratives Particulières</w:t>
      </w:r>
    </w:p>
    <w:p w14:paraId="3E3BC3FB" w14:textId="77777777" w:rsidR="007F34BC" w:rsidRPr="00406BB2" w:rsidRDefault="007F34BC" w:rsidP="00172421">
      <w:pPr>
        <w:tabs>
          <w:tab w:val="left" w:pos="0"/>
        </w:tabs>
        <w:rPr>
          <w:highlight w:val="green"/>
        </w:rPr>
      </w:pPr>
    </w:p>
    <w:p w14:paraId="15DA39A5" w14:textId="77777777" w:rsidR="000262D8" w:rsidRPr="00406BB2" w:rsidRDefault="000262D8" w:rsidP="00172421">
      <w:pPr>
        <w:tabs>
          <w:tab w:val="left" w:pos="0"/>
        </w:tabs>
        <w:rPr>
          <w:highlight w:val="green"/>
        </w:rPr>
      </w:pPr>
    </w:p>
    <w:p w14:paraId="158831E7" w14:textId="3467B7C9" w:rsidR="001E0D4C" w:rsidRPr="00406BB2" w:rsidRDefault="001E0D4C">
      <w:pPr>
        <w:spacing w:after="0" w:line="240" w:lineRule="auto"/>
        <w:rPr>
          <w:caps/>
          <w:color w:val="632423"/>
          <w:spacing w:val="20"/>
          <w:sz w:val="28"/>
          <w:szCs w:val="28"/>
          <w:highlight w:val="green"/>
          <w:lang w:bidi="en-US"/>
        </w:rPr>
      </w:pPr>
    </w:p>
    <w:p w14:paraId="537FBB53" w14:textId="4AF0DE2D" w:rsidR="002F4565" w:rsidRPr="00406BB2" w:rsidRDefault="002F4565" w:rsidP="00172421">
      <w:pPr>
        <w:pStyle w:val="En-ttedetabledesmatires"/>
        <w:tabs>
          <w:tab w:val="left" w:pos="0"/>
        </w:tabs>
      </w:pPr>
      <w:r w:rsidRPr="00406BB2">
        <w:lastRenderedPageBreak/>
        <w:t>SOMMAIRE</w:t>
      </w:r>
    </w:p>
    <w:p w14:paraId="70CFF1A8" w14:textId="5C10FE87" w:rsidR="005622E1" w:rsidRDefault="00D607D7">
      <w:pPr>
        <w:pStyle w:val="TM1"/>
        <w:tabs>
          <w:tab w:val="right" w:leader="dot" w:pos="9061"/>
        </w:tabs>
        <w:rPr>
          <w:rFonts w:asciiTheme="minorHAnsi" w:eastAsiaTheme="minorEastAsia" w:hAnsiTheme="minorHAnsi" w:cstheme="minorBidi"/>
          <w:noProof/>
        </w:rPr>
      </w:pPr>
      <w:r w:rsidRPr="00406BB2">
        <w:rPr>
          <w:highlight w:val="green"/>
        </w:rPr>
        <w:fldChar w:fldCharType="begin"/>
      </w:r>
      <w:r w:rsidR="002F4565" w:rsidRPr="00406BB2">
        <w:rPr>
          <w:highlight w:val="green"/>
        </w:rPr>
        <w:instrText xml:space="preserve"> TOC \o "1-3" \h \z \u </w:instrText>
      </w:r>
      <w:r w:rsidRPr="00406BB2">
        <w:rPr>
          <w:highlight w:val="green"/>
        </w:rPr>
        <w:fldChar w:fldCharType="separate"/>
      </w:r>
      <w:hyperlink w:anchor="_Toc175128583" w:history="1">
        <w:r w:rsidR="005622E1" w:rsidRPr="00740200">
          <w:rPr>
            <w:rStyle w:val="Lienhypertexte"/>
            <w:noProof/>
          </w:rPr>
          <w:t>GLOSSAIRE</w:t>
        </w:r>
        <w:r w:rsidR="005622E1">
          <w:rPr>
            <w:noProof/>
            <w:webHidden/>
          </w:rPr>
          <w:tab/>
        </w:r>
        <w:r w:rsidR="005622E1">
          <w:rPr>
            <w:noProof/>
            <w:webHidden/>
          </w:rPr>
          <w:fldChar w:fldCharType="begin"/>
        </w:r>
        <w:r w:rsidR="005622E1">
          <w:rPr>
            <w:noProof/>
            <w:webHidden/>
          </w:rPr>
          <w:instrText xml:space="preserve"> PAGEREF _Toc175128583 \h </w:instrText>
        </w:r>
        <w:r w:rsidR="005622E1">
          <w:rPr>
            <w:noProof/>
            <w:webHidden/>
          </w:rPr>
        </w:r>
        <w:r w:rsidR="005622E1">
          <w:rPr>
            <w:noProof/>
            <w:webHidden/>
          </w:rPr>
          <w:fldChar w:fldCharType="separate"/>
        </w:r>
        <w:r w:rsidR="005B0EB7">
          <w:rPr>
            <w:noProof/>
            <w:webHidden/>
          </w:rPr>
          <w:t>3</w:t>
        </w:r>
        <w:r w:rsidR="005622E1">
          <w:rPr>
            <w:noProof/>
            <w:webHidden/>
          </w:rPr>
          <w:fldChar w:fldCharType="end"/>
        </w:r>
      </w:hyperlink>
    </w:p>
    <w:p w14:paraId="7476A733" w14:textId="2BDB5585" w:rsidR="005622E1" w:rsidRDefault="00A279F4">
      <w:pPr>
        <w:pStyle w:val="TM1"/>
        <w:tabs>
          <w:tab w:val="right" w:leader="dot" w:pos="9061"/>
        </w:tabs>
        <w:rPr>
          <w:rFonts w:asciiTheme="minorHAnsi" w:eastAsiaTheme="minorEastAsia" w:hAnsiTheme="minorHAnsi" w:cstheme="minorBidi"/>
          <w:noProof/>
        </w:rPr>
      </w:pPr>
      <w:hyperlink w:anchor="_Toc175128584" w:history="1">
        <w:r w:rsidR="005622E1" w:rsidRPr="00740200">
          <w:rPr>
            <w:rStyle w:val="Lienhypertexte"/>
            <w:noProof/>
          </w:rPr>
          <w:t>I-OBJET DE LA CONSULTATION</w:t>
        </w:r>
        <w:r w:rsidR="005622E1">
          <w:rPr>
            <w:noProof/>
            <w:webHidden/>
          </w:rPr>
          <w:tab/>
        </w:r>
        <w:r w:rsidR="005622E1">
          <w:rPr>
            <w:noProof/>
            <w:webHidden/>
          </w:rPr>
          <w:fldChar w:fldCharType="begin"/>
        </w:r>
        <w:r w:rsidR="005622E1">
          <w:rPr>
            <w:noProof/>
            <w:webHidden/>
          </w:rPr>
          <w:instrText xml:space="preserve"> PAGEREF _Toc175128584 \h </w:instrText>
        </w:r>
        <w:r w:rsidR="005622E1">
          <w:rPr>
            <w:noProof/>
            <w:webHidden/>
          </w:rPr>
        </w:r>
        <w:r w:rsidR="005622E1">
          <w:rPr>
            <w:noProof/>
            <w:webHidden/>
          </w:rPr>
          <w:fldChar w:fldCharType="separate"/>
        </w:r>
        <w:r w:rsidR="005B0EB7">
          <w:rPr>
            <w:noProof/>
            <w:webHidden/>
          </w:rPr>
          <w:t>5</w:t>
        </w:r>
        <w:r w:rsidR="005622E1">
          <w:rPr>
            <w:noProof/>
            <w:webHidden/>
          </w:rPr>
          <w:fldChar w:fldCharType="end"/>
        </w:r>
      </w:hyperlink>
    </w:p>
    <w:p w14:paraId="06F94265" w14:textId="1B577891" w:rsidR="005622E1" w:rsidRDefault="00A279F4">
      <w:pPr>
        <w:pStyle w:val="TM2"/>
        <w:tabs>
          <w:tab w:val="right" w:leader="dot" w:pos="9061"/>
        </w:tabs>
        <w:rPr>
          <w:rFonts w:asciiTheme="minorHAnsi" w:eastAsiaTheme="minorEastAsia" w:hAnsiTheme="minorHAnsi" w:cstheme="minorBidi"/>
          <w:noProof/>
        </w:rPr>
      </w:pPr>
      <w:hyperlink w:anchor="_Toc175128585" w:history="1">
        <w:r w:rsidR="005622E1" w:rsidRPr="00740200">
          <w:rPr>
            <w:rStyle w:val="Lienhypertexte"/>
            <w:b/>
            <w:bCs/>
            <w:noProof/>
            <w:spacing w:val="5"/>
          </w:rPr>
          <w:t>I-1 Prescriptions de la Direction Générale de l’APHP :</w:t>
        </w:r>
        <w:r w:rsidR="005622E1">
          <w:rPr>
            <w:noProof/>
            <w:webHidden/>
          </w:rPr>
          <w:tab/>
        </w:r>
        <w:r w:rsidR="005622E1">
          <w:rPr>
            <w:noProof/>
            <w:webHidden/>
          </w:rPr>
          <w:fldChar w:fldCharType="begin"/>
        </w:r>
        <w:r w:rsidR="005622E1">
          <w:rPr>
            <w:noProof/>
            <w:webHidden/>
          </w:rPr>
          <w:instrText xml:space="preserve"> PAGEREF _Toc175128585 \h </w:instrText>
        </w:r>
        <w:r w:rsidR="005622E1">
          <w:rPr>
            <w:noProof/>
            <w:webHidden/>
          </w:rPr>
        </w:r>
        <w:r w:rsidR="005622E1">
          <w:rPr>
            <w:noProof/>
            <w:webHidden/>
          </w:rPr>
          <w:fldChar w:fldCharType="separate"/>
        </w:r>
        <w:r w:rsidR="005B0EB7">
          <w:rPr>
            <w:noProof/>
            <w:webHidden/>
          </w:rPr>
          <w:t>5</w:t>
        </w:r>
        <w:r w:rsidR="005622E1">
          <w:rPr>
            <w:noProof/>
            <w:webHidden/>
          </w:rPr>
          <w:fldChar w:fldCharType="end"/>
        </w:r>
      </w:hyperlink>
    </w:p>
    <w:p w14:paraId="2374E1B4" w14:textId="2AABA41C" w:rsidR="005622E1" w:rsidRDefault="00A279F4">
      <w:pPr>
        <w:pStyle w:val="TM1"/>
        <w:tabs>
          <w:tab w:val="right" w:leader="dot" w:pos="9061"/>
        </w:tabs>
        <w:rPr>
          <w:rFonts w:asciiTheme="minorHAnsi" w:eastAsiaTheme="minorEastAsia" w:hAnsiTheme="minorHAnsi" w:cstheme="minorBidi"/>
          <w:noProof/>
        </w:rPr>
      </w:pPr>
      <w:hyperlink w:anchor="_Toc175128586" w:history="1">
        <w:r w:rsidR="005622E1" w:rsidRPr="00740200">
          <w:rPr>
            <w:rStyle w:val="Lienhypertexte"/>
            <w:noProof/>
          </w:rPr>
          <w:t>II- DECOMPOSITION EN LOTS</w:t>
        </w:r>
        <w:r w:rsidR="005622E1">
          <w:rPr>
            <w:noProof/>
            <w:webHidden/>
          </w:rPr>
          <w:tab/>
        </w:r>
        <w:r w:rsidR="005622E1">
          <w:rPr>
            <w:noProof/>
            <w:webHidden/>
          </w:rPr>
          <w:fldChar w:fldCharType="begin"/>
        </w:r>
        <w:r w:rsidR="005622E1">
          <w:rPr>
            <w:noProof/>
            <w:webHidden/>
          </w:rPr>
          <w:instrText xml:space="preserve"> PAGEREF _Toc175128586 \h </w:instrText>
        </w:r>
        <w:r w:rsidR="005622E1">
          <w:rPr>
            <w:noProof/>
            <w:webHidden/>
          </w:rPr>
        </w:r>
        <w:r w:rsidR="005622E1">
          <w:rPr>
            <w:noProof/>
            <w:webHidden/>
          </w:rPr>
          <w:fldChar w:fldCharType="separate"/>
        </w:r>
        <w:r w:rsidR="005B0EB7">
          <w:rPr>
            <w:noProof/>
            <w:webHidden/>
          </w:rPr>
          <w:t>7</w:t>
        </w:r>
        <w:r w:rsidR="005622E1">
          <w:rPr>
            <w:noProof/>
            <w:webHidden/>
          </w:rPr>
          <w:fldChar w:fldCharType="end"/>
        </w:r>
      </w:hyperlink>
    </w:p>
    <w:p w14:paraId="56037508" w14:textId="0CFB2379" w:rsidR="005622E1" w:rsidRDefault="00A279F4">
      <w:pPr>
        <w:pStyle w:val="TM1"/>
        <w:tabs>
          <w:tab w:val="right" w:leader="dot" w:pos="9061"/>
        </w:tabs>
        <w:rPr>
          <w:rFonts w:asciiTheme="minorHAnsi" w:eastAsiaTheme="minorEastAsia" w:hAnsiTheme="minorHAnsi" w:cstheme="minorBidi"/>
          <w:noProof/>
        </w:rPr>
      </w:pPr>
      <w:hyperlink w:anchor="_Toc175128587" w:history="1">
        <w:r w:rsidR="005622E1" w:rsidRPr="00740200">
          <w:rPr>
            <w:rStyle w:val="Lienhypertexte"/>
            <w:noProof/>
            <w:highlight w:val="green"/>
          </w:rPr>
          <w:t>III-  COMPOSITION DU LOT ET VOLUMETRIE</w:t>
        </w:r>
        <w:r w:rsidR="005622E1">
          <w:rPr>
            <w:noProof/>
            <w:webHidden/>
          </w:rPr>
          <w:tab/>
        </w:r>
        <w:r w:rsidR="005622E1">
          <w:rPr>
            <w:noProof/>
            <w:webHidden/>
          </w:rPr>
          <w:fldChar w:fldCharType="begin"/>
        </w:r>
        <w:r w:rsidR="005622E1">
          <w:rPr>
            <w:noProof/>
            <w:webHidden/>
          </w:rPr>
          <w:instrText xml:space="preserve"> PAGEREF _Toc175128587 \h </w:instrText>
        </w:r>
        <w:r w:rsidR="005622E1">
          <w:rPr>
            <w:noProof/>
            <w:webHidden/>
          </w:rPr>
        </w:r>
        <w:r w:rsidR="005622E1">
          <w:rPr>
            <w:noProof/>
            <w:webHidden/>
          </w:rPr>
          <w:fldChar w:fldCharType="separate"/>
        </w:r>
        <w:r w:rsidR="005B0EB7">
          <w:rPr>
            <w:noProof/>
            <w:webHidden/>
          </w:rPr>
          <w:t>8</w:t>
        </w:r>
        <w:r w:rsidR="005622E1">
          <w:rPr>
            <w:noProof/>
            <w:webHidden/>
          </w:rPr>
          <w:fldChar w:fldCharType="end"/>
        </w:r>
      </w:hyperlink>
    </w:p>
    <w:p w14:paraId="5DAD880D" w14:textId="3F75D5B0" w:rsidR="005622E1" w:rsidRDefault="00A279F4">
      <w:pPr>
        <w:pStyle w:val="TM1"/>
        <w:tabs>
          <w:tab w:val="right" w:leader="dot" w:pos="9061"/>
        </w:tabs>
        <w:rPr>
          <w:rFonts w:asciiTheme="minorHAnsi" w:eastAsiaTheme="minorEastAsia" w:hAnsiTheme="minorHAnsi" w:cstheme="minorBidi"/>
          <w:noProof/>
        </w:rPr>
      </w:pPr>
      <w:hyperlink w:anchor="_Toc175128588" w:history="1">
        <w:r w:rsidR="005622E1" w:rsidRPr="00740200">
          <w:rPr>
            <w:rStyle w:val="Lienhypertexte"/>
            <w:noProof/>
          </w:rPr>
          <w:t>IV- SPECIFICATIONS TECHNIQUES GENERALES DES PRODUITS</w:t>
        </w:r>
        <w:r w:rsidR="005622E1">
          <w:rPr>
            <w:noProof/>
            <w:webHidden/>
          </w:rPr>
          <w:tab/>
        </w:r>
        <w:r w:rsidR="005622E1">
          <w:rPr>
            <w:noProof/>
            <w:webHidden/>
          </w:rPr>
          <w:fldChar w:fldCharType="begin"/>
        </w:r>
        <w:r w:rsidR="005622E1">
          <w:rPr>
            <w:noProof/>
            <w:webHidden/>
          </w:rPr>
          <w:instrText xml:space="preserve"> PAGEREF _Toc175128588 \h </w:instrText>
        </w:r>
        <w:r w:rsidR="005622E1">
          <w:rPr>
            <w:noProof/>
            <w:webHidden/>
          </w:rPr>
        </w:r>
        <w:r w:rsidR="005622E1">
          <w:rPr>
            <w:noProof/>
            <w:webHidden/>
          </w:rPr>
          <w:fldChar w:fldCharType="separate"/>
        </w:r>
        <w:r w:rsidR="005B0EB7">
          <w:rPr>
            <w:noProof/>
            <w:webHidden/>
          </w:rPr>
          <w:t>9</w:t>
        </w:r>
        <w:r w:rsidR="005622E1">
          <w:rPr>
            <w:noProof/>
            <w:webHidden/>
          </w:rPr>
          <w:fldChar w:fldCharType="end"/>
        </w:r>
      </w:hyperlink>
    </w:p>
    <w:p w14:paraId="654933E3" w14:textId="0601E8DA" w:rsidR="005622E1" w:rsidRDefault="00A279F4">
      <w:pPr>
        <w:pStyle w:val="TM3"/>
        <w:tabs>
          <w:tab w:val="right" w:leader="dot" w:pos="9061"/>
        </w:tabs>
        <w:rPr>
          <w:rFonts w:asciiTheme="minorHAnsi" w:eastAsiaTheme="minorEastAsia" w:hAnsiTheme="minorHAnsi" w:cstheme="minorBidi"/>
          <w:noProof/>
        </w:rPr>
      </w:pPr>
      <w:hyperlink w:anchor="_Toc175128589" w:history="1">
        <w:r w:rsidR="005622E1" w:rsidRPr="00740200">
          <w:rPr>
            <w:rStyle w:val="Lienhypertexte"/>
            <w:noProof/>
          </w:rPr>
          <w:t>IV-1 Spécifications techniques particulières</w:t>
        </w:r>
        <w:r w:rsidR="005622E1">
          <w:rPr>
            <w:noProof/>
            <w:webHidden/>
          </w:rPr>
          <w:tab/>
        </w:r>
        <w:r w:rsidR="005622E1">
          <w:rPr>
            <w:noProof/>
            <w:webHidden/>
          </w:rPr>
          <w:fldChar w:fldCharType="begin"/>
        </w:r>
        <w:r w:rsidR="005622E1">
          <w:rPr>
            <w:noProof/>
            <w:webHidden/>
          </w:rPr>
          <w:instrText xml:space="preserve"> PAGEREF _Toc175128589 \h </w:instrText>
        </w:r>
        <w:r w:rsidR="005622E1">
          <w:rPr>
            <w:noProof/>
            <w:webHidden/>
          </w:rPr>
        </w:r>
        <w:r w:rsidR="005622E1">
          <w:rPr>
            <w:noProof/>
            <w:webHidden/>
          </w:rPr>
          <w:fldChar w:fldCharType="separate"/>
        </w:r>
        <w:r w:rsidR="005B0EB7">
          <w:rPr>
            <w:noProof/>
            <w:webHidden/>
          </w:rPr>
          <w:t>11</w:t>
        </w:r>
        <w:r w:rsidR="005622E1">
          <w:rPr>
            <w:noProof/>
            <w:webHidden/>
          </w:rPr>
          <w:fldChar w:fldCharType="end"/>
        </w:r>
      </w:hyperlink>
    </w:p>
    <w:p w14:paraId="44586B26" w14:textId="6C79FBE1" w:rsidR="005622E1" w:rsidRDefault="00A279F4">
      <w:pPr>
        <w:pStyle w:val="TM3"/>
        <w:tabs>
          <w:tab w:val="right" w:leader="dot" w:pos="9061"/>
        </w:tabs>
        <w:rPr>
          <w:rFonts w:asciiTheme="minorHAnsi" w:eastAsiaTheme="minorEastAsia" w:hAnsiTheme="minorHAnsi" w:cstheme="minorBidi"/>
          <w:noProof/>
        </w:rPr>
      </w:pPr>
      <w:hyperlink w:anchor="_Toc175128590" w:history="1">
        <w:r w:rsidR="005622E1" w:rsidRPr="00740200">
          <w:rPr>
            <w:rStyle w:val="Lienhypertexte"/>
            <w:noProof/>
          </w:rPr>
          <w:t>IV-2 Continuité de service</w:t>
        </w:r>
        <w:r w:rsidR="005622E1">
          <w:rPr>
            <w:noProof/>
            <w:webHidden/>
          </w:rPr>
          <w:tab/>
        </w:r>
        <w:r w:rsidR="005622E1">
          <w:rPr>
            <w:noProof/>
            <w:webHidden/>
          </w:rPr>
          <w:fldChar w:fldCharType="begin"/>
        </w:r>
        <w:r w:rsidR="005622E1">
          <w:rPr>
            <w:noProof/>
            <w:webHidden/>
          </w:rPr>
          <w:instrText xml:space="preserve"> PAGEREF _Toc175128590 \h </w:instrText>
        </w:r>
        <w:r w:rsidR="005622E1">
          <w:rPr>
            <w:noProof/>
            <w:webHidden/>
          </w:rPr>
        </w:r>
        <w:r w:rsidR="005622E1">
          <w:rPr>
            <w:noProof/>
            <w:webHidden/>
          </w:rPr>
          <w:fldChar w:fldCharType="separate"/>
        </w:r>
        <w:r w:rsidR="005B0EB7">
          <w:rPr>
            <w:noProof/>
            <w:webHidden/>
          </w:rPr>
          <w:t>13</w:t>
        </w:r>
        <w:r w:rsidR="005622E1">
          <w:rPr>
            <w:noProof/>
            <w:webHidden/>
          </w:rPr>
          <w:fldChar w:fldCharType="end"/>
        </w:r>
      </w:hyperlink>
    </w:p>
    <w:p w14:paraId="0F1368EC" w14:textId="699C3AF8" w:rsidR="005622E1" w:rsidRDefault="00A279F4">
      <w:pPr>
        <w:pStyle w:val="TM3"/>
        <w:tabs>
          <w:tab w:val="right" w:leader="dot" w:pos="9061"/>
        </w:tabs>
        <w:rPr>
          <w:rFonts w:asciiTheme="minorHAnsi" w:eastAsiaTheme="minorEastAsia" w:hAnsiTheme="minorHAnsi" w:cstheme="minorBidi"/>
          <w:noProof/>
        </w:rPr>
      </w:pPr>
      <w:hyperlink w:anchor="_Toc175128591" w:history="1">
        <w:r w:rsidR="005622E1" w:rsidRPr="00740200">
          <w:rPr>
            <w:rStyle w:val="Lienhypertexte"/>
            <w:noProof/>
          </w:rPr>
          <w:t>IV-3 Obligation de conseil</w:t>
        </w:r>
        <w:r w:rsidR="005622E1">
          <w:rPr>
            <w:noProof/>
            <w:webHidden/>
          </w:rPr>
          <w:tab/>
        </w:r>
        <w:r w:rsidR="005622E1">
          <w:rPr>
            <w:noProof/>
            <w:webHidden/>
          </w:rPr>
          <w:fldChar w:fldCharType="begin"/>
        </w:r>
        <w:r w:rsidR="005622E1">
          <w:rPr>
            <w:noProof/>
            <w:webHidden/>
          </w:rPr>
          <w:instrText xml:space="preserve"> PAGEREF _Toc175128591 \h </w:instrText>
        </w:r>
        <w:r w:rsidR="005622E1">
          <w:rPr>
            <w:noProof/>
            <w:webHidden/>
          </w:rPr>
        </w:r>
        <w:r w:rsidR="005622E1">
          <w:rPr>
            <w:noProof/>
            <w:webHidden/>
          </w:rPr>
          <w:fldChar w:fldCharType="separate"/>
        </w:r>
        <w:r w:rsidR="005B0EB7">
          <w:rPr>
            <w:noProof/>
            <w:webHidden/>
          </w:rPr>
          <w:t>14</w:t>
        </w:r>
        <w:r w:rsidR="005622E1">
          <w:rPr>
            <w:noProof/>
            <w:webHidden/>
          </w:rPr>
          <w:fldChar w:fldCharType="end"/>
        </w:r>
      </w:hyperlink>
    </w:p>
    <w:p w14:paraId="76ACF096" w14:textId="72A513D8" w:rsidR="005622E1" w:rsidRDefault="00A279F4">
      <w:pPr>
        <w:pStyle w:val="TM3"/>
        <w:tabs>
          <w:tab w:val="right" w:leader="dot" w:pos="9061"/>
        </w:tabs>
        <w:rPr>
          <w:rFonts w:asciiTheme="minorHAnsi" w:eastAsiaTheme="minorEastAsia" w:hAnsiTheme="minorHAnsi" w:cstheme="minorBidi"/>
          <w:noProof/>
        </w:rPr>
      </w:pPr>
      <w:hyperlink w:anchor="_Toc175128592" w:history="1">
        <w:r w:rsidR="005622E1" w:rsidRPr="00740200">
          <w:rPr>
            <w:rStyle w:val="Lienhypertexte"/>
            <w:noProof/>
          </w:rPr>
          <w:t>IV-4 Intégration au système d’information de l’AP-HP</w:t>
        </w:r>
        <w:r w:rsidR="005622E1">
          <w:rPr>
            <w:noProof/>
            <w:webHidden/>
          </w:rPr>
          <w:tab/>
        </w:r>
        <w:r w:rsidR="005622E1">
          <w:rPr>
            <w:noProof/>
            <w:webHidden/>
          </w:rPr>
          <w:fldChar w:fldCharType="begin"/>
        </w:r>
        <w:r w:rsidR="005622E1">
          <w:rPr>
            <w:noProof/>
            <w:webHidden/>
          </w:rPr>
          <w:instrText xml:space="preserve"> PAGEREF _Toc175128592 \h </w:instrText>
        </w:r>
        <w:r w:rsidR="005622E1">
          <w:rPr>
            <w:noProof/>
            <w:webHidden/>
          </w:rPr>
        </w:r>
        <w:r w:rsidR="005622E1">
          <w:rPr>
            <w:noProof/>
            <w:webHidden/>
          </w:rPr>
          <w:fldChar w:fldCharType="separate"/>
        </w:r>
        <w:r w:rsidR="005B0EB7">
          <w:rPr>
            <w:noProof/>
            <w:webHidden/>
          </w:rPr>
          <w:t>14</w:t>
        </w:r>
        <w:r w:rsidR="005622E1">
          <w:rPr>
            <w:noProof/>
            <w:webHidden/>
          </w:rPr>
          <w:fldChar w:fldCharType="end"/>
        </w:r>
      </w:hyperlink>
    </w:p>
    <w:p w14:paraId="639695F0" w14:textId="462A49F4" w:rsidR="005622E1" w:rsidRDefault="00A279F4">
      <w:pPr>
        <w:pStyle w:val="TM3"/>
        <w:tabs>
          <w:tab w:val="right" w:leader="dot" w:pos="9061"/>
        </w:tabs>
        <w:rPr>
          <w:rFonts w:asciiTheme="minorHAnsi" w:eastAsiaTheme="minorEastAsia" w:hAnsiTheme="minorHAnsi" w:cstheme="minorBidi"/>
          <w:noProof/>
        </w:rPr>
      </w:pPr>
      <w:hyperlink w:anchor="_Toc175128593" w:history="1">
        <w:r w:rsidR="005622E1" w:rsidRPr="00740200">
          <w:rPr>
            <w:rStyle w:val="Lienhypertexte"/>
            <w:noProof/>
          </w:rPr>
          <w:t>IV-5 Suivi du marché - Indicateurs</w:t>
        </w:r>
        <w:r w:rsidR="005622E1">
          <w:rPr>
            <w:noProof/>
            <w:webHidden/>
          </w:rPr>
          <w:tab/>
        </w:r>
        <w:r w:rsidR="005622E1">
          <w:rPr>
            <w:noProof/>
            <w:webHidden/>
          </w:rPr>
          <w:fldChar w:fldCharType="begin"/>
        </w:r>
        <w:r w:rsidR="005622E1">
          <w:rPr>
            <w:noProof/>
            <w:webHidden/>
          </w:rPr>
          <w:instrText xml:space="preserve"> PAGEREF _Toc175128593 \h </w:instrText>
        </w:r>
        <w:r w:rsidR="005622E1">
          <w:rPr>
            <w:noProof/>
            <w:webHidden/>
          </w:rPr>
        </w:r>
        <w:r w:rsidR="005622E1">
          <w:rPr>
            <w:noProof/>
            <w:webHidden/>
          </w:rPr>
          <w:fldChar w:fldCharType="separate"/>
        </w:r>
        <w:r w:rsidR="005B0EB7">
          <w:rPr>
            <w:noProof/>
            <w:webHidden/>
          </w:rPr>
          <w:t>23</w:t>
        </w:r>
        <w:r w:rsidR="005622E1">
          <w:rPr>
            <w:noProof/>
            <w:webHidden/>
          </w:rPr>
          <w:fldChar w:fldCharType="end"/>
        </w:r>
      </w:hyperlink>
    </w:p>
    <w:p w14:paraId="23030450" w14:textId="17433ABB" w:rsidR="005622E1" w:rsidRDefault="00A279F4">
      <w:pPr>
        <w:pStyle w:val="TM1"/>
        <w:tabs>
          <w:tab w:val="right" w:leader="dot" w:pos="9061"/>
        </w:tabs>
        <w:rPr>
          <w:rFonts w:asciiTheme="minorHAnsi" w:eastAsiaTheme="minorEastAsia" w:hAnsiTheme="minorHAnsi" w:cstheme="minorBidi"/>
          <w:noProof/>
        </w:rPr>
      </w:pPr>
      <w:hyperlink w:anchor="_Toc175128594" w:history="1">
        <w:r w:rsidR="005622E1" w:rsidRPr="00740200">
          <w:rPr>
            <w:rStyle w:val="Lienhypertexte"/>
            <w:noProof/>
          </w:rPr>
          <w:t>V- DOSSIER TECHNIQUE</w:t>
        </w:r>
        <w:r w:rsidR="005622E1">
          <w:rPr>
            <w:noProof/>
            <w:webHidden/>
          </w:rPr>
          <w:tab/>
        </w:r>
        <w:r w:rsidR="005622E1">
          <w:rPr>
            <w:noProof/>
            <w:webHidden/>
          </w:rPr>
          <w:fldChar w:fldCharType="begin"/>
        </w:r>
        <w:r w:rsidR="005622E1">
          <w:rPr>
            <w:noProof/>
            <w:webHidden/>
          </w:rPr>
          <w:instrText xml:space="preserve"> PAGEREF _Toc175128594 \h </w:instrText>
        </w:r>
        <w:r w:rsidR="005622E1">
          <w:rPr>
            <w:noProof/>
            <w:webHidden/>
          </w:rPr>
        </w:r>
        <w:r w:rsidR="005622E1">
          <w:rPr>
            <w:noProof/>
            <w:webHidden/>
          </w:rPr>
          <w:fldChar w:fldCharType="separate"/>
        </w:r>
        <w:r w:rsidR="005B0EB7">
          <w:rPr>
            <w:noProof/>
            <w:webHidden/>
          </w:rPr>
          <w:t>23</w:t>
        </w:r>
        <w:r w:rsidR="005622E1">
          <w:rPr>
            <w:noProof/>
            <w:webHidden/>
          </w:rPr>
          <w:fldChar w:fldCharType="end"/>
        </w:r>
      </w:hyperlink>
    </w:p>
    <w:p w14:paraId="45C928A9" w14:textId="309C2572" w:rsidR="005622E1" w:rsidRDefault="00A279F4">
      <w:pPr>
        <w:pStyle w:val="TM1"/>
        <w:tabs>
          <w:tab w:val="right" w:leader="dot" w:pos="9061"/>
        </w:tabs>
        <w:rPr>
          <w:rFonts w:asciiTheme="minorHAnsi" w:eastAsiaTheme="minorEastAsia" w:hAnsiTheme="minorHAnsi" w:cstheme="minorBidi"/>
          <w:noProof/>
        </w:rPr>
      </w:pPr>
      <w:hyperlink w:anchor="_Toc175128595" w:history="1">
        <w:r w:rsidR="005622E1" w:rsidRPr="00740200">
          <w:rPr>
            <w:rStyle w:val="Lienhypertexte"/>
            <w:noProof/>
          </w:rPr>
          <w:t>VI- NORMES ET REGLEMENTATIONS</w:t>
        </w:r>
        <w:r w:rsidR="005622E1">
          <w:rPr>
            <w:noProof/>
            <w:webHidden/>
          </w:rPr>
          <w:tab/>
        </w:r>
        <w:r w:rsidR="005622E1">
          <w:rPr>
            <w:noProof/>
            <w:webHidden/>
          </w:rPr>
          <w:fldChar w:fldCharType="begin"/>
        </w:r>
        <w:r w:rsidR="005622E1">
          <w:rPr>
            <w:noProof/>
            <w:webHidden/>
          </w:rPr>
          <w:instrText xml:space="preserve"> PAGEREF _Toc175128595 \h </w:instrText>
        </w:r>
        <w:r w:rsidR="005622E1">
          <w:rPr>
            <w:noProof/>
            <w:webHidden/>
          </w:rPr>
        </w:r>
        <w:r w:rsidR="005622E1">
          <w:rPr>
            <w:noProof/>
            <w:webHidden/>
          </w:rPr>
          <w:fldChar w:fldCharType="separate"/>
        </w:r>
        <w:r w:rsidR="005B0EB7">
          <w:rPr>
            <w:noProof/>
            <w:webHidden/>
          </w:rPr>
          <w:t>24</w:t>
        </w:r>
        <w:r w:rsidR="005622E1">
          <w:rPr>
            <w:noProof/>
            <w:webHidden/>
          </w:rPr>
          <w:fldChar w:fldCharType="end"/>
        </w:r>
      </w:hyperlink>
    </w:p>
    <w:p w14:paraId="5129ACB1" w14:textId="72941835" w:rsidR="005622E1" w:rsidRDefault="00A279F4">
      <w:pPr>
        <w:pStyle w:val="TM1"/>
        <w:tabs>
          <w:tab w:val="right" w:leader="dot" w:pos="9061"/>
        </w:tabs>
        <w:rPr>
          <w:rFonts w:asciiTheme="minorHAnsi" w:eastAsiaTheme="minorEastAsia" w:hAnsiTheme="minorHAnsi" w:cstheme="minorBidi"/>
          <w:noProof/>
        </w:rPr>
      </w:pPr>
      <w:hyperlink w:anchor="_Toc175128596" w:history="1">
        <w:r w:rsidR="005622E1" w:rsidRPr="00740200">
          <w:rPr>
            <w:rStyle w:val="Lienhypertexte"/>
            <w:noProof/>
          </w:rPr>
          <w:t>VII- LIMITES DE PRESTATIONS</w:t>
        </w:r>
        <w:r w:rsidR="005622E1">
          <w:rPr>
            <w:noProof/>
            <w:webHidden/>
          </w:rPr>
          <w:tab/>
        </w:r>
        <w:r w:rsidR="005622E1">
          <w:rPr>
            <w:noProof/>
            <w:webHidden/>
          </w:rPr>
          <w:fldChar w:fldCharType="begin"/>
        </w:r>
        <w:r w:rsidR="005622E1">
          <w:rPr>
            <w:noProof/>
            <w:webHidden/>
          </w:rPr>
          <w:instrText xml:space="preserve"> PAGEREF _Toc175128596 \h </w:instrText>
        </w:r>
        <w:r w:rsidR="005622E1">
          <w:rPr>
            <w:noProof/>
            <w:webHidden/>
          </w:rPr>
        </w:r>
        <w:r w:rsidR="005622E1">
          <w:rPr>
            <w:noProof/>
            <w:webHidden/>
          </w:rPr>
          <w:fldChar w:fldCharType="separate"/>
        </w:r>
        <w:r w:rsidR="005B0EB7">
          <w:rPr>
            <w:noProof/>
            <w:webHidden/>
          </w:rPr>
          <w:t>25</w:t>
        </w:r>
        <w:r w:rsidR="005622E1">
          <w:rPr>
            <w:noProof/>
            <w:webHidden/>
          </w:rPr>
          <w:fldChar w:fldCharType="end"/>
        </w:r>
      </w:hyperlink>
    </w:p>
    <w:p w14:paraId="46D2DF36" w14:textId="3E0F26D3" w:rsidR="005622E1" w:rsidRDefault="00A279F4">
      <w:pPr>
        <w:pStyle w:val="TM1"/>
        <w:tabs>
          <w:tab w:val="right" w:leader="dot" w:pos="9061"/>
        </w:tabs>
        <w:rPr>
          <w:rFonts w:asciiTheme="minorHAnsi" w:eastAsiaTheme="minorEastAsia" w:hAnsiTheme="minorHAnsi" w:cstheme="minorBidi"/>
          <w:noProof/>
        </w:rPr>
      </w:pPr>
      <w:hyperlink w:anchor="_Toc175128597" w:history="1">
        <w:r w:rsidR="005622E1" w:rsidRPr="00740200">
          <w:rPr>
            <w:rStyle w:val="Lienhypertexte"/>
            <w:noProof/>
          </w:rPr>
          <w:t>VIII- DUREE DE GARANTIE</w:t>
        </w:r>
        <w:r w:rsidR="005622E1">
          <w:rPr>
            <w:noProof/>
            <w:webHidden/>
          </w:rPr>
          <w:tab/>
        </w:r>
        <w:r w:rsidR="005622E1">
          <w:rPr>
            <w:noProof/>
            <w:webHidden/>
          </w:rPr>
          <w:fldChar w:fldCharType="begin"/>
        </w:r>
        <w:r w:rsidR="005622E1">
          <w:rPr>
            <w:noProof/>
            <w:webHidden/>
          </w:rPr>
          <w:instrText xml:space="preserve"> PAGEREF _Toc175128597 \h </w:instrText>
        </w:r>
        <w:r w:rsidR="005622E1">
          <w:rPr>
            <w:noProof/>
            <w:webHidden/>
          </w:rPr>
        </w:r>
        <w:r w:rsidR="005622E1">
          <w:rPr>
            <w:noProof/>
            <w:webHidden/>
          </w:rPr>
          <w:fldChar w:fldCharType="separate"/>
        </w:r>
        <w:r w:rsidR="005B0EB7">
          <w:rPr>
            <w:noProof/>
            <w:webHidden/>
          </w:rPr>
          <w:t>28</w:t>
        </w:r>
        <w:r w:rsidR="005622E1">
          <w:rPr>
            <w:noProof/>
            <w:webHidden/>
          </w:rPr>
          <w:fldChar w:fldCharType="end"/>
        </w:r>
      </w:hyperlink>
    </w:p>
    <w:p w14:paraId="22C9FD73" w14:textId="57467EBA" w:rsidR="005622E1" w:rsidRDefault="00A279F4">
      <w:pPr>
        <w:pStyle w:val="TM1"/>
        <w:tabs>
          <w:tab w:val="right" w:leader="dot" w:pos="9061"/>
        </w:tabs>
        <w:rPr>
          <w:rFonts w:asciiTheme="minorHAnsi" w:eastAsiaTheme="minorEastAsia" w:hAnsiTheme="minorHAnsi" w:cstheme="minorBidi"/>
          <w:noProof/>
        </w:rPr>
      </w:pPr>
      <w:hyperlink w:anchor="_Toc175128598" w:history="1">
        <w:r w:rsidR="005622E1" w:rsidRPr="00740200">
          <w:rPr>
            <w:rStyle w:val="Lienhypertexte"/>
            <w:rFonts w:eastAsia="Arial Unicode MS"/>
            <w:caps/>
            <w:noProof/>
            <w:spacing w:val="20"/>
          </w:rPr>
          <w:t>Annexe 1 : Cadre de réponse technique</w:t>
        </w:r>
        <w:r w:rsidR="005622E1">
          <w:rPr>
            <w:noProof/>
            <w:webHidden/>
          </w:rPr>
          <w:tab/>
        </w:r>
        <w:r w:rsidR="005622E1">
          <w:rPr>
            <w:noProof/>
            <w:webHidden/>
          </w:rPr>
          <w:fldChar w:fldCharType="begin"/>
        </w:r>
        <w:r w:rsidR="005622E1">
          <w:rPr>
            <w:noProof/>
            <w:webHidden/>
          </w:rPr>
          <w:instrText xml:space="preserve"> PAGEREF _Toc175128598 \h </w:instrText>
        </w:r>
        <w:r w:rsidR="005622E1">
          <w:rPr>
            <w:noProof/>
            <w:webHidden/>
          </w:rPr>
        </w:r>
        <w:r w:rsidR="005622E1">
          <w:rPr>
            <w:noProof/>
            <w:webHidden/>
          </w:rPr>
          <w:fldChar w:fldCharType="separate"/>
        </w:r>
        <w:r w:rsidR="005B0EB7">
          <w:rPr>
            <w:noProof/>
            <w:webHidden/>
          </w:rPr>
          <w:t>29</w:t>
        </w:r>
        <w:r w:rsidR="005622E1">
          <w:rPr>
            <w:noProof/>
            <w:webHidden/>
          </w:rPr>
          <w:fldChar w:fldCharType="end"/>
        </w:r>
      </w:hyperlink>
    </w:p>
    <w:p w14:paraId="3A0CEEA8" w14:textId="1BF2A052" w:rsidR="005622E1" w:rsidRDefault="00A279F4">
      <w:pPr>
        <w:pStyle w:val="TM1"/>
        <w:tabs>
          <w:tab w:val="right" w:leader="dot" w:pos="9061"/>
        </w:tabs>
        <w:rPr>
          <w:rFonts w:asciiTheme="minorHAnsi" w:eastAsiaTheme="minorEastAsia" w:hAnsiTheme="minorHAnsi" w:cstheme="minorBidi"/>
          <w:noProof/>
        </w:rPr>
      </w:pPr>
      <w:hyperlink w:anchor="_Toc175128599" w:history="1">
        <w:r w:rsidR="005622E1" w:rsidRPr="00740200">
          <w:rPr>
            <w:rStyle w:val="Lienhypertexte"/>
            <w:rFonts w:eastAsia="Arial Unicode MS"/>
            <w:caps/>
            <w:noProof/>
            <w:spacing w:val="20"/>
          </w:rPr>
          <w:t>Annexe 2 : Guide securite des technologies sans-contact pour le contrôle des acces physiques de l’ANSSI.</w:t>
        </w:r>
        <w:r w:rsidR="005622E1">
          <w:rPr>
            <w:noProof/>
            <w:webHidden/>
          </w:rPr>
          <w:tab/>
        </w:r>
        <w:r w:rsidR="005622E1">
          <w:rPr>
            <w:noProof/>
            <w:webHidden/>
          </w:rPr>
          <w:fldChar w:fldCharType="begin"/>
        </w:r>
        <w:r w:rsidR="005622E1">
          <w:rPr>
            <w:noProof/>
            <w:webHidden/>
          </w:rPr>
          <w:instrText xml:space="preserve"> PAGEREF _Toc175128599 \h </w:instrText>
        </w:r>
        <w:r w:rsidR="005622E1">
          <w:rPr>
            <w:noProof/>
            <w:webHidden/>
          </w:rPr>
        </w:r>
        <w:r w:rsidR="005622E1">
          <w:rPr>
            <w:noProof/>
            <w:webHidden/>
          </w:rPr>
          <w:fldChar w:fldCharType="separate"/>
        </w:r>
        <w:r w:rsidR="005B0EB7">
          <w:rPr>
            <w:noProof/>
            <w:webHidden/>
          </w:rPr>
          <w:t>34</w:t>
        </w:r>
        <w:r w:rsidR="005622E1">
          <w:rPr>
            <w:noProof/>
            <w:webHidden/>
          </w:rPr>
          <w:fldChar w:fldCharType="end"/>
        </w:r>
      </w:hyperlink>
    </w:p>
    <w:p w14:paraId="1D2C809E" w14:textId="1E663CB1" w:rsidR="005622E1" w:rsidRDefault="00A279F4">
      <w:pPr>
        <w:pStyle w:val="TM1"/>
        <w:tabs>
          <w:tab w:val="right" w:leader="dot" w:pos="9061"/>
        </w:tabs>
        <w:rPr>
          <w:rFonts w:asciiTheme="minorHAnsi" w:eastAsiaTheme="minorEastAsia" w:hAnsiTheme="minorHAnsi" w:cstheme="minorBidi"/>
          <w:noProof/>
        </w:rPr>
      </w:pPr>
      <w:hyperlink w:anchor="_Toc175128600" w:history="1">
        <w:r w:rsidR="005622E1" w:rsidRPr="00740200">
          <w:rPr>
            <w:rStyle w:val="Lienhypertexte"/>
            <w:rFonts w:eastAsia="Arial Unicode MS"/>
            <w:caps/>
            <w:noProof/>
            <w:spacing w:val="20"/>
          </w:rPr>
          <w:t>Annexe 3 : Guide de la mise en œuvre de la partie sans-contact des cartes cpx – ASIp sante</w:t>
        </w:r>
        <w:r w:rsidR="005622E1">
          <w:rPr>
            <w:noProof/>
            <w:webHidden/>
          </w:rPr>
          <w:tab/>
        </w:r>
        <w:r w:rsidR="005622E1">
          <w:rPr>
            <w:noProof/>
            <w:webHidden/>
          </w:rPr>
          <w:fldChar w:fldCharType="begin"/>
        </w:r>
        <w:r w:rsidR="005622E1">
          <w:rPr>
            <w:noProof/>
            <w:webHidden/>
          </w:rPr>
          <w:instrText xml:space="preserve"> PAGEREF _Toc175128600 \h </w:instrText>
        </w:r>
        <w:r w:rsidR="005622E1">
          <w:rPr>
            <w:noProof/>
            <w:webHidden/>
          </w:rPr>
        </w:r>
        <w:r w:rsidR="005622E1">
          <w:rPr>
            <w:noProof/>
            <w:webHidden/>
          </w:rPr>
          <w:fldChar w:fldCharType="separate"/>
        </w:r>
        <w:r w:rsidR="005B0EB7">
          <w:rPr>
            <w:noProof/>
            <w:webHidden/>
          </w:rPr>
          <w:t>35</w:t>
        </w:r>
        <w:r w:rsidR="005622E1">
          <w:rPr>
            <w:noProof/>
            <w:webHidden/>
          </w:rPr>
          <w:fldChar w:fldCharType="end"/>
        </w:r>
      </w:hyperlink>
    </w:p>
    <w:p w14:paraId="4F4F0237" w14:textId="68A50720" w:rsidR="005622E1" w:rsidRDefault="00A279F4">
      <w:pPr>
        <w:pStyle w:val="TM1"/>
        <w:tabs>
          <w:tab w:val="right" w:leader="dot" w:pos="9061"/>
        </w:tabs>
        <w:rPr>
          <w:rFonts w:asciiTheme="minorHAnsi" w:eastAsiaTheme="minorEastAsia" w:hAnsiTheme="minorHAnsi" w:cstheme="minorBidi"/>
          <w:noProof/>
        </w:rPr>
      </w:pPr>
      <w:hyperlink w:anchor="_Toc175128601" w:history="1">
        <w:r w:rsidR="005622E1" w:rsidRPr="00740200">
          <w:rPr>
            <w:rStyle w:val="Lienhypertexte"/>
            <w:rFonts w:eastAsia="Arial Unicode MS"/>
            <w:caps/>
            <w:noProof/>
            <w:spacing w:val="20"/>
          </w:rPr>
          <w:t>Annexe 4 : Règles de sécurité du système d’informaton applicables aux titulaires de marchés de l’Assistance Publique – Hôpitaux de Paris</w:t>
        </w:r>
        <w:r w:rsidR="005622E1">
          <w:rPr>
            <w:noProof/>
            <w:webHidden/>
          </w:rPr>
          <w:tab/>
        </w:r>
        <w:r w:rsidR="005622E1">
          <w:rPr>
            <w:noProof/>
            <w:webHidden/>
          </w:rPr>
          <w:fldChar w:fldCharType="begin"/>
        </w:r>
        <w:r w:rsidR="005622E1">
          <w:rPr>
            <w:noProof/>
            <w:webHidden/>
          </w:rPr>
          <w:instrText xml:space="preserve"> PAGEREF _Toc175128601 \h </w:instrText>
        </w:r>
        <w:r w:rsidR="005622E1">
          <w:rPr>
            <w:noProof/>
            <w:webHidden/>
          </w:rPr>
        </w:r>
        <w:r w:rsidR="005622E1">
          <w:rPr>
            <w:noProof/>
            <w:webHidden/>
          </w:rPr>
          <w:fldChar w:fldCharType="separate"/>
        </w:r>
        <w:r w:rsidR="005B0EB7">
          <w:rPr>
            <w:noProof/>
            <w:webHidden/>
          </w:rPr>
          <w:t>36</w:t>
        </w:r>
        <w:r w:rsidR="005622E1">
          <w:rPr>
            <w:noProof/>
            <w:webHidden/>
          </w:rPr>
          <w:fldChar w:fldCharType="end"/>
        </w:r>
      </w:hyperlink>
    </w:p>
    <w:p w14:paraId="2514E980" w14:textId="4A9A562F" w:rsidR="005622E1" w:rsidRDefault="00A279F4">
      <w:pPr>
        <w:pStyle w:val="TM1"/>
        <w:tabs>
          <w:tab w:val="right" w:leader="dot" w:pos="9061"/>
        </w:tabs>
        <w:rPr>
          <w:rFonts w:asciiTheme="minorHAnsi" w:eastAsiaTheme="minorEastAsia" w:hAnsiTheme="minorHAnsi" w:cstheme="minorBidi"/>
          <w:noProof/>
        </w:rPr>
      </w:pPr>
      <w:hyperlink w:anchor="_Toc175128602" w:history="1">
        <w:r w:rsidR="005622E1" w:rsidRPr="00740200">
          <w:rPr>
            <w:rStyle w:val="Lienhypertexte"/>
            <w:rFonts w:eastAsia="Arial Unicode MS"/>
            <w:caps/>
            <w:noProof/>
            <w:spacing w:val="20"/>
          </w:rPr>
          <w:t>Annexe 5 : Cadre de cohérence technique de l’Assistance Oublique – Hôpitaux de Paris</w:t>
        </w:r>
        <w:r w:rsidR="005622E1">
          <w:rPr>
            <w:noProof/>
            <w:webHidden/>
          </w:rPr>
          <w:tab/>
        </w:r>
        <w:r w:rsidR="005622E1">
          <w:rPr>
            <w:noProof/>
            <w:webHidden/>
          </w:rPr>
          <w:fldChar w:fldCharType="begin"/>
        </w:r>
        <w:r w:rsidR="005622E1">
          <w:rPr>
            <w:noProof/>
            <w:webHidden/>
          </w:rPr>
          <w:instrText xml:space="preserve"> PAGEREF _Toc175128602 \h </w:instrText>
        </w:r>
        <w:r w:rsidR="005622E1">
          <w:rPr>
            <w:noProof/>
            <w:webHidden/>
          </w:rPr>
        </w:r>
        <w:r w:rsidR="005622E1">
          <w:rPr>
            <w:noProof/>
            <w:webHidden/>
          </w:rPr>
          <w:fldChar w:fldCharType="separate"/>
        </w:r>
        <w:r w:rsidR="005B0EB7">
          <w:rPr>
            <w:noProof/>
            <w:webHidden/>
          </w:rPr>
          <w:t>37</w:t>
        </w:r>
        <w:r w:rsidR="005622E1">
          <w:rPr>
            <w:noProof/>
            <w:webHidden/>
          </w:rPr>
          <w:fldChar w:fldCharType="end"/>
        </w:r>
      </w:hyperlink>
    </w:p>
    <w:p w14:paraId="2E4E8E18" w14:textId="468F9935" w:rsidR="005622E1" w:rsidRDefault="00A279F4">
      <w:pPr>
        <w:pStyle w:val="TM1"/>
        <w:tabs>
          <w:tab w:val="right" w:leader="dot" w:pos="9061"/>
        </w:tabs>
        <w:rPr>
          <w:rFonts w:asciiTheme="minorHAnsi" w:eastAsiaTheme="minorEastAsia" w:hAnsiTheme="minorHAnsi" w:cstheme="minorBidi"/>
          <w:noProof/>
        </w:rPr>
      </w:pPr>
      <w:hyperlink w:anchor="_Toc175128603" w:history="1">
        <w:r w:rsidR="005622E1" w:rsidRPr="00740200">
          <w:rPr>
            <w:rStyle w:val="Lienhypertexte"/>
            <w:rFonts w:eastAsia="Arial Unicode MS"/>
            <w:caps/>
            <w:noProof/>
            <w:spacing w:val="20"/>
          </w:rPr>
          <w:t>Annexe 6 : politique générale de securité du système d’information de l’Assistance Publique – Hôpitaux de Paris</w:t>
        </w:r>
        <w:r w:rsidR="005622E1">
          <w:rPr>
            <w:noProof/>
            <w:webHidden/>
          </w:rPr>
          <w:tab/>
        </w:r>
        <w:r w:rsidR="005622E1">
          <w:rPr>
            <w:noProof/>
            <w:webHidden/>
          </w:rPr>
          <w:fldChar w:fldCharType="begin"/>
        </w:r>
        <w:r w:rsidR="005622E1">
          <w:rPr>
            <w:noProof/>
            <w:webHidden/>
          </w:rPr>
          <w:instrText xml:space="preserve"> PAGEREF _Toc175128603 \h </w:instrText>
        </w:r>
        <w:r w:rsidR="005622E1">
          <w:rPr>
            <w:noProof/>
            <w:webHidden/>
          </w:rPr>
          <w:fldChar w:fldCharType="separate"/>
        </w:r>
        <w:r w:rsidR="005B0EB7">
          <w:rPr>
            <w:b/>
            <w:bCs/>
            <w:noProof/>
            <w:webHidden/>
          </w:rPr>
          <w:t>Erreur ! Signet non défini.</w:t>
        </w:r>
        <w:r w:rsidR="005622E1">
          <w:rPr>
            <w:noProof/>
            <w:webHidden/>
          </w:rPr>
          <w:fldChar w:fldCharType="end"/>
        </w:r>
      </w:hyperlink>
    </w:p>
    <w:p w14:paraId="57E7579B" w14:textId="1A169E9F" w:rsidR="003819A1" w:rsidRPr="00406BB2" w:rsidRDefault="00D607D7" w:rsidP="00172421">
      <w:pPr>
        <w:tabs>
          <w:tab w:val="left" w:pos="0"/>
        </w:tabs>
        <w:rPr>
          <w:highlight w:val="green"/>
        </w:rPr>
      </w:pPr>
      <w:r w:rsidRPr="00406BB2">
        <w:rPr>
          <w:b/>
          <w:bCs/>
          <w:highlight w:val="green"/>
        </w:rPr>
        <w:fldChar w:fldCharType="end"/>
      </w:r>
      <w:bookmarkStart w:id="0" w:name="_Toc128193584"/>
      <w:bookmarkStart w:id="1" w:name="_Toc130915585"/>
      <w:bookmarkStart w:id="2" w:name="_Toc130915639"/>
    </w:p>
    <w:p w14:paraId="4126F894" w14:textId="77777777" w:rsidR="006E2EB6" w:rsidRPr="00406BB2" w:rsidRDefault="00EB44D2" w:rsidP="007602C8">
      <w:pPr>
        <w:pStyle w:val="Titre1"/>
        <w:tabs>
          <w:tab w:val="left" w:pos="0"/>
        </w:tabs>
      </w:pPr>
      <w:bookmarkStart w:id="3" w:name="_Toc175128583"/>
      <w:r w:rsidRPr="00406BB2">
        <w:lastRenderedPageBreak/>
        <w:t>GLOSSAIRE</w:t>
      </w:r>
      <w:bookmarkEnd w:id="3"/>
    </w:p>
    <w:tbl>
      <w:tblPr>
        <w:tblStyle w:val="Grilledetableauclaire"/>
        <w:tblW w:w="9760" w:type="dxa"/>
        <w:jc w:val="center"/>
        <w:tblLook w:val="04A0" w:firstRow="1" w:lastRow="0" w:firstColumn="1" w:lastColumn="0" w:noHBand="0" w:noVBand="1"/>
      </w:tblPr>
      <w:tblGrid>
        <w:gridCol w:w="2405"/>
        <w:gridCol w:w="7355"/>
      </w:tblGrid>
      <w:tr w:rsidR="00A439CE" w:rsidRPr="00406BB2" w14:paraId="5A2CD016" w14:textId="77777777" w:rsidTr="00B3264B">
        <w:trPr>
          <w:trHeight w:val="398"/>
          <w:jc w:val="center"/>
        </w:trPr>
        <w:tc>
          <w:tcPr>
            <w:tcW w:w="2405" w:type="dxa"/>
            <w:shd w:val="clear" w:color="auto" w:fill="E7E6E6" w:themeFill="background2"/>
            <w:vAlign w:val="center"/>
          </w:tcPr>
          <w:p w14:paraId="0F1B1917" w14:textId="77777777" w:rsidR="00A439CE" w:rsidRPr="00406BB2" w:rsidRDefault="00A439CE" w:rsidP="00B3264B">
            <w:pPr>
              <w:tabs>
                <w:tab w:val="left" w:pos="0"/>
              </w:tabs>
              <w:spacing w:after="0" w:line="240" w:lineRule="auto"/>
              <w:jc w:val="center"/>
              <w:rPr>
                <w:b/>
                <w:sz w:val="32"/>
                <w:szCs w:val="32"/>
              </w:rPr>
            </w:pPr>
            <w:r w:rsidRPr="00406BB2">
              <w:rPr>
                <w:b/>
                <w:sz w:val="32"/>
                <w:szCs w:val="32"/>
              </w:rPr>
              <w:t>Expression</w:t>
            </w:r>
          </w:p>
        </w:tc>
        <w:tc>
          <w:tcPr>
            <w:tcW w:w="7355" w:type="dxa"/>
            <w:shd w:val="clear" w:color="auto" w:fill="E7E6E6" w:themeFill="background2"/>
            <w:vAlign w:val="center"/>
          </w:tcPr>
          <w:p w14:paraId="1D9E3A3C" w14:textId="77777777" w:rsidR="00A439CE" w:rsidRPr="00406BB2" w:rsidRDefault="00A439CE" w:rsidP="00B3264B">
            <w:pPr>
              <w:tabs>
                <w:tab w:val="left" w:pos="0"/>
              </w:tabs>
              <w:spacing w:after="0" w:line="240" w:lineRule="auto"/>
              <w:ind w:firstLine="360"/>
              <w:jc w:val="center"/>
              <w:rPr>
                <w:b/>
                <w:sz w:val="32"/>
                <w:szCs w:val="32"/>
              </w:rPr>
            </w:pPr>
            <w:r w:rsidRPr="00406BB2">
              <w:rPr>
                <w:b/>
                <w:sz w:val="32"/>
                <w:szCs w:val="32"/>
              </w:rPr>
              <w:t>Définition</w:t>
            </w:r>
          </w:p>
        </w:tc>
      </w:tr>
      <w:tr w:rsidR="00A439CE" w:rsidRPr="00406BB2" w14:paraId="00474EA5" w14:textId="77777777" w:rsidTr="00B3264B">
        <w:trPr>
          <w:trHeight w:val="1023"/>
          <w:jc w:val="center"/>
        </w:trPr>
        <w:tc>
          <w:tcPr>
            <w:tcW w:w="2405" w:type="dxa"/>
            <w:vAlign w:val="center"/>
          </w:tcPr>
          <w:p w14:paraId="0437AFFE" w14:textId="77777777" w:rsidR="00A439CE" w:rsidRPr="00406BB2" w:rsidRDefault="00A439CE" w:rsidP="00B3264B">
            <w:pPr>
              <w:tabs>
                <w:tab w:val="left" w:pos="0"/>
              </w:tabs>
              <w:spacing w:after="0"/>
            </w:pPr>
            <w:r w:rsidRPr="00406BB2">
              <w:t>Accessoire facultatif</w:t>
            </w:r>
          </w:p>
        </w:tc>
        <w:tc>
          <w:tcPr>
            <w:tcW w:w="7355" w:type="dxa"/>
            <w:vAlign w:val="center"/>
          </w:tcPr>
          <w:p w14:paraId="67674823" w14:textId="77777777" w:rsidR="00A439CE" w:rsidRPr="005D5B39" w:rsidRDefault="00A439CE" w:rsidP="00B3264B">
            <w:pPr>
              <w:tabs>
                <w:tab w:val="left" w:pos="0"/>
              </w:tabs>
              <w:spacing w:after="0"/>
              <w:rPr>
                <w:sz w:val="20"/>
                <w:szCs w:val="20"/>
              </w:rPr>
            </w:pPr>
            <w:r w:rsidRPr="005D5B39">
              <w:rPr>
                <w:sz w:val="20"/>
                <w:szCs w:val="20"/>
              </w:rPr>
              <w:t>Accessoire pour lequel une offre de prix unitaire peut être faite et figurer à l’acte d’engagement de manière individuelle. Dans le cas où un accessoire facultatif est inclus dans l’équipement de base en raison d’un montage en série, ceci n’apporte aucun point supplémentaire au niveau de la cotation de l’offre</w:t>
            </w:r>
          </w:p>
        </w:tc>
      </w:tr>
      <w:tr w:rsidR="00A439CE" w:rsidRPr="00406BB2" w14:paraId="4B1562E1" w14:textId="77777777" w:rsidTr="00B3264B">
        <w:trPr>
          <w:trHeight w:val="20"/>
          <w:jc w:val="center"/>
        </w:trPr>
        <w:tc>
          <w:tcPr>
            <w:tcW w:w="2405" w:type="dxa"/>
            <w:vAlign w:val="center"/>
          </w:tcPr>
          <w:p w14:paraId="4AA0C0F2" w14:textId="77777777" w:rsidR="00A439CE" w:rsidRPr="00406BB2" w:rsidRDefault="00A439CE" w:rsidP="00B3264B">
            <w:pPr>
              <w:tabs>
                <w:tab w:val="left" w:pos="0"/>
              </w:tabs>
              <w:spacing w:after="0"/>
            </w:pPr>
            <w:r w:rsidRPr="00406BB2">
              <w:t>ANSSI</w:t>
            </w:r>
          </w:p>
        </w:tc>
        <w:tc>
          <w:tcPr>
            <w:tcW w:w="7355" w:type="dxa"/>
            <w:vAlign w:val="center"/>
          </w:tcPr>
          <w:p w14:paraId="1416D5D1" w14:textId="77777777" w:rsidR="00A439CE" w:rsidRPr="005D5B39" w:rsidRDefault="00A439CE" w:rsidP="00B3264B">
            <w:pPr>
              <w:tabs>
                <w:tab w:val="left" w:pos="0"/>
              </w:tabs>
              <w:spacing w:after="0"/>
              <w:rPr>
                <w:sz w:val="20"/>
                <w:szCs w:val="20"/>
              </w:rPr>
            </w:pPr>
            <w:r w:rsidRPr="005D5B39">
              <w:rPr>
                <w:sz w:val="20"/>
                <w:szCs w:val="20"/>
              </w:rPr>
              <w:t>Agence Nationale de Sécurité des Systèmes d’Information</w:t>
            </w:r>
          </w:p>
        </w:tc>
      </w:tr>
      <w:tr w:rsidR="00A439CE" w:rsidRPr="00406BB2" w14:paraId="1CFD42D4" w14:textId="77777777" w:rsidTr="00B3264B">
        <w:trPr>
          <w:trHeight w:val="755"/>
          <w:jc w:val="center"/>
        </w:trPr>
        <w:tc>
          <w:tcPr>
            <w:tcW w:w="2405" w:type="dxa"/>
            <w:vAlign w:val="center"/>
          </w:tcPr>
          <w:p w14:paraId="0E7F352C" w14:textId="77777777" w:rsidR="00A439CE" w:rsidRPr="00406BB2" w:rsidRDefault="00A439CE" w:rsidP="00B3264B">
            <w:pPr>
              <w:tabs>
                <w:tab w:val="left" w:pos="0"/>
              </w:tabs>
              <w:spacing w:after="0" w:line="240" w:lineRule="auto"/>
            </w:pPr>
            <w:r w:rsidRPr="00406BB2">
              <w:t>Anti PASS BACK</w:t>
            </w:r>
          </w:p>
        </w:tc>
        <w:tc>
          <w:tcPr>
            <w:tcW w:w="7355" w:type="dxa"/>
            <w:vAlign w:val="center"/>
          </w:tcPr>
          <w:p w14:paraId="41278DE2" w14:textId="77777777" w:rsidR="00A439CE" w:rsidRPr="005D5B39" w:rsidRDefault="00A439CE" w:rsidP="00B3264B">
            <w:pPr>
              <w:tabs>
                <w:tab w:val="left" w:pos="0"/>
              </w:tabs>
              <w:spacing w:after="0" w:line="240" w:lineRule="auto"/>
              <w:jc w:val="both"/>
              <w:rPr>
                <w:sz w:val="20"/>
                <w:szCs w:val="20"/>
              </w:rPr>
            </w:pPr>
            <w:r w:rsidRPr="005D5B39">
              <w:rPr>
                <w:sz w:val="20"/>
                <w:szCs w:val="20"/>
              </w:rPr>
              <w:t xml:space="preserve">L’anti </w:t>
            </w:r>
            <w:proofErr w:type="spellStart"/>
            <w:r w:rsidRPr="005D5B39">
              <w:rPr>
                <w:sz w:val="20"/>
                <w:szCs w:val="20"/>
              </w:rPr>
              <w:t>pass</w:t>
            </w:r>
            <w:proofErr w:type="spellEnd"/>
            <w:r w:rsidRPr="005D5B39">
              <w:rPr>
                <w:sz w:val="20"/>
                <w:szCs w:val="20"/>
              </w:rPr>
              <w:t>-back est employé pour empêcher l’utilisation par plusieurs personnes d’un même badge.</w:t>
            </w:r>
          </w:p>
          <w:p w14:paraId="257AFA15" w14:textId="77777777" w:rsidR="00A439CE" w:rsidRPr="005D5B39" w:rsidRDefault="00A439CE" w:rsidP="00B3264B">
            <w:pPr>
              <w:tabs>
                <w:tab w:val="left" w:pos="0"/>
              </w:tabs>
              <w:spacing w:after="0" w:line="240" w:lineRule="auto"/>
              <w:jc w:val="both"/>
              <w:rPr>
                <w:sz w:val="20"/>
                <w:szCs w:val="20"/>
              </w:rPr>
            </w:pPr>
            <w:r w:rsidRPr="005D5B39">
              <w:rPr>
                <w:sz w:val="20"/>
                <w:szCs w:val="20"/>
              </w:rPr>
              <w:t xml:space="preserve">Il y a deux sortes d’anti </w:t>
            </w:r>
            <w:proofErr w:type="spellStart"/>
            <w:r w:rsidRPr="005D5B39">
              <w:rPr>
                <w:sz w:val="20"/>
                <w:szCs w:val="20"/>
              </w:rPr>
              <w:t>pass</w:t>
            </w:r>
            <w:proofErr w:type="spellEnd"/>
            <w:r w:rsidRPr="005D5B39">
              <w:rPr>
                <w:sz w:val="20"/>
                <w:szCs w:val="20"/>
              </w:rPr>
              <w:t xml:space="preserve">-back : REEL et TEMPORISE. Selon le type d’installation </w:t>
            </w:r>
          </w:p>
          <w:p w14:paraId="79D8CF71" w14:textId="77777777" w:rsidR="00A439CE" w:rsidRPr="005D5B39" w:rsidRDefault="00A439CE" w:rsidP="00B3264B">
            <w:pPr>
              <w:tabs>
                <w:tab w:val="left" w:pos="0"/>
              </w:tabs>
              <w:spacing w:after="0" w:line="240" w:lineRule="auto"/>
              <w:jc w:val="both"/>
              <w:rPr>
                <w:sz w:val="20"/>
                <w:szCs w:val="20"/>
              </w:rPr>
            </w:pPr>
            <w:r w:rsidRPr="005D5B39">
              <w:rPr>
                <w:sz w:val="20"/>
                <w:szCs w:val="20"/>
              </w:rPr>
              <w:t xml:space="preserve">1 seule porte à 2 lecteurs (1 en entrée et 1 en sortie) est toujours en anti </w:t>
            </w:r>
            <w:proofErr w:type="spellStart"/>
            <w:r w:rsidRPr="005D5B39">
              <w:rPr>
                <w:sz w:val="20"/>
                <w:szCs w:val="20"/>
              </w:rPr>
              <w:t>pass</w:t>
            </w:r>
            <w:proofErr w:type="spellEnd"/>
            <w:r w:rsidRPr="005D5B39">
              <w:rPr>
                <w:sz w:val="20"/>
                <w:szCs w:val="20"/>
              </w:rPr>
              <w:t>-back REEL c'est-à-dire qu’un badge doit passer par le lecteur d’entrée avant d’être accepté par le lecteur de sortie et vice versa.</w:t>
            </w:r>
          </w:p>
          <w:p w14:paraId="0D9B1DC3" w14:textId="77777777" w:rsidR="00A439CE" w:rsidRPr="005D5B39" w:rsidRDefault="00A439CE" w:rsidP="00B3264B">
            <w:pPr>
              <w:tabs>
                <w:tab w:val="left" w:pos="0"/>
              </w:tabs>
              <w:spacing w:after="0" w:line="240" w:lineRule="auto"/>
              <w:jc w:val="both"/>
              <w:rPr>
                <w:sz w:val="20"/>
                <w:szCs w:val="20"/>
              </w:rPr>
            </w:pPr>
          </w:p>
          <w:p w14:paraId="12D1711F" w14:textId="77777777" w:rsidR="00A439CE" w:rsidRPr="005D5B39" w:rsidRDefault="00A439CE" w:rsidP="00B3264B">
            <w:pPr>
              <w:tabs>
                <w:tab w:val="left" w:pos="0"/>
              </w:tabs>
              <w:spacing w:after="0" w:line="240" w:lineRule="auto"/>
              <w:jc w:val="both"/>
              <w:rPr>
                <w:sz w:val="20"/>
                <w:szCs w:val="20"/>
              </w:rPr>
            </w:pPr>
            <w:r w:rsidRPr="005D5B39">
              <w:rPr>
                <w:sz w:val="20"/>
                <w:szCs w:val="20"/>
              </w:rPr>
              <w:t xml:space="preserve">1 porte à 1 lecteur est toujours en anti </w:t>
            </w:r>
            <w:proofErr w:type="spellStart"/>
            <w:r w:rsidRPr="005D5B39">
              <w:rPr>
                <w:sz w:val="20"/>
                <w:szCs w:val="20"/>
              </w:rPr>
              <w:t>pass</w:t>
            </w:r>
            <w:proofErr w:type="spellEnd"/>
            <w:r w:rsidRPr="005D5B39">
              <w:rPr>
                <w:sz w:val="20"/>
                <w:szCs w:val="20"/>
              </w:rPr>
              <w:t>-back TEMPORISE. Les badges ne peuvent pas être utilisés deux fois dans un intervalle de temps programmable.</w:t>
            </w:r>
          </w:p>
          <w:p w14:paraId="07ED7D58" w14:textId="77777777" w:rsidR="00A439CE" w:rsidRPr="005D5B39" w:rsidRDefault="00A439CE" w:rsidP="00B3264B">
            <w:pPr>
              <w:tabs>
                <w:tab w:val="left" w:pos="0"/>
              </w:tabs>
              <w:spacing w:after="0" w:line="240" w:lineRule="auto"/>
              <w:jc w:val="both"/>
              <w:rPr>
                <w:sz w:val="20"/>
                <w:szCs w:val="20"/>
              </w:rPr>
            </w:pPr>
          </w:p>
          <w:p w14:paraId="3CEE4C98" w14:textId="77777777" w:rsidR="00A439CE" w:rsidRPr="005D5B39" w:rsidRDefault="00A439CE" w:rsidP="00B3264B">
            <w:pPr>
              <w:tabs>
                <w:tab w:val="left" w:pos="0"/>
              </w:tabs>
              <w:spacing w:after="0" w:line="240" w:lineRule="auto"/>
              <w:jc w:val="both"/>
              <w:rPr>
                <w:sz w:val="20"/>
                <w:szCs w:val="20"/>
              </w:rPr>
            </w:pPr>
            <w:r w:rsidRPr="005D5B39">
              <w:rPr>
                <w:sz w:val="20"/>
                <w:szCs w:val="20"/>
              </w:rPr>
              <w:t xml:space="preserve">2 portes et 1 lecteur par porte peuvent être soit en anti </w:t>
            </w:r>
            <w:proofErr w:type="spellStart"/>
            <w:r w:rsidRPr="005D5B39">
              <w:rPr>
                <w:sz w:val="20"/>
                <w:szCs w:val="20"/>
              </w:rPr>
              <w:t>pass</w:t>
            </w:r>
            <w:proofErr w:type="spellEnd"/>
            <w:r w:rsidRPr="005D5B39">
              <w:rPr>
                <w:sz w:val="20"/>
                <w:szCs w:val="20"/>
              </w:rPr>
              <w:t xml:space="preserve">-back REEL ou TEMPORISE. En anti </w:t>
            </w:r>
            <w:proofErr w:type="spellStart"/>
            <w:r w:rsidRPr="005D5B39">
              <w:rPr>
                <w:sz w:val="20"/>
                <w:szCs w:val="20"/>
              </w:rPr>
              <w:t>pass</w:t>
            </w:r>
            <w:proofErr w:type="spellEnd"/>
            <w:r w:rsidRPr="005D5B39">
              <w:rPr>
                <w:sz w:val="20"/>
                <w:szCs w:val="20"/>
              </w:rPr>
              <w:t xml:space="preserve">-back REEL, il faut que les deux portes soient programmées en « ASSOCIEES », dans ce cas, les badges doivent être utilisés d’abord sur la 1ère porte et ensuite sur la 2ème.  En anti </w:t>
            </w:r>
            <w:proofErr w:type="spellStart"/>
            <w:r w:rsidRPr="005D5B39">
              <w:rPr>
                <w:sz w:val="20"/>
                <w:szCs w:val="20"/>
              </w:rPr>
              <w:t>pass</w:t>
            </w:r>
            <w:proofErr w:type="spellEnd"/>
            <w:r w:rsidRPr="005D5B39">
              <w:rPr>
                <w:sz w:val="20"/>
                <w:szCs w:val="20"/>
              </w:rPr>
              <w:t>-back TEMPORISE, le fonctionnement est le même que le précédent.</w:t>
            </w:r>
          </w:p>
        </w:tc>
      </w:tr>
      <w:tr w:rsidR="00A439CE" w:rsidRPr="00406BB2" w14:paraId="44244482" w14:textId="77777777" w:rsidTr="00B3264B">
        <w:trPr>
          <w:trHeight w:val="20"/>
          <w:jc w:val="center"/>
        </w:trPr>
        <w:tc>
          <w:tcPr>
            <w:tcW w:w="2405" w:type="dxa"/>
            <w:vAlign w:val="center"/>
          </w:tcPr>
          <w:p w14:paraId="3AF9902A" w14:textId="77777777" w:rsidR="00A439CE" w:rsidRPr="00406BB2" w:rsidRDefault="00A439CE" w:rsidP="00B3264B">
            <w:pPr>
              <w:tabs>
                <w:tab w:val="left" w:pos="0"/>
              </w:tabs>
              <w:spacing w:after="0" w:line="240" w:lineRule="auto"/>
            </w:pPr>
            <w:r w:rsidRPr="00406BB2">
              <w:t>ASIP Santé</w:t>
            </w:r>
          </w:p>
        </w:tc>
        <w:tc>
          <w:tcPr>
            <w:tcW w:w="7355" w:type="dxa"/>
            <w:vAlign w:val="center"/>
          </w:tcPr>
          <w:p w14:paraId="131C6A3C" w14:textId="77777777" w:rsidR="00A439CE" w:rsidRPr="005D5B39" w:rsidRDefault="00A439CE" w:rsidP="00B3264B">
            <w:pPr>
              <w:tabs>
                <w:tab w:val="left" w:pos="0"/>
              </w:tabs>
              <w:spacing w:after="0" w:line="240" w:lineRule="auto"/>
              <w:jc w:val="both"/>
              <w:rPr>
                <w:sz w:val="20"/>
                <w:szCs w:val="20"/>
              </w:rPr>
            </w:pPr>
            <w:r w:rsidRPr="005D5B39">
              <w:rPr>
                <w:sz w:val="20"/>
                <w:szCs w:val="20"/>
              </w:rPr>
              <w:t>Agence des Systèmes d’Information Partagés de Santé</w:t>
            </w:r>
          </w:p>
        </w:tc>
      </w:tr>
      <w:tr w:rsidR="00A439CE" w:rsidRPr="00406BB2" w14:paraId="62C4D3B7" w14:textId="77777777" w:rsidTr="00B3264B">
        <w:trPr>
          <w:trHeight w:val="818"/>
          <w:jc w:val="center"/>
        </w:trPr>
        <w:tc>
          <w:tcPr>
            <w:tcW w:w="2405" w:type="dxa"/>
            <w:vAlign w:val="center"/>
          </w:tcPr>
          <w:p w14:paraId="3E64F85B" w14:textId="77777777" w:rsidR="00A439CE" w:rsidRPr="00406BB2" w:rsidRDefault="00A439CE" w:rsidP="00B3264B">
            <w:pPr>
              <w:tabs>
                <w:tab w:val="left" w:pos="0"/>
              </w:tabs>
              <w:spacing w:after="0" w:line="240" w:lineRule="auto"/>
            </w:pPr>
            <w:r w:rsidRPr="00406BB2">
              <w:t>Authentification du badge</w:t>
            </w:r>
          </w:p>
        </w:tc>
        <w:tc>
          <w:tcPr>
            <w:tcW w:w="7355" w:type="dxa"/>
            <w:vAlign w:val="center"/>
          </w:tcPr>
          <w:p w14:paraId="42989FB0" w14:textId="77777777" w:rsidR="00A439CE" w:rsidRPr="005D5B39" w:rsidRDefault="00A439CE" w:rsidP="00B3264B">
            <w:pPr>
              <w:tabs>
                <w:tab w:val="left" w:pos="0"/>
              </w:tabs>
              <w:spacing w:after="0" w:line="240" w:lineRule="auto"/>
              <w:jc w:val="both"/>
              <w:rPr>
                <w:sz w:val="20"/>
                <w:szCs w:val="20"/>
              </w:rPr>
            </w:pPr>
            <w:r w:rsidRPr="005D5B39">
              <w:rPr>
                <w:sz w:val="20"/>
                <w:szCs w:val="20"/>
              </w:rPr>
              <w:t xml:space="preserve">L'authentification du badge consiste à prouver qu’il est valide. </w:t>
            </w:r>
          </w:p>
          <w:p w14:paraId="7432FA9A" w14:textId="77777777" w:rsidR="00A439CE" w:rsidRPr="005D5B39" w:rsidRDefault="00A439CE" w:rsidP="00B3264B">
            <w:pPr>
              <w:tabs>
                <w:tab w:val="left" w:pos="0"/>
              </w:tabs>
              <w:spacing w:after="0" w:line="240" w:lineRule="auto"/>
              <w:jc w:val="both"/>
              <w:rPr>
                <w:sz w:val="20"/>
                <w:szCs w:val="20"/>
              </w:rPr>
            </w:pPr>
            <w:proofErr w:type="gramStart"/>
            <w:r w:rsidRPr="005D5B39">
              <w:rPr>
                <w:sz w:val="20"/>
                <w:szCs w:val="20"/>
              </w:rPr>
              <w:t>Pour  un</w:t>
            </w:r>
            <w:proofErr w:type="gramEnd"/>
            <w:r w:rsidRPr="005D5B39">
              <w:rPr>
                <w:sz w:val="20"/>
                <w:szCs w:val="20"/>
              </w:rPr>
              <w:t xml:space="preserve">  système  de  contrôle  d’accès  reposant  sur  des  technologies  sans contact, l’authentification du badge se fait le plus souvent par  un échange cryptographique permettant au badge de prouver qu’il détient des éléments secrets sans les révéler</w:t>
            </w:r>
          </w:p>
        </w:tc>
      </w:tr>
      <w:tr w:rsidR="00A439CE" w:rsidRPr="00406BB2" w14:paraId="5416C25A" w14:textId="77777777" w:rsidTr="00B3264B">
        <w:trPr>
          <w:trHeight w:val="818"/>
          <w:jc w:val="center"/>
        </w:trPr>
        <w:tc>
          <w:tcPr>
            <w:tcW w:w="2405" w:type="dxa"/>
            <w:vAlign w:val="center"/>
          </w:tcPr>
          <w:p w14:paraId="33FAF15E" w14:textId="77777777" w:rsidR="00A439CE" w:rsidRPr="00406BB2" w:rsidRDefault="00A439CE" w:rsidP="00B3264B">
            <w:pPr>
              <w:tabs>
                <w:tab w:val="left" w:pos="0"/>
              </w:tabs>
              <w:spacing w:after="0" w:line="240" w:lineRule="auto"/>
            </w:pPr>
            <w:proofErr w:type="spellStart"/>
            <w:r w:rsidRPr="00406BB2">
              <w:t>Auto-surveillance</w:t>
            </w:r>
            <w:proofErr w:type="spellEnd"/>
            <w:r w:rsidRPr="00406BB2">
              <w:t xml:space="preserve"> à l’ouverture ou à l’arrachement</w:t>
            </w:r>
          </w:p>
        </w:tc>
        <w:tc>
          <w:tcPr>
            <w:tcW w:w="7355" w:type="dxa"/>
            <w:vAlign w:val="center"/>
          </w:tcPr>
          <w:p w14:paraId="3D0A6D7A" w14:textId="77777777" w:rsidR="00A439CE" w:rsidRPr="005D5B39" w:rsidRDefault="00A439CE" w:rsidP="00B3264B">
            <w:pPr>
              <w:tabs>
                <w:tab w:val="left" w:pos="0"/>
              </w:tabs>
              <w:spacing w:after="0" w:line="240" w:lineRule="auto"/>
              <w:jc w:val="both"/>
              <w:rPr>
                <w:sz w:val="20"/>
                <w:szCs w:val="20"/>
              </w:rPr>
            </w:pPr>
            <w:r w:rsidRPr="005D5B39">
              <w:rPr>
                <w:sz w:val="20"/>
                <w:szCs w:val="20"/>
              </w:rPr>
              <w:t>Dispositif d’avertissement en cas d’ouverture frauduleuse (ou arrachement) d’un équipement de gestion de contrôle d’accès.</w:t>
            </w:r>
          </w:p>
        </w:tc>
      </w:tr>
      <w:tr w:rsidR="00A439CE" w:rsidRPr="00406BB2" w14:paraId="283FFEDE" w14:textId="77777777" w:rsidTr="00B3264B">
        <w:trPr>
          <w:trHeight w:val="325"/>
          <w:jc w:val="center"/>
        </w:trPr>
        <w:tc>
          <w:tcPr>
            <w:tcW w:w="2405" w:type="dxa"/>
            <w:vAlign w:val="center"/>
          </w:tcPr>
          <w:p w14:paraId="082AD928" w14:textId="77777777" w:rsidR="00A439CE" w:rsidRPr="00406BB2" w:rsidRDefault="00A439CE" w:rsidP="00B3264B">
            <w:pPr>
              <w:tabs>
                <w:tab w:val="left" w:pos="0"/>
              </w:tabs>
              <w:spacing w:after="0"/>
            </w:pPr>
            <w:r w:rsidRPr="00406BB2">
              <w:t>BPU</w:t>
            </w:r>
          </w:p>
        </w:tc>
        <w:tc>
          <w:tcPr>
            <w:tcW w:w="7355" w:type="dxa"/>
            <w:vAlign w:val="center"/>
          </w:tcPr>
          <w:p w14:paraId="6ED97A91" w14:textId="77777777" w:rsidR="00A439CE" w:rsidRPr="005D5B39" w:rsidRDefault="00A439CE" w:rsidP="00B3264B">
            <w:pPr>
              <w:tabs>
                <w:tab w:val="left" w:pos="0"/>
              </w:tabs>
              <w:spacing w:after="0"/>
              <w:rPr>
                <w:sz w:val="20"/>
                <w:szCs w:val="20"/>
              </w:rPr>
            </w:pPr>
            <w:r w:rsidRPr="005D5B39">
              <w:rPr>
                <w:sz w:val="20"/>
                <w:szCs w:val="20"/>
              </w:rPr>
              <w:t>Bordereau de Prix Unitaires</w:t>
            </w:r>
          </w:p>
        </w:tc>
      </w:tr>
      <w:tr w:rsidR="00A439CE" w:rsidRPr="00406BB2" w14:paraId="6A31AE13" w14:textId="77777777" w:rsidTr="00B3264B">
        <w:trPr>
          <w:trHeight w:val="818"/>
          <w:jc w:val="center"/>
        </w:trPr>
        <w:tc>
          <w:tcPr>
            <w:tcW w:w="2405" w:type="dxa"/>
            <w:vAlign w:val="center"/>
          </w:tcPr>
          <w:p w14:paraId="3A215D98" w14:textId="77777777" w:rsidR="00A439CE" w:rsidRPr="00406BB2" w:rsidRDefault="00A439CE" w:rsidP="00B3264B">
            <w:pPr>
              <w:tabs>
                <w:tab w:val="left" w:pos="0"/>
              </w:tabs>
              <w:spacing w:after="0" w:line="240" w:lineRule="auto"/>
            </w:pPr>
            <w:r w:rsidRPr="00406BB2">
              <w:t>Caractéristique biométrique</w:t>
            </w:r>
          </w:p>
        </w:tc>
        <w:tc>
          <w:tcPr>
            <w:tcW w:w="7355" w:type="dxa"/>
            <w:vAlign w:val="center"/>
          </w:tcPr>
          <w:p w14:paraId="2D106CFB" w14:textId="77777777" w:rsidR="00A439CE" w:rsidRPr="005D5B39" w:rsidRDefault="00A439CE" w:rsidP="00B3264B">
            <w:pPr>
              <w:tabs>
                <w:tab w:val="left" w:pos="0"/>
              </w:tabs>
              <w:spacing w:after="0" w:line="240" w:lineRule="auto"/>
              <w:jc w:val="both"/>
              <w:rPr>
                <w:sz w:val="20"/>
                <w:szCs w:val="20"/>
              </w:rPr>
            </w:pPr>
            <w:r w:rsidRPr="005D5B39">
              <w:rPr>
                <w:sz w:val="20"/>
                <w:szCs w:val="20"/>
              </w:rPr>
              <w:t>Information qui se réfère à des caractéristiques physiologiques uniques de l’utilisateur.</w:t>
            </w:r>
          </w:p>
        </w:tc>
      </w:tr>
      <w:tr w:rsidR="00A439CE" w:rsidRPr="00406BB2" w14:paraId="3947BD56" w14:textId="77777777" w:rsidTr="00B3264B">
        <w:trPr>
          <w:trHeight w:val="20"/>
          <w:jc w:val="center"/>
        </w:trPr>
        <w:tc>
          <w:tcPr>
            <w:tcW w:w="2405" w:type="dxa"/>
            <w:vAlign w:val="center"/>
          </w:tcPr>
          <w:p w14:paraId="0EF00764" w14:textId="77777777" w:rsidR="00A439CE" w:rsidRPr="00406BB2" w:rsidRDefault="00A439CE" w:rsidP="00B3264B">
            <w:pPr>
              <w:tabs>
                <w:tab w:val="left" w:pos="0"/>
              </w:tabs>
              <w:spacing w:after="0" w:line="240" w:lineRule="auto"/>
            </w:pPr>
            <w:r w:rsidRPr="00406BB2">
              <w:t>CCTP</w:t>
            </w:r>
          </w:p>
        </w:tc>
        <w:tc>
          <w:tcPr>
            <w:tcW w:w="7355" w:type="dxa"/>
            <w:vAlign w:val="center"/>
          </w:tcPr>
          <w:p w14:paraId="29583DCD" w14:textId="77777777" w:rsidR="00A439CE" w:rsidRPr="005D5B39" w:rsidRDefault="00A439CE" w:rsidP="00B3264B">
            <w:pPr>
              <w:tabs>
                <w:tab w:val="left" w:pos="0"/>
              </w:tabs>
              <w:spacing w:after="0" w:line="240" w:lineRule="auto"/>
              <w:jc w:val="both"/>
              <w:rPr>
                <w:sz w:val="20"/>
                <w:szCs w:val="20"/>
              </w:rPr>
            </w:pPr>
            <w:r w:rsidRPr="005D5B39">
              <w:rPr>
                <w:sz w:val="20"/>
                <w:szCs w:val="20"/>
              </w:rPr>
              <w:t>Cahier des Charges Techniques Particulières</w:t>
            </w:r>
          </w:p>
        </w:tc>
      </w:tr>
      <w:tr w:rsidR="00A439CE" w:rsidRPr="00406BB2" w14:paraId="7AE6D9A2" w14:textId="77777777" w:rsidTr="00B3264B">
        <w:trPr>
          <w:trHeight w:val="20"/>
          <w:jc w:val="center"/>
        </w:trPr>
        <w:tc>
          <w:tcPr>
            <w:tcW w:w="2405" w:type="dxa"/>
            <w:vAlign w:val="center"/>
          </w:tcPr>
          <w:p w14:paraId="10375A3F" w14:textId="77777777" w:rsidR="00A439CE" w:rsidRPr="00406BB2" w:rsidRDefault="00A439CE" w:rsidP="00B3264B">
            <w:pPr>
              <w:tabs>
                <w:tab w:val="left" w:pos="0"/>
              </w:tabs>
              <w:spacing w:after="0" w:line="240" w:lineRule="auto"/>
            </w:pPr>
            <w:r w:rsidRPr="00406BB2">
              <w:t>Condition de défaut</w:t>
            </w:r>
          </w:p>
        </w:tc>
        <w:tc>
          <w:tcPr>
            <w:tcW w:w="7355" w:type="dxa"/>
            <w:vAlign w:val="center"/>
          </w:tcPr>
          <w:p w14:paraId="368DD9BC" w14:textId="77777777" w:rsidR="00A439CE" w:rsidRPr="005D5B39" w:rsidRDefault="00A439CE" w:rsidP="00B3264B">
            <w:pPr>
              <w:tabs>
                <w:tab w:val="left" w:pos="0"/>
              </w:tabs>
              <w:spacing w:after="0" w:line="240" w:lineRule="auto"/>
              <w:jc w:val="both"/>
              <w:rPr>
                <w:sz w:val="20"/>
                <w:szCs w:val="20"/>
              </w:rPr>
            </w:pPr>
            <w:r w:rsidRPr="005D5B39">
              <w:rPr>
                <w:sz w:val="20"/>
                <w:szCs w:val="20"/>
              </w:rPr>
              <w:t>Toute condition qui génère l’interruption ou la dégradation des fonctions d’un équipement de contrôle d’accès.</w:t>
            </w:r>
          </w:p>
        </w:tc>
      </w:tr>
      <w:tr w:rsidR="00A439CE" w:rsidRPr="00406BB2" w14:paraId="17CB56F9" w14:textId="77777777" w:rsidTr="00B3264B">
        <w:trPr>
          <w:trHeight w:val="20"/>
          <w:jc w:val="center"/>
        </w:trPr>
        <w:tc>
          <w:tcPr>
            <w:tcW w:w="2405" w:type="dxa"/>
            <w:vAlign w:val="center"/>
          </w:tcPr>
          <w:p w14:paraId="053821FA" w14:textId="77777777" w:rsidR="00A439CE" w:rsidRPr="00406BB2" w:rsidRDefault="00A439CE" w:rsidP="00B3264B">
            <w:pPr>
              <w:tabs>
                <w:tab w:val="left" w:pos="0"/>
              </w:tabs>
              <w:spacing w:after="0" w:line="240" w:lineRule="auto"/>
            </w:pPr>
            <w:r w:rsidRPr="00406BB2">
              <w:t>Condition normale</w:t>
            </w:r>
          </w:p>
        </w:tc>
        <w:tc>
          <w:tcPr>
            <w:tcW w:w="7355" w:type="dxa"/>
            <w:vAlign w:val="center"/>
          </w:tcPr>
          <w:p w14:paraId="557C2CB1" w14:textId="77777777" w:rsidR="00A439CE" w:rsidRPr="005D5B39" w:rsidRDefault="00A439CE" w:rsidP="00B3264B">
            <w:pPr>
              <w:tabs>
                <w:tab w:val="left" w:pos="0"/>
              </w:tabs>
              <w:spacing w:after="0" w:line="240" w:lineRule="auto"/>
              <w:jc w:val="both"/>
              <w:rPr>
                <w:sz w:val="20"/>
                <w:szCs w:val="20"/>
              </w:rPr>
            </w:pPr>
            <w:r w:rsidRPr="005D5B39">
              <w:rPr>
                <w:sz w:val="20"/>
                <w:szCs w:val="20"/>
              </w:rPr>
              <w:t>Etat dans lequel le système de contrôle d’accès est entièrement fonctionnel et est en mesure de traiter tous les événements dans le respect des règles établies</w:t>
            </w:r>
          </w:p>
        </w:tc>
      </w:tr>
      <w:tr w:rsidR="00A439CE" w:rsidRPr="00406BB2" w14:paraId="6B3C8A4F" w14:textId="77777777" w:rsidTr="00B3264B">
        <w:trPr>
          <w:trHeight w:val="20"/>
          <w:jc w:val="center"/>
        </w:trPr>
        <w:tc>
          <w:tcPr>
            <w:tcW w:w="2405" w:type="dxa"/>
            <w:vAlign w:val="center"/>
          </w:tcPr>
          <w:p w14:paraId="6ED44BAC" w14:textId="77777777" w:rsidR="00A439CE" w:rsidRPr="00406BB2" w:rsidRDefault="00A439CE" w:rsidP="00B3264B">
            <w:pPr>
              <w:tabs>
                <w:tab w:val="left" w:pos="0"/>
              </w:tabs>
              <w:spacing w:after="0" w:line="240" w:lineRule="auto"/>
            </w:pPr>
            <w:proofErr w:type="spellStart"/>
            <w:r w:rsidRPr="00406BB2">
              <w:t>CPx</w:t>
            </w:r>
            <w:proofErr w:type="spellEnd"/>
          </w:p>
        </w:tc>
        <w:tc>
          <w:tcPr>
            <w:tcW w:w="7355" w:type="dxa"/>
            <w:vAlign w:val="center"/>
          </w:tcPr>
          <w:p w14:paraId="6167EEAF" w14:textId="77777777" w:rsidR="00A439CE" w:rsidRPr="005D5B39" w:rsidRDefault="00A439CE" w:rsidP="00B3264B">
            <w:pPr>
              <w:tabs>
                <w:tab w:val="left" w:pos="0"/>
              </w:tabs>
              <w:spacing w:after="0" w:line="240" w:lineRule="auto"/>
              <w:jc w:val="both"/>
              <w:rPr>
                <w:sz w:val="20"/>
                <w:szCs w:val="20"/>
              </w:rPr>
            </w:pPr>
            <w:r w:rsidRPr="005D5B39">
              <w:rPr>
                <w:sz w:val="20"/>
                <w:szCs w:val="20"/>
              </w:rPr>
              <w:t xml:space="preserve">Famille de cartes à puce émises par l’ASIP Santé comprenant CDA, CDE, CPA, CPE, CPF et CPS. Les cartes </w:t>
            </w:r>
            <w:proofErr w:type="spellStart"/>
            <w:r w:rsidRPr="005D5B39">
              <w:rPr>
                <w:sz w:val="20"/>
                <w:szCs w:val="20"/>
              </w:rPr>
              <w:t>CPx</w:t>
            </w:r>
            <w:proofErr w:type="spellEnd"/>
            <w:r w:rsidRPr="005D5B39">
              <w:rPr>
                <w:sz w:val="20"/>
                <w:szCs w:val="20"/>
              </w:rPr>
              <w:t xml:space="preserve"> contiennent un volet IAS permettant de mettre en œuvre un niveau de sécurité renforcé (conformité à la norme européenne IAS-ECC) en mode contact et sans-contact, à la fois pour du contrôle d’accès logique et physique. Cette mise en œuvre s’inscrit dans un véritable projet d’intégration et fait appel à des lecteurs compatibles.</w:t>
            </w:r>
          </w:p>
        </w:tc>
      </w:tr>
      <w:tr w:rsidR="00A439CE" w:rsidRPr="00406BB2" w14:paraId="1BAE3CD9" w14:textId="77777777" w:rsidTr="00B3264B">
        <w:trPr>
          <w:trHeight w:val="755"/>
          <w:jc w:val="center"/>
        </w:trPr>
        <w:tc>
          <w:tcPr>
            <w:tcW w:w="2405" w:type="dxa"/>
            <w:vAlign w:val="center"/>
          </w:tcPr>
          <w:p w14:paraId="0C92F7A2" w14:textId="77777777" w:rsidR="00A439CE" w:rsidRPr="00406BB2" w:rsidRDefault="00A439CE" w:rsidP="00B3264B">
            <w:pPr>
              <w:tabs>
                <w:tab w:val="left" w:pos="0"/>
              </w:tabs>
              <w:spacing w:after="0" w:line="240" w:lineRule="auto"/>
            </w:pPr>
            <w:r w:rsidRPr="00406BB2">
              <w:t>CSPN</w:t>
            </w:r>
          </w:p>
        </w:tc>
        <w:tc>
          <w:tcPr>
            <w:tcW w:w="7355" w:type="dxa"/>
            <w:vAlign w:val="center"/>
          </w:tcPr>
          <w:p w14:paraId="7D32A9EF" w14:textId="77777777" w:rsidR="00A439CE" w:rsidRPr="005D5B39" w:rsidRDefault="00A439CE" w:rsidP="00B3264B">
            <w:pPr>
              <w:tabs>
                <w:tab w:val="left" w:pos="0"/>
              </w:tabs>
              <w:spacing w:after="0" w:line="240" w:lineRule="auto"/>
              <w:jc w:val="both"/>
              <w:rPr>
                <w:sz w:val="20"/>
                <w:szCs w:val="20"/>
              </w:rPr>
            </w:pPr>
            <w:r w:rsidRPr="005D5B39">
              <w:rPr>
                <w:sz w:val="20"/>
                <w:szCs w:val="20"/>
              </w:rPr>
              <w:t>La certification de sécurité de premier niveau des produits des technologies de l'information (CSPN), mise en place en 2008, est l'une des certifications délivrée</w:t>
            </w:r>
            <w:r w:rsidR="00EA5930" w:rsidRPr="005D5B39">
              <w:rPr>
                <w:sz w:val="20"/>
                <w:szCs w:val="20"/>
              </w:rPr>
              <w:t>s</w:t>
            </w:r>
            <w:r w:rsidRPr="005D5B39">
              <w:rPr>
                <w:sz w:val="20"/>
                <w:szCs w:val="20"/>
              </w:rPr>
              <w:t xml:space="preserve"> par l'Agence nationale de la sécurité des systèmes d'information. La certification CSPN permet d’attester que le produit (logiciel, système d'exploitation, </w:t>
            </w:r>
            <w:proofErr w:type="spellStart"/>
            <w:r w:rsidRPr="005D5B39">
              <w:rPr>
                <w:sz w:val="20"/>
                <w:szCs w:val="20"/>
              </w:rPr>
              <w:t>appliance</w:t>
            </w:r>
            <w:proofErr w:type="spellEnd"/>
            <w:r w:rsidRPr="005D5B39">
              <w:rPr>
                <w:sz w:val="20"/>
                <w:szCs w:val="20"/>
              </w:rPr>
              <w:t>, matériel...) a subi avec succès une évaluation de sécurité par un centre d’évaluation (CESTI) agréé par l’ANSSI.</w:t>
            </w:r>
          </w:p>
        </w:tc>
      </w:tr>
      <w:tr w:rsidR="00A439CE" w:rsidRPr="00406BB2" w14:paraId="5F3C17F8" w14:textId="77777777" w:rsidTr="00B3264B">
        <w:trPr>
          <w:trHeight w:val="20"/>
          <w:jc w:val="center"/>
        </w:trPr>
        <w:tc>
          <w:tcPr>
            <w:tcW w:w="2405" w:type="dxa"/>
            <w:vAlign w:val="center"/>
          </w:tcPr>
          <w:p w14:paraId="0661109A" w14:textId="77777777" w:rsidR="00A439CE" w:rsidRPr="00406BB2" w:rsidRDefault="00A439CE" w:rsidP="00B3264B">
            <w:pPr>
              <w:tabs>
                <w:tab w:val="left" w:pos="0"/>
              </w:tabs>
              <w:spacing w:after="0" w:line="240" w:lineRule="auto"/>
            </w:pPr>
            <w:r w:rsidRPr="00406BB2">
              <w:lastRenderedPageBreak/>
              <w:t>DSI</w:t>
            </w:r>
          </w:p>
        </w:tc>
        <w:tc>
          <w:tcPr>
            <w:tcW w:w="7355" w:type="dxa"/>
            <w:vAlign w:val="center"/>
          </w:tcPr>
          <w:p w14:paraId="54C68729" w14:textId="77777777" w:rsidR="00A439CE" w:rsidRPr="005D5B39" w:rsidRDefault="00A439CE" w:rsidP="00B3264B">
            <w:pPr>
              <w:tabs>
                <w:tab w:val="left" w:pos="0"/>
              </w:tabs>
              <w:spacing w:after="0" w:line="240" w:lineRule="auto"/>
              <w:jc w:val="both"/>
              <w:rPr>
                <w:sz w:val="20"/>
                <w:szCs w:val="20"/>
              </w:rPr>
            </w:pPr>
            <w:r w:rsidRPr="005D5B39">
              <w:rPr>
                <w:sz w:val="20"/>
                <w:szCs w:val="20"/>
              </w:rPr>
              <w:t>Direction des Systèmes d’Information</w:t>
            </w:r>
          </w:p>
        </w:tc>
      </w:tr>
      <w:tr w:rsidR="00A439CE" w:rsidRPr="00406BB2" w14:paraId="628BD2CC" w14:textId="77777777" w:rsidTr="00B3264B">
        <w:trPr>
          <w:trHeight w:val="20"/>
          <w:jc w:val="center"/>
        </w:trPr>
        <w:tc>
          <w:tcPr>
            <w:tcW w:w="2405" w:type="dxa"/>
            <w:vAlign w:val="center"/>
          </w:tcPr>
          <w:p w14:paraId="1F706A66" w14:textId="77777777" w:rsidR="00A439CE" w:rsidRPr="00406BB2" w:rsidRDefault="00A439CE" w:rsidP="00B3264B">
            <w:pPr>
              <w:tabs>
                <w:tab w:val="left" w:pos="0"/>
              </w:tabs>
              <w:spacing w:after="0" w:line="240" w:lineRule="auto"/>
            </w:pPr>
            <w:r w:rsidRPr="00406BB2">
              <w:t>Évènement</w:t>
            </w:r>
          </w:p>
        </w:tc>
        <w:tc>
          <w:tcPr>
            <w:tcW w:w="7355" w:type="dxa"/>
            <w:vAlign w:val="center"/>
          </w:tcPr>
          <w:p w14:paraId="36AE94B6" w14:textId="77777777" w:rsidR="00A439CE" w:rsidRPr="005D5B39" w:rsidRDefault="00A439CE" w:rsidP="00B3264B">
            <w:pPr>
              <w:tabs>
                <w:tab w:val="left" w:pos="0"/>
              </w:tabs>
              <w:spacing w:after="0" w:line="240" w:lineRule="auto"/>
              <w:jc w:val="both"/>
              <w:rPr>
                <w:sz w:val="20"/>
                <w:szCs w:val="20"/>
              </w:rPr>
            </w:pPr>
            <w:r w:rsidRPr="005D5B39">
              <w:rPr>
                <w:sz w:val="20"/>
                <w:szCs w:val="20"/>
              </w:rPr>
              <w:t>Information d’un changement d’état apparaissant dans le système de contrôle d’accès</w:t>
            </w:r>
          </w:p>
        </w:tc>
      </w:tr>
      <w:tr w:rsidR="00A439CE" w:rsidRPr="00406BB2" w14:paraId="78AB58F3" w14:textId="77777777" w:rsidTr="00B3264B">
        <w:trPr>
          <w:trHeight w:val="20"/>
          <w:jc w:val="center"/>
        </w:trPr>
        <w:tc>
          <w:tcPr>
            <w:tcW w:w="2405" w:type="dxa"/>
            <w:vAlign w:val="center"/>
          </w:tcPr>
          <w:p w14:paraId="2922BD4B" w14:textId="77777777" w:rsidR="00A439CE" w:rsidRPr="00406BB2" w:rsidRDefault="00A439CE" w:rsidP="00B3264B">
            <w:pPr>
              <w:tabs>
                <w:tab w:val="left" w:pos="0"/>
              </w:tabs>
              <w:spacing w:after="0"/>
            </w:pPr>
            <w:r w:rsidRPr="00406BB2">
              <w:t>GAIAP</w:t>
            </w:r>
          </w:p>
        </w:tc>
        <w:tc>
          <w:tcPr>
            <w:tcW w:w="7355" w:type="dxa"/>
            <w:vAlign w:val="center"/>
          </w:tcPr>
          <w:p w14:paraId="34C4B047" w14:textId="3310745D" w:rsidR="00A439CE" w:rsidRPr="005D5B39" w:rsidRDefault="00A439CE" w:rsidP="00853DAD">
            <w:pPr>
              <w:tabs>
                <w:tab w:val="left" w:pos="0"/>
              </w:tabs>
              <w:spacing w:after="0"/>
              <w:rPr>
                <w:sz w:val="20"/>
                <w:szCs w:val="20"/>
              </w:rPr>
            </w:pPr>
            <w:r w:rsidRPr="005D5B39">
              <w:rPr>
                <w:sz w:val="20"/>
                <w:szCs w:val="20"/>
              </w:rPr>
              <w:t xml:space="preserve">Acronyme de la solution en place à l’AP-HP, pour le système de gestion des identités et des accès de l’AP-HP, basé sur la suite logicielle EVIDIAN </w:t>
            </w:r>
            <w:r w:rsidR="00853DAD" w:rsidRPr="005D5B39">
              <w:rPr>
                <w:sz w:val="20"/>
                <w:szCs w:val="20"/>
              </w:rPr>
              <w:t>IGA 10</w:t>
            </w:r>
            <w:r w:rsidRPr="005D5B39">
              <w:rPr>
                <w:sz w:val="20"/>
                <w:szCs w:val="20"/>
              </w:rPr>
              <w:t xml:space="preserve"> de BULL ATOS TECHNOLOGIES</w:t>
            </w:r>
            <w:r w:rsidR="00853DAD" w:rsidRPr="005D5B39">
              <w:rPr>
                <w:sz w:val="20"/>
                <w:szCs w:val="20"/>
              </w:rPr>
              <w:t xml:space="preserve"> (EVIDIAN Identity </w:t>
            </w:r>
            <w:proofErr w:type="spellStart"/>
            <w:r w:rsidR="00853DAD" w:rsidRPr="005D5B39">
              <w:rPr>
                <w:sz w:val="20"/>
                <w:szCs w:val="20"/>
              </w:rPr>
              <w:t>Governance</w:t>
            </w:r>
            <w:proofErr w:type="spellEnd"/>
            <w:r w:rsidR="00853DAD" w:rsidRPr="005D5B39">
              <w:rPr>
                <w:sz w:val="20"/>
                <w:szCs w:val="20"/>
              </w:rPr>
              <w:t xml:space="preserve"> and Administration 10 Evolution 3)</w:t>
            </w:r>
          </w:p>
        </w:tc>
      </w:tr>
      <w:tr w:rsidR="00A439CE" w:rsidRPr="00406BB2" w14:paraId="0572378C" w14:textId="77777777" w:rsidTr="00B3264B">
        <w:trPr>
          <w:trHeight w:val="752"/>
          <w:jc w:val="center"/>
        </w:trPr>
        <w:tc>
          <w:tcPr>
            <w:tcW w:w="2405" w:type="dxa"/>
            <w:vAlign w:val="center"/>
          </w:tcPr>
          <w:p w14:paraId="60805537" w14:textId="77777777" w:rsidR="00A439CE" w:rsidRPr="00406BB2" w:rsidRDefault="00A439CE" w:rsidP="00B3264B">
            <w:pPr>
              <w:tabs>
                <w:tab w:val="left" w:pos="0"/>
              </w:tabs>
              <w:spacing w:after="0" w:line="240" w:lineRule="auto"/>
            </w:pPr>
            <w:r w:rsidRPr="00406BB2">
              <w:t>HBPU</w:t>
            </w:r>
          </w:p>
        </w:tc>
        <w:tc>
          <w:tcPr>
            <w:tcW w:w="7355" w:type="dxa"/>
            <w:vAlign w:val="center"/>
          </w:tcPr>
          <w:p w14:paraId="36521166" w14:textId="77777777" w:rsidR="00A439CE" w:rsidRPr="005D5B39" w:rsidRDefault="00A439CE" w:rsidP="00B3264B">
            <w:pPr>
              <w:tabs>
                <w:tab w:val="left" w:pos="0"/>
              </w:tabs>
              <w:spacing w:after="0" w:line="240" w:lineRule="auto"/>
              <w:jc w:val="both"/>
              <w:rPr>
                <w:sz w:val="20"/>
                <w:szCs w:val="20"/>
              </w:rPr>
            </w:pPr>
            <w:r w:rsidRPr="005D5B39">
              <w:rPr>
                <w:sz w:val="20"/>
                <w:szCs w:val="20"/>
              </w:rPr>
              <w:t>Hors Bordereau de Prix Unitaires. Cette partie du marché est mise au point sur la base du catalogue de l’opérateur économique et peut comprendre par exemple, des produits identiques avec d’autres dimensions que celles exigées dans le BPU, des accessoires complémentaires, autres que ceux des produits du BPU, en liaison avec les produits du marché ; Les produits complémentaires retenus représentent obligatoirement et exclusivement la famille et la gamme de produit listées dans le  bordereau de prix unitaire et ce sans doublon d'article</w:t>
            </w:r>
          </w:p>
        </w:tc>
      </w:tr>
      <w:tr w:rsidR="00A439CE" w:rsidRPr="00406BB2" w14:paraId="25B0E12D" w14:textId="77777777" w:rsidTr="00B3264B">
        <w:trPr>
          <w:trHeight w:val="755"/>
          <w:jc w:val="center"/>
        </w:trPr>
        <w:tc>
          <w:tcPr>
            <w:tcW w:w="2405" w:type="dxa"/>
            <w:vAlign w:val="center"/>
          </w:tcPr>
          <w:p w14:paraId="09C99FE6" w14:textId="77777777" w:rsidR="00A439CE" w:rsidRPr="00406BB2" w:rsidRDefault="00A439CE" w:rsidP="00B3264B">
            <w:pPr>
              <w:tabs>
                <w:tab w:val="left" w:pos="0"/>
              </w:tabs>
              <w:spacing w:after="0" w:line="240" w:lineRule="auto"/>
            </w:pPr>
            <w:r w:rsidRPr="00406BB2">
              <w:t>IAS-ECC</w:t>
            </w:r>
          </w:p>
        </w:tc>
        <w:tc>
          <w:tcPr>
            <w:tcW w:w="7355" w:type="dxa"/>
            <w:vAlign w:val="center"/>
          </w:tcPr>
          <w:p w14:paraId="1707EA36" w14:textId="77777777" w:rsidR="00A439CE" w:rsidRPr="005D5B39" w:rsidRDefault="00A439CE" w:rsidP="00B3264B">
            <w:pPr>
              <w:tabs>
                <w:tab w:val="left" w:pos="0"/>
              </w:tabs>
              <w:spacing w:after="0" w:line="240" w:lineRule="auto"/>
              <w:jc w:val="both"/>
              <w:rPr>
                <w:sz w:val="20"/>
                <w:szCs w:val="20"/>
              </w:rPr>
            </w:pPr>
            <w:r w:rsidRPr="005D5B39">
              <w:rPr>
                <w:sz w:val="20"/>
                <w:szCs w:val="20"/>
              </w:rPr>
              <w:t xml:space="preserve">Afin de rendre compatibles les spécifications françaises pour l’identification, l’authentification et la signature (standard de cartes IAS) avec la nouvelle norme européenne : </w:t>
            </w:r>
            <w:proofErr w:type="spellStart"/>
            <w:r w:rsidRPr="005D5B39">
              <w:rPr>
                <w:sz w:val="20"/>
                <w:szCs w:val="20"/>
              </w:rPr>
              <w:t>European</w:t>
            </w:r>
            <w:proofErr w:type="spellEnd"/>
            <w:r w:rsidRPr="005D5B39">
              <w:rPr>
                <w:sz w:val="20"/>
                <w:szCs w:val="20"/>
              </w:rPr>
              <w:t xml:space="preserve"> Citizen </w:t>
            </w:r>
            <w:proofErr w:type="spellStart"/>
            <w:r w:rsidRPr="005D5B39">
              <w:rPr>
                <w:sz w:val="20"/>
                <w:szCs w:val="20"/>
              </w:rPr>
              <w:t>Card</w:t>
            </w:r>
            <w:proofErr w:type="spellEnd"/>
            <w:r w:rsidRPr="005D5B39">
              <w:rPr>
                <w:sz w:val="20"/>
                <w:szCs w:val="20"/>
              </w:rPr>
              <w:t xml:space="preserve"> (ECC), l’ANTS et le GIXEL (groupement d’industriels de la carte à puce) ont défini une nouvelle spécification : IAS-ECC.</w:t>
            </w:r>
          </w:p>
        </w:tc>
      </w:tr>
      <w:tr w:rsidR="00A439CE" w:rsidRPr="00406BB2" w14:paraId="5187F369" w14:textId="77777777" w:rsidTr="00B3264B">
        <w:trPr>
          <w:trHeight w:val="755"/>
          <w:jc w:val="center"/>
        </w:trPr>
        <w:tc>
          <w:tcPr>
            <w:tcW w:w="2405" w:type="dxa"/>
            <w:vAlign w:val="center"/>
          </w:tcPr>
          <w:p w14:paraId="0DBB40BC" w14:textId="77777777" w:rsidR="00A439CE" w:rsidRPr="00406BB2" w:rsidRDefault="00A439CE" w:rsidP="00B3264B">
            <w:pPr>
              <w:tabs>
                <w:tab w:val="left" w:pos="0"/>
              </w:tabs>
              <w:spacing w:after="0" w:line="240" w:lineRule="auto"/>
            </w:pPr>
            <w:r w:rsidRPr="00406BB2">
              <w:t>Identifiant</w:t>
            </w:r>
          </w:p>
        </w:tc>
        <w:tc>
          <w:tcPr>
            <w:tcW w:w="7355" w:type="dxa"/>
            <w:vAlign w:val="center"/>
          </w:tcPr>
          <w:p w14:paraId="63AF276A" w14:textId="77777777" w:rsidR="00A439CE" w:rsidRPr="005D5B39" w:rsidRDefault="00A439CE" w:rsidP="00B3264B">
            <w:pPr>
              <w:tabs>
                <w:tab w:val="left" w:pos="0"/>
              </w:tabs>
              <w:spacing w:after="0" w:line="240" w:lineRule="auto"/>
              <w:jc w:val="both"/>
              <w:rPr>
                <w:sz w:val="20"/>
                <w:szCs w:val="20"/>
              </w:rPr>
            </w:pPr>
            <w:r w:rsidRPr="005D5B39">
              <w:rPr>
                <w:sz w:val="20"/>
                <w:szCs w:val="20"/>
              </w:rPr>
              <w:t>Données d’identification délivrées par des badges, des cartes d’accès, des clés électroniques, par saisie...</w:t>
            </w:r>
          </w:p>
        </w:tc>
      </w:tr>
      <w:tr w:rsidR="00A439CE" w:rsidRPr="00406BB2" w14:paraId="07EBB8FD" w14:textId="77777777" w:rsidTr="00B3264B">
        <w:trPr>
          <w:trHeight w:val="636"/>
          <w:jc w:val="center"/>
        </w:trPr>
        <w:tc>
          <w:tcPr>
            <w:tcW w:w="2405" w:type="dxa"/>
            <w:vAlign w:val="center"/>
          </w:tcPr>
          <w:p w14:paraId="6791DE2E" w14:textId="77777777" w:rsidR="00A439CE" w:rsidRPr="00406BB2" w:rsidRDefault="00A439CE" w:rsidP="00B3264B">
            <w:pPr>
              <w:tabs>
                <w:tab w:val="left" w:pos="0"/>
              </w:tabs>
              <w:spacing w:after="0" w:line="240" w:lineRule="auto"/>
            </w:pPr>
            <w:r w:rsidRPr="00406BB2">
              <w:t>Identification</w:t>
            </w:r>
          </w:p>
        </w:tc>
        <w:tc>
          <w:tcPr>
            <w:tcW w:w="7355" w:type="dxa"/>
            <w:vAlign w:val="center"/>
          </w:tcPr>
          <w:p w14:paraId="62057F26" w14:textId="77777777" w:rsidR="00A439CE" w:rsidRPr="005D5B39" w:rsidRDefault="00A439CE" w:rsidP="00B3264B">
            <w:pPr>
              <w:tabs>
                <w:tab w:val="left" w:pos="0"/>
              </w:tabs>
              <w:spacing w:after="0" w:line="240" w:lineRule="auto"/>
              <w:jc w:val="both"/>
              <w:rPr>
                <w:sz w:val="20"/>
                <w:szCs w:val="20"/>
              </w:rPr>
            </w:pPr>
            <w:r w:rsidRPr="005D5B39">
              <w:rPr>
                <w:sz w:val="20"/>
                <w:szCs w:val="20"/>
              </w:rPr>
              <w:t>Processus de traitement d’un identifiant</w:t>
            </w:r>
          </w:p>
        </w:tc>
      </w:tr>
      <w:tr w:rsidR="00A439CE" w:rsidRPr="00406BB2" w14:paraId="135AC8E2" w14:textId="77777777" w:rsidTr="00B3264B">
        <w:trPr>
          <w:trHeight w:val="636"/>
          <w:jc w:val="center"/>
        </w:trPr>
        <w:tc>
          <w:tcPr>
            <w:tcW w:w="2405" w:type="dxa"/>
            <w:vAlign w:val="center"/>
          </w:tcPr>
          <w:p w14:paraId="79246FC3" w14:textId="77777777" w:rsidR="00A439CE" w:rsidRPr="00406BB2" w:rsidRDefault="00A439CE" w:rsidP="00B3264B">
            <w:pPr>
              <w:tabs>
                <w:tab w:val="left" w:pos="0"/>
              </w:tabs>
              <w:spacing w:after="0" w:line="240" w:lineRule="auto"/>
            </w:pPr>
            <w:r w:rsidRPr="00406BB2">
              <w:t>Laboratoire L1, L2, L3, L4</w:t>
            </w:r>
          </w:p>
        </w:tc>
        <w:tc>
          <w:tcPr>
            <w:tcW w:w="7355" w:type="dxa"/>
            <w:vAlign w:val="center"/>
          </w:tcPr>
          <w:p w14:paraId="05E09257" w14:textId="77777777" w:rsidR="00A439CE" w:rsidRPr="005D5B39" w:rsidRDefault="00A439CE" w:rsidP="00B3264B">
            <w:pPr>
              <w:tabs>
                <w:tab w:val="left" w:pos="0"/>
              </w:tabs>
              <w:spacing w:after="0" w:line="240" w:lineRule="auto"/>
              <w:jc w:val="both"/>
              <w:rPr>
                <w:sz w:val="20"/>
                <w:szCs w:val="20"/>
              </w:rPr>
            </w:pPr>
            <w:r w:rsidRPr="005D5B39">
              <w:rPr>
                <w:sz w:val="20"/>
                <w:szCs w:val="20"/>
              </w:rPr>
              <w:t>Niveaux d’exigences de confinement dans un laboratoire (arrêté du 13 août 1996)</w:t>
            </w:r>
          </w:p>
        </w:tc>
      </w:tr>
      <w:tr w:rsidR="00A439CE" w:rsidRPr="00406BB2" w14:paraId="03F20BE1" w14:textId="77777777" w:rsidTr="00B3264B">
        <w:trPr>
          <w:trHeight w:val="636"/>
          <w:jc w:val="center"/>
        </w:trPr>
        <w:tc>
          <w:tcPr>
            <w:tcW w:w="2405" w:type="dxa"/>
            <w:vAlign w:val="center"/>
          </w:tcPr>
          <w:p w14:paraId="1CD93F33" w14:textId="77777777" w:rsidR="00A439CE" w:rsidRPr="00406BB2" w:rsidRDefault="00A439CE" w:rsidP="00B3264B">
            <w:pPr>
              <w:tabs>
                <w:tab w:val="left" w:pos="0"/>
              </w:tabs>
              <w:spacing w:after="0" w:line="240" w:lineRule="auto"/>
            </w:pPr>
            <w:r w:rsidRPr="00406BB2">
              <w:t>Lecteur du point d’accès</w:t>
            </w:r>
          </w:p>
        </w:tc>
        <w:tc>
          <w:tcPr>
            <w:tcW w:w="7355" w:type="dxa"/>
            <w:vAlign w:val="center"/>
          </w:tcPr>
          <w:p w14:paraId="555A4ABD" w14:textId="77777777" w:rsidR="00A439CE" w:rsidRPr="005D5B39" w:rsidRDefault="00A439CE" w:rsidP="00B3264B">
            <w:pPr>
              <w:tabs>
                <w:tab w:val="left" w:pos="0"/>
              </w:tabs>
              <w:spacing w:after="0" w:line="240" w:lineRule="auto"/>
              <w:jc w:val="both"/>
              <w:rPr>
                <w:sz w:val="20"/>
                <w:szCs w:val="20"/>
              </w:rPr>
            </w:pPr>
            <w:r w:rsidRPr="005D5B39">
              <w:rPr>
                <w:sz w:val="20"/>
                <w:szCs w:val="20"/>
              </w:rPr>
              <w:t>Dispositif utilisé pour collecter les données d’identification. Ces données sont transmises à l’UTL à distance ou localement. Dans ce dernier cas, lorsque le lecteur est intégré avec l’UTL dans un même boîtier, il est dit autonome</w:t>
            </w:r>
          </w:p>
        </w:tc>
      </w:tr>
      <w:tr w:rsidR="00A439CE" w:rsidRPr="00406BB2" w14:paraId="054C8D28" w14:textId="77777777" w:rsidTr="00B3264B">
        <w:trPr>
          <w:trHeight w:val="636"/>
          <w:jc w:val="center"/>
        </w:trPr>
        <w:tc>
          <w:tcPr>
            <w:tcW w:w="2405" w:type="dxa"/>
            <w:vAlign w:val="center"/>
          </w:tcPr>
          <w:p w14:paraId="77BE7AB2" w14:textId="77777777" w:rsidR="00A439CE" w:rsidRPr="00406BB2" w:rsidRDefault="00A439CE" w:rsidP="00B3264B">
            <w:pPr>
              <w:tabs>
                <w:tab w:val="left" w:pos="0"/>
              </w:tabs>
              <w:spacing w:after="0" w:line="240" w:lineRule="auto"/>
            </w:pPr>
            <w:r w:rsidRPr="00406BB2">
              <w:t>Mode dégradé</w:t>
            </w:r>
          </w:p>
        </w:tc>
        <w:tc>
          <w:tcPr>
            <w:tcW w:w="7355" w:type="dxa"/>
            <w:vAlign w:val="center"/>
          </w:tcPr>
          <w:p w14:paraId="6175F533" w14:textId="77777777" w:rsidR="00A439CE" w:rsidRPr="005D5B39" w:rsidRDefault="00A439CE" w:rsidP="00B3264B">
            <w:pPr>
              <w:tabs>
                <w:tab w:val="left" w:pos="0"/>
              </w:tabs>
              <w:spacing w:after="0" w:line="240" w:lineRule="auto"/>
              <w:jc w:val="both"/>
              <w:rPr>
                <w:sz w:val="20"/>
                <w:szCs w:val="20"/>
              </w:rPr>
            </w:pPr>
            <w:r w:rsidRPr="005D5B39">
              <w:rPr>
                <w:sz w:val="20"/>
                <w:szCs w:val="20"/>
              </w:rPr>
              <w:t>Etat dans lequel l’équipement de gestion de contrôle d’accès est partiellement fonctionnel et est en mesure de traiter tout ou partie des événements dans le respect des règles établies</w:t>
            </w:r>
          </w:p>
        </w:tc>
      </w:tr>
      <w:tr w:rsidR="00A439CE" w:rsidRPr="00406BB2" w14:paraId="7580CDBE" w14:textId="77777777" w:rsidTr="00B3264B">
        <w:trPr>
          <w:trHeight w:val="636"/>
          <w:jc w:val="center"/>
        </w:trPr>
        <w:tc>
          <w:tcPr>
            <w:tcW w:w="2405" w:type="dxa"/>
            <w:vAlign w:val="center"/>
          </w:tcPr>
          <w:p w14:paraId="64CFF306" w14:textId="77777777" w:rsidR="00A439CE" w:rsidRPr="00406BB2" w:rsidRDefault="00A439CE" w:rsidP="00B3264B">
            <w:pPr>
              <w:tabs>
                <w:tab w:val="left" w:pos="0"/>
              </w:tabs>
              <w:spacing w:after="0" w:line="240" w:lineRule="auto"/>
            </w:pPr>
            <w:r w:rsidRPr="00406BB2">
              <w:t>Plage horaire</w:t>
            </w:r>
          </w:p>
        </w:tc>
        <w:tc>
          <w:tcPr>
            <w:tcW w:w="7355" w:type="dxa"/>
            <w:vAlign w:val="center"/>
          </w:tcPr>
          <w:p w14:paraId="18AB0F90" w14:textId="77777777" w:rsidR="00A439CE" w:rsidRPr="005D5B39" w:rsidRDefault="00A439CE" w:rsidP="00B3264B">
            <w:pPr>
              <w:tabs>
                <w:tab w:val="left" w:pos="0"/>
              </w:tabs>
              <w:spacing w:after="0" w:line="240" w:lineRule="auto"/>
              <w:jc w:val="both"/>
              <w:rPr>
                <w:sz w:val="20"/>
                <w:szCs w:val="20"/>
              </w:rPr>
            </w:pPr>
            <w:r w:rsidRPr="005D5B39">
              <w:rPr>
                <w:sz w:val="20"/>
                <w:szCs w:val="20"/>
              </w:rPr>
              <w:t>Intervalle de temps entre deux moments donnés indiquant le commencement et la fin d’une période valide incluse dans une zone de temps.</w:t>
            </w:r>
          </w:p>
        </w:tc>
      </w:tr>
      <w:tr w:rsidR="00A439CE" w:rsidRPr="00406BB2" w14:paraId="628AD4B7" w14:textId="77777777" w:rsidTr="00B3264B">
        <w:trPr>
          <w:trHeight w:val="636"/>
          <w:jc w:val="center"/>
        </w:trPr>
        <w:tc>
          <w:tcPr>
            <w:tcW w:w="2405" w:type="dxa"/>
            <w:vAlign w:val="center"/>
          </w:tcPr>
          <w:p w14:paraId="6961E855" w14:textId="77777777" w:rsidR="00A439CE" w:rsidRPr="00406BB2" w:rsidRDefault="00A439CE" w:rsidP="00B3264B">
            <w:pPr>
              <w:tabs>
                <w:tab w:val="left" w:pos="0"/>
              </w:tabs>
              <w:spacing w:after="0" w:line="240" w:lineRule="auto"/>
            </w:pPr>
            <w:r w:rsidRPr="00406BB2">
              <w:t>Point d’accès</w:t>
            </w:r>
          </w:p>
        </w:tc>
        <w:tc>
          <w:tcPr>
            <w:tcW w:w="7355" w:type="dxa"/>
            <w:vAlign w:val="center"/>
          </w:tcPr>
          <w:p w14:paraId="6C1AFDE3" w14:textId="77777777" w:rsidR="00A439CE" w:rsidRPr="005D5B39" w:rsidRDefault="00A439CE" w:rsidP="00B3264B">
            <w:pPr>
              <w:tabs>
                <w:tab w:val="left" w:pos="0"/>
              </w:tabs>
              <w:spacing w:after="0" w:line="240" w:lineRule="auto"/>
              <w:jc w:val="both"/>
              <w:rPr>
                <w:sz w:val="20"/>
                <w:szCs w:val="20"/>
              </w:rPr>
            </w:pPr>
            <w:r w:rsidRPr="005D5B39">
              <w:rPr>
                <w:sz w:val="20"/>
                <w:szCs w:val="20"/>
              </w:rPr>
              <w:t>Endroit où l’accès peut être contrôlé : présence d’obstacle physique (porte, tripode…).</w:t>
            </w:r>
          </w:p>
        </w:tc>
      </w:tr>
      <w:tr w:rsidR="00A439CE" w:rsidRPr="00406BB2" w14:paraId="46CAF834" w14:textId="77777777" w:rsidTr="00B3264B">
        <w:trPr>
          <w:trHeight w:val="755"/>
          <w:jc w:val="center"/>
        </w:trPr>
        <w:tc>
          <w:tcPr>
            <w:tcW w:w="2405" w:type="dxa"/>
            <w:vAlign w:val="center"/>
          </w:tcPr>
          <w:p w14:paraId="030F5603" w14:textId="77777777" w:rsidR="00A439CE" w:rsidRPr="00406BB2" w:rsidRDefault="00A439CE" w:rsidP="00B3264B">
            <w:pPr>
              <w:tabs>
                <w:tab w:val="left" w:pos="0"/>
              </w:tabs>
              <w:spacing w:after="0" w:line="240" w:lineRule="auto"/>
            </w:pPr>
            <w:r w:rsidRPr="00406BB2">
              <w:t>RFID</w:t>
            </w:r>
          </w:p>
        </w:tc>
        <w:tc>
          <w:tcPr>
            <w:tcW w:w="7355" w:type="dxa"/>
            <w:vAlign w:val="center"/>
          </w:tcPr>
          <w:p w14:paraId="7E636948" w14:textId="77777777" w:rsidR="00A439CE" w:rsidRPr="005D5B39" w:rsidRDefault="00A439CE" w:rsidP="00B3264B">
            <w:pPr>
              <w:tabs>
                <w:tab w:val="left" w:pos="0"/>
              </w:tabs>
              <w:spacing w:after="0" w:line="240" w:lineRule="auto"/>
              <w:jc w:val="both"/>
              <w:rPr>
                <w:sz w:val="20"/>
                <w:szCs w:val="20"/>
              </w:rPr>
            </w:pPr>
            <w:r w:rsidRPr="005D5B39">
              <w:rPr>
                <w:sz w:val="20"/>
                <w:szCs w:val="20"/>
              </w:rPr>
              <w:t xml:space="preserve">Radio Frequency </w:t>
            </w:r>
            <w:proofErr w:type="spellStart"/>
            <w:r w:rsidRPr="005D5B39">
              <w:rPr>
                <w:sz w:val="20"/>
                <w:szCs w:val="20"/>
              </w:rPr>
              <w:t>IDentification</w:t>
            </w:r>
            <w:proofErr w:type="spellEnd"/>
            <w:r w:rsidRPr="005D5B39">
              <w:rPr>
                <w:sz w:val="20"/>
                <w:szCs w:val="20"/>
              </w:rPr>
              <w:t xml:space="preserve"> - : Technologie d'identification automatique qui utilise le rayonnement radiofréquence pour identifier les objets porteurs d'étiquettes lorsqu'ils passent à proximité d'un interrogateur.</w:t>
            </w:r>
          </w:p>
        </w:tc>
      </w:tr>
      <w:tr w:rsidR="00A439CE" w:rsidRPr="00406BB2" w14:paraId="1F95BCE9" w14:textId="77777777" w:rsidTr="00B3264B">
        <w:trPr>
          <w:trHeight w:val="755"/>
          <w:jc w:val="center"/>
        </w:trPr>
        <w:tc>
          <w:tcPr>
            <w:tcW w:w="2405" w:type="dxa"/>
            <w:vAlign w:val="center"/>
          </w:tcPr>
          <w:p w14:paraId="73A0B5D5" w14:textId="77777777" w:rsidR="00A439CE" w:rsidRPr="00406BB2" w:rsidRDefault="00A439CE" w:rsidP="00B3264B">
            <w:pPr>
              <w:tabs>
                <w:tab w:val="left" w:pos="0"/>
              </w:tabs>
              <w:spacing w:after="0" w:line="240" w:lineRule="auto"/>
            </w:pPr>
            <w:r w:rsidRPr="00406BB2">
              <w:t>UTC</w:t>
            </w:r>
          </w:p>
        </w:tc>
        <w:tc>
          <w:tcPr>
            <w:tcW w:w="7355" w:type="dxa"/>
            <w:vAlign w:val="center"/>
          </w:tcPr>
          <w:p w14:paraId="776CAF80" w14:textId="77777777" w:rsidR="00A439CE" w:rsidRPr="005D5B39" w:rsidRDefault="00A439CE" w:rsidP="00B3264B">
            <w:pPr>
              <w:tabs>
                <w:tab w:val="left" w:pos="0"/>
              </w:tabs>
              <w:spacing w:after="0" w:line="240" w:lineRule="auto"/>
              <w:jc w:val="both"/>
              <w:rPr>
                <w:sz w:val="20"/>
                <w:szCs w:val="20"/>
              </w:rPr>
            </w:pPr>
            <w:r w:rsidRPr="005D5B39">
              <w:rPr>
                <w:sz w:val="20"/>
                <w:szCs w:val="20"/>
              </w:rPr>
              <w:t>Unité de Traitement Centralisé de contrôle d’accès. Cette unité de traitement prend la décision de libérer un ou plusieurs points d’accès et gère la séquence de commande associée</w:t>
            </w:r>
          </w:p>
        </w:tc>
      </w:tr>
      <w:tr w:rsidR="00A439CE" w:rsidRPr="00406BB2" w14:paraId="25FD0108" w14:textId="77777777" w:rsidTr="00B3264B">
        <w:trPr>
          <w:trHeight w:val="20"/>
          <w:jc w:val="center"/>
        </w:trPr>
        <w:tc>
          <w:tcPr>
            <w:tcW w:w="2405" w:type="dxa"/>
            <w:vAlign w:val="center"/>
          </w:tcPr>
          <w:p w14:paraId="4E7CF06A" w14:textId="77777777" w:rsidR="00A439CE" w:rsidRPr="00406BB2" w:rsidRDefault="00A439CE" w:rsidP="00B3264B">
            <w:pPr>
              <w:tabs>
                <w:tab w:val="left" w:pos="0"/>
              </w:tabs>
              <w:spacing w:after="0"/>
            </w:pPr>
            <w:r w:rsidRPr="00406BB2">
              <w:t>UTL</w:t>
            </w:r>
          </w:p>
        </w:tc>
        <w:tc>
          <w:tcPr>
            <w:tcW w:w="7355" w:type="dxa"/>
            <w:vAlign w:val="center"/>
          </w:tcPr>
          <w:p w14:paraId="2A1FEE12" w14:textId="77777777" w:rsidR="00A439CE" w:rsidRPr="005D5B39" w:rsidRDefault="00A439CE" w:rsidP="00B3264B">
            <w:pPr>
              <w:tabs>
                <w:tab w:val="left" w:pos="0"/>
              </w:tabs>
              <w:spacing w:after="0"/>
              <w:rPr>
                <w:sz w:val="20"/>
                <w:szCs w:val="20"/>
              </w:rPr>
            </w:pPr>
            <w:r w:rsidRPr="005D5B39">
              <w:rPr>
                <w:sz w:val="20"/>
                <w:szCs w:val="20"/>
              </w:rPr>
              <w:t>Unité de Traitement Local. Système électronique qui permet d’appliquer la décision provenant de l’UTC. Cette UTL commande un ou plusieurs points d’accès. Une UTL est nécessairement reliée à une UTC.</w:t>
            </w:r>
          </w:p>
        </w:tc>
      </w:tr>
      <w:tr w:rsidR="00A439CE" w:rsidRPr="00406BB2" w14:paraId="048F6BEC" w14:textId="77777777" w:rsidTr="00B3264B">
        <w:trPr>
          <w:trHeight w:val="755"/>
          <w:jc w:val="center"/>
        </w:trPr>
        <w:tc>
          <w:tcPr>
            <w:tcW w:w="2405" w:type="dxa"/>
            <w:vAlign w:val="center"/>
          </w:tcPr>
          <w:p w14:paraId="761D573C" w14:textId="77777777" w:rsidR="00A439CE" w:rsidRPr="00406BB2" w:rsidRDefault="00A439CE" w:rsidP="00B3264B">
            <w:pPr>
              <w:tabs>
                <w:tab w:val="left" w:pos="0"/>
              </w:tabs>
              <w:spacing w:after="0" w:line="240" w:lineRule="auto"/>
            </w:pPr>
            <w:r w:rsidRPr="00406BB2">
              <w:t xml:space="preserve">UTS </w:t>
            </w:r>
          </w:p>
        </w:tc>
        <w:tc>
          <w:tcPr>
            <w:tcW w:w="7355" w:type="dxa"/>
            <w:vAlign w:val="center"/>
          </w:tcPr>
          <w:p w14:paraId="5EA89600" w14:textId="77777777" w:rsidR="00A439CE" w:rsidRPr="00406BB2" w:rsidRDefault="00A439CE" w:rsidP="00B3264B">
            <w:pPr>
              <w:tabs>
                <w:tab w:val="left" w:pos="0"/>
              </w:tabs>
              <w:spacing w:after="0" w:line="240" w:lineRule="auto"/>
              <w:jc w:val="both"/>
              <w:rPr>
                <w:sz w:val="20"/>
                <w:szCs w:val="20"/>
              </w:rPr>
            </w:pPr>
            <w:r w:rsidRPr="005D5B39">
              <w:rPr>
                <w:sz w:val="20"/>
                <w:szCs w:val="20"/>
              </w:rPr>
              <w:t>Unité de Traitement de Supervision de contrôle d’accès : Matériel qui assure les fonctions de superviseur pour des UTC et/ou des UTL. Ce matériel assure les fonctions d’interface du point d’accès, de traitement, d’annonce, d’alerte et assure leur alimentation</w:t>
            </w:r>
            <w:r w:rsidRPr="00406BB2">
              <w:t>.</w:t>
            </w:r>
          </w:p>
        </w:tc>
      </w:tr>
      <w:tr w:rsidR="00A439CE" w:rsidRPr="00406BB2" w14:paraId="57B2E124" w14:textId="77777777" w:rsidTr="00B3264B">
        <w:trPr>
          <w:trHeight w:val="755"/>
          <w:jc w:val="center"/>
        </w:trPr>
        <w:tc>
          <w:tcPr>
            <w:tcW w:w="2405" w:type="dxa"/>
            <w:vAlign w:val="center"/>
          </w:tcPr>
          <w:p w14:paraId="0D2C021F" w14:textId="77777777" w:rsidR="00A439CE" w:rsidRPr="00406BB2" w:rsidRDefault="00A439CE" w:rsidP="00B3264B">
            <w:pPr>
              <w:tabs>
                <w:tab w:val="left" w:pos="0"/>
              </w:tabs>
              <w:spacing w:after="0" w:line="240" w:lineRule="auto"/>
            </w:pPr>
            <w:r w:rsidRPr="00406BB2">
              <w:t>Visiophone</w:t>
            </w:r>
          </w:p>
        </w:tc>
        <w:tc>
          <w:tcPr>
            <w:tcW w:w="7355" w:type="dxa"/>
            <w:vAlign w:val="center"/>
          </w:tcPr>
          <w:p w14:paraId="6C5A1A61" w14:textId="77777777" w:rsidR="00A439CE" w:rsidRPr="00406BB2" w:rsidRDefault="00A439CE" w:rsidP="00B3264B">
            <w:pPr>
              <w:tabs>
                <w:tab w:val="left" w:pos="0"/>
              </w:tabs>
              <w:spacing w:after="0" w:line="240" w:lineRule="auto"/>
              <w:jc w:val="both"/>
            </w:pPr>
            <w:r w:rsidRPr="005D5B39">
              <w:rPr>
                <w:sz w:val="20"/>
              </w:rPr>
              <w:t>Dispositif de communication permettant d’établir une relation vocale et visuelle bidirectionnelle entre un visiteur et l’occupant d’un bâtiment. Ce dispositif peut permettre l’ouverture d’une porte.</w:t>
            </w:r>
          </w:p>
        </w:tc>
      </w:tr>
    </w:tbl>
    <w:p w14:paraId="659D75A2" w14:textId="77777777" w:rsidR="0025441F" w:rsidRPr="00406BB2" w:rsidRDefault="004841FB" w:rsidP="00C37420">
      <w:pPr>
        <w:pStyle w:val="Titre1"/>
        <w:tabs>
          <w:tab w:val="left" w:pos="0"/>
        </w:tabs>
        <w:jc w:val="left"/>
      </w:pPr>
      <w:bookmarkStart w:id="4" w:name="_Toc175128584"/>
      <w:r w:rsidRPr="00406BB2">
        <w:lastRenderedPageBreak/>
        <w:t>I</w:t>
      </w:r>
      <w:r w:rsidR="002F4565" w:rsidRPr="00406BB2">
        <w:t>-</w:t>
      </w:r>
      <w:r w:rsidR="007F34BC" w:rsidRPr="00406BB2">
        <w:t>OBJET</w:t>
      </w:r>
      <w:bookmarkEnd w:id="0"/>
      <w:bookmarkEnd w:id="1"/>
      <w:bookmarkEnd w:id="2"/>
      <w:r w:rsidR="00247C71" w:rsidRPr="00406BB2">
        <w:t xml:space="preserve"> DE LA CONSULTATION</w:t>
      </w:r>
      <w:bookmarkEnd w:id="4"/>
    </w:p>
    <w:p w14:paraId="64B6C282" w14:textId="1D3458C3" w:rsidR="000315AC" w:rsidRPr="00406BB2" w:rsidRDefault="00F10C8C" w:rsidP="000315AC">
      <w:pPr>
        <w:tabs>
          <w:tab w:val="left" w:pos="0"/>
        </w:tabs>
        <w:jc w:val="both"/>
      </w:pPr>
      <w:r w:rsidRPr="00406BB2">
        <w:t xml:space="preserve">Le présent accord cadre a pour objet la fourniture, livraison, installation </w:t>
      </w:r>
      <w:r w:rsidR="005D5B39">
        <w:t xml:space="preserve">intégration </w:t>
      </w:r>
      <w:r w:rsidR="004552CE">
        <w:t xml:space="preserve">logicielle </w:t>
      </w:r>
      <w:r w:rsidR="004552CE" w:rsidRPr="00406BB2">
        <w:t>de</w:t>
      </w:r>
      <w:r w:rsidRPr="00406BB2">
        <w:t xml:space="preserve"> systèmes de contrô</w:t>
      </w:r>
      <w:r w:rsidR="00C0069D" w:rsidRPr="00406BB2">
        <w:t>le électronique d’accès physique</w:t>
      </w:r>
      <w:r w:rsidRPr="00406BB2">
        <w:t xml:space="preserve"> nécessaires aux besoins </w:t>
      </w:r>
      <w:r w:rsidR="00406BB2" w:rsidRPr="00406BB2">
        <w:t xml:space="preserve">du PIC ACHAT de l’Assistance Publique Hôpitaux de Paris. </w:t>
      </w:r>
    </w:p>
    <w:p w14:paraId="5250DC54" w14:textId="71FCC7D2" w:rsidR="00C33166" w:rsidRPr="00406BB2" w:rsidRDefault="002B2014" w:rsidP="00C33166">
      <w:pPr>
        <w:tabs>
          <w:tab w:val="left" w:pos="0"/>
        </w:tabs>
        <w:jc w:val="both"/>
        <w:rPr>
          <w:bCs/>
        </w:rPr>
      </w:pPr>
      <w:r w:rsidRPr="00406BB2">
        <w:rPr>
          <w:bCs/>
        </w:rPr>
        <w:t xml:space="preserve">Un </w:t>
      </w:r>
      <w:r w:rsidR="00C33166" w:rsidRPr="00406BB2">
        <w:rPr>
          <w:bCs/>
        </w:rPr>
        <w:t>système</w:t>
      </w:r>
      <w:r w:rsidRPr="00406BB2">
        <w:rPr>
          <w:bCs/>
        </w:rPr>
        <w:t xml:space="preserve"> de contrôle</w:t>
      </w:r>
      <w:r w:rsidR="00C33166" w:rsidRPr="00406BB2">
        <w:rPr>
          <w:bCs/>
        </w:rPr>
        <w:t xml:space="preserve"> des accès physiques est un dispositif ayant p</w:t>
      </w:r>
      <w:r w:rsidRPr="00406BB2">
        <w:rPr>
          <w:bCs/>
        </w:rPr>
        <w:t xml:space="preserve">our </w:t>
      </w:r>
      <w:r w:rsidR="00C33166" w:rsidRPr="00406BB2">
        <w:rPr>
          <w:bCs/>
        </w:rPr>
        <w:t>objectif de</w:t>
      </w:r>
      <w:r w:rsidR="00406BB2" w:rsidRPr="00406BB2">
        <w:rPr>
          <w:bCs/>
        </w:rPr>
        <w:t xml:space="preserve"> contrôler et de filtrer</w:t>
      </w:r>
      <w:r w:rsidR="00C33166" w:rsidRPr="00406BB2">
        <w:rPr>
          <w:bCs/>
        </w:rPr>
        <w:t xml:space="preserve"> les flux d’individus souhaitant pénétrer à l’intérieur d’un site, d’un bâtiment ou d’un local. Il est constitué de moyens permettant d’autoriser les entrées et sorties de zones sensibles aux seules personnes qui ont le droit d’y accéder.</w:t>
      </w:r>
    </w:p>
    <w:p w14:paraId="032159F6" w14:textId="36B56144" w:rsidR="000315AC" w:rsidRPr="00406BB2" w:rsidRDefault="000315AC" w:rsidP="000315AC">
      <w:pPr>
        <w:tabs>
          <w:tab w:val="left" w:pos="0"/>
        </w:tabs>
        <w:jc w:val="both"/>
        <w:rPr>
          <w:bCs/>
        </w:rPr>
      </w:pPr>
      <w:r w:rsidRPr="00406BB2">
        <w:rPr>
          <w:bCs/>
        </w:rPr>
        <w:t xml:space="preserve">Un système de contrôle d’accès assure trois fonctions </w:t>
      </w:r>
      <w:r w:rsidR="00136B6A" w:rsidRPr="00406BB2">
        <w:rPr>
          <w:bCs/>
        </w:rPr>
        <w:t>primaires :</w:t>
      </w:r>
    </w:p>
    <w:p w14:paraId="3184E4DF" w14:textId="5259C50A" w:rsidR="000315AC" w:rsidRPr="00406BB2" w:rsidRDefault="002B2014" w:rsidP="0033646D">
      <w:pPr>
        <w:pStyle w:val="Paragraphedeliste"/>
        <w:numPr>
          <w:ilvl w:val="0"/>
          <w:numId w:val="12"/>
        </w:numPr>
        <w:tabs>
          <w:tab w:val="left" w:pos="0"/>
        </w:tabs>
        <w:jc w:val="both"/>
        <w:rPr>
          <w:bCs/>
        </w:rPr>
      </w:pPr>
      <w:r w:rsidRPr="00406BB2">
        <w:rPr>
          <w:bCs/>
        </w:rPr>
        <w:t>L</w:t>
      </w:r>
      <w:r w:rsidR="000315AC" w:rsidRPr="00406BB2">
        <w:rPr>
          <w:bCs/>
        </w:rPr>
        <w:t>’identification et l’authentification ;</w:t>
      </w:r>
    </w:p>
    <w:p w14:paraId="58E8E72D" w14:textId="74197108" w:rsidR="00406BB2" w:rsidRDefault="00406BB2" w:rsidP="0033646D">
      <w:pPr>
        <w:pStyle w:val="Paragraphedeliste"/>
        <w:numPr>
          <w:ilvl w:val="0"/>
          <w:numId w:val="12"/>
        </w:numPr>
        <w:tabs>
          <w:tab w:val="left" w:pos="0"/>
        </w:tabs>
        <w:jc w:val="both"/>
        <w:rPr>
          <w:bCs/>
        </w:rPr>
      </w:pPr>
      <w:r w:rsidRPr="00406BB2">
        <w:rPr>
          <w:bCs/>
        </w:rPr>
        <w:t xml:space="preserve">Les contrôle d’accès des permanents, temporaires et visiteurs ; </w:t>
      </w:r>
    </w:p>
    <w:p w14:paraId="0F122656" w14:textId="5BA5CBE8" w:rsidR="00406BB2" w:rsidRPr="00406BB2" w:rsidRDefault="00406BB2" w:rsidP="0033646D">
      <w:pPr>
        <w:pStyle w:val="Paragraphedeliste"/>
        <w:numPr>
          <w:ilvl w:val="0"/>
          <w:numId w:val="12"/>
        </w:numPr>
        <w:tabs>
          <w:tab w:val="left" w:pos="0"/>
        </w:tabs>
        <w:jc w:val="both"/>
        <w:rPr>
          <w:bCs/>
        </w:rPr>
      </w:pPr>
      <w:r>
        <w:rPr>
          <w:bCs/>
        </w:rPr>
        <w:t xml:space="preserve">LA détection des intrusions (personnes indésirables) ; </w:t>
      </w:r>
    </w:p>
    <w:p w14:paraId="524D02D3" w14:textId="77777777" w:rsidR="000315AC" w:rsidRPr="00406BB2" w:rsidRDefault="002B2014" w:rsidP="0033646D">
      <w:pPr>
        <w:pStyle w:val="Paragraphedeliste"/>
        <w:numPr>
          <w:ilvl w:val="0"/>
          <w:numId w:val="12"/>
        </w:numPr>
        <w:tabs>
          <w:tab w:val="left" w:pos="0"/>
        </w:tabs>
        <w:jc w:val="both"/>
        <w:rPr>
          <w:bCs/>
        </w:rPr>
      </w:pPr>
      <w:r w:rsidRPr="00406BB2">
        <w:rPr>
          <w:bCs/>
        </w:rPr>
        <w:t>L</w:t>
      </w:r>
      <w:r w:rsidR="000315AC" w:rsidRPr="00406BB2">
        <w:rPr>
          <w:bCs/>
        </w:rPr>
        <w:t>e traitement des données ;</w:t>
      </w:r>
    </w:p>
    <w:p w14:paraId="6F7231E4" w14:textId="77777777" w:rsidR="000315AC" w:rsidRPr="00406BB2" w:rsidRDefault="002B2014" w:rsidP="0033646D">
      <w:pPr>
        <w:pStyle w:val="Paragraphedeliste"/>
        <w:numPr>
          <w:ilvl w:val="0"/>
          <w:numId w:val="12"/>
        </w:numPr>
        <w:tabs>
          <w:tab w:val="left" w:pos="0"/>
        </w:tabs>
        <w:jc w:val="both"/>
        <w:rPr>
          <w:bCs/>
        </w:rPr>
      </w:pPr>
      <w:r w:rsidRPr="00406BB2">
        <w:rPr>
          <w:bCs/>
        </w:rPr>
        <w:t>L</w:t>
      </w:r>
      <w:r w:rsidR="000315AC" w:rsidRPr="00406BB2">
        <w:rPr>
          <w:bCs/>
        </w:rPr>
        <w:t>e déverrouillage.</w:t>
      </w:r>
    </w:p>
    <w:p w14:paraId="746FFB0E" w14:textId="32659EA8" w:rsidR="004552CE" w:rsidRDefault="000315AC" w:rsidP="000315AC">
      <w:pPr>
        <w:tabs>
          <w:tab w:val="left" w:pos="0"/>
        </w:tabs>
        <w:jc w:val="both"/>
        <w:rPr>
          <w:bCs/>
        </w:rPr>
      </w:pPr>
      <w:r w:rsidRPr="00406BB2">
        <w:rPr>
          <w:bCs/>
        </w:rPr>
        <w:t>Ces fonctions sont assurées en chaque point où l’accès est contrôlé.</w:t>
      </w:r>
    </w:p>
    <w:p w14:paraId="4DB5BD1C" w14:textId="5BE8F6FC" w:rsidR="00DE0208" w:rsidRPr="00406BB2" w:rsidRDefault="00DE0208" w:rsidP="00DE0208">
      <w:pPr>
        <w:pStyle w:val="Titre2"/>
        <w:jc w:val="left"/>
        <w:rPr>
          <w:rStyle w:val="lev"/>
        </w:rPr>
      </w:pPr>
      <w:bookmarkStart w:id="5" w:name="_Toc175128585"/>
      <w:r w:rsidRPr="00406BB2">
        <w:rPr>
          <w:rStyle w:val="lev"/>
        </w:rPr>
        <w:t>I-1 Prescriptions de la Direction Générale de l’APHP :</w:t>
      </w:r>
      <w:bookmarkEnd w:id="5"/>
      <w:r w:rsidR="005D5B39">
        <w:rPr>
          <w:rStyle w:val="lev"/>
        </w:rPr>
        <w:t xml:space="preserve"> </w:t>
      </w:r>
    </w:p>
    <w:p w14:paraId="5024C738" w14:textId="57C845BA" w:rsidR="00DE0208" w:rsidRPr="00406BB2" w:rsidRDefault="00DE0208" w:rsidP="00DE0208">
      <w:pPr>
        <w:pStyle w:val="Corpsdetexte"/>
        <w:tabs>
          <w:tab w:val="left" w:pos="0"/>
        </w:tabs>
        <w:jc w:val="both"/>
        <w:rPr>
          <w:i/>
          <w:color w:val="auto"/>
        </w:rPr>
      </w:pPr>
      <w:r w:rsidRPr="00406BB2">
        <w:rPr>
          <w:i/>
          <w:color w:val="auto"/>
        </w:rPr>
        <w:t xml:space="preserve">Les systèmes de contrôles d’accès par badge doivent être compatibles sans restriction avec la carte </w:t>
      </w:r>
      <w:proofErr w:type="spellStart"/>
      <w:r w:rsidRPr="00406BB2">
        <w:rPr>
          <w:i/>
          <w:color w:val="auto"/>
        </w:rPr>
        <w:t>CPx</w:t>
      </w:r>
      <w:proofErr w:type="spellEnd"/>
      <w:r w:rsidRPr="00406BB2">
        <w:rPr>
          <w:i/>
          <w:color w:val="auto"/>
        </w:rPr>
        <w:t xml:space="preserve">. La carte </w:t>
      </w:r>
      <w:proofErr w:type="spellStart"/>
      <w:r w:rsidRPr="00406BB2">
        <w:rPr>
          <w:i/>
          <w:color w:val="auto"/>
        </w:rPr>
        <w:t>CPx</w:t>
      </w:r>
      <w:proofErr w:type="spellEnd"/>
      <w:r w:rsidRPr="00406BB2">
        <w:rPr>
          <w:i/>
          <w:color w:val="auto"/>
        </w:rPr>
        <w:t xml:space="preserve"> intègre plusieurs dispositifs de sécurité (numéro d’identifiant unique et numéro IAS avec possibilité de certificat ou de mise à la clé – la mise </w:t>
      </w:r>
      <w:r w:rsidR="00EA5930" w:rsidRPr="00406BB2">
        <w:rPr>
          <w:i/>
          <w:color w:val="auto"/>
        </w:rPr>
        <w:t>à la</w:t>
      </w:r>
      <w:r w:rsidRPr="00406BB2">
        <w:rPr>
          <w:i/>
          <w:color w:val="auto"/>
        </w:rPr>
        <w:t xml:space="preserve"> clé nécessite une carte </w:t>
      </w:r>
      <w:proofErr w:type="spellStart"/>
      <w:r w:rsidRPr="00406BB2">
        <w:rPr>
          <w:i/>
          <w:color w:val="auto"/>
        </w:rPr>
        <w:t>CPx</w:t>
      </w:r>
      <w:proofErr w:type="spellEnd"/>
      <w:r w:rsidRPr="00406BB2">
        <w:rPr>
          <w:i/>
          <w:color w:val="auto"/>
        </w:rPr>
        <w:t xml:space="preserve"> inscriptible distribuée par l’ASIP Santé). </w:t>
      </w:r>
      <w:r w:rsidR="00D024FF" w:rsidRPr="00406BB2">
        <w:rPr>
          <w:i/>
          <w:color w:val="auto"/>
        </w:rPr>
        <w:t>Actuellement l’AP-HP valide deux technologies pour les cartes CPS, la technologie de la carte CPS V3.1 (MIFARE CLASSIC) et la technologie de la carte CPS R3 (MIFARE</w:t>
      </w:r>
      <w:r w:rsidR="00D024FF" w:rsidRPr="00406BB2">
        <w:t xml:space="preserve"> </w:t>
      </w:r>
      <w:r w:rsidR="00D024FF" w:rsidRPr="00406BB2">
        <w:rPr>
          <w:i/>
          <w:color w:val="auto"/>
        </w:rPr>
        <w:t>DESFIRE).</w:t>
      </w:r>
    </w:p>
    <w:p w14:paraId="2DFB8656" w14:textId="77777777" w:rsidR="00832C73" w:rsidRPr="00406BB2" w:rsidRDefault="00DE0208" w:rsidP="00DE0208">
      <w:pPr>
        <w:pStyle w:val="Corpsdetexte"/>
        <w:tabs>
          <w:tab w:val="left" w:pos="0"/>
        </w:tabs>
        <w:jc w:val="both"/>
        <w:rPr>
          <w:i/>
          <w:color w:val="auto"/>
        </w:rPr>
      </w:pPr>
      <w:r w:rsidRPr="00406BB2">
        <w:rPr>
          <w:i/>
          <w:color w:val="auto"/>
        </w:rPr>
        <w:t>Si pour des locaux sans particularité il est</w:t>
      </w:r>
      <w:r w:rsidR="00F10C8C" w:rsidRPr="00406BB2">
        <w:rPr>
          <w:i/>
          <w:color w:val="auto"/>
        </w:rPr>
        <w:t xml:space="preserve"> </w:t>
      </w:r>
      <w:r w:rsidRPr="00406BB2">
        <w:rPr>
          <w:i/>
          <w:color w:val="auto"/>
        </w:rPr>
        <w:t>possible de retenir un niveau de sécurité relativement faible, pour les locaux sensibles (laboratoires L3, salles serveurs, locaux NRBC</w:t>
      </w:r>
      <w:r w:rsidR="005410AC" w:rsidRPr="00406BB2">
        <w:rPr>
          <w:rStyle w:val="Appelnotedebasdep"/>
          <w:i/>
          <w:color w:val="auto"/>
        </w:rPr>
        <w:footnoteReference w:id="1"/>
      </w:r>
      <w:r w:rsidRPr="00406BB2">
        <w:rPr>
          <w:i/>
          <w:color w:val="auto"/>
        </w:rPr>
        <w:t xml:space="preserve">,…), il y a lieu de déployer une technologie davantage sécurisée comme un certificat d’authentification du numéro IAS. Dans des cas bien particuliers de haute sécurité, il est possible de déployer un dispositif authentifiant le certificat d’authentification du numéro IAS. </w:t>
      </w:r>
    </w:p>
    <w:p w14:paraId="255D66AA" w14:textId="77777777" w:rsidR="00DE0208" w:rsidRPr="00406BB2" w:rsidRDefault="00832C73" w:rsidP="00DE0208">
      <w:pPr>
        <w:pStyle w:val="Corpsdetexte"/>
        <w:tabs>
          <w:tab w:val="left" w:pos="0"/>
        </w:tabs>
        <w:jc w:val="both"/>
        <w:rPr>
          <w:i/>
          <w:color w:val="auto"/>
        </w:rPr>
      </w:pPr>
      <w:r w:rsidRPr="00406BB2">
        <w:rPr>
          <w:i/>
          <w:color w:val="auto"/>
        </w:rPr>
        <w:t xml:space="preserve">Ce contrôle renforcé peut être complété par un deuxième système de contrôle d’accès pour les lieux les plus sensibles (salle cœur de réseau, régulation SAMU…). Il s’agit de l’authentification à deux facteurs. La deuxième authentification peut être réalisée par le code PIN de la carte </w:t>
      </w:r>
      <w:proofErr w:type="spellStart"/>
      <w:r w:rsidRPr="00406BB2">
        <w:rPr>
          <w:i/>
          <w:color w:val="auto"/>
        </w:rPr>
        <w:t>CPx</w:t>
      </w:r>
      <w:proofErr w:type="spellEnd"/>
      <w:r w:rsidRPr="00406BB2">
        <w:rPr>
          <w:i/>
          <w:color w:val="auto"/>
        </w:rPr>
        <w:t xml:space="preserve"> en mode contact (insertion dans le lecteur) ou par un autre dispositif sécurisé (biométrie par exemple). Pour des lieux spécifiques ou l’identification par badge </w:t>
      </w:r>
      <w:proofErr w:type="spellStart"/>
      <w:r w:rsidRPr="00406BB2">
        <w:rPr>
          <w:i/>
          <w:color w:val="auto"/>
        </w:rPr>
        <w:t>CPx</w:t>
      </w:r>
      <w:proofErr w:type="spellEnd"/>
      <w:r w:rsidRPr="00406BB2">
        <w:rPr>
          <w:i/>
          <w:color w:val="auto"/>
        </w:rPr>
        <w:t xml:space="preserve"> n’est pas possible (pour des raisons d’hygiène par exemple), </w:t>
      </w:r>
      <w:r w:rsidR="00145FC9" w:rsidRPr="00406BB2">
        <w:rPr>
          <w:i/>
          <w:color w:val="auto"/>
        </w:rPr>
        <w:t xml:space="preserve">par exception, </w:t>
      </w:r>
      <w:r w:rsidRPr="00406BB2">
        <w:rPr>
          <w:i/>
          <w:color w:val="auto"/>
        </w:rPr>
        <w:t>un dispositif d’accès alternatif peut être envisagé (biométrie par exemple). La biométrie se substitue au lecteur de badge.</w:t>
      </w:r>
    </w:p>
    <w:p w14:paraId="0B383DEF" w14:textId="77777777" w:rsidR="00DE0208" w:rsidRPr="00406BB2" w:rsidRDefault="00DE0208" w:rsidP="00DE0208">
      <w:pPr>
        <w:pStyle w:val="Corpsdetexte"/>
        <w:tabs>
          <w:tab w:val="left" w:pos="0"/>
        </w:tabs>
        <w:jc w:val="both"/>
        <w:rPr>
          <w:i/>
          <w:color w:val="auto"/>
        </w:rPr>
      </w:pPr>
      <w:r w:rsidRPr="00406BB2">
        <w:rPr>
          <w:i/>
          <w:color w:val="auto"/>
        </w:rPr>
        <w:t xml:space="preserve">Les matériels proposés dans le cadre de cette consultation devront impérativement être compatibles avec ces technologies afin de n’avoir qu’une simple mise à jour du système à effectuer lorsque l’on </w:t>
      </w:r>
      <w:r w:rsidRPr="00406BB2">
        <w:rPr>
          <w:i/>
          <w:color w:val="auto"/>
        </w:rPr>
        <w:lastRenderedPageBreak/>
        <w:t xml:space="preserve">souhaite rehausser le niveau de sécurité de la carte </w:t>
      </w:r>
      <w:proofErr w:type="spellStart"/>
      <w:r w:rsidRPr="00406BB2">
        <w:rPr>
          <w:i/>
          <w:color w:val="auto"/>
        </w:rPr>
        <w:t>CPx</w:t>
      </w:r>
      <w:proofErr w:type="spellEnd"/>
      <w:r w:rsidRPr="00406BB2">
        <w:rPr>
          <w:i/>
          <w:color w:val="auto"/>
        </w:rPr>
        <w:t xml:space="preserve"> en la rendant multi-technologie mais rétro compatible avec les tec</w:t>
      </w:r>
      <w:r w:rsidR="00145FC9" w:rsidRPr="00406BB2">
        <w:rPr>
          <w:i/>
          <w:color w:val="auto"/>
        </w:rPr>
        <w:t>hnologies de la carte actuelle.</w:t>
      </w:r>
    </w:p>
    <w:p w14:paraId="07ACB9D1" w14:textId="33D61F7F" w:rsidR="00DE0208" w:rsidRPr="00406BB2" w:rsidRDefault="00DE0208" w:rsidP="00DE0208">
      <w:pPr>
        <w:pStyle w:val="Corpsdetexte"/>
        <w:tabs>
          <w:tab w:val="left" w:pos="0"/>
        </w:tabs>
        <w:jc w:val="both"/>
        <w:rPr>
          <w:i/>
          <w:color w:val="auto"/>
        </w:rPr>
      </w:pPr>
      <w:r w:rsidRPr="00406BB2">
        <w:rPr>
          <w:i/>
          <w:color w:val="auto"/>
        </w:rPr>
        <w:t>Les équipements de contrôle d’accès doivent être pilotables au travers d’un logiciel interopérable avec le sys</w:t>
      </w:r>
      <w:r w:rsidR="00C9368D" w:rsidRPr="00406BB2">
        <w:rPr>
          <w:i/>
          <w:color w:val="auto"/>
        </w:rPr>
        <w:t>tème d’information de l’AP-HP. C</w:t>
      </w:r>
      <w:r w:rsidRPr="00406BB2">
        <w:rPr>
          <w:i/>
          <w:color w:val="auto"/>
        </w:rPr>
        <w:t>e logiciel de gestion doit être nativement et sans coût supplémentaire en capacité d’intégrer des données en provenance du SI de l’AP-HP, telles que les informations relatives aux identités des agents (entrants et sortants) ou relative</w:t>
      </w:r>
      <w:r w:rsidR="00832C73" w:rsidRPr="00406BB2">
        <w:rPr>
          <w:i/>
          <w:color w:val="auto"/>
        </w:rPr>
        <w:t>s</w:t>
      </w:r>
      <w:r w:rsidRPr="00406BB2">
        <w:rPr>
          <w:i/>
          <w:color w:val="auto"/>
        </w:rPr>
        <w:t xml:space="preserve"> à leur affectation en provenance de la solution GAIAP-IAM </w:t>
      </w:r>
      <w:proofErr w:type="spellStart"/>
      <w:r w:rsidRPr="00406BB2">
        <w:rPr>
          <w:i/>
          <w:color w:val="auto"/>
        </w:rPr>
        <w:t>Evidian</w:t>
      </w:r>
      <w:proofErr w:type="spellEnd"/>
      <w:r w:rsidRPr="00406BB2">
        <w:rPr>
          <w:i/>
          <w:color w:val="auto"/>
        </w:rPr>
        <w:t xml:space="preserve"> </w:t>
      </w:r>
      <w:r w:rsidR="00853DAD" w:rsidRPr="00406BB2">
        <w:rPr>
          <w:i/>
          <w:color w:val="auto"/>
        </w:rPr>
        <w:t>IGA 10</w:t>
      </w:r>
      <w:r w:rsidRPr="00406BB2">
        <w:rPr>
          <w:rStyle w:val="Appelnotedebasdep"/>
          <w:i/>
          <w:color w:val="auto"/>
        </w:rPr>
        <w:footnoteReference w:id="2"/>
      </w:r>
      <w:r w:rsidRPr="00406BB2">
        <w:rPr>
          <w:i/>
          <w:color w:val="auto"/>
        </w:rPr>
        <w:t xml:space="preserve"> ou supérieure. </w:t>
      </w:r>
    </w:p>
    <w:p w14:paraId="08613F0D" w14:textId="77777777" w:rsidR="00DE0208" w:rsidRPr="00406BB2" w:rsidRDefault="00DE0208" w:rsidP="00DE0208">
      <w:pPr>
        <w:pStyle w:val="Corpsdetexte"/>
        <w:tabs>
          <w:tab w:val="left" w:pos="0"/>
        </w:tabs>
        <w:jc w:val="both"/>
        <w:rPr>
          <w:i/>
          <w:color w:val="auto"/>
        </w:rPr>
      </w:pPr>
      <w:r w:rsidRPr="00406BB2">
        <w:rPr>
          <w:i/>
          <w:color w:val="auto"/>
        </w:rPr>
        <w:t xml:space="preserve">De même, ce logiciel de gestion doit être nativement et sans coût supplémentaire en capacité d’accepter et de répercuter un message énonçant un ordre de révocation des droits d’accès </w:t>
      </w:r>
      <w:r w:rsidR="00C9368D" w:rsidRPr="00406BB2">
        <w:rPr>
          <w:i/>
          <w:color w:val="auto"/>
        </w:rPr>
        <w:t>d’un porteur de carte ou d’identifiants biométriques dans un délai réduit.</w:t>
      </w:r>
    </w:p>
    <w:p w14:paraId="15BC8B13" w14:textId="4A510FB2" w:rsidR="00DE0208" w:rsidRPr="00406BB2" w:rsidRDefault="009530FD" w:rsidP="00DE0208">
      <w:pPr>
        <w:pStyle w:val="Corpsdetexte"/>
        <w:tabs>
          <w:tab w:val="left" w:pos="0"/>
        </w:tabs>
        <w:jc w:val="both"/>
        <w:rPr>
          <w:i/>
          <w:color w:val="auto"/>
        </w:rPr>
      </w:pPr>
      <w:r w:rsidRPr="00406BB2">
        <w:rPr>
          <w:i/>
          <w:color w:val="auto"/>
        </w:rPr>
        <w:t>Plu</w:t>
      </w:r>
      <w:r w:rsidR="00DE0208" w:rsidRPr="00406BB2">
        <w:rPr>
          <w:i/>
          <w:color w:val="auto"/>
        </w:rPr>
        <w:t xml:space="preserve">s généralement, la possibilité d’intégrer un message de demande d’attribution d’accès pour une identité avec précision de date et de fin de validité doit pouvoir être implémentée moyennant communication par les équipementiers retenus des spécifications, des mécanismes et formats implémentant ces dispositifs d’interfaçage afin de pouvoir être rendus interopérables avec la solution GAIAP-IAM </w:t>
      </w:r>
      <w:proofErr w:type="spellStart"/>
      <w:r w:rsidR="00DE0208" w:rsidRPr="00406BB2">
        <w:rPr>
          <w:i/>
          <w:color w:val="auto"/>
        </w:rPr>
        <w:t>Evidian</w:t>
      </w:r>
      <w:proofErr w:type="spellEnd"/>
      <w:r w:rsidR="00DE0208" w:rsidRPr="00406BB2">
        <w:rPr>
          <w:i/>
          <w:color w:val="auto"/>
        </w:rPr>
        <w:t xml:space="preserve"> </w:t>
      </w:r>
      <w:r w:rsidR="00853DAD" w:rsidRPr="00406BB2">
        <w:rPr>
          <w:i/>
          <w:color w:val="auto"/>
        </w:rPr>
        <w:t>IGA 10</w:t>
      </w:r>
      <w:r w:rsidR="00DE0208" w:rsidRPr="00406BB2">
        <w:rPr>
          <w:i/>
          <w:color w:val="auto"/>
        </w:rPr>
        <w:t xml:space="preserve"> ou supérieure. </w:t>
      </w:r>
    </w:p>
    <w:p w14:paraId="7D3017F6" w14:textId="77777777" w:rsidR="00DE0208" w:rsidRPr="00406BB2" w:rsidRDefault="00DE0208" w:rsidP="00DE0208">
      <w:pPr>
        <w:pStyle w:val="Corpsdetexte"/>
        <w:tabs>
          <w:tab w:val="left" w:pos="0"/>
        </w:tabs>
        <w:jc w:val="both"/>
        <w:rPr>
          <w:i/>
          <w:color w:val="auto"/>
        </w:rPr>
      </w:pPr>
      <w:r w:rsidRPr="00406BB2">
        <w:rPr>
          <w:i/>
          <w:color w:val="auto"/>
        </w:rPr>
        <w:t>GAIAP met à disposition quotidiennement des fichiers avec la liste des personnels et des tiers nouvellement arrivés et ayant quitté l’AP-HP ainsi qu’un état de situation.</w:t>
      </w:r>
    </w:p>
    <w:p w14:paraId="3914442F" w14:textId="77777777" w:rsidR="003B4D14" w:rsidRPr="00406BB2" w:rsidRDefault="003B4D14" w:rsidP="00DE0208">
      <w:pPr>
        <w:pStyle w:val="Corpsdetexte"/>
        <w:tabs>
          <w:tab w:val="left" w:pos="0"/>
        </w:tabs>
        <w:jc w:val="both"/>
        <w:rPr>
          <w:i/>
          <w:color w:val="auto"/>
        </w:rPr>
      </w:pPr>
    </w:p>
    <w:p w14:paraId="598896D0" w14:textId="77777777" w:rsidR="003B4D14" w:rsidRPr="00406BB2" w:rsidRDefault="003B4D14" w:rsidP="003B4D14">
      <w:pPr>
        <w:pStyle w:val="Corpsdetexte"/>
        <w:tabs>
          <w:tab w:val="left" w:pos="0"/>
        </w:tabs>
        <w:jc w:val="both"/>
        <w:rPr>
          <w:i/>
          <w:color w:val="auto"/>
        </w:rPr>
      </w:pPr>
      <w:r w:rsidRPr="00406BB2">
        <w:rPr>
          <w:i/>
          <w:color w:val="auto"/>
        </w:rPr>
        <w:t xml:space="preserve">Concernant les </w:t>
      </w:r>
      <w:r w:rsidRPr="00406BB2">
        <w:rPr>
          <w:b/>
          <w:i/>
          <w:color w:val="auto"/>
        </w:rPr>
        <w:t>normes de sécurité de tous ces dispositifs</w:t>
      </w:r>
      <w:r w:rsidRPr="00406BB2">
        <w:rPr>
          <w:i/>
          <w:color w:val="auto"/>
        </w:rPr>
        <w:t>, ils doivent intégrer les préconisations de l’ANSSI</w:t>
      </w:r>
      <w:r w:rsidRPr="00406BB2">
        <w:rPr>
          <w:rStyle w:val="Appelnotedebasdep"/>
          <w:i/>
          <w:color w:val="auto"/>
        </w:rPr>
        <w:footnoteReference w:id="3"/>
      </w:r>
      <w:r w:rsidRPr="00406BB2">
        <w:rPr>
          <w:i/>
          <w:color w:val="auto"/>
        </w:rPr>
        <w:t xml:space="preserve"> en matière de sécurité des systèmes d’information (SI) et notamment leur déclinaison au sein de l’AP-HP :</w:t>
      </w:r>
    </w:p>
    <w:p w14:paraId="680E9E4C" w14:textId="77777777" w:rsidR="003B4D14" w:rsidRPr="00406BB2" w:rsidRDefault="003B4D14" w:rsidP="0033646D">
      <w:pPr>
        <w:pStyle w:val="Corpsdetexte"/>
        <w:numPr>
          <w:ilvl w:val="0"/>
          <w:numId w:val="11"/>
        </w:numPr>
        <w:tabs>
          <w:tab w:val="left" w:pos="0"/>
        </w:tabs>
        <w:spacing w:after="0"/>
        <w:ind w:left="567"/>
        <w:jc w:val="both"/>
        <w:rPr>
          <w:i/>
          <w:color w:val="auto"/>
        </w:rPr>
      </w:pPr>
      <w:r w:rsidRPr="00406BB2">
        <w:rPr>
          <w:i/>
          <w:color w:val="auto"/>
        </w:rPr>
        <w:t>Règles de sécurité du SI applicables aux titulaires de marché de l’AP-HP daté de février 2017 ;</w:t>
      </w:r>
    </w:p>
    <w:p w14:paraId="13DBC9AA" w14:textId="77777777" w:rsidR="003B4D14" w:rsidRPr="00406BB2" w:rsidRDefault="003B4D14" w:rsidP="0033646D">
      <w:pPr>
        <w:pStyle w:val="Corpsdetexte"/>
        <w:numPr>
          <w:ilvl w:val="0"/>
          <w:numId w:val="11"/>
        </w:numPr>
        <w:tabs>
          <w:tab w:val="left" w:pos="0"/>
        </w:tabs>
        <w:spacing w:after="0"/>
        <w:ind w:left="567"/>
        <w:jc w:val="both"/>
        <w:rPr>
          <w:i/>
          <w:color w:val="auto"/>
        </w:rPr>
      </w:pPr>
      <w:r w:rsidRPr="00406BB2">
        <w:rPr>
          <w:i/>
          <w:color w:val="auto"/>
        </w:rPr>
        <w:t>Le cadre de cohérence technique destiné à faciliter l’intégration des nouvea</w:t>
      </w:r>
      <w:r w:rsidR="00855169" w:rsidRPr="00406BB2">
        <w:rPr>
          <w:i/>
          <w:color w:val="auto"/>
        </w:rPr>
        <w:t>ux systèmes dans le SI existant </w:t>
      </w:r>
      <w:r w:rsidR="005F0A60" w:rsidRPr="00406BB2">
        <w:rPr>
          <w:i/>
          <w:color w:val="auto"/>
        </w:rPr>
        <w:t xml:space="preserve">(février 2016), </w:t>
      </w:r>
      <w:r w:rsidR="00855169" w:rsidRPr="00406BB2">
        <w:rPr>
          <w:i/>
          <w:color w:val="auto"/>
        </w:rPr>
        <w:t xml:space="preserve">joint en annexe </w:t>
      </w:r>
      <w:r w:rsidR="005F0A60" w:rsidRPr="00406BB2">
        <w:rPr>
          <w:i/>
          <w:color w:val="auto"/>
        </w:rPr>
        <w:t>6</w:t>
      </w:r>
      <w:r w:rsidR="00855169" w:rsidRPr="00406BB2">
        <w:rPr>
          <w:i/>
          <w:color w:val="auto"/>
        </w:rPr>
        <w:t xml:space="preserve"> du présent CCTP. </w:t>
      </w:r>
      <w:r w:rsidRPr="00406BB2">
        <w:rPr>
          <w:i/>
          <w:color w:val="auto"/>
        </w:rPr>
        <w:t xml:space="preserve"> </w:t>
      </w:r>
    </w:p>
    <w:p w14:paraId="71D4427E" w14:textId="77777777" w:rsidR="003B4D14" w:rsidRPr="00406BB2" w:rsidRDefault="003B4D14" w:rsidP="003B4D14">
      <w:pPr>
        <w:pStyle w:val="Corpsdetexte"/>
        <w:tabs>
          <w:tab w:val="left" w:pos="0"/>
        </w:tabs>
        <w:spacing w:after="0"/>
        <w:ind w:left="567"/>
        <w:jc w:val="both"/>
        <w:rPr>
          <w:i/>
          <w:color w:val="auto"/>
        </w:rPr>
      </w:pPr>
    </w:p>
    <w:p w14:paraId="7707BD67" w14:textId="77777777" w:rsidR="003B4D14" w:rsidRPr="00406BB2" w:rsidRDefault="003B4D14" w:rsidP="003B4D14">
      <w:pPr>
        <w:pStyle w:val="Corpsdetexte"/>
        <w:tabs>
          <w:tab w:val="left" w:pos="0"/>
        </w:tabs>
        <w:jc w:val="both"/>
        <w:rPr>
          <w:i/>
          <w:color w:val="auto"/>
        </w:rPr>
      </w:pPr>
      <w:r w:rsidRPr="00406BB2">
        <w:rPr>
          <w:i/>
          <w:color w:val="auto"/>
        </w:rPr>
        <w:t>S’ils ne les respectent pas, il doit en être fait mention très clairement. Une ou plusieurs solutions palliatives seront proposées pour atteindre un niveau de sécurité équivalent.</w:t>
      </w:r>
    </w:p>
    <w:p w14:paraId="7EFA0C54" w14:textId="77777777" w:rsidR="00DE0208" w:rsidRPr="00406BB2" w:rsidRDefault="00DE0208" w:rsidP="00DE0208">
      <w:pPr>
        <w:pStyle w:val="Corpsdetexte"/>
        <w:tabs>
          <w:tab w:val="left" w:pos="0"/>
        </w:tabs>
        <w:jc w:val="both"/>
        <w:rPr>
          <w:i/>
          <w:color w:val="auto"/>
        </w:rPr>
      </w:pPr>
      <w:r w:rsidRPr="00406BB2">
        <w:rPr>
          <w:i/>
          <w:color w:val="auto"/>
        </w:rPr>
        <w:t>Aussi, comme tout système d’information, les dispositifs de contrôle d’accès doivent être achetés, sécurisés et maintenus en condition de sécurité tout le temps de leur usage. La télémaintenance de ces appareils, lorsqu’elle est prévue, doit être conforme aux exigences de la DSI</w:t>
      </w:r>
      <w:r w:rsidRPr="00406BB2">
        <w:rPr>
          <w:rStyle w:val="Appelnotedebasdep"/>
          <w:i/>
          <w:color w:val="auto"/>
        </w:rPr>
        <w:footnoteReference w:id="4"/>
      </w:r>
      <w:r w:rsidRPr="00406BB2">
        <w:rPr>
          <w:i/>
          <w:color w:val="auto"/>
        </w:rPr>
        <w:t xml:space="preserve"> de l’AP-HP et respecter les CCTP.</w:t>
      </w:r>
    </w:p>
    <w:p w14:paraId="59B7F2B7" w14:textId="77777777" w:rsidR="00DE0208" w:rsidRPr="00406BB2" w:rsidRDefault="00DE0208" w:rsidP="00DE0208">
      <w:pPr>
        <w:pStyle w:val="Corpsdetexte"/>
        <w:tabs>
          <w:tab w:val="left" w:pos="0"/>
        </w:tabs>
        <w:jc w:val="both"/>
        <w:rPr>
          <w:i/>
          <w:color w:val="auto"/>
        </w:rPr>
      </w:pPr>
      <w:r w:rsidRPr="00406BB2">
        <w:rPr>
          <w:i/>
          <w:color w:val="auto"/>
        </w:rPr>
        <w:t>Le candidat garantit, sous peine de non-conformité, qu’à la date du dépôt de son offre, les logiciels et matériels, qu’il propose dans son offre, ne comportent aucune vulnérabilité qui permettrait de prendre leur contrôle à distance sans identification et authentification préalable.</w:t>
      </w:r>
    </w:p>
    <w:p w14:paraId="00E74E98" w14:textId="34F5333D" w:rsidR="001D2AFB" w:rsidRDefault="001D2AFB" w:rsidP="00DE0208">
      <w:pPr>
        <w:pStyle w:val="Corpsdetexte"/>
        <w:tabs>
          <w:tab w:val="left" w:pos="0"/>
        </w:tabs>
        <w:jc w:val="both"/>
        <w:rPr>
          <w:i/>
          <w:color w:val="auto"/>
          <w:highlight w:val="green"/>
        </w:rPr>
      </w:pPr>
    </w:p>
    <w:p w14:paraId="4193F0ED" w14:textId="0392218B" w:rsidR="005D5B39" w:rsidRPr="00406BB2" w:rsidRDefault="005D5B39" w:rsidP="005D5B39">
      <w:pPr>
        <w:pStyle w:val="Titre2"/>
        <w:jc w:val="left"/>
        <w:rPr>
          <w:rStyle w:val="lev"/>
        </w:rPr>
      </w:pPr>
      <w:r w:rsidRPr="00406BB2">
        <w:rPr>
          <w:rStyle w:val="lev"/>
        </w:rPr>
        <w:lastRenderedPageBreak/>
        <w:t>I-</w:t>
      </w:r>
      <w:r>
        <w:rPr>
          <w:rStyle w:val="lev"/>
        </w:rPr>
        <w:t>2</w:t>
      </w:r>
      <w:r w:rsidRPr="00406BB2">
        <w:rPr>
          <w:rStyle w:val="lev"/>
        </w:rPr>
        <w:t xml:space="preserve"> </w:t>
      </w:r>
      <w:r>
        <w:rPr>
          <w:rStyle w:val="lev"/>
        </w:rPr>
        <w:t>Prestations du marché</w:t>
      </w:r>
      <w:r w:rsidRPr="00406BB2">
        <w:rPr>
          <w:rStyle w:val="lev"/>
        </w:rPr>
        <w:t> :</w:t>
      </w:r>
      <w:r>
        <w:rPr>
          <w:rStyle w:val="lev"/>
        </w:rPr>
        <w:t xml:space="preserve"> </w:t>
      </w:r>
    </w:p>
    <w:p w14:paraId="3DBB75DD" w14:textId="4289B033" w:rsidR="005D5B39" w:rsidRDefault="005D5B39" w:rsidP="00DE0208">
      <w:pPr>
        <w:pStyle w:val="Corpsdetexte"/>
        <w:tabs>
          <w:tab w:val="left" w:pos="0"/>
        </w:tabs>
        <w:jc w:val="both"/>
        <w:rPr>
          <w:i/>
          <w:color w:val="auto"/>
          <w:highlight w:val="green"/>
        </w:rPr>
      </w:pPr>
    </w:p>
    <w:p w14:paraId="699928D3" w14:textId="628019F0" w:rsidR="005D5B39" w:rsidRDefault="005D5B39" w:rsidP="005D5B39">
      <w:pPr>
        <w:spacing w:after="0" w:line="240" w:lineRule="auto"/>
      </w:pPr>
      <w:r>
        <w:t>Les prestations couvertes par le marché doivent comprendre :</w:t>
      </w:r>
    </w:p>
    <w:p w14:paraId="676FF622" w14:textId="77777777" w:rsidR="005D5B39" w:rsidRDefault="005D5B39" w:rsidP="005D5B39">
      <w:pPr>
        <w:spacing w:after="0" w:line="240" w:lineRule="auto"/>
      </w:pPr>
    </w:p>
    <w:p w14:paraId="24467CDE" w14:textId="0ECFDD57" w:rsidR="005D5B39" w:rsidRPr="00BE41A7" w:rsidRDefault="005D5B39" w:rsidP="00BE41A7">
      <w:pPr>
        <w:pStyle w:val="Paragraphedeliste"/>
        <w:numPr>
          <w:ilvl w:val="0"/>
          <w:numId w:val="49"/>
        </w:numPr>
        <w:spacing w:after="0" w:line="240" w:lineRule="auto"/>
        <w:jc w:val="both"/>
      </w:pPr>
      <w:r w:rsidRPr="00BE41A7">
        <w:t xml:space="preserve">Les achats de prestations </w:t>
      </w:r>
      <w:r w:rsidR="00BE41A7" w:rsidRPr="00BE41A7">
        <w:t>d’étude de site ;</w:t>
      </w:r>
    </w:p>
    <w:p w14:paraId="3F311C54" w14:textId="6530551D" w:rsidR="005D5B39" w:rsidRPr="005D5B39" w:rsidRDefault="005D5B39" w:rsidP="005D5B39">
      <w:pPr>
        <w:pStyle w:val="Paragraphedeliste"/>
        <w:numPr>
          <w:ilvl w:val="0"/>
          <w:numId w:val="49"/>
        </w:numPr>
        <w:spacing w:after="0" w:line="240" w:lineRule="auto"/>
        <w:jc w:val="both"/>
      </w:pPr>
      <w:r w:rsidRPr="005D5B39">
        <w:t xml:space="preserve">Les achats de matériels : </w:t>
      </w:r>
      <w:r>
        <w:t>Plaques béquilles</w:t>
      </w:r>
      <w:r w:rsidRPr="005D5B39">
        <w:t>,</w:t>
      </w:r>
      <w:r>
        <w:t xml:space="preserve"> lecteurs, détecteurs câblage,</w:t>
      </w:r>
      <w:r w:rsidRPr="005D5B39">
        <w:t xml:space="preserve"> </w:t>
      </w:r>
      <w:r>
        <w:t xml:space="preserve">serveurs, enregistreurs, écrans, alimentations </w:t>
      </w:r>
      <w:r w:rsidRPr="005D5B39">
        <w:t>;</w:t>
      </w:r>
    </w:p>
    <w:p w14:paraId="5A188786" w14:textId="52FEFB1B" w:rsidR="005D5B39" w:rsidRPr="005D5B39" w:rsidRDefault="005D5B39" w:rsidP="005D5B39">
      <w:pPr>
        <w:pStyle w:val="Paragraphedeliste"/>
        <w:numPr>
          <w:ilvl w:val="0"/>
          <w:numId w:val="49"/>
        </w:numPr>
        <w:spacing w:after="0" w:line="240" w:lineRule="auto"/>
        <w:jc w:val="both"/>
      </w:pPr>
      <w:r w:rsidRPr="005D5B39">
        <w:t>Les achats de solutions logicielles ;</w:t>
      </w:r>
    </w:p>
    <w:p w14:paraId="7A1404AE" w14:textId="1C8FBE54" w:rsidR="005D5B39" w:rsidRPr="005D5B39" w:rsidRDefault="005D5B39" w:rsidP="005D5B39">
      <w:pPr>
        <w:pStyle w:val="Paragraphedeliste"/>
        <w:numPr>
          <w:ilvl w:val="0"/>
          <w:numId w:val="49"/>
        </w:numPr>
        <w:spacing w:after="0" w:line="240" w:lineRule="auto"/>
        <w:jc w:val="both"/>
      </w:pPr>
      <w:r w:rsidRPr="005D5B39">
        <w:t>L’installation et le paramétrage de matériels :</w:t>
      </w:r>
      <w:r>
        <w:t xml:space="preserve"> plaques béquilles, détecteurs, </w:t>
      </w:r>
      <w:r w:rsidRPr="005D5B39">
        <w:t>serveurs, lecteurs ;</w:t>
      </w:r>
    </w:p>
    <w:p w14:paraId="6D0481B7" w14:textId="77777777" w:rsidR="005D5B39" w:rsidRPr="005D5B39" w:rsidRDefault="005D5B39" w:rsidP="005D5B39">
      <w:pPr>
        <w:pStyle w:val="Paragraphedeliste"/>
        <w:numPr>
          <w:ilvl w:val="0"/>
          <w:numId w:val="49"/>
        </w:numPr>
        <w:spacing w:after="0" w:line="240" w:lineRule="auto"/>
        <w:jc w:val="both"/>
      </w:pPr>
      <w:r w:rsidRPr="005D5B39">
        <w:t>L’installation et le paramétrage des solutions logicielles ;</w:t>
      </w:r>
    </w:p>
    <w:p w14:paraId="60F14915" w14:textId="35243310" w:rsidR="005D5B39" w:rsidRDefault="005D5B39" w:rsidP="005D5B39">
      <w:pPr>
        <w:pStyle w:val="Paragraphedeliste"/>
        <w:numPr>
          <w:ilvl w:val="0"/>
          <w:numId w:val="49"/>
        </w:numPr>
        <w:spacing w:after="0" w:line="240" w:lineRule="auto"/>
        <w:jc w:val="both"/>
      </w:pPr>
      <w:r w:rsidRPr="00BE41A7">
        <w:t xml:space="preserve">La garantie et le maintien en condition opérationnelle et le maintien en condition de sécurité conformément à la PGSSI de l’AP-HP pendant la durée du marché ; </w:t>
      </w:r>
    </w:p>
    <w:p w14:paraId="48C7AC0D" w14:textId="2BF8CD56" w:rsidR="00BE41A7" w:rsidRPr="00BE41A7" w:rsidRDefault="00BE41A7" w:rsidP="005D5B39">
      <w:pPr>
        <w:pStyle w:val="Paragraphedeliste"/>
        <w:numPr>
          <w:ilvl w:val="0"/>
          <w:numId w:val="49"/>
        </w:numPr>
        <w:spacing w:after="0" w:line="240" w:lineRule="auto"/>
        <w:jc w:val="both"/>
      </w:pPr>
      <w:r>
        <w:t xml:space="preserve">La fourniture d’un dossier complet d’ouvrage exécuté ; </w:t>
      </w:r>
    </w:p>
    <w:p w14:paraId="238D915C" w14:textId="77777777" w:rsidR="005D5B39" w:rsidRPr="00BE41A7" w:rsidRDefault="005D5B39" w:rsidP="005D5B39">
      <w:pPr>
        <w:pStyle w:val="Paragraphedeliste"/>
        <w:numPr>
          <w:ilvl w:val="0"/>
          <w:numId w:val="49"/>
        </w:numPr>
        <w:spacing w:after="0" w:line="240" w:lineRule="auto"/>
        <w:jc w:val="both"/>
      </w:pPr>
      <w:r w:rsidRPr="00BE41A7">
        <w:t>Les formations et l’accompagnement du changement des différents acteurs ;</w:t>
      </w:r>
    </w:p>
    <w:p w14:paraId="17A9549F" w14:textId="37A989F5" w:rsidR="005D5B39" w:rsidRPr="00406BB2" w:rsidRDefault="005D5B39" w:rsidP="00DE0208">
      <w:pPr>
        <w:pStyle w:val="Corpsdetexte"/>
        <w:tabs>
          <w:tab w:val="left" w:pos="0"/>
        </w:tabs>
        <w:jc w:val="both"/>
        <w:rPr>
          <w:i/>
          <w:color w:val="auto"/>
          <w:highlight w:val="green"/>
        </w:rPr>
      </w:pPr>
    </w:p>
    <w:p w14:paraId="44BED737" w14:textId="77777777" w:rsidR="007F34BC" w:rsidRPr="00406BB2" w:rsidRDefault="00B32BA9" w:rsidP="00FA1912">
      <w:pPr>
        <w:pStyle w:val="Titre1"/>
        <w:tabs>
          <w:tab w:val="left" w:pos="0"/>
        </w:tabs>
        <w:jc w:val="left"/>
      </w:pPr>
      <w:bookmarkStart w:id="6" w:name="_Toc130915586"/>
      <w:bookmarkStart w:id="7" w:name="_Toc130915640"/>
      <w:bookmarkStart w:id="8" w:name="_Toc175128586"/>
      <w:r w:rsidRPr="00406BB2">
        <w:t xml:space="preserve">II- </w:t>
      </w:r>
      <w:r w:rsidR="007F34BC" w:rsidRPr="00406BB2">
        <w:t>DECOMPOSITION EN LOT</w:t>
      </w:r>
      <w:bookmarkEnd w:id="6"/>
      <w:bookmarkEnd w:id="7"/>
      <w:r w:rsidR="00763614" w:rsidRPr="00406BB2">
        <w:t>S</w:t>
      </w:r>
      <w:bookmarkEnd w:id="8"/>
    </w:p>
    <w:p w14:paraId="68532315" w14:textId="74F7325A" w:rsidR="007F34BC" w:rsidRPr="00BE41A7" w:rsidRDefault="00CB12C7" w:rsidP="00FA1912">
      <w:pPr>
        <w:pStyle w:val="Normal2"/>
        <w:tabs>
          <w:tab w:val="left" w:pos="0"/>
        </w:tabs>
      </w:pPr>
      <w:r w:rsidRPr="00BE41A7">
        <w:t xml:space="preserve">Le marché se </w:t>
      </w:r>
      <w:r w:rsidR="007F34BC" w:rsidRPr="00BE41A7">
        <w:t xml:space="preserve">compose </w:t>
      </w:r>
      <w:r w:rsidRPr="00BE41A7">
        <w:t>d’un</w:t>
      </w:r>
      <w:r w:rsidR="00616140" w:rsidRPr="00BE41A7">
        <w:t xml:space="preserve"> </w:t>
      </w:r>
      <w:r w:rsidR="00523236" w:rsidRPr="00BE41A7">
        <w:t>lot</w:t>
      </w:r>
      <w:r w:rsidR="007F34BC" w:rsidRPr="00BE41A7">
        <w:t xml:space="preserve"> </w:t>
      </w:r>
      <w:r w:rsidR="00523236" w:rsidRPr="00BE41A7">
        <w:t>unique</w:t>
      </w:r>
      <w:r w:rsidR="00CF0BF5">
        <w:t xml:space="preserve"> </w:t>
      </w:r>
      <w:r w:rsidR="00523236" w:rsidRPr="00BE41A7">
        <w:t>:</w:t>
      </w:r>
    </w:p>
    <w:tbl>
      <w:tblPr>
        <w:tblW w:w="9554" w:type="dxa"/>
        <w:jc w:val="center"/>
        <w:tblBorders>
          <w:top w:val="single" w:sz="8" w:space="0" w:color="4F81BD"/>
          <w:left w:val="single" w:sz="8" w:space="0" w:color="4F81BD"/>
          <w:bottom w:val="single" w:sz="8" w:space="0" w:color="4F81BD"/>
          <w:right w:val="single" w:sz="8" w:space="0" w:color="4F81BD"/>
          <w:insideH w:val="single" w:sz="6" w:space="0" w:color="4F81BD"/>
          <w:insideV w:val="single" w:sz="6" w:space="0" w:color="4F81BD"/>
        </w:tblBorders>
        <w:tblLayout w:type="fixed"/>
        <w:tblLook w:val="0000" w:firstRow="0" w:lastRow="0" w:firstColumn="0" w:lastColumn="0" w:noHBand="0" w:noVBand="0"/>
      </w:tblPr>
      <w:tblGrid>
        <w:gridCol w:w="1214"/>
        <w:gridCol w:w="8340"/>
      </w:tblGrid>
      <w:tr w:rsidR="00BE41A7" w:rsidRPr="00BE41A7" w14:paraId="419E8DAD" w14:textId="77777777" w:rsidTr="00156344">
        <w:trPr>
          <w:trHeight w:val="516"/>
          <w:jc w:val="center"/>
        </w:trPr>
        <w:tc>
          <w:tcPr>
            <w:tcW w:w="1214" w:type="dxa"/>
            <w:shd w:val="clear" w:color="auto" w:fill="DEEAF6" w:themeFill="accent1" w:themeFillTint="33"/>
            <w:vAlign w:val="center"/>
          </w:tcPr>
          <w:p w14:paraId="5875DA95" w14:textId="77777777" w:rsidR="00BE41A7" w:rsidRPr="00BE41A7" w:rsidRDefault="00BE41A7" w:rsidP="00220663">
            <w:pPr>
              <w:tabs>
                <w:tab w:val="left" w:pos="0"/>
              </w:tabs>
              <w:spacing w:after="0" w:line="240" w:lineRule="auto"/>
              <w:jc w:val="center"/>
              <w:rPr>
                <w:rFonts w:ascii="Times New Roman" w:hAnsi="Times New Roman"/>
                <w:b/>
                <w:iCs/>
              </w:rPr>
            </w:pPr>
            <w:r w:rsidRPr="00BE41A7">
              <w:rPr>
                <w:rFonts w:ascii="Times New Roman" w:hAnsi="Times New Roman"/>
                <w:b/>
                <w:iCs/>
              </w:rPr>
              <w:t>N° du lot</w:t>
            </w:r>
          </w:p>
        </w:tc>
        <w:tc>
          <w:tcPr>
            <w:tcW w:w="8340" w:type="dxa"/>
            <w:shd w:val="clear" w:color="auto" w:fill="DEEAF6" w:themeFill="accent1" w:themeFillTint="33"/>
            <w:vAlign w:val="center"/>
          </w:tcPr>
          <w:p w14:paraId="3C4F6CEE" w14:textId="77777777" w:rsidR="00BE41A7" w:rsidRPr="00BE41A7" w:rsidRDefault="00BE41A7" w:rsidP="00220663">
            <w:pPr>
              <w:tabs>
                <w:tab w:val="left" w:pos="0"/>
              </w:tabs>
              <w:spacing w:after="0" w:line="240" w:lineRule="auto"/>
              <w:jc w:val="center"/>
              <w:rPr>
                <w:rFonts w:ascii="Times New Roman" w:hAnsi="Times New Roman"/>
                <w:b/>
                <w:iCs/>
              </w:rPr>
            </w:pPr>
            <w:r w:rsidRPr="00BE41A7">
              <w:rPr>
                <w:rFonts w:ascii="Times New Roman" w:hAnsi="Times New Roman"/>
                <w:b/>
                <w:iCs/>
              </w:rPr>
              <w:t>Intitulé du lot</w:t>
            </w:r>
          </w:p>
        </w:tc>
      </w:tr>
      <w:tr w:rsidR="00BE41A7" w:rsidRPr="00406BB2" w14:paraId="366AC230" w14:textId="77777777" w:rsidTr="00156344">
        <w:trPr>
          <w:trHeight w:val="516"/>
          <w:jc w:val="center"/>
        </w:trPr>
        <w:tc>
          <w:tcPr>
            <w:tcW w:w="1214" w:type="dxa"/>
            <w:shd w:val="clear" w:color="auto" w:fill="auto"/>
            <w:vAlign w:val="center"/>
          </w:tcPr>
          <w:p w14:paraId="7AAE0E85" w14:textId="77777777" w:rsidR="00BE41A7" w:rsidRPr="00BE41A7" w:rsidRDefault="00BE41A7" w:rsidP="00A90A45">
            <w:pPr>
              <w:tabs>
                <w:tab w:val="left" w:pos="0"/>
              </w:tabs>
              <w:spacing w:after="0" w:line="240" w:lineRule="auto"/>
              <w:jc w:val="center"/>
              <w:rPr>
                <w:rFonts w:ascii="Times New Roman" w:hAnsi="Times New Roman"/>
                <w:b/>
                <w:iCs/>
                <w:sz w:val="24"/>
                <w:szCs w:val="24"/>
              </w:rPr>
            </w:pPr>
            <w:r w:rsidRPr="00BE41A7">
              <w:rPr>
                <w:rFonts w:ascii="Times New Roman" w:hAnsi="Times New Roman"/>
                <w:b/>
                <w:iCs/>
                <w:sz w:val="24"/>
                <w:szCs w:val="24"/>
              </w:rPr>
              <w:t>1</w:t>
            </w:r>
          </w:p>
        </w:tc>
        <w:tc>
          <w:tcPr>
            <w:tcW w:w="8340" w:type="dxa"/>
            <w:shd w:val="clear" w:color="auto" w:fill="auto"/>
            <w:vAlign w:val="center"/>
          </w:tcPr>
          <w:p w14:paraId="026FFB02" w14:textId="60740034" w:rsidR="00BE41A7" w:rsidRPr="00BE41A7" w:rsidRDefault="00BE41A7" w:rsidP="00A90A45">
            <w:pPr>
              <w:tabs>
                <w:tab w:val="left" w:pos="0"/>
              </w:tabs>
              <w:spacing w:after="0" w:line="240" w:lineRule="auto"/>
            </w:pPr>
            <w:r w:rsidRPr="00406BB2">
              <w:t xml:space="preserve">Fourniture, livraison, installation et </w:t>
            </w:r>
            <w:r>
              <w:t xml:space="preserve">intégration de solution logicielle pour </w:t>
            </w:r>
            <w:r w:rsidRPr="00406BB2">
              <w:t>mise en service</w:t>
            </w:r>
            <w:r w:rsidRPr="00406BB2">
              <w:rPr>
                <w:bCs/>
              </w:rPr>
              <w:t xml:space="preserve"> de systèmes de contrôles électroniques d’accès physique nécessaires aux besoins du PIC ACHAT de l’Assistance-Publique Hôpitaux de Paris</w:t>
            </w:r>
          </w:p>
        </w:tc>
      </w:tr>
    </w:tbl>
    <w:p w14:paraId="4BE1E573" w14:textId="2CB8592D" w:rsidR="00EA30DA" w:rsidRPr="00156344" w:rsidRDefault="00EA30DA" w:rsidP="00F42557">
      <w:bookmarkStart w:id="9" w:name="_Toc128193589"/>
      <w:bookmarkStart w:id="10" w:name="_Toc130915587"/>
      <w:bookmarkStart w:id="11" w:name="_Toc130915641"/>
    </w:p>
    <w:p w14:paraId="27A741F0" w14:textId="77777777" w:rsidR="00CF0BF5" w:rsidRPr="00CF0BF5" w:rsidRDefault="00CF0BF5" w:rsidP="00CF0BF5">
      <w:r w:rsidRPr="00CF0BF5">
        <w:t xml:space="preserve">Le marché est composé d’une tranche ferme et d’une tranche optionnelle. </w:t>
      </w:r>
    </w:p>
    <w:p w14:paraId="5413D743" w14:textId="6240DF9C" w:rsidR="00CF0BF5" w:rsidRPr="00CF0BF5" w:rsidRDefault="00CF0BF5" w:rsidP="00CF0BF5">
      <w:r w:rsidRPr="00CF0BF5">
        <w:t xml:space="preserve">La tranche ferme concerne : la sécurisation des entrées externes des bâtiments ainsi que de l’accès à la salle serveurs : installation de contrôles d’accès filaires. Le démarrage de cette tranche ferme s’effectue dès la notification du marché. </w:t>
      </w:r>
    </w:p>
    <w:p w14:paraId="54C381AA" w14:textId="051DB75F" w:rsidR="00CF0BF5" w:rsidRDefault="00CF0BF5" w:rsidP="00F42557">
      <w:r w:rsidRPr="00CF0BF5">
        <w:t xml:space="preserve">La tranche optionnelle concerne : la sécurisation des accès internes aux locaux : installation de contrôles d’accès non filaires. La tranche optionnelle pourra être affermies à compter de la deuxième année de marché. Pour ce faire le pouvoir adjudicateur préviendra le titulaire 1mois avant l’affermissement. </w:t>
      </w:r>
    </w:p>
    <w:p w14:paraId="5A6A243C" w14:textId="401084CD" w:rsidR="004552CE" w:rsidRDefault="004552CE" w:rsidP="00F42557">
      <w:r>
        <w:t xml:space="preserve">Le maître d’ouvrage se réserve le droit de ne pas affermir la tranche conditionnelle. </w:t>
      </w:r>
    </w:p>
    <w:p w14:paraId="1BB7AD07" w14:textId="77777777" w:rsidR="004552CE" w:rsidRPr="00156344" w:rsidRDefault="004552CE" w:rsidP="00F42557"/>
    <w:p w14:paraId="4CAF0D6C" w14:textId="77777777" w:rsidR="00CF0BF5" w:rsidRDefault="00CF0BF5">
      <w:pPr>
        <w:spacing w:after="0" w:line="240" w:lineRule="auto"/>
        <w:rPr>
          <w:caps/>
          <w:color w:val="632423"/>
          <w:spacing w:val="20"/>
          <w:sz w:val="28"/>
          <w:szCs w:val="28"/>
        </w:rPr>
      </w:pPr>
      <w:bookmarkStart w:id="12" w:name="_Toc175128587"/>
      <w:r>
        <w:br w:type="page"/>
      </w:r>
    </w:p>
    <w:p w14:paraId="0D7D9B74" w14:textId="39E0E190" w:rsidR="0068218E" w:rsidRPr="004552CE" w:rsidRDefault="00B32BA9" w:rsidP="000E2073">
      <w:pPr>
        <w:pStyle w:val="Titre1"/>
        <w:tabs>
          <w:tab w:val="left" w:pos="0"/>
        </w:tabs>
        <w:jc w:val="left"/>
        <w:rPr>
          <w:rStyle w:val="lev"/>
          <w:b w:val="0"/>
          <w:bCs w:val="0"/>
          <w:color w:val="632423"/>
          <w:spacing w:val="20"/>
        </w:rPr>
      </w:pPr>
      <w:r w:rsidRPr="004552CE">
        <w:lastRenderedPageBreak/>
        <w:t>III</w:t>
      </w:r>
      <w:r w:rsidR="005B0EB7" w:rsidRPr="004552CE">
        <w:t>- COMPOSITION</w:t>
      </w:r>
      <w:r w:rsidR="007F34BC" w:rsidRPr="004552CE">
        <w:t xml:space="preserve"> </w:t>
      </w:r>
      <w:r w:rsidR="00523236" w:rsidRPr="004552CE">
        <w:t>D</w:t>
      </w:r>
      <w:r w:rsidR="00D37FDD" w:rsidRPr="004552CE">
        <w:t>U</w:t>
      </w:r>
      <w:r w:rsidR="00523236" w:rsidRPr="004552CE">
        <w:t xml:space="preserve"> LOT</w:t>
      </w:r>
      <w:r w:rsidR="007F34BC" w:rsidRPr="004552CE">
        <w:t xml:space="preserve"> ET VOLUMETRIE</w:t>
      </w:r>
      <w:bookmarkEnd w:id="9"/>
      <w:bookmarkEnd w:id="10"/>
      <w:bookmarkEnd w:id="11"/>
      <w:bookmarkEnd w:id="12"/>
    </w:p>
    <w:tbl>
      <w:tblPr>
        <w:tblW w:w="8747" w:type="dxa"/>
        <w:tblInd w:w="26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1514"/>
        <w:gridCol w:w="5679"/>
        <w:gridCol w:w="1554"/>
      </w:tblGrid>
      <w:tr w:rsidR="004552CE" w:rsidRPr="00C16650" w14:paraId="643D6F35" w14:textId="77777777" w:rsidTr="004552CE">
        <w:trPr>
          <w:trHeight w:val="676"/>
          <w:tblHeader/>
        </w:trPr>
        <w:tc>
          <w:tcPr>
            <w:tcW w:w="1514" w:type="dxa"/>
            <w:shd w:val="clear" w:color="auto" w:fill="DEEAF6" w:themeFill="accent1" w:themeFillTint="33"/>
            <w:vAlign w:val="center"/>
          </w:tcPr>
          <w:p w14:paraId="26C163DE" w14:textId="59CFAAC2" w:rsidR="004552CE" w:rsidRPr="00C16650" w:rsidRDefault="004552CE" w:rsidP="000E2073">
            <w:pPr>
              <w:tabs>
                <w:tab w:val="left" w:pos="0"/>
              </w:tabs>
              <w:spacing w:after="0" w:line="240" w:lineRule="auto"/>
              <w:jc w:val="center"/>
              <w:rPr>
                <w:b/>
                <w:sz w:val="20"/>
              </w:rPr>
            </w:pPr>
            <w:r w:rsidRPr="00C16650">
              <w:rPr>
                <w:b/>
                <w:sz w:val="20"/>
              </w:rPr>
              <w:t xml:space="preserve">N° ligne </w:t>
            </w:r>
            <w:r w:rsidR="005B0EB7" w:rsidRPr="00C16650">
              <w:rPr>
                <w:b/>
                <w:sz w:val="20"/>
              </w:rPr>
              <w:t>de produit</w:t>
            </w:r>
          </w:p>
        </w:tc>
        <w:tc>
          <w:tcPr>
            <w:tcW w:w="5679" w:type="dxa"/>
            <w:shd w:val="clear" w:color="auto" w:fill="DEEAF6" w:themeFill="accent1" w:themeFillTint="33"/>
            <w:vAlign w:val="center"/>
          </w:tcPr>
          <w:p w14:paraId="71AF8636" w14:textId="77777777" w:rsidR="004552CE" w:rsidRPr="00C16650" w:rsidRDefault="004552CE" w:rsidP="000E2073">
            <w:pPr>
              <w:spacing w:after="0"/>
              <w:jc w:val="center"/>
              <w:rPr>
                <w:b/>
                <w:sz w:val="20"/>
              </w:rPr>
            </w:pPr>
            <w:r w:rsidRPr="00C16650">
              <w:rPr>
                <w:b/>
                <w:sz w:val="20"/>
              </w:rPr>
              <w:t>Spécification</w:t>
            </w:r>
          </w:p>
        </w:tc>
        <w:tc>
          <w:tcPr>
            <w:tcW w:w="1554" w:type="dxa"/>
            <w:shd w:val="clear" w:color="auto" w:fill="DEEAF6" w:themeFill="accent1" w:themeFillTint="33"/>
            <w:vAlign w:val="center"/>
          </w:tcPr>
          <w:p w14:paraId="75BCBA21" w14:textId="77777777" w:rsidR="004552CE" w:rsidRPr="00C16650" w:rsidRDefault="004552CE" w:rsidP="000E2073">
            <w:pPr>
              <w:tabs>
                <w:tab w:val="left" w:pos="0"/>
              </w:tabs>
              <w:spacing w:after="0" w:line="240" w:lineRule="auto"/>
              <w:jc w:val="center"/>
              <w:rPr>
                <w:rFonts w:ascii="Times New Roman" w:hAnsi="Times New Roman"/>
                <w:b/>
                <w:sz w:val="20"/>
              </w:rPr>
            </w:pPr>
            <w:r w:rsidRPr="00C16650">
              <w:rPr>
                <w:b/>
                <w:sz w:val="20"/>
              </w:rPr>
              <w:t>Quantités annuelles estimées</w:t>
            </w:r>
          </w:p>
        </w:tc>
      </w:tr>
      <w:tr w:rsidR="004552CE" w:rsidRPr="00C16650" w14:paraId="2D4EFCEB" w14:textId="77777777" w:rsidTr="005B0EB7">
        <w:trPr>
          <w:trHeight w:val="489"/>
          <w:tblHeader/>
        </w:trPr>
        <w:tc>
          <w:tcPr>
            <w:tcW w:w="1514" w:type="dxa"/>
            <w:shd w:val="clear" w:color="auto" w:fill="DEEAF6" w:themeFill="accent1" w:themeFillTint="33"/>
            <w:vAlign w:val="center"/>
          </w:tcPr>
          <w:p w14:paraId="6F54D6F7" w14:textId="77777777" w:rsidR="004552CE" w:rsidRPr="00C16650" w:rsidRDefault="004552CE" w:rsidP="000E2073">
            <w:pPr>
              <w:tabs>
                <w:tab w:val="left" w:pos="0"/>
              </w:tabs>
              <w:spacing w:after="0" w:line="240" w:lineRule="auto"/>
              <w:jc w:val="center"/>
              <w:rPr>
                <w:b/>
                <w:sz w:val="20"/>
              </w:rPr>
            </w:pPr>
          </w:p>
        </w:tc>
        <w:tc>
          <w:tcPr>
            <w:tcW w:w="5679" w:type="dxa"/>
            <w:shd w:val="clear" w:color="auto" w:fill="DEEAF6" w:themeFill="accent1" w:themeFillTint="33"/>
            <w:vAlign w:val="center"/>
          </w:tcPr>
          <w:p w14:paraId="24C7A8E9" w14:textId="1A682B01" w:rsidR="004552CE" w:rsidRPr="00C16650" w:rsidRDefault="004552CE" w:rsidP="000E2073">
            <w:pPr>
              <w:spacing w:after="0"/>
              <w:jc w:val="center"/>
              <w:rPr>
                <w:b/>
                <w:sz w:val="20"/>
              </w:rPr>
            </w:pPr>
            <w:r w:rsidRPr="00C16650">
              <w:rPr>
                <w:b/>
                <w:sz w:val="24"/>
              </w:rPr>
              <w:t>T</w:t>
            </w:r>
            <w:r w:rsidR="005B0EB7">
              <w:rPr>
                <w:b/>
                <w:sz w:val="24"/>
              </w:rPr>
              <w:t>r</w:t>
            </w:r>
            <w:r w:rsidRPr="00C16650">
              <w:rPr>
                <w:b/>
                <w:sz w:val="24"/>
              </w:rPr>
              <w:t>anche ferme</w:t>
            </w:r>
          </w:p>
        </w:tc>
        <w:tc>
          <w:tcPr>
            <w:tcW w:w="1554" w:type="dxa"/>
            <w:shd w:val="clear" w:color="auto" w:fill="DEEAF6" w:themeFill="accent1" w:themeFillTint="33"/>
            <w:vAlign w:val="center"/>
          </w:tcPr>
          <w:p w14:paraId="1AA7AAC5" w14:textId="77777777" w:rsidR="004552CE" w:rsidRPr="00C16650" w:rsidRDefault="004552CE" w:rsidP="000E2073">
            <w:pPr>
              <w:tabs>
                <w:tab w:val="left" w:pos="0"/>
              </w:tabs>
              <w:spacing w:after="0" w:line="240" w:lineRule="auto"/>
              <w:jc w:val="center"/>
              <w:rPr>
                <w:b/>
                <w:sz w:val="20"/>
              </w:rPr>
            </w:pPr>
          </w:p>
        </w:tc>
      </w:tr>
      <w:tr w:rsidR="00C16650" w:rsidRPr="00C16650" w14:paraId="73AEBC57" w14:textId="77777777" w:rsidTr="00C16650">
        <w:trPr>
          <w:trHeight w:val="326"/>
        </w:trPr>
        <w:tc>
          <w:tcPr>
            <w:tcW w:w="1514" w:type="dxa"/>
            <w:shd w:val="clear" w:color="auto" w:fill="auto"/>
            <w:vAlign w:val="center"/>
          </w:tcPr>
          <w:p w14:paraId="23E041C3" w14:textId="77777777" w:rsidR="00C16650" w:rsidRPr="00C16650" w:rsidRDefault="00C16650" w:rsidP="00C16650">
            <w:pPr>
              <w:tabs>
                <w:tab w:val="left" w:pos="0"/>
              </w:tabs>
              <w:spacing w:after="0" w:line="240" w:lineRule="auto"/>
              <w:jc w:val="center"/>
              <w:rPr>
                <w:rFonts w:cs="Arial"/>
                <w:b/>
              </w:rPr>
            </w:pPr>
            <w:r w:rsidRPr="00C16650">
              <w:rPr>
                <w:rFonts w:cs="Arial"/>
                <w:b/>
              </w:rPr>
              <w:t>1</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42AF2273" w14:textId="207C4481" w:rsidR="00C16650" w:rsidRPr="00C16650" w:rsidRDefault="00C16650" w:rsidP="00C16650">
            <w:pPr>
              <w:spacing w:after="0"/>
            </w:pPr>
            <w:r w:rsidRPr="00C16650">
              <w:rPr>
                <w:rFonts w:cs="Arial"/>
                <w:color w:val="000000"/>
              </w:rPr>
              <w:t xml:space="preserve">Ensemble plaque béquille </w:t>
            </w:r>
            <w:r w:rsidR="003B2DF6" w:rsidRPr="00C16650">
              <w:rPr>
                <w:rFonts w:cs="Arial"/>
                <w:color w:val="000000"/>
              </w:rPr>
              <w:t>électronique sortie</w:t>
            </w:r>
            <w:r w:rsidRPr="00C16650">
              <w:rPr>
                <w:rFonts w:cs="Arial"/>
                <w:color w:val="000000"/>
              </w:rPr>
              <w:t xml:space="preserve"> libre, contrôlée côté extérieur. Entre axe 70 </w:t>
            </w:r>
            <w:r w:rsidR="003B2DF6" w:rsidRPr="00C16650">
              <w:rPr>
                <w:rFonts w:cs="Arial"/>
                <w:color w:val="000000"/>
              </w:rPr>
              <w:t>mm Axe</w:t>
            </w:r>
            <w:r w:rsidRPr="00C16650">
              <w:rPr>
                <w:rFonts w:cs="Arial"/>
                <w:color w:val="000000"/>
              </w:rPr>
              <w:t xml:space="preserve"> 50 mm</w:t>
            </w:r>
          </w:p>
        </w:tc>
        <w:tc>
          <w:tcPr>
            <w:tcW w:w="1554" w:type="dxa"/>
            <w:tcBorders>
              <w:top w:val="single" w:sz="4" w:space="0" w:color="auto"/>
              <w:left w:val="single" w:sz="4" w:space="0" w:color="auto"/>
              <w:bottom w:val="single" w:sz="4" w:space="0" w:color="auto"/>
              <w:right w:val="single" w:sz="4" w:space="0" w:color="auto"/>
            </w:tcBorders>
            <w:shd w:val="clear" w:color="auto" w:fill="auto"/>
          </w:tcPr>
          <w:p w14:paraId="53C97C34" w14:textId="3659714B" w:rsidR="00C16650" w:rsidRPr="00C16650" w:rsidRDefault="00C16650" w:rsidP="00C16650">
            <w:pPr>
              <w:spacing w:after="0"/>
              <w:jc w:val="center"/>
              <w:rPr>
                <w:b/>
                <w:sz w:val="24"/>
                <w:szCs w:val="24"/>
              </w:rPr>
            </w:pPr>
            <w:r w:rsidRPr="00C16650">
              <w:t xml:space="preserve"> 8   </w:t>
            </w:r>
          </w:p>
        </w:tc>
      </w:tr>
      <w:tr w:rsidR="00C16650" w:rsidRPr="00C16650" w14:paraId="4D461FCF" w14:textId="77777777" w:rsidTr="00C16650">
        <w:trPr>
          <w:trHeight w:val="326"/>
        </w:trPr>
        <w:tc>
          <w:tcPr>
            <w:tcW w:w="1514" w:type="dxa"/>
            <w:shd w:val="clear" w:color="auto" w:fill="auto"/>
            <w:vAlign w:val="center"/>
          </w:tcPr>
          <w:p w14:paraId="117C5390" w14:textId="77777777" w:rsidR="00C16650" w:rsidRPr="00C16650" w:rsidRDefault="00C16650" w:rsidP="00C16650">
            <w:pPr>
              <w:tabs>
                <w:tab w:val="left" w:pos="0"/>
              </w:tabs>
              <w:spacing w:after="0" w:line="240" w:lineRule="auto"/>
              <w:jc w:val="center"/>
              <w:rPr>
                <w:rFonts w:cs="Arial"/>
                <w:b/>
              </w:rPr>
            </w:pPr>
            <w:r w:rsidRPr="00C16650">
              <w:rPr>
                <w:rFonts w:cs="Arial"/>
                <w:b/>
              </w:rPr>
              <w:t>2</w:t>
            </w:r>
          </w:p>
        </w:tc>
        <w:tc>
          <w:tcPr>
            <w:tcW w:w="5679" w:type="dxa"/>
            <w:tcBorders>
              <w:top w:val="nil"/>
              <w:left w:val="single" w:sz="4" w:space="0" w:color="auto"/>
              <w:bottom w:val="single" w:sz="4" w:space="0" w:color="auto"/>
              <w:right w:val="single" w:sz="4" w:space="0" w:color="auto"/>
            </w:tcBorders>
            <w:shd w:val="clear" w:color="auto" w:fill="auto"/>
            <w:vAlign w:val="center"/>
          </w:tcPr>
          <w:p w14:paraId="332FB8D4" w14:textId="6767043C" w:rsidR="00C16650" w:rsidRPr="00C16650" w:rsidRDefault="00C16650" w:rsidP="00C16650">
            <w:pPr>
              <w:spacing w:after="0"/>
            </w:pPr>
            <w:r w:rsidRPr="00C16650">
              <w:rPr>
                <w:rFonts w:cs="Arial"/>
                <w:color w:val="000000"/>
              </w:rPr>
              <w:t xml:space="preserve">lecteur de badge mural sans contact </w:t>
            </w:r>
          </w:p>
        </w:tc>
        <w:tc>
          <w:tcPr>
            <w:tcW w:w="1554" w:type="dxa"/>
            <w:tcBorders>
              <w:top w:val="nil"/>
              <w:left w:val="single" w:sz="4" w:space="0" w:color="auto"/>
              <w:bottom w:val="single" w:sz="4" w:space="0" w:color="auto"/>
              <w:right w:val="single" w:sz="4" w:space="0" w:color="auto"/>
            </w:tcBorders>
            <w:shd w:val="clear" w:color="auto" w:fill="auto"/>
          </w:tcPr>
          <w:p w14:paraId="48D277AE" w14:textId="0A59EC3C" w:rsidR="00C16650" w:rsidRPr="00C16650" w:rsidRDefault="00C16650" w:rsidP="00C16650">
            <w:pPr>
              <w:spacing w:after="0"/>
              <w:jc w:val="center"/>
              <w:rPr>
                <w:b/>
                <w:sz w:val="24"/>
                <w:szCs w:val="24"/>
              </w:rPr>
            </w:pPr>
            <w:r w:rsidRPr="00C16650">
              <w:t xml:space="preserve"> 6   </w:t>
            </w:r>
          </w:p>
        </w:tc>
      </w:tr>
      <w:tr w:rsidR="00C16650" w:rsidRPr="00C16650" w14:paraId="31D12BEF" w14:textId="77777777" w:rsidTr="00C16650">
        <w:trPr>
          <w:trHeight w:val="326"/>
        </w:trPr>
        <w:tc>
          <w:tcPr>
            <w:tcW w:w="1514" w:type="dxa"/>
            <w:shd w:val="clear" w:color="auto" w:fill="auto"/>
            <w:vAlign w:val="center"/>
          </w:tcPr>
          <w:p w14:paraId="163F1AA0" w14:textId="77777777" w:rsidR="00C16650" w:rsidRPr="00C16650" w:rsidRDefault="00C16650" w:rsidP="00C16650">
            <w:pPr>
              <w:tabs>
                <w:tab w:val="left" w:pos="0"/>
              </w:tabs>
              <w:spacing w:after="0" w:line="240" w:lineRule="auto"/>
              <w:jc w:val="center"/>
              <w:rPr>
                <w:rFonts w:cs="Arial"/>
                <w:b/>
              </w:rPr>
            </w:pPr>
            <w:r w:rsidRPr="00C16650">
              <w:rPr>
                <w:rFonts w:cs="Arial"/>
                <w:b/>
              </w:rPr>
              <w:t>3</w:t>
            </w:r>
          </w:p>
        </w:tc>
        <w:tc>
          <w:tcPr>
            <w:tcW w:w="5679" w:type="dxa"/>
            <w:tcBorders>
              <w:top w:val="nil"/>
              <w:left w:val="single" w:sz="4" w:space="0" w:color="auto"/>
              <w:bottom w:val="single" w:sz="4" w:space="0" w:color="auto"/>
              <w:right w:val="single" w:sz="4" w:space="0" w:color="auto"/>
            </w:tcBorders>
            <w:shd w:val="clear" w:color="auto" w:fill="auto"/>
            <w:vAlign w:val="center"/>
          </w:tcPr>
          <w:p w14:paraId="569DD555" w14:textId="761A60C3" w:rsidR="00C16650" w:rsidRPr="00C16650" w:rsidRDefault="00C16650" w:rsidP="00C16650">
            <w:pPr>
              <w:spacing w:after="0"/>
            </w:pPr>
            <w:r w:rsidRPr="00C16650">
              <w:rPr>
                <w:rFonts w:cs="Arial"/>
                <w:color w:val="000000"/>
              </w:rPr>
              <w:t xml:space="preserve">lecteur de badge mural sans contact et clavier </w:t>
            </w:r>
          </w:p>
        </w:tc>
        <w:tc>
          <w:tcPr>
            <w:tcW w:w="1554" w:type="dxa"/>
            <w:tcBorders>
              <w:top w:val="nil"/>
              <w:left w:val="single" w:sz="4" w:space="0" w:color="auto"/>
              <w:bottom w:val="single" w:sz="4" w:space="0" w:color="auto"/>
              <w:right w:val="single" w:sz="4" w:space="0" w:color="auto"/>
            </w:tcBorders>
            <w:shd w:val="clear" w:color="auto" w:fill="auto"/>
          </w:tcPr>
          <w:p w14:paraId="000DF087" w14:textId="44D2488C" w:rsidR="00C16650" w:rsidRPr="00C16650" w:rsidRDefault="00C16650" w:rsidP="00C16650">
            <w:pPr>
              <w:spacing w:after="0"/>
              <w:jc w:val="center"/>
              <w:rPr>
                <w:b/>
                <w:sz w:val="24"/>
                <w:szCs w:val="24"/>
              </w:rPr>
            </w:pPr>
            <w:r w:rsidRPr="00C16650">
              <w:t xml:space="preserve"> 2   </w:t>
            </w:r>
          </w:p>
        </w:tc>
      </w:tr>
      <w:tr w:rsidR="00C16650" w:rsidRPr="00C16650" w14:paraId="7CAC4A84" w14:textId="77777777" w:rsidTr="00C16650">
        <w:trPr>
          <w:trHeight w:val="326"/>
        </w:trPr>
        <w:tc>
          <w:tcPr>
            <w:tcW w:w="1514" w:type="dxa"/>
            <w:shd w:val="clear" w:color="auto" w:fill="auto"/>
            <w:vAlign w:val="center"/>
          </w:tcPr>
          <w:p w14:paraId="408F2ED7" w14:textId="77777777" w:rsidR="00C16650" w:rsidRPr="00C16650" w:rsidRDefault="00C16650" w:rsidP="00C16650">
            <w:pPr>
              <w:tabs>
                <w:tab w:val="left" w:pos="0"/>
              </w:tabs>
              <w:spacing w:after="0" w:line="240" w:lineRule="auto"/>
              <w:jc w:val="center"/>
              <w:rPr>
                <w:rFonts w:cs="Arial"/>
                <w:b/>
              </w:rPr>
            </w:pPr>
            <w:r w:rsidRPr="00C16650">
              <w:rPr>
                <w:rFonts w:cs="Arial"/>
                <w:b/>
              </w:rPr>
              <w:t>4</w:t>
            </w:r>
          </w:p>
        </w:tc>
        <w:tc>
          <w:tcPr>
            <w:tcW w:w="5679" w:type="dxa"/>
            <w:tcBorders>
              <w:top w:val="nil"/>
              <w:left w:val="single" w:sz="4" w:space="0" w:color="auto"/>
              <w:bottom w:val="single" w:sz="4" w:space="0" w:color="auto"/>
              <w:right w:val="single" w:sz="4" w:space="0" w:color="auto"/>
            </w:tcBorders>
            <w:shd w:val="clear" w:color="auto" w:fill="auto"/>
            <w:vAlign w:val="center"/>
          </w:tcPr>
          <w:p w14:paraId="0986AF4B" w14:textId="6CFF196A" w:rsidR="00C16650" w:rsidRPr="00C16650" w:rsidRDefault="00C16650" w:rsidP="00C16650">
            <w:pPr>
              <w:spacing w:after="0"/>
            </w:pPr>
            <w:r w:rsidRPr="00C16650">
              <w:rPr>
                <w:rFonts w:cs="Arial"/>
                <w:color w:val="000000"/>
              </w:rPr>
              <w:t xml:space="preserve">Badges </w:t>
            </w:r>
          </w:p>
        </w:tc>
        <w:tc>
          <w:tcPr>
            <w:tcW w:w="1554" w:type="dxa"/>
            <w:tcBorders>
              <w:top w:val="nil"/>
              <w:left w:val="single" w:sz="4" w:space="0" w:color="auto"/>
              <w:bottom w:val="single" w:sz="4" w:space="0" w:color="auto"/>
              <w:right w:val="single" w:sz="4" w:space="0" w:color="auto"/>
            </w:tcBorders>
            <w:shd w:val="clear" w:color="auto" w:fill="auto"/>
          </w:tcPr>
          <w:p w14:paraId="0EFF8C0B" w14:textId="7AE47F70" w:rsidR="00C16650" w:rsidRPr="00C16650" w:rsidRDefault="00C16650" w:rsidP="00C16650">
            <w:pPr>
              <w:spacing w:after="0"/>
              <w:jc w:val="center"/>
              <w:rPr>
                <w:b/>
                <w:sz w:val="24"/>
                <w:szCs w:val="24"/>
              </w:rPr>
            </w:pPr>
            <w:r w:rsidRPr="00C16650">
              <w:t xml:space="preserve"> 50   </w:t>
            </w:r>
          </w:p>
        </w:tc>
      </w:tr>
      <w:tr w:rsidR="00C16650" w:rsidRPr="00C16650" w14:paraId="3B1A51F3" w14:textId="77777777" w:rsidTr="00C16650">
        <w:trPr>
          <w:trHeight w:val="326"/>
        </w:trPr>
        <w:tc>
          <w:tcPr>
            <w:tcW w:w="1514" w:type="dxa"/>
            <w:shd w:val="clear" w:color="auto" w:fill="auto"/>
            <w:vAlign w:val="center"/>
          </w:tcPr>
          <w:p w14:paraId="78B39450" w14:textId="77777777" w:rsidR="00C16650" w:rsidRPr="00C16650" w:rsidRDefault="00C16650" w:rsidP="00C16650">
            <w:pPr>
              <w:tabs>
                <w:tab w:val="left" w:pos="0"/>
              </w:tabs>
              <w:spacing w:after="0" w:line="240" w:lineRule="auto"/>
              <w:jc w:val="center"/>
              <w:rPr>
                <w:rFonts w:cs="Arial"/>
                <w:b/>
              </w:rPr>
            </w:pPr>
            <w:r w:rsidRPr="00C16650">
              <w:rPr>
                <w:rFonts w:cs="Arial"/>
                <w:b/>
              </w:rPr>
              <w:t>5</w:t>
            </w:r>
          </w:p>
        </w:tc>
        <w:tc>
          <w:tcPr>
            <w:tcW w:w="5679" w:type="dxa"/>
            <w:tcBorders>
              <w:top w:val="nil"/>
              <w:left w:val="single" w:sz="4" w:space="0" w:color="auto"/>
              <w:bottom w:val="single" w:sz="4" w:space="0" w:color="auto"/>
              <w:right w:val="single" w:sz="4" w:space="0" w:color="auto"/>
            </w:tcBorders>
            <w:shd w:val="clear" w:color="auto" w:fill="auto"/>
            <w:vAlign w:val="center"/>
          </w:tcPr>
          <w:p w14:paraId="313FA749" w14:textId="117EEC06" w:rsidR="00C16650" w:rsidRPr="00C16650" w:rsidRDefault="00C16650" w:rsidP="00C16650">
            <w:pPr>
              <w:spacing w:after="0"/>
            </w:pPr>
            <w:r w:rsidRPr="00C16650">
              <w:rPr>
                <w:rFonts w:cs="Arial"/>
                <w:color w:val="000000"/>
              </w:rPr>
              <w:t xml:space="preserve">Détecteurs d'ouverture de porte </w:t>
            </w:r>
          </w:p>
        </w:tc>
        <w:tc>
          <w:tcPr>
            <w:tcW w:w="1554" w:type="dxa"/>
            <w:tcBorders>
              <w:top w:val="nil"/>
              <w:left w:val="single" w:sz="4" w:space="0" w:color="auto"/>
              <w:bottom w:val="single" w:sz="4" w:space="0" w:color="auto"/>
              <w:right w:val="single" w:sz="4" w:space="0" w:color="auto"/>
            </w:tcBorders>
            <w:shd w:val="clear" w:color="auto" w:fill="auto"/>
          </w:tcPr>
          <w:p w14:paraId="720168B1" w14:textId="52344C0E" w:rsidR="00C16650" w:rsidRPr="00C16650" w:rsidRDefault="00C16650" w:rsidP="00C16650">
            <w:pPr>
              <w:spacing w:after="0"/>
              <w:jc w:val="center"/>
              <w:rPr>
                <w:b/>
                <w:sz w:val="24"/>
                <w:szCs w:val="24"/>
              </w:rPr>
            </w:pPr>
            <w:r w:rsidRPr="00C16650">
              <w:t xml:space="preserve"> 3   </w:t>
            </w:r>
          </w:p>
        </w:tc>
      </w:tr>
      <w:tr w:rsidR="00C16650" w:rsidRPr="00C16650" w14:paraId="32B83F9B" w14:textId="77777777" w:rsidTr="00C16650">
        <w:trPr>
          <w:trHeight w:val="326"/>
        </w:trPr>
        <w:tc>
          <w:tcPr>
            <w:tcW w:w="1514" w:type="dxa"/>
            <w:shd w:val="clear" w:color="auto" w:fill="auto"/>
            <w:vAlign w:val="center"/>
          </w:tcPr>
          <w:p w14:paraId="7BC6B6A8" w14:textId="77777777" w:rsidR="00C16650" w:rsidRPr="00C16650" w:rsidRDefault="00C16650" w:rsidP="00C16650">
            <w:pPr>
              <w:tabs>
                <w:tab w:val="left" w:pos="0"/>
              </w:tabs>
              <w:spacing w:after="0" w:line="240" w:lineRule="auto"/>
              <w:jc w:val="center"/>
              <w:rPr>
                <w:rFonts w:cs="Arial"/>
                <w:b/>
              </w:rPr>
            </w:pPr>
            <w:r w:rsidRPr="00C16650">
              <w:rPr>
                <w:rFonts w:cs="Arial"/>
                <w:b/>
              </w:rPr>
              <w:t>6</w:t>
            </w:r>
          </w:p>
        </w:tc>
        <w:tc>
          <w:tcPr>
            <w:tcW w:w="5679" w:type="dxa"/>
            <w:tcBorders>
              <w:top w:val="nil"/>
              <w:left w:val="single" w:sz="4" w:space="0" w:color="auto"/>
              <w:bottom w:val="single" w:sz="4" w:space="0" w:color="auto"/>
              <w:right w:val="single" w:sz="4" w:space="0" w:color="auto"/>
            </w:tcBorders>
            <w:shd w:val="clear" w:color="auto" w:fill="auto"/>
            <w:vAlign w:val="center"/>
          </w:tcPr>
          <w:p w14:paraId="0C0C3B80" w14:textId="2DB3889D" w:rsidR="00C16650" w:rsidRPr="00C16650" w:rsidRDefault="00C16650" w:rsidP="00C16650">
            <w:pPr>
              <w:spacing w:after="0"/>
            </w:pPr>
            <w:r w:rsidRPr="00C16650">
              <w:rPr>
                <w:rFonts w:cs="Arial"/>
                <w:color w:val="000000"/>
              </w:rPr>
              <w:t xml:space="preserve">Equipements pour récupérateur signaux, superviseur, commande d'automatisme, </w:t>
            </w:r>
            <w:r w:rsidR="003B2DF6" w:rsidRPr="00C16650">
              <w:rPr>
                <w:rFonts w:cs="Arial"/>
                <w:color w:val="000000"/>
              </w:rPr>
              <w:t>etc.</w:t>
            </w:r>
          </w:p>
        </w:tc>
        <w:tc>
          <w:tcPr>
            <w:tcW w:w="1554" w:type="dxa"/>
            <w:tcBorders>
              <w:top w:val="nil"/>
              <w:left w:val="single" w:sz="4" w:space="0" w:color="auto"/>
              <w:bottom w:val="single" w:sz="4" w:space="0" w:color="auto"/>
              <w:right w:val="single" w:sz="4" w:space="0" w:color="auto"/>
            </w:tcBorders>
            <w:shd w:val="clear" w:color="auto" w:fill="auto"/>
          </w:tcPr>
          <w:p w14:paraId="4C534CDB" w14:textId="0450F948" w:rsidR="00C16650" w:rsidRPr="00C16650" w:rsidRDefault="00C16650" w:rsidP="00C16650">
            <w:pPr>
              <w:spacing w:after="0"/>
              <w:jc w:val="center"/>
              <w:rPr>
                <w:b/>
                <w:sz w:val="24"/>
                <w:szCs w:val="24"/>
              </w:rPr>
            </w:pPr>
            <w:r w:rsidRPr="00C16650">
              <w:t xml:space="preserve"> 6   </w:t>
            </w:r>
          </w:p>
        </w:tc>
      </w:tr>
      <w:tr w:rsidR="00C16650" w:rsidRPr="00C16650" w14:paraId="6BB842C5" w14:textId="77777777" w:rsidTr="00C16650">
        <w:trPr>
          <w:trHeight w:val="326"/>
        </w:trPr>
        <w:tc>
          <w:tcPr>
            <w:tcW w:w="1514" w:type="dxa"/>
            <w:shd w:val="clear" w:color="auto" w:fill="auto"/>
            <w:vAlign w:val="center"/>
          </w:tcPr>
          <w:p w14:paraId="616CF32D" w14:textId="77777777" w:rsidR="00C16650" w:rsidRPr="00C16650" w:rsidRDefault="00C16650" w:rsidP="00C16650">
            <w:pPr>
              <w:tabs>
                <w:tab w:val="left" w:pos="0"/>
              </w:tabs>
              <w:spacing w:after="0" w:line="240" w:lineRule="auto"/>
              <w:jc w:val="center"/>
              <w:rPr>
                <w:rFonts w:cs="Arial"/>
                <w:b/>
              </w:rPr>
            </w:pPr>
            <w:r w:rsidRPr="00C16650">
              <w:rPr>
                <w:rFonts w:cs="Arial"/>
                <w:b/>
              </w:rPr>
              <w:t>7</w:t>
            </w:r>
          </w:p>
        </w:tc>
        <w:tc>
          <w:tcPr>
            <w:tcW w:w="5679" w:type="dxa"/>
            <w:tcBorders>
              <w:top w:val="nil"/>
              <w:left w:val="single" w:sz="4" w:space="0" w:color="auto"/>
              <w:bottom w:val="single" w:sz="4" w:space="0" w:color="auto"/>
              <w:right w:val="single" w:sz="4" w:space="0" w:color="auto"/>
            </w:tcBorders>
            <w:shd w:val="clear" w:color="auto" w:fill="auto"/>
            <w:vAlign w:val="center"/>
          </w:tcPr>
          <w:p w14:paraId="2A2DC82B" w14:textId="7E8A4AE5" w:rsidR="00C16650" w:rsidRPr="00C16650" w:rsidRDefault="005B0EB7" w:rsidP="00C16650">
            <w:pPr>
              <w:spacing w:after="0"/>
            </w:pPr>
            <w:r w:rsidRPr="00C16650">
              <w:rPr>
                <w:rFonts w:cs="Arial"/>
              </w:rPr>
              <w:t>Licence permettant</w:t>
            </w:r>
            <w:r w:rsidR="00C16650" w:rsidRPr="00C16650">
              <w:rPr>
                <w:rFonts w:cs="Arial"/>
              </w:rPr>
              <w:t xml:space="preserve"> la gestion des systèmes tranche ferme (entrées, opérateurs, </w:t>
            </w:r>
            <w:r w:rsidR="003B2DF6" w:rsidRPr="00C16650">
              <w:rPr>
                <w:rFonts w:cs="Arial"/>
              </w:rPr>
              <w:t>identification</w:t>
            </w:r>
            <w:r w:rsidR="00C16650" w:rsidRPr="00C16650">
              <w:rPr>
                <w:rFonts w:cs="Arial"/>
              </w:rPr>
              <w:t>)</w:t>
            </w:r>
          </w:p>
        </w:tc>
        <w:tc>
          <w:tcPr>
            <w:tcW w:w="1554" w:type="dxa"/>
            <w:tcBorders>
              <w:top w:val="nil"/>
              <w:left w:val="single" w:sz="4" w:space="0" w:color="auto"/>
              <w:bottom w:val="single" w:sz="4" w:space="0" w:color="auto"/>
              <w:right w:val="single" w:sz="4" w:space="0" w:color="auto"/>
            </w:tcBorders>
            <w:shd w:val="clear" w:color="auto" w:fill="auto"/>
          </w:tcPr>
          <w:p w14:paraId="3964D125" w14:textId="5F7EFB39" w:rsidR="00C16650" w:rsidRPr="00C16650" w:rsidRDefault="00C16650" w:rsidP="00C16650">
            <w:pPr>
              <w:spacing w:after="0"/>
              <w:jc w:val="center"/>
              <w:rPr>
                <w:b/>
                <w:sz w:val="24"/>
                <w:szCs w:val="24"/>
              </w:rPr>
            </w:pPr>
            <w:r w:rsidRPr="00C16650">
              <w:t xml:space="preserve"> 1   </w:t>
            </w:r>
          </w:p>
        </w:tc>
      </w:tr>
      <w:tr w:rsidR="00C16650" w:rsidRPr="00C16650" w14:paraId="39A42CB6" w14:textId="77777777" w:rsidTr="00C16650">
        <w:trPr>
          <w:trHeight w:val="326"/>
        </w:trPr>
        <w:tc>
          <w:tcPr>
            <w:tcW w:w="1514" w:type="dxa"/>
            <w:shd w:val="clear" w:color="auto" w:fill="auto"/>
            <w:vAlign w:val="center"/>
          </w:tcPr>
          <w:p w14:paraId="62A39F36" w14:textId="47A970E4" w:rsidR="00C16650" w:rsidRPr="00C16650" w:rsidRDefault="00C16650" w:rsidP="00C16650">
            <w:pPr>
              <w:tabs>
                <w:tab w:val="left" w:pos="0"/>
              </w:tabs>
              <w:spacing w:after="0" w:line="240" w:lineRule="auto"/>
              <w:jc w:val="center"/>
              <w:rPr>
                <w:rFonts w:cs="Arial"/>
                <w:b/>
              </w:rPr>
            </w:pPr>
            <w:r w:rsidRPr="00C16650">
              <w:rPr>
                <w:rFonts w:cs="Arial"/>
                <w:b/>
              </w:rPr>
              <w:t>8</w:t>
            </w:r>
          </w:p>
        </w:tc>
        <w:tc>
          <w:tcPr>
            <w:tcW w:w="5679" w:type="dxa"/>
            <w:tcBorders>
              <w:top w:val="nil"/>
              <w:left w:val="single" w:sz="4" w:space="0" w:color="auto"/>
              <w:bottom w:val="single" w:sz="4" w:space="0" w:color="auto"/>
              <w:right w:val="single" w:sz="4" w:space="0" w:color="auto"/>
            </w:tcBorders>
            <w:shd w:val="clear" w:color="auto" w:fill="auto"/>
            <w:vAlign w:val="center"/>
          </w:tcPr>
          <w:p w14:paraId="417126B7" w14:textId="7DF5CC69" w:rsidR="00C16650" w:rsidRPr="00C16650" w:rsidRDefault="00C16650" w:rsidP="00C16650">
            <w:pPr>
              <w:spacing w:after="0"/>
            </w:pPr>
            <w:r w:rsidRPr="00C16650">
              <w:rPr>
                <w:rFonts w:cs="Arial"/>
              </w:rPr>
              <w:t>Serveur</w:t>
            </w:r>
          </w:p>
        </w:tc>
        <w:tc>
          <w:tcPr>
            <w:tcW w:w="1554" w:type="dxa"/>
            <w:tcBorders>
              <w:top w:val="nil"/>
              <w:left w:val="single" w:sz="4" w:space="0" w:color="auto"/>
              <w:bottom w:val="single" w:sz="4" w:space="0" w:color="auto"/>
              <w:right w:val="single" w:sz="4" w:space="0" w:color="auto"/>
            </w:tcBorders>
            <w:shd w:val="clear" w:color="auto" w:fill="auto"/>
          </w:tcPr>
          <w:p w14:paraId="2CE71F30" w14:textId="20A9B20A" w:rsidR="00C16650" w:rsidRPr="00C16650" w:rsidRDefault="00C16650" w:rsidP="00C16650">
            <w:pPr>
              <w:spacing w:after="0"/>
              <w:jc w:val="center"/>
              <w:rPr>
                <w:b/>
                <w:sz w:val="24"/>
                <w:szCs w:val="24"/>
              </w:rPr>
            </w:pPr>
            <w:r w:rsidRPr="00C16650">
              <w:t xml:space="preserve"> 1   </w:t>
            </w:r>
          </w:p>
        </w:tc>
      </w:tr>
      <w:tr w:rsidR="00C16650" w:rsidRPr="00C16650" w14:paraId="6FA3E4C1" w14:textId="77777777" w:rsidTr="00C16650">
        <w:trPr>
          <w:trHeight w:val="326"/>
        </w:trPr>
        <w:tc>
          <w:tcPr>
            <w:tcW w:w="1514" w:type="dxa"/>
            <w:shd w:val="clear" w:color="auto" w:fill="auto"/>
            <w:vAlign w:val="center"/>
          </w:tcPr>
          <w:p w14:paraId="6A540567" w14:textId="4A5CBDE2" w:rsidR="00C16650" w:rsidRPr="00C16650" w:rsidRDefault="00C16650" w:rsidP="00C16650">
            <w:pPr>
              <w:tabs>
                <w:tab w:val="left" w:pos="0"/>
              </w:tabs>
              <w:spacing w:after="0" w:line="240" w:lineRule="auto"/>
              <w:jc w:val="center"/>
              <w:rPr>
                <w:rFonts w:cs="Arial"/>
                <w:b/>
              </w:rPr>
            </w:pPr>
            <w:r w:rsidRPr="00C16650">
              <w:rPr>
                <w:rFonts w:cs="Arial"/>
                <w:b/>
              </w:rPr>
              <w:t>9</w:t>
            </w:r>
          </w:p>
        </w:tc>
        <w:tc>
          <w:tcPr>
            <w:tcW w:w="5679" w:type="dxa"/>
            <w:tcBorders>
              <w:top w:val="nil"/>
              <w:left w:val="single" w:sz="4" w:space="0" w:color="auto"/>
              <w:bottom w:val="single" w:sz="4" w:space="0" w:color="auto"/>
              <w:right w:val="single" w:sz="4" w:space="0" w:color="auto"/>
            </w:tcBorders>
            <w:shd w:val="clear" w:color="auto" w:fill="auto"/>
            <w:vAlign w:val="center"/>
          </w:tcPr>
          <w:p w14:paraId="6C417AA6" w14:textId="59AFD6FF" w:rsidR="00C16650" w:rsidRPr="00C16650" w:rsidRDefault="00C16650" w:rsidP="00C16650">
            <w:pPr>
              <w:spacing w:after="0"/>
            </w:pPr>
            <w:r w:rsidRPr="00C16650">
              <w:rPr>
                <w:rFonts w:cs="Arial"/>
              </w:rPr>
              <w:t>Postes clients</w:t>
            </w:r>
          </w:p>
        </w:tc>
        <w:tc>
          <w:tcPr>
            <w:tcW w:w="1554" w:type="dxa"/>
            <w:tcBorders>
              <w:top w:val="nil"/>
              <w:left w:val="single" w:sz="4" w:space="0" w:color="auto"/>
              <w:bottom w:val="single" w:sz="4" w:space="0" w:color="auto"/>
              <w:right w:val="single" w:sz="4" w:space="0" w:color="auto"/>
            </w:tcBorders>
            <w:shd w:val="clear" w:color="auto" w:fill="auto"/>
          </w:tcPr>
          <w:p w14:paraId="270B17FC" w14:textId="4766A1DA" w:rsidR="00C16650" w:rsidRPr="00C16650" w:rsidRDefault="00C16650" w:rsidP="00C16650">
            <w:pPr>
              <w:spacing w:after="0"/>
              <w:jc w:val="center"/>
              <w:rPr>
                <w:b/>
                <w:sz w:val="24"/>
                <w:szCs w:val="24"/>
              </w:rPr>
            </w:pPr>
            <w:r w:rsidRPr="00C16650">
              <w:t xml:space="preserve"> 2   </w:t>
            </w:r>
          </w:p>
        </w:tc>
      </w:tr>
      <w:tr w:rsidR="00C16650" w:rsidRPr="00C16650" w14:paraId="6072080F" w14:textId="77777777" w:rsidTr="00C16650">
        <w:trPr>
          <w:trHeight w:val="326"/>
        </w:trPr>
        <w:tc>
          <w:tcPr>
            <w:tcW w:w="1514" w:type="dxa"/>
            <w:shd w:val="clear" w:color="auto" w:fill="auto"/>
            <w:vAlign w:val="center"/>
          </w:tcPr>
          <w:p w14:paraId="7D8BA184" w14:textId="62ED65E2" w:rsidR="00C16650" w:rsidRPr="00C16650" w:rsidRDefault="00C16650" w:rsidP="00C16650">
            <w:pPr>
              <w:tabs>
                <w:tab w:val="left" w:pos="0"/>
              </w:tabs>
              <w:spacing w:after="0" w:line="240" w:lineRule="auto"/>
              <w:jc w:val="center"/>
              <w:rPr>
                <w:rFonts w:cs="Arial"/>
                <w:b/>
              </w:rPr>
            </w:pPr>
            <w:r w:rsidRPr="00C16650">
              <w:rPr>
                <w:rFonts w:cs="Arial"/>
                <w:b/>
              </w:rPr>
              <w:t>10</w:t>
            </w:r>
          </w:p>
        </w:tc>
        <w:tc>
          <w:tcPr>
            <w:tcW w:w="5679" w:type="dxa"/>
            <w:tcBorders>
              <w:top w:val="nil"/>
              <w:left w:val="single" w:sz="4" w:space="0" w:color="auto"/>
              <w:bottom w:val="single" w:sz="4" w:space="0" w:color="auto"/>
              <w:right w:val="single" w:sz="4" w:space="0" w:color="auto"/>
            </w:tcBorders>
            <w:shd w:val="clear" w:color="auto" w:fill="auto"/>
            <w:vAlign w:val="center"/>
          </w:tcPr>
          <w:p w14:paraId="6E7C6CEE" w14:textId="49D7E268" w:rsidR="00C16650" w:rsidRPr="00C16650" w:rsidRDefault="00C16650" w:rsidP="00C16650">
            <w:pPr>
              <w:spacing w:after="0"/>
            </w:pPr>
            <w:r w:rsidRPr="00C16650">
              <w:rPr>
                <w:rFonts w:cs="Arial"/>
              </w:rPr>
              <w:t>Ecrans 24"</w:t>
            </w:r>
          </w:p>
        </w:tc>
        <w:tc>
          <w:tcPr>
            <w:tcW w:w="1554" w:type="dxa"/>
            <w:tcBorders>
              <w:top w:val="nil"/>
              <w:left w:val="single" w:sz="4" w:space="0" w:color="auto"/>
              <w:bottom w:val="single" w:sz="4" w:space="0" w:color="auto"/>
              <w:right w:val="single" w:sz="4" w:space="0" w:color="auto"/>
            </w:tcBorders>
            <w:shd w:val="clear" w:color="auto" w:fill="auto"/>
          </w:tcPr>
          <w:p w14:paraId="366BCBB1" w14:textId="2EF50E62" w:rsidR="00C16650" w:rsidRPr="00C16650" w:rsidRDefault="00C16650" w:rsidP="00C16650">
            <w:pPr>
              <w:spacing w:after="0"/>
              <w:jc w:val="center"/>
              <w:rPr>
                <w:b/>
                <w:sz w:val="24"/>
                <w:szCs w:val="24"/>
              </w:rPr>
            </w:pPr>
            <w:r w:rsidRPr="00C16650">
              <w:t xml:space="preserve"> 2   </w:t>
            </w:r>
          </w:p>
        </w:tc>
      </w:tr>
      <w:tr w:rsidR="00C16650" w:rsidRPr="00C16650" w14:paraId="020CCB0C" w14:textId="77777777" w:rsidTr="00C16650">
        <w:trPr>
          <w:trHeight w:val="326"/>
        </w:trPr>
        <w:tc>
          <w:tcPr>
            <w:tcW w:w="1514" w:type="dxa"/>
            <w:shd w:val="clear" w:color="auto" w:fill="auto"/>
            <w:vAlign w:val="center"/>
          </w:tcPr>
          <w:p w14:paraId="11AC2196" w14:textId="486A86B0" w:rsidR="00C16650" w:rsidRPr="00C16650" w:rsidRDefault="00C16650" w:rsidP="00C16650">
            <w:pPr>
              <w:tabs>
                <w:tab w:val="left" w:pos="0"/>
              </w:tabs>
              <w:spacing w:after="0" w:line="240" w:lineRule="auto"/>
              <w:jc w:val="center"/>
              <w:rPr>
                <w:rFonts w:cs="Arial"/>
                <w:b/>
              </w:rPr>
            </w:pPr>
            <w:r w:rsidRPr="00C16650">
              <w:rPr>
                <w:rFonts w:cs="Arial"/>
                <w:b/>
              </w:rPr>
              <w:t>11</w:t>
            </w:r>
          </w:p>
        </w:tc>
        <w:tc>
          <w:tcPr>
            <w:tcW w:w="5679" w:type="dxa"/>
            <w:tcBorders>
              <w:top w:val="nil"/>
              <w:left w:val="single" w:sz="4" w:space="0" w:color="auto"/>
              <w:bottom w:val="single" w:sz="4" w:space="0" w:color="auto"/>
              <w:right w:val="single" w:sz="4" w:space="0" w:color="auto"/>
            </w:tcBorders>
            <w:shd w:val="clear" w:color="auto" w:fill="auto"/>
            <w:vAlign w:val="center"/>
          </w:tcPr>
          <w:p w14:paraId="2950BA27" w14:textId="7A158D97" w:rsidR="00C16650" w:rsidRPr="00C16650" w:rsidRDefault="00C16650" w:rsidP="00C16650">
            <w:pPr>
              <w:spacing w:after="0"/>
            </w:pPr>
            <w:r w:rsidRPr="00C16650">
              <w:rPr>
                <w:rFonts w:cs="Arial"/>
              </w:rPr>
              <w:t>Encodeurs</w:t>
            </w:r>
          </w:p>
        </w:tc>
        <w:tc>
          <w:tcPr>
            <w:tcW w:w="1554" w:type="dxa"/>
            <w:tcBorders>
              <w:top w:val="nil"/>
              <w:left w:val="single" w:sz="4" w:space="0" w:color="auto"/>
              <w:bottom w:val="single" w:sz="4" w:space="0" w:color="auto"/>
              <w:right w:val="single" w:sz="4" w:space="0" w:color="auto"/>
            </w:tcBorders>
            <w:shd w:val="clear" w:color="auto" w:fill="auto"/>
          </w:tcPr>
          <w:p w14:paraId="19022331" w14:textId="45386EF9" w:rsidR="00C16650" w:rsidRPr="00C16650" w:rsidRDefault="00C16650" w:rsidP="00C16650">
            <w:pPr>
              <w:spacing w:after="0"/>
              <w:jc w:val="center"/>
              <w:rPr>
                <w:b/>
                <w:sz w:val="24"/>
                <w:szCs w:val="24"/>
              </w:rPr>
            </w:pPr>
            <w:r w:rsidRPr="00C16650">
              <w:t xml:space="preserve"> 2   </w:t>
            </w:r>
          </w:p>
        </w:tc>
      </w:tr>
      <w:tr w:rsidR="00C16650" w:rsidRPr="00C16650" w14:paraId="73A7E747" w14:textId="77777777" w:rsidTr="00C16650">
        <w:trPr>
          <w:trHeight w:val="326"/>
        </w:trPr>
        <w:tc>
          <w:tcPr>
            <w:tcW w:w="1514" w:type="dxa"/>
            <w:shd w:val="clear" w:color="auto" w:fill="auto"/>
            <w:vAlign w:val="center"/>
          </w:tcPr>
          <w:p w14:paraId="3130296C" w14:textId="3497182A" w:rsidR="00C16650" w:rsidRPr="00C16650" w:rsidRDefault="00C16650" w:rsidP="00C16650">
            <w:pPr>
              <w:tabs>
                <w:tab w:val="left" w:pos="0"/>
              </w:tabs>
              <w:spacing w:after="0" w:line="240" w:lineRule="auto"/>
              <w:jc w:val="center"/>
              <w:rPr>
                <w:rFonts w:cs="Arial"/>
                <w:b/>
              </w:rPr>
            </w:pPr>
            <w:r w:rsidRPr="00C16650">
              <w:rPr>
                <w:rFonts w:cs="Arial"/>
                <w:b/>
              </w:rPr>
              <w:t>12</w:t>
            </w:r>
          </w:p>
        </w:tc>
        <w:tc>
          <w:tcPr>
            <w:tcW w:w="5679" w:type="dxa"/>
            <w:tcBorders>
              <w:top w:val="nil"/>
              <w:left w:val="single" w:sz="4" w:space="0" w:color="auto"/>
              <w:bottom w:val="single" w:sz="4" w:space="0" w:color="auto"/>
              <w:right w:val="single" w:sz="4" w:space="0" w:color="auto"/>
            </w:tcBorders>
            <w:shd w:val="clear" w:color="auto" w:fill="auto"/>
            <w:vAlign w:val="center"/>
          </w:tcPr>
          <w:p w14:paraId="1FB1D3B3" w14:textId="27E5C395" w:rsidR="00C16650" w:rsidRPr="00C16650" w:rsidRDefault="00C16650" w:rsidP="00C16650">
            <w:pPr>
              <w:spacing w:after="0"/>
            </w:pPr>
            <w:r w:rsidRPr="00C16650">
              <w:rPr>
                <w:rFonts w:cs="Arial"/>
                <w:color w:val="000000"/>
              </w:rPr>
              <w:t>Forfait configuration, paramétrage tranche ferme</w:t>
            </w:r>
          </w:p>
        </w:tc>
        <w:tc>
          <w:tcPr>
            <w:tcW w:w="1554" w:type="dxa"/>
            <w:tcBorders>
              <w:top w:val="nil"/>
              <w:left w:val="single" w:sz="4" w:space="0" w:color="auto"/>
              <w:bottom w:val="single" w:sz="4" w:space="0" w:color="auto"/>
              <w:right w:val="single" w:sz="4" w:space="0" w:color="auto"/>
            </w:tcBorders>
            <w:shd w:val="clear" w:color="auto" w:fill="auto"/>
          </w:tcPr>
          <w:p w14:paraId="04134E1A" w14:textId="04FD5F2C" w:rsidR="00C16650" w:rsidRPr="00C16650" w:rsidRDefault="00C16650" w:rsidP="00C16650">
            <w:pPr>
              <w:spacing w:after="0"/>
              <w:jc w:val="center"/>
              <w:rPr>
                <w:b/>
                <w:sz w:val="24"/>
                <w:szCs w:val="24"/>
              </w:rPr>
            </w:pPr>
            <w:r w:rsidRPr="00C16650">
              <w:t xml:space="preserve"> 1   </w:t>
            </w:r>
          </w:p>
        </w:tc>
      </w:tr>
      <w:tr w:rsidR="00C16650" w:rsidRPr="00C16650" w14:paraId="5AC44F62" w14:textId="77777777" w:rsidTr="00C16650">
        <w:trPr>
          <w:trHeight w:val="326"/>
        </w:trPr>
        <w:tc>
          <w:tcPr>
            <w:tcW w:w="1514" w:type="dxa"/>
            <w:shd w:val="clear" w:color="auto" w:fill="auto"/>
            <w:vAlign w:val="center"/>
          </w:tcPr>
          <w:p w14:paraId="057704CE" w14:textId="45492B9D" w:rsidR="00C16650" w:rsidRPr="00C16650" w:rsidRDefault="00C16650" w:rsidP="00C16650">
            <w:pPr>
              <w:tabs>
                <w:tab w:val="left" w:pos="0"/>
              </w:tabs>
              <w:spacing w:after="0" w:line="240" w:lineRule="auto"/>
              <w:jc w:val="center"/>
              <w:rPr>
                <w:rFonts w:cs="Arial"/>
                <w:b/>
              </w:rPr>
            </w:pPr>
            <w:r w:rsidRPr="00C16650">
              <w:rPr>
                <w:rFonts w:cs="Arial"/>
                <w:b/>
              </w:rPr>
              <w:t>13</w:t>
            </w:r>
          </w:p>
        </w:tc>
        <w:tc>
          <w:tcPr>
            <w:tcW w:w="5679" w:type="dxa"/>
            <w:tcBorders>
              <w:top w:val="nil"/>
              <w:left w:val="single" w:sz="4" w:space="0" w:color="auto"/>
              <w:bottom w:val="single" w:sz="4" w:space="0" w:color="auto"/>
              <w:right w:val="single" w:sz="4" w:space="0" w:color="auto"/>
            </w:tcBorders>
            <w:shd w:val="clear" w:color="auto" w:fill="auto"/>
            <w:vAlign w:val="center"/>
          </w:tcPr>
          <w:p w14:paraId="41FFFE4B" w14:textId="348CE9FF" w:rsidR="00C16650" w:rsidRPr="00C16650" w:rsidRDefault="00C16650" w:rsidP="00C16650">
            <w:pPr>
              <w:spacing w:after="0"/>
            </w:pPr>
            <w:r w:rsidRPr="00C16650">
              <w:rPr>
                <w:rFonts w:cs="Arial"/>
                <w:color w:val="000000"/>
              </w:rPr>
              <w:t>Forfait pose tranche ferme</w:t>
            </w:r>
          </w:p>
        </w:tc>
        <w:tc>
          <w:tcPr>
            <w:tcW w:w="1554" w:type="dxa"/>
            <w:tcBorders>
              <w:top w:val="nil"/>
              <w:left w:val="single" w:sz="4" w:space="0" w:color="auto"/>
              <w:bottom w:val="single" w:sz="4" w:space="0" w:color="auto"/>
              <w:right w:val="single" w:sz="4" w:space="0" w:color="auto"/>
            </w:tcBorders>
            <w:shd w:val="clear" w:color="auto" w:fill="auto"/>
          </w:tcPr>
          <w:p w14:paraId="14CB6A93" w14:textId="2724CFC2" w:rsidR="00C16650" w:rsidRPr="00C16650" w:rsidRDefault="00C16650" w:rsidP="00C16650">
            <w:pPr>
              <w:spacing w:after="0"/>
              <w:jc w:val="center"/>
              <w:rPr>
                <w:b/>
                <w:sz w:val="24"/>
                <w:szCs w:val="24"/>
              </w:rPr>
            </w:pPr>
            <w:r w:rsidRPr="00C16650">
              <w:t xml:space="preserve"> 1   </w:t>
            </w:r>
          </w:p>
        </w:tc>
      </w:tr>
      <w:tr w:rsidR="00C16650" w:rsidRPr="00C16650" w14:paraId="67E06C56" w14:textId="77777777" w:rsidTr="00C16650">
        <w:trPr>
          <w:trHeight w:val="326"/>
        </w:trPr>
        <w:tc>
          <w:tcPr>
            <w:tcW w:w="1514" w:type="dxa"/>
            <w:shd w:val="clear" w:color="auto" w:fill="auto"/>
            <w:vAlign w:val="center"/>
          </w:tcPr>
          <w:p w14:paraId="009FF85A" w14:textId="1ED698DB" w:rsidR="00C16650" w:rsidRPr="00C16650" w:rsidRDefault="00C16650" w:rsidP="00C16650">
            <w:pPr>
              <w:tabs>
                <w:tab w:val="left" w:pos="0"/>
              </w:tabs>
              <w:spacing w:after="0" w:line="240" w:lineRule="auto"/>
              <w:jc w:val="center"/>
              <w:rPr>
                <w:rFonts w:cs="Arial"/>
                <w:b/>
              </w:rPr>
            </w:pPr>
            <w:r w:rsidRPr="00C16650">
              <w:rPr>
                <w:rFonts w:cs="Arial"/>
                <w:b/>
              </w:rPr>
              <w:t>14</w:t>
            </w:r>
          </w:p>
        </w:tc>
        <w:tc>
          <w:tcPr>
            <w:tcW w:w="5679" w:type="dxa"/>
            <w:tcBorders>
              <w:top w:val="nil"/>
              <w:left w:val="single" w:sz="4" w:space="0" w:color="auto"/>
              <w:bottom w:val="single" w:sz="4" w:space="0" w:color="auto"/>
              <w:right w:val="single" w:sz="4" w:space="0" w:color="auto"/>
            </w:tcBorders>
            <w:shd w:val="clear" w:color="auto" w:fill="auto"/>
            <w:vAlign w:val="center"/>
          </w:tcPr>
          <w:p w14:paraId="14073D9C" w14:textId="1CF99E53" w:rsidR="00C16650" w:rsidRPr="00C16650" w:rsidRDefault="00C16650" w:rsidP="00C16650">
            <w:pPr>
              <w:spacing w:after="0"/>
            </w:pPr>
            <w:r w:rsidRPr="00C16650">
              <w:rPr>
                <w:rFonts w:cs="Arial"/>
                <w:color w:val="000000"/>
              </w:rPr>
              <w:t>Forfait dossier d'ouvrage exécuté</w:t>
            </w:r>
          </w:p>
        </w:tc>
        <w:tc>
          <w:tcPr>
            <w:tcW w:w="1554" w:type="dxa"/>
            <w:tcBorders>
              <w:top w:val="nil"/>
              <w:left w:val="single" w:sz="4" w:space="0" w:color="auto"/>
              <w:bottom w:val="single" w:sz="4" w:space="0" w:color="auto"/>
              <w:right w:val="single" w:sz="4" w:space="0" w:color="auto"/>
            </w:tcBorders>
            <w:shd w:val="clear" w:color="auto" w:fill="auto"/>
          </w:tcPr>
          <w:p w14:paraId="74D343E4" w14:textId="0BB65C5E" w:rsidR="00C16650" w:rsidRPr="00C16650" w:rsidRDefault="00C16650" w:rsidP="00C16650">
            <w:pPr>
              <w:spacing w:after="0"/>
              <w:jc w:val="center"/>
              <w:rPr>
                <w:b/>
                <w:sz w:val="24"/>
                <w:szCs w:val="24"/>
              </w:rPr>
            </w:pPr>
            <w:r w:rsidRPr="00C16650">
              <w:t xml:space="preserve"> 1   </w:t>
            </w:r>
          </w:p>
        </w:tc>
      </w:tr>
      <w:tr w:rsidR="00C16650" w:rsidRPr="00C16650" w14:paraId="387C5484" w14:textId="77777777" w:rsidTr="00C16650">
        <w:trPr>
          <w:trHeight w:val="326"/>
        </w:trPr>
        <w:tc>
          <w:tcPr>
            <w:tcW w:w="1514" w:type="dxa"/>
            <w:shd w:val="clear" w:color="auto" w:fill="auto"/>
            <w:vAlign w:val="center"/>
          </w:tcPr>
          <w:p w14:paraId="3FD64056" w14:textId="4E55EF5E" w:rsidR="00C16650" w:rsidRPr="00C16650" w:rsidRDefault="00C16650" w:rsidP="00C16650">
            <w:pPr>
              <w:tabs>
                <w:tab w:val="left" w:pos="0"/>
              </w:tabs>
              <w:spacing w:after="0" w:line="240" w:lineRule="auto"/>
              <w:jc w:val="center"/>
              <w:rPr>
                <w:rFonts w:cs="Arial"/>
                <w:b/>
              </w:rPr>
            </w:pPr>
            <w:r w:rsidRPr="00C16650">
              <w:rPr>
                <w:rFonts w:cs="Arial"/>
                <w:b/>
              </w:rPr>
              <w:t>15</w:t>
            </w:r>
          </w:p>
        </w:tc>
        <w:tc>
          <w:tcPr>
            <w:tcW w:w="5679" w:type="dxa"/>
            <w:tcBorders>
              <w:top w:val="nil"/>
              <w:left w:val="single" w:sz="4" w:space="0" w:color="auto"/>
              <w:bottom w:val="single" w:sz="4" w:space="0" w:color="auto"/>
              <w:right w:val="single" w:sz="4" w:space="0" w:color="auto"/>
            </w:tcBorders>
            <w:shd w:val="clear" w:color="auto" w:fill="auto"/>
            <w:vAlign w:val="center"/>
          </w:tcPr>
          <w:p w14:paraId="0A47853A" w14:textId="2F3BA2F5" w:rsidR="00C16650" w:rsidRPr="00C16650" w:rsidRDefault="00C16650" w:rsidP="00C16650">
            <w:pPr>
              <w:spacing w:after="0"/>
            </w:pPr>
            <w:r w:rsidRPr="00C16650">
              <w:rPr>
                <w:rFonts w:cs="Arial"/>
                <w:color w:val="000000"/>
              </w:rPr>
              <w:t>Forfait formation par jour par personne</w:t>
            </w:r>
          </w:p>
        </w:tc>
        <w:tc>
          <w:tcPr>
            <w:tcW w:w="1554" w:type="dxa"/>
            <w:tcBorders>
              <w:top w:val="nil"/>
              <w:left w:val="single" w:sz="4" w:space="0" w:color="auto"/>
              <w:bottom w:val="single" w:sz="4" w:space="0" w:color="auto"/>
              <w:right w:val="single" w:sz="4" w:space="0" w:color="auto"/>
            </w:tcBorders>
            <w:shd w:val="clear" w:color="auto" w:fill="auto"/>
          </w:tcPr>
          <w:p w14:paraId="74CEB17F" w14:textId="68E0C97D" w:rsidR="00C16650" w:rsidRPr="00C16650" w:rsidRDefault="00C16650" w:rsidP="00C16650">
            <w:pPr>
              <w:spacing w:after="0"/>
              <w:jc w:val="center"/>
              <w:rPr>
                <w:b/>
                <w:sz w:val="24"/>
                <w:szCs w:val="24"/>
              </w:rPr>
            </w:pPr>
            <w:r w:rsidRPr="00C16650">
              <w:t xml:space="preserve"> 8   </w:t>
            </w:r>
          </w:p>
        </w:tc>
      </w:tr>
      <w:tr w:rsidR="005B0EB7" w:rsidRPr="00C16650" w14:paraId="46F3C11E" w14:textId="77777777" w:rsidTr="005B0EB7">
        <w:trPr>
          <w:trHeight w:val="326"/>
        </w:trPr>
        <w:tc>
          <w:tcPr>
            <w:tcW w:w="1514" w:type="dxa"/>
            <w:shd w:val="clear" w:color="auto" w:fill="D0CECE" w:themeFill="background2" w:themeFillShade="E6"/>
            <w:vAlign w:val="center"/>
          </w:tcPr>
          <w:p w14:paraId="26ADA9AC" w14:textId="77777777" w:rsidR="005B0EB7" w:rsidRPr="00C16650" w:rsidRDefault="005B0EB7" w:rsidP="00C16650">
            <w:pPr>
              <w:tabs>
                <w:tab w:val="left" w:pos="0"/>
              </w:tabs>
              <w:spacing w:after="0" w:line="240" w:lineRule="auto"/>
              <w:jc w:val="center"/>
              <w:rPr>
                <w:rFonts w:cs="Arial"/>
                <w:b/>
              </w:rPr>
            </w:pPr>
          </w:p>
        </w:tc>
        <w:tc>
          <w:tcPr>
            <w:tcW w:w="5679"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6F52EAA5" w14:textId="77777777" w:rsidR="005B0EB7" w:rsidRPr="00C16650" w:rsidRDefault="005B0EB7" w:rsidP="00C16650">
            <w:pPr>
              <w:spacing w:after="0"/>
              <w:rPr>
                <w:rFonts w:cs="Arial"/>
                <w:color w:val="000000"/>
              </w:rPr>
            </w:pPr>
          </w:p>
        </w:tc>
        <w:tc>
          <w:tcPr>
            <w:tcW w:w="1554" w:type="dxa"/>
            <w:tcBorders>
              <w:top w:val="nil"/>
              <w:left w:val="single" w:sz="4" w:space="0" w:color="auto"/>
              <w:bottom w:val="single" w:sz="4" w:space="0" w:color="auto"/>
              <w:right w:val="single" w:sz="4" w:space="0" w:color="auto"/>
            </w:tcBorders>
            <w:shd w:val="clear" w:color="auto" w:fill="D0CECE" w:themeFill="background2" w:themeFillShade="E6"/>
          </w:tcPr>
          <w:p w14:paraId="5B00C0DD" w14:textId="09A5AC5E" w:rsidR="005B0EB7" w:rsidRPr="005B0EB7" w:rsidRDefault="005B0EB7" w:rsidP="00C16650">
            <w:pPr>
              <w:spacing w:after="0"/>
              <w:jc w:val="center"/>
              <w:rPr>
                <w:b/>
                <w:bCs/>
              </w:rPr>
            </w:pPr>
            <w:r w:rsidRPr="005B0EB7">
              <w:rPr>
                <w:b/>
                <w:bCs/>
              </w:rPr>
              <w:t>94</w:t>
            </w:r>
          </w:p>
        </w:tc>
      </w:tr>
      <w:tr w:rsidR="004552CE" w:rsidRPr="00C16650" w14:paraId="1538C667" w14:textId="77777777" w:rsidTr="004552CE">
        <w:trPr>
          <w:trHeight w:val="326"/>
        </w:trPr>
        <w:tc>
          <w:tcPr>
            <w:tcW w:w="1514" w:type="dxa"/>
            <w:shd w:val="clear" w:color="auto" w:fill="DEEAF6" w:themeFill="accent1" w:themeFillTint="33"/>
            <w:vAlign w:val="center"/>
          </w:tcPr>
          <w:p w14:paraId="0F5AF6CA" w14:textId="77777777" w:rsidR="004552CE" w:rsidRPr="00C16650" w:rsidRDefault="004552CE" w:rsidP="004552CE">
            <w:pPr>
              <w:tabs>
                <w:tab w:val="left" w:pos="0"/>
              </w:tabs>
              <w:spacing w:after="0" w:line="240" w:lineRule="auto"/>
              <w:jc w:val="center"/>
              <w:rPr>
                <w:rFonts w:cs="Arial"/>
                <w:b/>
              </w:rPr>
            </w:pPr>
          </w:p>
        </w:tc>
        <w:tc>
          <w:tcPr>
            <w:tcW w:w="5679" w:type="dxa"/>
            <w:shd w:val="clear" w:color="auto" w:fill="DEEAF6" w:themeFill="accent1" w:themeFillTint="33"/>
            <w:vAlign w:val="center"/>
          </w:tcPr>
          <w:p w14:paraId="2FBA4E18" w14:textId="57405E2A" w:rsidR="004552CE" w:rsidRPr="00C16650" w:rsidRDefault="004552CE" w:rsidP="004552CE">
            <w:pPr>
              <w:spacing w:after="0"/>
              <w:jc w:val="center"/>
              <w:rPr>
                <w:b/>
              </w:rPr>
            </w:pPr>
            <w:r w:rsidRPr="00C16650">
              <w:rPr>
                <w:b/>
                <w:sz w:val="24"/>
              </w:rPr>
              <w:t xml:space="preserve">Tranche </w:t>
            </w:r>
            <w:r w:rsidR="00C16650" w:rsidRPr="00C16650">
              <w:rPr>
                <w:b/>
                <w:sz w:val="24"/>
              </w:rPr>
              <w:t>conditionnelle</w:t>
            </w:r>
          </w:p>
        </w:tc>
        <w:tc>
          <w:tcPr>
            <w:tcW w:w="1554" w:type="dxa"/>
            <w:shd w:val="clear" w:color="auto" w:fill="DEEAF6" w:themeFill="accent1" w:themeFillTint="33"/>
            <w:vAlign w:val="center"/>
          </w:tcPr>
          <w:p w14:paraId="1952B6BA" w14:textId="77777777" w:rsidR="004552CE" w:rsidRPr="00C16650" w:rsidRDefault="004552CE" w:rsidP="004552CE">
            <w:pPr>
              <w:spacing w:after="0"/>
              <w:jc w:val="center"/>
              <w:rPr>
                <w:b/>
                <w:sz w:val="24"/>
                <w:szCs w:val="24"/>
              </w:rPr>
            </w:pPr>
          </w:p>
        </w:tc>
      </w:tr>
      <w:tr w:rsidR="00C16650" w:rsidRPr="00C16650" w14:paraId="4275DEE6" w14:textId="77777777" w:rsidTr="00C16650">
        <w:trPr>
          <w:trHeight w:val="326"/>
        </w:trPr>
        <w:tc>
          <w:tcPr>
            <w:tcW w:w="1514" w:type="dxa"/>
            <w:shd w:val="clear" w:color="auto" w:fill="auto"/>
            <w:vAlign w:val="center"/>
          </w:tcPr>
          <w:p w14:paraId="16E6609A" w14:textId="78187129" w:rsidR="00C16650" w:rsidRPr="00C16650" w:rsidRDefault="00C16650" w:rsidP="00C16650">
            <w:pPr>
              <w:tabs>
                <w:tab w:val="left" w:pos="0"/>
              </w:tabs>
              <w:spacing w:after="0" w:line="240" w:lineRule="auto"/>
              <w:jc w:val="center"/>
              <w:rPr>
                <w:rFonts w:cs="Arial"/>
                <w:b/>
              </w:rPr>
            </w:pPr>
            <w:r w:rsidRPr="00C16650">
              <w:rPr>
                <w:rFonts w:cs="Arial"/>
                <w:b/>
              </w:rPr>
              <w:t>16</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20F9384F" w14:textId="40702A88" w:rsidR="00C16650" w:rsidRPr="00C16650" w:rsidRDefault="00C16650" w:rsidP="00C16650">
            <w:pPr>
              <w:spacing w:after="0"/>
            </w:pPr>
            <w:r w:rsidRPr="00C16650">
              <w:rPr>
                <w:rFonts w:cs="Arial"/>
                <w:color w:val="000000"/>
              </w:rPr>
              <w:t xml:space="preserve">Ensemble plaque béquille électronique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14:paraId="13F1E89F" w14:textId="61B213C0" w:rsidR="00C16650" w:rsidRPr="00C16650" w:rsidRDefault="00C16650" w:rsidP="00C16650">
            <w:pPr>
              <w:spacing w:after="0"/>
              <w:jc w:val="center"/>
              <w:rPr>
                <w:b/>
                <w:sz w:val="24"/>
                <w:szCs w:val="24"/>
              </w:rPr>
            </w:pPr>
            <w:r w:rsidRPr="00C16650">
              <w:rPr>
                <w:rFonts w:cs="Arial"/>
              </w:rPr>
              <w:t>56</w:t>
            </w:r>
          </w:p>
        </w:tc>
      </w:tr>
      <w:tr w:rsidR="00C16650" w:rsidRPr="00C16650" w14:paraId="53DD0D35" w14:textId="77777777" w:rsidTr="00C16650">
        <w:trPr>
          <w:trHeight w:val="326"/>
        </w:trPr>
        <w:tc>
          <w:tcPr>
            <w:tcW w:w="1514" w:type="dxa"/>
            <w:shd w:val="clear" w:color="auto" w:fill="auto"/>
            <w:vAlign w:val="center"/>
          </w:tcPr>
          <w:p w14:paraId="3EF4EDCE" w14:textId="0325B891" w:rsidR="00C16650" w:rsidRPr="00C16650" w:rsidRDefault="00C16650" w:rsidP="00C16650">
            <w:pPr>
              <w:tabs>
                <w:tab w:val="left" w:pos="0"/>
              </w:tabs>
              <w:spacing w:after="0" w:line="240" w:lineRule="auto"/>
              <w:jc w:val="center"/>
              <w:rPr>
                <w:rFonts w:cs="Arial"/>
                <w:b/>
              </w:rPr>
            </w:pPr>
            <w:r w:rsidRPr="00C16650">
              <w:rPr>
                <w:rFonts w:cs="Arial"/>
                <w:b/>
              </w:rPr>
              <w:t>17</w:t>
            </w:r>
          </w:p>
        </w:tc>
        <w:tc>
          <w:tcPr>
            <w:tcW w:w="5679" w:type="dxa"/>
            <w:tcBorders>
              <w:top w:val="nil"/>
              <w:left w:val="single" w:sz="4" w:space="0" w:color="auto"/>
              <w:bottom w:val="single" w:sz="4" w:space="0" w:color="auto"/>
              <w:right w:val="single" w:sz="4" w:space="0" w:color="auto"/>
            </w:tcBorders>
            <w:shd w:val="clear" w:color="auto" w:fill="auto"/>
            <w:vAlign w:val="center"/>
          </w:tcPr>
          <w:p w14:paraId="5C903BEC" w14:textId="2A1C77B4" w:rsidR="00C16650" w:rsidRPr="00C16650" w:rsidRDefault="00C16650" w:rsidP="00C16650">
            <w:pPr>
              <w:spacing w:after="0"/>
            </w:pPr>
            <w:r w:rsidRPr="00C16650">
              <w:rPr>
                <w:rFonts w:cs="Arial"/>
                <w:color w:val="000000"/>
              </w:rPr>
              <w:t>Hub radio de communication avec antenne</w:t>
            </w:r>
          </w:p>
        </w:tc>
        <w:tc>
          <w:tcPr>
            <w:tcW w:w="1554" w:type="dxa"/>
            <w:tcBorders>
              <w:top w:val="nil"/>
              <w:left w:val="single" w:sz="4" w:space="0" w:color="auto"/>
              <w:bottom w:val="single" w:sz="4" w:space="0" w:color="auto"/>
              <w:right w:val="single" w:sz="4" w:space="0" w:color="auto"/>
            </w:tcBorders>
            <w:shd w:val="clear" w:color="auto" w:fill="auto"/>
            <w:vAlign w:val="center"/>
          </w:tcPr>
          <w:p w14:paraId="2457B590" w14:textId="0351E266" w:rsidR="00C16650" w:rsidRPr="00C16650" w:rsidRDefault="00C16650" w:rsidP="00C16650">
            <w:pPr>
              <w:spacing w:after="0"/>
              <w:jc w:val="center"/>
              <w:rPr>
                <w:b/>
                <w:sz w:val="24"/>
                <w:szCs w:val="24"/>
              </w:rPr>
            </w:pPr>
            <w:r w:rsidRPr="00C16650">
              <w:rPr>
                <w:rFonts w:cs="Arial"/>
              </w:rPr>
              <w:t>14</w:t>
            </w:r>
          </w:p>
        </w:tc>
      </w:tr>
      <w:tr w:rsidR="00C16650" w:rsidRPr="00C16650" w14:paraId="7C67F64E" w14:textId="77777777" w:rsidTr="00C16650">
        <w:trPr>
          <w:trHeight w:val="326"/>
        </w:trPr>
        <w:tc>
          <w:tcPr>
            <w:tcW w:w="1514" w:type="dxa"/>
            <w:shd w:val="clear" w:color="auto" w:fill="auto"/>
            <w:vAlign w:val="center"/>
          </w:tcPr>
          <w:p w14:paraId="6250976C" w14:textId="7F727F2B" w:rsidR="00C16650" w:rsidRPr="00C16650" w:rsidRDefault="00C16650" w:rsidP="00C16650">
            <w:pPr>
              <w:tabs>
                <w:tab w:val="left" w:pos="0"/>
              </w:tabs>
              <w:spacing w:after="0" w:line="240" w:lineRule="auto"/>
              <w:jc w:val="center"/>
              <w:rPr>
                <w:rFonts w:cs="Arial"/>
                <w:b/>
              </w:rPr>
            </w:pPr>
            <w:r w:rsidRPr="00C16650">
              <w:rPr>
                <w:rFonts w:cs="Arial"/>
                <w:b/>
              </w:rPr>
              <w:t>18</w:t>
            </w:r>
          </w:p>
        </w:tc>
        <w:tc>
          <w:tcPr>
            <w:tcW w:w="5679" w:type="dxa"/>
            <w:tcBorders>
              <w:top w:val="nil"/>
              <w:left w:val="single" w:sz="4" w:space="0" w:color="auto"/>
              <w:bottom w:val="single" w:sz="4" w:space="0" w:color="auto"/>
              <w:right w:val="single" w:sz="4" w:space="0" w:color="auto"/>
            </w:tcBorders>
            <w:shd w:val="clear" w:color="auto" w:fill="auto"/>
            <w:vAlign w:val="center"/>
          </w:tcPr>
          <w:p w14:paraId="464EDB7E" w14:textId="2128F522" w:rsidR="00C16650" w:rsidRPr="00C16650" w:rsidRDefault="00C16650" w:rsidP="00C16650">
            <w:pPr>
              <w:spacing w:after="0"/>
            </w:pPr>
            <w:r w:rsidRPr="00C16650">
              <w:rPr>
                <w:rFonts w:cs="Arial"/>
              </w:rPr>
              <w:t>Licences permettant de gérer 56 portes,   Licences lecteurs, opérateurs gestionnaires, opérateurs web, licences passerelles comprises</w:t>
            </w:r>
          </w:p>
        </w:tc>
        <w:tc>
          <w:tcPr>
            <w:tcW w:w="1554" w:type="dxa"/>
            <w:tcBorders>
              <w:top w:val="nil"/>
              <w:left w:val="single" w:sz="4" w:space="0" w:color="auto"/>
              <w:bottom w:val="single" w:sz="4" w:space="0" w:color="auto"/>
              <w:right w:val="single" w:sz="4" w:space="0" w:color="auto"/>
            </w:tcBorders>
            <w:shd w:val="clear" w:color="auto" w:fill="auto"/>
            <w:vAlign w:val="center"/>
          </w:tcPr>
          <w:p w14:paraId="5A474D29" w14:textId="489BD3CC" w:rsidR="00C16650" w:rsidRPr="00C16650" w:rsidRDefault="00C16650" w:rsidP="00C16650">
            <w:pPr>
              <w:spacing w:after="0"/>
              <w:jc w:val="center"/>
              <w:rPr>
                <w:b/>
                <w:sz w:val="24"/>
                <w:szCs w:val="24"/>
              </w:rPr>
            </w:pPr>
            <w:r w:rsidRPr="00C16650">
              <w:rPr>
                <w:rFonts w:cs="Arial"/>
              </w:rPr>
              <w:t>1</w:t>
            </w:r>
          </w:p>
        </w:tc>
      </w:tr>
      <w:tr w:rsidR="00C16650" w:rsidRPr="00C16650" w14:paraId="5426F132" w14:textId="77777777" w:rsidTr="00C16650">
        <w:trPr>
          <w:trHeight w:val="326"/>
        </w:trPr>
        <w:tc>
          <w:tcPr>
            <w:tcW w:w="1514" w:type="dxa"/>
            <w:shd w:val="clear" w:color="auto" w:fill="auto"/>
            <w:vAlign w:val="center"/>
          </w:tcPr>
          <w:p w14:paraId="3B611B6D" w14:textId="644542B6" w:rsidR="00C16650" w:rsidRPr="00C16650" w:rsidRDefault="00C16650" w:rsidP="00C16650">
            <w:pPr>
              <w:tabs>
                <w:tab w:val="left" w:pos="0"/>
              </w:tabs>
              <w:spacing w:after="0" w:line="240" w:lineRule="auto"/>
              <w:jc w:val="center"/>
              <w:rPr>
                <w:rFonts w:cs="Arial"/>
                <w:b/>
              </w:rPr>
            </w:pPr>
            <w:r w:rsidRPr="00C16650">
              <w:rPr>
                <w:rFonts w:cs="Arial"/>
                <w:b/>
              </w:rPr>
              <w:t>19</w:t>
            </w:r>
          </w:p>
        </w:tc>
        <w:tc>
          <w:tcPr>
            <w:tcW w:w="5679" w:type="dxa"/>
            <w:tcBorders>
              <w:top w:val="nil"/>
              <w:left w:val="single" w:sz="4" w:space="0" w:color="auto"/>
              <w:bottom w:val="single" w:sz="4" w:space="0" w:color="auto"/>
              <w:right w:val="single" w:sz="4" w:space="0" w:color="auto"/>
            </w:tcBorders>
            <w:shd w:val="clear" w:color="auto" w:fill="auto"/>
            <w:vAlign w:val="center"/>
          </w:tcPr>
          <w:p w14:paraId="2507B709" w14:textId="3B50CA6E" w:rsidR="00C16650" w:rsidRPr="00C16650" w:rsidRDefault="00C16650" w:rsidP="00C16650">
            <w:pPr>
              <w:spacing w:after="0"/>
            </w:pPr>
            <w:r w:rsidRPr="00C16650">
              <w:rPr>
                <w:rFonts w:cs="Arial"/>
                <w:color w:val="000000"/>
              </w:rPr>
              <w:t>Forfait pose tranche conditionnelle</w:t>
            </w:r>
          </w:p>
        </w:tc>
        <w:tc>
          <w:tcPr>
            <w:tcW w:w="1554" w:type="dxa"/>
            <w:tcBorders>
              <w:top w:val="nil"/>
              <w:left w:val="single" w:sz="4" w:space="0" w:color="auto"/>
              <w:bottom w:val="single" w:sz="4" w:space="0" w:color="auto"/>
              <w:right w:val="single" w:sz="4" w:space="0" w:color="auto"/>
            </w:tcBorders>
            <w:shd w:val="clear" w:color="auto" w:fill="auto"/>
            <w:vAlign w:val="center"/>
          </w:tcPr>
          <w:p w14:paraId="34058E0A" w14:textId="6512D04B" w:rsidR="00C16650" w:rsidRPr="00C16650" w:rsidRDefault="00C16650" w:rsidP="00C16650">
            <w:pPr>
              <w:spacing w:after="0"/>
              <w:jc w:val="center"/>
              <w:rPr>
                <w:b/>
                <w:sz w:val="24"/>
                <w:szCs w:val="24"/>
              </w:rPr>
            </w:pPr>
            <w:r w:rsidRPr="00C16650">
              <w:rPr>
                <w:rFonts w:cs="Arial"/>
              </w:rPr>
              <w:t>1</w:t>
            </w:r>
          </w:p>
        </w:tc>
      </w:tr>
      <w:tr w:rsidR="00C16650" w:rsidRPr="00C16650" w14:paraId="23A3FAF7" w14:textId="77777777" w:rsidTr="00C16650">
        <w:trPr>
          <w:trHeight w:val="326"/>
        </w:trPr>
        <w:tc>
          <w:tcPr>
            <w:tcW w:w="1514" w:type="dxa"/>
            <w:shd w:val="clear" w:color="auto" w:fill="auto"/>
            <w:vAlign w:val="center"/>
          </w:tcPr>
          <w:p w14:paraId="39F81C37" w14:textId="33AD8548" w:rsidR="00C16650" w:rsidRPr="00C16650" w:rsidRDefault="00C16650" w:rsidP="00C16650">
            <w:pPr>
              <w:tabs>
                <w:tab w:val="left" w:pos="0"/>
              </w:tabs>
              <w:spacing w:after="0" w:line="240" w:lineRule="auto"/>
              <w:jc w:val="center"/>
              <w:rPr>
                <w:rFonts w:cs="Arial"/>
                <w:b/>
              </w:rPr>
            </w:pPr>
            <w:r w:rsidRPr="00C16650">
              <w:rPr>
                <w:rFonts w:cs="Arial"/>
                <w:b/>
              </w:rPr>
              <w:t>20</w:t>
            </w:r>
          </w:p>
        </w:tc>
        <w:tc>
          <w:tcPr>
            <w:tcW w:w="5679" w:type="dxa"/>
            <w:tcBorders>
              <w:top w:val="nil"/>
              <w:left w:val="single" w:sz="4" w:space="0" w:color="auto"/>
              <w:bottom w:val="single" w:sz="4" w:space="0" w:color="auto"/>
              <w:right w:val="single" w:sz="4" w:space="0" w:color="auto"/>
            </w:tcBorders>
            <w:shd w:val="clear" w:color="auto" w:fill="auto"/>
            <w:vAlign w:val="center"/>
          </w:tcPr>
          <w:p w14:paraId="7E5F31E8" w14:textId="2572B6D4" w:rsidR="00C16650" w:rsidRPr="00C16650" w:rsidRDefault="00C16650" w:rsidP="00C16650">
            <w:pPr>
              <w:spacing w:after="0"/>
            </w:pPr>
            <w:r w:rsidRPr="00C16650">
              <w:rPr>
                <w:rFonts w:cs="Arial"/>
                <w:color w:val="000000"/>
              </w:rPr>
              <w:t>Forfait dossier d'ouvrage exécuté</w:t>
            </w:r>
          </w:p>
        </w:tc>
        <w:tc>
          <w:tcPr>
            <w:tcW w:w="1554" w:type="dxa"/>
            <w:tcBorders>
              <w:top w:val="nil"/>
              <w:left w:val="single" w:sz="4" w:space="0" w:color="auto"/>
              <w:bottom w:val="single" w:sz="4" w:space="0" w:color="auto"/>
              <w:right w:val="single" w:sz="4" w:space="0" w:color="auto"/>
            </w:tcBorders>
            <w:shd w:val="clear" w:color="auto" w:fill="auto"/>
            <w:vAlign w:val="center"/>
          </w:tcPr>
          <w:p w14:paraId="250A9FDF" w14:textId="78E8621F" w:rsidR="00C16650" w:rsidRPr="00C16650" w:rsidRDefault="00C16650" w:rsidP="00C16650">
            <w:pPr>
              <w:spacing w:after="0"/>
              <w:jc w:val="center"/>
              <w:rPr>
                <w:b/>
                <w:sz w:val="24"/>
                <w:szCs w:val="24"/>
              </w:rPr>
            </w:pPr>
            <w:r w:rsidRPr="00C16650">
              <w:rPr>
                <w:rFonts w:cs="Arial"/>
              </w:rPr>
              <w:t>1</w:t>
            </w:r>
          </w:p>
        </w:tc>
      </w:tr>
      <w:tr w:rsidR="00C16650" w:rsidRPr="00C16650" w14:paraId="4ABCB52F" w14:textId="77777777" w:rsidTr="00C16650">
        <w:trPr>
          <w:trHeight w:val="326"/>
        </w:trPr>
        <w:tc>
          <w:tcPr>
            <w:tcW w:w="1514" w:type="dxa"/>
            <w:shd w:val="clear" w:color="auto" w:fill="auto"/>
            <w:vAlign w:val="center"/>
          </w:tcPr>
          <w:p w14:paraId="7A7918EF" w14:textId="4413D345" w:rsidR="00C16650" w:rsidRPr="00C16650" w:rsidRDefault="00C16650" w:rsidP="00C16650">
            <w:pPr>
              <w:tabs>
                <w:tab w:val="left" w:pos="0"/>
              </w:tabs>
              <w:spacing w:after="0" w:line="240" w:lineRule="auto"/>
              <w:jc w:val="center"/>
              <w:rPr>
                <w:rFonts w:cs="Arial"/>
                <w:b/>
              </w:rPr>
            </w:pPr>
            <w:r w:rsidRPr="00C16650">
              <w:rPr>
                <w:rFonts w:cs="Arial"/>
                <w:b/>
              </w:rPr>
              <w:t>21</w:t>
            </w:r>
          </w:p>
        </w:tc>
        <w:tc>
          <w:tcPr>
            <w:tcW w:w="5679" w:type="dxa"/>
            <w:tcBorders>
              <w:top w:val="nil"/>
              <w:left w:val="single" w:sz="4" w:space="0" w:color="auto"/>
              <w:bottom w:val="single" w:sz="4" w:space="0" w:color="auto"/>
              <w:right w:val="single" w:sz="4" w:space="0" w:color="auto"/>
            </w:tcBorders>
            <w:shd w:val="clear" w:color="auto" w:fill="auto"/>
            <w:vAlign w:val="center"/>
          </w:tcPr>
          <w:p w14:paraId="12BE94B8" w14:textId="3CDCA6D4" w:rsidR="00C16650" w:rsidRPr="00C16650" w:rsidRDefault="00C16650" w:rsidP="00C16650">
            <w:pPr>
              <w:spacing w:after="0"/>
            </w:pPr>
            <w:r w:rsidRPr="00C16650">
              <w:rPr>
                <w:rFonts w:cs="Arial"/>
                <w:color w:val="000000"/>
              </w:rPr>
              <w:t>Forfait formation par jour par personne</w:t>
            </w:r>
          </w:p>
        </w:tc>
        <w:tc>
          <w:tcPr>
            <w:tcW w:w="1554" w:type="dxa"/>
            <w:tcBorders>
              <w:top w:val="nil"/>
              <w:left w:val="single" w:sz="4" w:space="0" w:color="auto"/>
              <w:bottom w:val="single" w:sz="4" w:space="0" w:color="auto"/>
              <w:right w:val="single" w:sz="4" w:space="0" w:color="auto"/>
            </w:tcBorders>
            <w:shd w:val="clear" w:color="auto" w:fill="auto"/>
            <w:vAlign w:val="center"/>
          </w:tcPr>
          <w:p w14:paraId="345C0F1E" w14:textId="2BB20B88" w:rsidR="00C16650" w:rsidRPr="00C16650" w:rsidRDefault="00C16650" w:rsidP="00C16650">
            <w:pPr>
              <w:spacing w:after="0"/>
              <w:jc w:val="center"/>
              <w:rPr>
                <w:b/>
                <w:sz w:val="24"/>
                <w:szCs w:val="24"/>
              </w:rPr>
            </w:pPr>
            <w:r w:rsidRPr="00C16650">
              <w:rPr>
                <w:rFonts w:cs="Arial"/>
              </w:rPr>
              <w:t>8</w:t>
            </w:r>
          </w:p>
        </w:tc>
      </w:tr>
      <w:tr w:rsidR="00C16650" w:rsidRPr="00406BB2" w14:paraId="20F0B291" w14:textId="77777777" w:rsidTr="005B0EB7">
        <w:trPr>
          <w:trHeight w:val="326"/>
        </w:trPr>
        <w:tc>
          <w:tcPr>
            <w:tcW w:w="1514" w:type="dxa"/>
            <w:shd w:val="clear" w:color="auto" w:fill="auto"/>
            <w:vAlign w:val="center"/>
          </w:tcPr>
          <w:p w14:paraId="74FFE3A7" w14:textId="6B4723A4" w:rsidR="00C16650" w:rsidRPr="00C16650" w:rsidRDefault="00C16650" w:rsidP="00C16650">
            <w:pPr>
              <w:tabs>
                <w:tab w:val="left" w:pos="0"/>
              </w:tabs>
              <w:spacing w:after="0" w:line="240" w:lineRule="auto"/>
              <w:jc w:val="center"/>
              <w:rPr>
                <w:rFonts w:cs="Arial"/>
                <w:b/>
              </w:rPr>
            </w:pPr>
            <w:r w:rsidRPr="00C16650">
              <w:rPr>
                <w:rFonts w:cs="Arial"/>
                <w:b/>
              </w:rPr>
              <w:t>22</w:t>
            </w:r>
          </w:p>
        </w:tc>
        <w:tc>
          <w:tcPr>
            <w:tcW w:w="5679" w:type="dxa"/>
            <w:tcBorders>
              <w:top w:val="nil"/>
              <w:left w:val="single" w:sz="4" w:space="0" w:color="auto"/>
              <w:bottom w:val="single" w:sz="4" w:space="0" w:color="auto"/>
              <w:right w:val="single" w:sz="4" w:space="0" w:color="8DB4E2"/>
            </w:tcBorders>
            <w:shd w:val="clear" w:color="auto" w:fill="auto"/>
            <w:vAlign w:val="center"/>
          </w:tcPr>
          <w:p w14:paraId="5BB286DF" w14:textId="77F8D540" w:rsidR="00C16650" w:rsidRPr="00C16650" w:rsidRDefault="00C16650" w:rsidP="00C16650">
            <w:pPr>
              <w:spacing w:after="0"/>
            </w:pPr>
            <w:r w:rsidRPr="00C16650">
              <w:rPr>
                <w:rFonts w:cs="Arial"/>
              </w:rPr>
              <w:t xml:space="preserve">Garantie matérielle et maintien en condition opérationnelle  </w:t>
            </w:r>
          </w:p>
        </w:tc>
        <w:tc>
          <w:tcPr>
            <w:tcW w:w="1554" w:type="dxa"/>
            <w:tcBorders>
              <w:top w:val="nil"/>
              <w:left w:val="single" w:sz="4" w:space="0" w:color="auto"/>
              <w:bottom w:val="single" w:sz="4" w:space="0" w:color="auto"/>
              <w:right w:val="single" w:sz="4" w:space="0" w:color="auto"/>
            </w:tcBorders>
            <w:shd w:val="clear" w:color="auto" w:fill="auto"/>
            <w:vAlign w:val="center"/>
          </w:tcPr>
          <w:p w14:paraId="6AECFE9D" w14:textId="57B81861" w:rsidR="00C16650" w:rsidRPr="00C16650" w:rsidRDefault="00C16650" w:rsidP="00C16650">
            <w:pPr>
              <w:spacing w:after="0"/>
              <w:jc w:val="center"/>
              <w:rPr>
                <w:b/>
                <w:sz w:val="24"/>
                <w:szCs w:val="24"/>
              </w:rPr>
            </w:pPr>
            <w:r w:rsidRPr="00C16650">
              <w:rPr>
                <w:rFonts w:cs="Arial"/>
              </w:rPr>
              <w:t>1</w:t>
            </w:r>
          </w:p>
        </w:tc>
      </w:tr>
      <w:tr w:rsidR="005B0EB7" w:rsidRPr="00406BB2" w14:paraId="1904DCF2" w14:textId="77777777" w:rsidTr="005B0EB7">
        <w:trPr>
          <w:trHeight w:val="326"/>
        </w:trPr>
        <w:tc>
          <w:tcPr>
            <w:tcW w:w="1514" w:type="dxa"/>
            <w:tcBorders>
              <w:right w:val="single" w:sz="4" w:space="0" w:color="auto"/>
            </w:tcBorders>
            <w:shd w:val="clear" w:color="auto" w:fill="D0CECE" w:themeFill="background2" w:themeFillShade="E6"/>
            <w:vAlign w:val="center"/>
          </w:tcPr>
          <w:p w14:paraId="7FBAEA75" w14:textId="77777777" w:rsidR="005B0EB7" w:rsidRPr="00C16650" w:rsidRDefault="005B0EB7" w:rsidP="00C16650">
            <w:pPr>
              <w:tabs>
                <w:tab w:val="left" w:pos="0"/>
              </w:tabs>
              <w:spacing w:after="0" w:line="240" w:lineRule="auto"/>
              <w:jc w:val="center"/>
              <w:rPr>
                <w:rFonts w:cs="Arial"/>
                <w:b/>
              </w:rPr>
            </w:pPr>
          </w:p>
        </w:tc>
        <w:tc>
          <w:tcPr>
            <w:tcW w:w="5679" w:type="dxa"/>
            <w:tcBorders>
              <w:top w:val="single" w:sz="4" w:space="0" w:color="auto"/>
              <w:left w:val="single" w:sz="4" w:space="0" w:color="auto"/>
              <w:bottom w:val="single" w:sz="4" w:space="0" w:color="auto"/>
              <w:right w:val="single" w:sz="4" w:space="0" w:color="8DB4E2"/>
            </w:tcBorders>
            <w:shd w:val="clear" w:color="auto" w:fill="D0CECE" w:themeFill="background2" w:themeFillShade="E6"/>
            <w:vAlign w:val="center"/>
          </w:tcPr>
          <w:p w14:paraId="40C19246" w14:textId="77777777" w:rsidR="005B0EB7" w:rsidRPr="00C16650" w:rsidRDefault="005B0EB7" w:rsidP="00C16650">
            <w:pPr>
              <w:spacing w:after="0"/>
              <w:rPr>
                <w:rFonts w:cs="Arial"/>
              </w:rPr>
            </w:pPr>
          </w:p>
        </w:tc>
        <w:tc>
          <w:tcPr>
            <w:tcW w:w="155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D15665D" w14:textId="58691BB2" w:rsidR="005B0EB7" w:rsidRPr="005B0EB7" w:rsidRDefault="005B0EB7" w:rsidP="00C16650">
            <w:pPr>
              <w:spacing w:after="0"/>
              <w:jc w:val="center"/>
              <w:rPr>
                <w:rFonts w:cs="Arial"/>
                <w:b/>
                <w:bCs/>
              </w:rPr>
            </w:pPr>
            <w:r w:rsidRPr="005B0EB7">
              <w:rPr>
                <w:rFonts w:cs="Arial"/>
                <w:b/>
                <w:bCs/>
              </w:rPr>
              <w:t>82</w:t>
            </w:r>
          </w:p>
        </w:tc>
      </w:tr>
    </w:tbl>
    <w:p w14:paraId="47ECA497" w14:textId="77777777" w:rsidR="00EA30DA" w:rsidRPr="00C16650" w:rsidRDefault="00EA30DA" w:rsidP="00EA30DA">
      <w:pPr>
        <w:pStyle w:val="Paragraphedeliste"/>
        <w:widowControl w:val="0"/>
        <w:tabs>
          <w:tab w:val="left" w:pos="0"/>
        </w:tabs>
        <w:autoSpaceDE w:val="0"/>
        <w:autoSpaceDN w:val="0"/>
        <w:adjustRightInd w:val="0"/>
        <w:ind w:left="142" w:right="-852"/>
        <w:jc w:val="both"/>
        <w:rPr>
          <w:rStyle w:val="lev"/>
        </w:rPr>
      </w:pPr>
    </w:p>
    <w:p w14:paraId="3D93FB1D" w14:textId="037229BA" w:rsidR="0068218E" w:rsidRPr="00C16650" w:rsidRDefault="0068218E" w:rsidP="00376756">
      <w:pPr>
        <w:pStyle w:val="Paragraphedeliste"/>
        <w:widowControl w:val="0"/>
        <w:numPr>
          <w:ilvl w:val="0"/>
          <w:numId w:val="1"/>
        </w:numPr>
        <w:tabs>
          <w:tab w:val="left" w:pos="0"/>
        </w:tabs>
        <w:autoSpaceDE w:val="0"/>
        <w:autoSpaceDN w:val="0"/>
        <w:adjustRightInd w:val="0"/>
        <w:ind w:left="142" w:right="-852"/>
        <w:jc w:val="both"/>
        <w:rPr>
          <w:rStyle w:val="lev"/>
        </w:rPr>
      </w:pPr>
      <w:r w:rsidRPr="00C16650">
        <w:rPr>
          <w:rStyle w:val="lev"/>
        </w:rPr>
        <w:t xml:space="preserve">La partie articles listés est estimée à </w:t>
      </w:r>
      <w:r w:rsidR="00C16650" w:rsidRPr="00C16650">
        <w:rPr>
          <w:rStyle w:val="lev"/>
        </w:rPr>
        <w:t>90</w:t>
      </w:r>
      <w:r w:rsidRPr="00C16650">
        <w:rPr>
          <w:rStyle w:val="lev"/>
        </w:rPr>
        <w:t xml:space="preserve"> % du volume financier annuel.</w:t>
      </w:r>
    </w:p>
    <w:p w14:paraId="71156FAF" w14:textId="01D17C39" w:rsidR="0068218E" w:rsidRPr="00C16650" w:rsidRDefault="0068218E" w:rsidP="00EA30DA">
      <w:pPr>
        <w:pStyle w:val="Paragraphedeliste"/>
        <w:widowControl w:val="0"/>
        <w:numPr>
          <w:ilvl w:val="0"/>
          <w:numId w:val="1"/>
        </w:numPr>
        <w:tabs>
          <w:tab w:val="left" w:pos="0"/>
        </w:tabs>
        <w:autoSpaceDE w:val="0"/>
        <w:autoSpaceDN w:val="0"/>
        <w:adjustRightInd w:val="0"/>
        <w:spacing w:after="0"/>
        <w:ind w:left="142" w:right="-852"/>
        <w:jc w:val="both"/>
        <w:rPr>
          <w:rStyle w:val="lev"/>
        </w:rPr>
      </w:pPr>
      <w:r w:rsidRPr="00C16650">
        <w:rPr>
          <w:rStyle w:val="lev"/>
        </w:rPr>
        <w:t xml:space="preserve">La partie </w:t>
      </w:r>
      <w:r w:rsidR="00D024FF" w:rsidRPr="00C16650">
        <w:rPr>
          <w:rStyle w:val="lev"/>
        </w:rPr>
        <w:t>catalogue est</w:t>
      </w:r>
      <w:r w:rsidRPr="00C16650">
        <w:rPr>
          <w:rStyle w:val="lev"/>
        </w:rPr>
        <w:t xml:space="preserve"> estimée à</w:t>
      </w:r>
      <w:r w:rsidR="00C16650" w:rsidRPr="00C16650">
        <w:rPr>
          <w:rStyle w:val="lev"/>
        </w:rPr>
        <w:t xml:space="preserve"> 10</w:t>
      </w:r>
      <w:r w:rsidRPr="00C16650">
        <w:rPr>
          <w:rStyle w:val="lev"/>
        </w:rPr>
        <w:t xml:space="preserve"> % du volume financier annuel. </w:t>
      </w:r>
    </w:p>
    <w:p w14:paraId="6AA0AE81" w14:textId="0ED6C2C6" w:rsidR="00CF0BF5" w:rsidRPr="005B0EB7" w:rsidRDefault="0068218E" w:rsidP="005B0EB7">
      <w:pPr>
        <w:widowControl w:val="0"/>
        <w:tabs>
          <w:tab w:val="left" w:pos="0"/>
        </w:tabs>
        <w:autoSpaceDE w:val="0"/>
        <w:autoSpaceDN w:val="0"/>
        <w:adjustRightInd w:val="0"/>
        <w:ind w:left="-218" w:right="-852"/>
        <w:jc w:val="both"/>
        <w:rPr>
          <w:b/>
          <w:bCs/>
          <w:color w:val="943634"/>
          <w:spacing w:val="5"/>
        </w:rPr>
      </w:pPr>
      <w:r w:rsidRPr="00C16650">
        <w:rPr>
          <w:rStyle w:val="lev"/>
        </w:rPr>
        <w:t>La partie catalogue fait l’objet d’une mise au point après at</w:t>
      </w:r>
      <w:r w:rsidR="00EA30DA" w:rsidRPr="00C16650">
        <w:rPr>
          <w:rStyle w:val="lev"/>
        </w:rPr>
        <w:t>tribution et avant notification.</w:t>
      </w:r>
    </w:p>
    <w:p w14:paraId="77BDD912" w14:textId="262041D5" w:rsidR="003E1432" w:rsidRPr="00406BB2" w:rsidRDefault="00B32BA9" w:rsidP="00F361DE">
      <w:pPr>
        <w:pStyle w:val="Titre1"/>
        <w:tabs>
          <w:tab w:val="left" w:pos="0"/>
        </w:tabs>
        <w:jc w:val="left"/>
      </w:pPr>
      <w:bookmarkStart w:id="13" w:name="_Toc128193590"/>
      <w:bookmarkStart w:id="14" w:name="_Toc130915588"/>
      <w:bookmarkStart w:id="15" w:name="_Toc130915642"/>
      <w:bookmarkStart w:id="16" w:name="_Toc175128588"/>
      <w:r w:rsidRPr="00406BB2">
        <w:lastRenderedPageBreak/>
        <w:t>IV</w:t>
      </w:r>
      <w:r w:rsidR="00EF684B" w:rsidRPr="00406BB2">
        <w:t xml:space="preserve">- </w:t>
      </w:r>
      <w:r w:rsidR="007F34BC" w:rsidRPr="00406BB2">
        <w:t xml:space="preserve">SPECIFICATIONS TECHNIQUES </w:t>
      </w:r>
      <w:r w:rsidR="00D6477F" w:rsidRPr="00406BB2">
        <w:t xml:space="preserve">GENERALES </w:t>
      </w:r>
      <w:r w:rsidR="007F34BC" w:rsidRPr="00406BB2">
        <w:t>DES PRODUITS</w:t>
      </w:r>
      <w:bookmarkEnd w:id="13"/>
      <w:bookmarkEnd w:id="14"/>
      <w:bookmarkEnd w:id="15"/>
      <w:bookmarkEnd w:id="16"/>
    </w:p>
    <w:p w14:paraId="493D8771" w14:textId="77777777" w:rsidR="00062067" w:rsidRPr="00406BB2" w:rsidRDefault="00062067" w:rsidP="00062067">
      <w:pPr>
        <w:pStyle w:val="Corpsdetexte"/>
        <w:tabs>
          <w:tab w:val="left" w:pos="0"/>
        </w:tabs>
        <w:jc w:val="both"/>
        <w:rPr>
          <w:color w:val="auto"/>
        </w:rPr>
      </w:pPr>
      <w:r w:rsidRPr="00406BB2">
        <w:rPr>
          <w:color w:val="auto"/>
        </w:rPr>
        <w:t xml:space="preserve">Les cartes </w:t>
      </w:r>
      <w:proofErr w:type="spellStart"/>
      <w:r w:rsidRPr="00406BB2">
        <w:rPr>
          <w:color w:val="auto"/>
        </w:rPr>
        <w:t>CPx</w:t>
      </w:r>
      <w:proofErr w:type="spellEnd"/>
      <w:r w:rsidRPr="00406BB2">
        <w:rPr>
          <w:color w:val="auto"/>
        </w:rPr>
        <w:t xml:space="preserve"> sont des cartes à puce délivrées aux professionnels du secteur santé et médico-social</w:t>
      </w:r>
      <w:r w:rsidR="00571EB4" w:rsidRPr="00406BB2">
        <w:rPr>
          <w:color w:val="auto"/>
        </w:rPr>
        <w:t xml:space="preserve"> compatibles </w:t>
      </w:r>
      <w:r w:rsidR="00710617" w:rsidRPr="00406BB2">
        <w:rPr>
          <w:color w:val="auto"/>
        </w:rPr>
        <w:t xml:space="preserve">avec le protocole </w:t>
      </w:r>
      <w:r w:rsidR="00571EB4" w:rsidRPr="00406BB2">
        <w:rPr>
          <w:color w:val="auto"/>
        </w:rPr>
        <w:t xml:space="preserve">ISO 14443 type </w:t>
      </w:r>
      <w:r w:rsidR="001953DD" w:rsidRPr="00406BB2">
        <w:rPr>
          <w:color w:val="auto"/>
        </w:rPr>
        <w:t>A</w:t>
      </w:r>
      <w:r w:rsidR="00571EB4" w:rsidRPr="00406BB2">
        <w:rPr>
          <w:color w:val="auto"/>
        </w:rPr>
        <w:t xml:space="preserve"> et type B</w:t>
      </w:r>
      <w:r w:rsidRPr="00406BB2">
        <w:rPr>
          <w:color w:val="auto"/>
        </w:rPr>
        <w:t xml:space="preserve">. Elles permettent de mettre en </w:t>
      </w:r>
      <w:r w:rsidR="006E1EFD" w:rsidRPr="00406BB2">
        <w:rPr>
          <w:color w:val="auto"/>
        </w:rPr>
        <w:t>œuvre</w:t>
      </w:r>
      <w:r w:rsidR="00506AAD" w:rsidRPr="00406BB2">
        <w:rPr>
          <w:color w:val="auto"/>
        </w:rPr>
        <w:t> :</w:t>
      </w:r>
    </w:p>
    <w:p w14:paraId="5881D649" w14:textId="6617DB27" w:rsidR="006E1EFD" w:rsidRPr="00406BB2" w:rsidRDefault="00136B6A" w:rsidP="0033646D">
      <w:pPr>
        <w:pStyle w:val="Corpsdetexte"/>
        <w:numPr>
          <w:ilvl w:val="0"/>
          <w:numId w:val="13"/>
        </w:numPr>
        <w:tabs>
          <w:tab w:val="left" w:pos="0"/>
        </w:tabs>
        <w:spacing w:after="0"/>
        <w:ind w:left="357" w:hanging="357"/>
        <w:jc w:val="both"/>
        <w:rPr>
          <w:color w:val="auto"/>
        </w:rPr>
      </w:pPr>
      <w:r w:rsidRPr="00406BB2">
        <w:rPr>
          <w:color w:val="auto"/>
        </w:rPr>
        <w:t>L’authentification</w:t>
      </w:r>
      <w:r w:rsidR="00062067" w:rsidRPr="00406BB2">
        <w:rPr>
          <w:color w:val="auto"/>
        </w:rPr>
        <w:t xml:space="preserve"> </w:t>
      </w:r>
      <w:r w:rsidR="001953DD" w:rsidRPr="00406BB2">
        <w:rPr>
          <w:color w:val="auto"/>
        </w:rPr>
        <w:t xml:space="preserve">du </w:t>
      </w:r>
      <w:r w:rsidR="00062067" w:rsidRPr="00406BB2">
        <w:rPr>
          <w:color w:val="auto"/>
        </w:rPr>
        <w:t>porteur de carte</w:t>
      </w:r>
      <w:r w:rsidR="003E1432" w:rsidRPr="00406BB2">
        <w:rPr>
          <w:color w:val="auto"/>
        </w:rPr>
        <w:t> ;</w:t>
      </w:r>
    </w:p>
    <w:p w14:paraId="08069F5E" w14:textId="30EAED9E" w:rsidR="00FA1912" w:rsidRPr="00406BB2" w:rsidRDefault="00136B6A" w:rsidP="0033646D">
      <w:pPr>
        <w:pStyle w:val="Corpsdetexte"/>
        <w:numPr>
          <w:ilvl w:val="0"/>
          <w:numId w:val="13"/>
        </w:numPr>
        <w:tabs>
          <w:tab w:val="left" w:pos="0"/>
        </w:tabs>
        <w:ind w:left="357" w:hanging="357"/>
        <w:jc w:val="both"/>
        <w:rPr>
          <w:color w:val="auto"/>
        </w:rPr>
      </w:pPr>
      <w:r w:rsidRPr="00406BB2">
        <w:rPr>
          <w:color w:val="auto"/>
        </w:rPr>
        <w:t>L’authentification</w:t>
      </w:r>
      <w:r w:rsidR="00062067" w:rsidRPr="00406BB2">
        <w:rPr>
          <w:color w:val="auto"/>
        </w:rPr>
        <w:t xml:space="preserve"> simple de la carte : en mode san</w:t>
      </w:r>
      <w:r w:rsidR="006E1EFD" w:rsidRPr="00406BB2">
        <w:rPr>
          <w:color w:val="auto"/>
        </w:rPr>
        <w:t xml:space="preserve">s-contact, </w:t>
      </w:r>
      <w:r w:rsidR="00062067" w:rsidRPr="00406BB2">
        <w:rPr>
          <w:color w:val="auto"/>
        </w:rPr>
        <w:t>lecture de la c</w:t>
      </w:r>
      <w:r w:rsidR="00954806" w:rsidRPr="00406BB2">
        <w:rPr>
          <w:color w:val="auto"/>
        </w:rPr>
        <w:t>arte à moins de 5 cm du lecteur,</w:t>
      </w:r>
      <w:r w:rsidR="006E1EFD" w:rsidRPr="00406BB2">
        <w:rPr>
          <w:color w:val="auto"/>
        </w:rPr>
        <w:t xml:space="preserve"> conforme à la norme ISO </w:t>
      </w:r>
      <w:r w:rsidR="00AB6394" w:rsidRPr="00406BB2">
        <w:rPr>
          <w:color w:val="auto"/>
        </w:rPr>
        <w:t>1444, pour</w:t>
      </w:r>
      <w:r w:rsidR="00062067" w:rsidRPr="00406BB2">
        <w:rPr>
          <w:color w:val="auto"/>
        </w:rPr>
        <w:t xml:space="preserve"> faciliter l’usage de la carte en situation de mobilité au sein d’une organisation de santé.</w:t>
      </w:r>
    </w:p>
    <w:p w14:paraId="19F4F9BF" w14:textId="22005BAE" w:rsidR="00F417ED" w:rsidRPr="00C16650" w:rsidRDefault="00F417ED" w:rsidP="00F417ED">
      <w:pPr>
        <w:pStyle w:val="Corpsdetexte"/>
        <w:tabs>
          <w:tab w:val="left" w:pos="0"/>
        </w:tabs>
        <w:jc w:val="both"/>
        <w:rPr>
          <w:color w:val="000000" w:themeColor="text1"/>
        </w:rPr>
      </w:pPr>
      <w:r w:rsidRPr="00C16650">
        <w:rPr>
          <w:color w:val="000000" w:themeColor="text1"/>
        </w:rPr>
        <w:t>Une évolution est en cours sur la technologie des cartes professionnelles et doit être prise en compte dans</w:t>
      </w:r>
      <w:r w:rsidR="00C16650" w:rsidRPr="00C16650">
        <w:rPr>
          <w:color w:val="000000" w:themeColor="text1"/>
        </w:rPr>
        <w:t xml:space="preserve"> </w:t>
      </w:r>
      <w:r w:rsidRPr="00C16650">
        <w:rPr>
          <w:color w:val="000000" w:themeColor="text1"/>
        </w:rPr>
        <w:t>la solution proposée pour</w:t>
      </w:r>
      <w:r w:rsidR="00C16650" w:rsidRPr="00C16650">
        <w:rPr>
          <w:color w:val="000000" w:themeColor="text1"/>
        </w:rPr>
        <w:t xml:space="preserve"> </w:t>
      </w:r>
      <w:r w:rsidRPr="00C16650">
        <w:rPr>
          <w:color w:val="000000" w:themeColor="text1"/>
        </w:rPr>
        <w:t xml:space="preserve">une compatibilité </w:t>
      </w:r>
      <w:proofErr w:type="gramStart"/>
      <w:r w:rsidRPr="00C16650">
        <w:rPr>
          <w:color w:val="000000" w:themeColor="text1"/>
        </w:rPr>
        <w:t>sans restrictions</w:t>
      </w:r>
      <w:proofErr w:type="gramEnd"/>
      <w:r w:rsidRPr="00C16650">
        <w:rPr>
          <w:color w:val="000000" w:themeColor="text1"/>
        </w:rPr>
        <w:t> :</w:t>
      </w:r>
    </w:p>
    <w:p w14:paraId="661DDF76" w14:textId="103B1F2F" w:rsidR="00F417ED" w:rsidRPr="00C16650" w:rsidRDefault="00F417ED" w:rsidP="00F417ED">
      <w:pPr>
        <w:pStyle w:val="Corpsdetexte"/>
        <w:numPr>
          <w:ilvl w:val="0"/>
          <w:numId w:val="48"/>
        </w:numPr>
        <w:tabs>
          <w:tab w:val="left" w:pos="0"/>
        </w:tabs>
        <w:jc w:val="both"/>
        <w:rPr>
          <w:color w:val="000000" w:themeColor="text1"/>
        </w:rPr>
      </w:pPr>
      <w:r w:rsidRPr="00C16650">
        <w:rPr>
          <w:color w:val="000000" w:themeColor="text1"/>
        </w:rPr>
        <w:t xml:space="preserve">Nous sommes aujourd’hui pour nos cartes en version CPSv3 avec </w:t>
      </w:r>
      <w:proofErr w:type="spellStart"/>
      <w:r w:rsidRPr="00C16650">
        <w:rPr>
          <w:color w:val="000000" w:themeColor="text1"/>
        </w:rPr>
        <w:t>Mifare</w:t>
      </w:r>
      <w:proofErr w:type="spellEnd"/>
      <w:r w:rsidRPr="00C16650">
        <w:rPr>
          <w:color w:val="000000" w:themeColor="text1"/>
        </w:rPr>
        <w:t xml:space="preserve"> </w:t>
      </w:r>
      <w:proofErr w:type="spellStart"/>
      <w:r w:rsidRPr="00C16650">
        <w:rPr>
          <w:color w:val="000000" w:themeColor="text1"/>
        </w:rPr>
        <w:t>Classic</w:t>
      </w:r>
      <w:proofErr w:type="spellEnd"/>
      <w:r w:rsidRPr="00C16650">
        <w:rPr>
          <w:color w:val="000000" w:themeColor="text1"/>
        </w:rPr>
        <w:t xml:space="preserve"> disponible et </w:t>
      </w:r>
      <w:proofErr w:type="spellStart"/>
      <w:r w:rsidRPr="00C16650">
        <w:rPr>
          <w:color w:val="000000" w:themeColor="text1"/>
        </w:rPr>
        <w:t>Mifare</w:t>
      </w:r>
      <w:proofErr w:type="spellEnd"/>
      <w:r w:rsidRPr="00C16650">
        <w:rPr>
          <w:color w:val="000000" w:themeColor="text1"/>
        </w:rPr>
        <w:t xml:space="preserve"> </w:t>
      </w:r>
      <w:proofErr w:type="spellStart"/>
      <w:r w:rsidRPr="00C16650">
        <w:rPr>
          <w:color w:val="000000" w:themeColor="text1"/>
        </w:rPr>
        <w:t>DESFire</w:t>
      </w:r>
      <w:proofErr w:type="spellEnd"/>
      <w:r w:rsidRPr="00C16650">
        <w:rPr>
          <w:color w:val="000000" w:themeColor="text1"/>
        </w:rPr>
        <w:t xml:space="preserve"> EV1.</w:t>
      </w:r>
    </w:p>
    <w:p w14:paraId="7C513010" w14:textId="5A62F267" w:rsidR="00F417ED" w:rsidRPr="00C16650" w:rsidRDefault="00F417ED" w:rsidP="006E1EFD">
      <w:pPr>
        <w:pStyle w:val="Corpsdetexte"/>
        <w:numPr>
          <w:ilvl w:val="0"/>
          <w:numId w:val="48"/>
        </w:numPr>
        <w:tabs>
          <w:tab w:val="left" w:pos="0"/>
        </w:tabs>
        <w:jc w:val="both"/>
        <w:rPr>
          <w:color w:val="000000" w:themeColor="text1"/>
        </w:rPr>
      </w:pPr>
      <w:r w:rsidRPr="00C16650">
        <w:rPr>
          <w:color w:val="000000" w:themeColor="text1"/>
        </w:rPr>
        <w:t xml:space="preserve">Progressivement disparition du </w:t>
      </w:r>
      <w:proofErr w:type="spellStart"/>
      <w:r w:rsidRPr="00C16650">
        <w:rPr>
          <w:color w:val="000000" w:themeColor="text1"/>
        </w:rPr>
        <w:t>Mifare</w:t>
      </w:r>
      <w:proofErr w:type="spellEnd"/>
      <w:r w:rsidRPr="00C16650">
        <w:rPr>
          <w:color w:val="000000" w:themeColor="text1"/>
        </w:rPr>
        <w:t xml:space="preserve"> </w:t>
      </w:r>
      <w:proofErr w:type="spellStart"/>
      <w:r w:rsidRPr="00C16650">
        <w:rPr>
          <w:color w:val="000000" w:themeColor="text1"/>
        </w:rPr>
        <w:t>Classic</w:t>
      </w:r>
      <w:proofErr w:type="spellEnd"/>
      <w:r w:rsidRPr="00C16650">
        <w:rPr>
          <w:color w:val="000000" w:themeColor="text1"/>
        </w:rPr>
        <w:t xml:space="preserve"> sur la nouvelle carte CPSv4 et intégration dans la version CPSv4 du </w:t>
      </w:r>
      <w:proofErr w:type="spellStart"/>
      <w:r w:rsidRPr="00C16650">
        <w:rPr>
          <w:color w:val="000000" w:themeColor="text1"/>
        </w:rPr>
        <w:t>Mifare</w:t>
      </w:r>
      <w:proofErr w:type="spellEnd"/>
      <w:r w:rsidRPr="00C16650">
        <w:rPr>
          <w:color w:val="000000" w:themeColor="text1"/>
        </w:rPr>
        <w:t xml:space="preserve"> </w:t>
      </w:r>
      <w:proofErr w:type="spellStart"/>
      <w:r w:rsidRPr="00C16650">
        <w:rPr>
          <w:color w:val="000000" w:themeColor="text1"/>
        </w:rPr>
        <w:t>DESFire</w:t>
      </w:r>
      <w:proofErr w:type="spellEnd"/>
      <w:r w:rsidRPr="00C16650">
        <w:rPr>
          <w:color w:val="000000" w:themeColor="text1"/>
        </w:rPr>
        <w:t xml:space="preserve"> EV3.</w:t>
      </w:r>
    </w:p>
    <w:p w14:paraId="3CB6858B" w14:textId="77777777" w:rsidR="006E1EFD" w:rsidRPr="00406BB2" w:rsidRDefault="006E1EFD" w:rsidP="006E1EFD">
      <w:pPr>
        <w:pStyle w:val="Corpsdetexte"/>
        <w:tabs>
          <w:tab w:val="left" w:pos="0"/>
        </w:tabs>
        <w:jc w:val="both"/>
        <w:rPr>
          <w:color w:val="auto"/>
        </w:rPr>
      </w:pPr>
      <w:r w:rsidRPr="00406BB2">
        <w:rPr>
          <w:color w:val="auto"/>
        </w:rPr>
        <w:t xml:space="preserve">Les produits proposés dans le cadre de cette consultation </w:t>
      </w:r>
      <w:r w:rsidR="00506AAD" w:rsidRPr="00406BB2">
        <w:rPr>
          <w:color w:val="auto"/>
        </w:rPr>
        <w:t xml:space="preserve">sont exclusivement </w:t>
      </w:r>
      <w:r w:rsidR="00721957" w:rsidRPr="00406BB2">
        <w:rPr>
          <w:color w:val="auto"/>
        </w:rPr>
        <w:t>basés sur le princip</w:t>
      </w:r>
      <w:r w:rsidR="00506AAD" w:rsidRPr="00406BB2">
        <w:rPr>
          <w:color w:val="auto"/>
        </w:rPr>
        <w:t xml:space="preserve">e physique </w:t>
      </w:r>
      <w:r w:rsidR="00721957" w:rsidRPr="00406BB2">
        <w:rPr>
          <w:color w:val="auto"/>
        </w:rPr>
        <w:t xml:space="preserve">(ouvertures de portes) et non sur le principe logique (ouverture de session informatique), et </w:t>
      </w:r>
      <w:r w:rsidRPr="00406BB2">
        <w:rPr>
          <w:color w:val="auto"/>
        </w:rPr>
        <w:t>devront systématiquement être conformes aux recommandations de l’ASI</w:t>
      </w:r>
      <w:r w:rsidR="00832C73" w:rsidRPr="00406BB2">
        <w:rPr>
          <w:color w:val="auto"/>
        </w:rPr>
        <w:t>P</w:t>
      </w:r>
      <w:r w:rsidR="005410AC" w:rsidRPr="00406BB2">
        <w:rPr>
          <w:rStyle w:val="Appelnotedebasdep"/>
          <w:color w:val="auto"/>
        </w:rPr>
        <w:footnoteReference w:id="5"/>
      </w:r>
      <w:r w:rsidR="00832C73" w:rsidRPr="00406BB2">
        <w:rPr>
          <w:color w:val="auto"/>
        </w:rPr>
        <w:t xml:space="preserve"> </w:t>
      </w:r>
      <w:r w:rsidRPr="00406BB2">
        <w:rPr>
          <w:color w:val="auto"/>
        </w:rPr>
        <w:t>santé, en particulier :</w:t>
      </w:r>
    </w:p>
    <w:p w14:paraId="412DF3A6" w14:textId="77777777" w:rsidR="006E1EFD" w:rsidRPr="00406BB2" w:rsidRDefault="00506AAD" w:rsidP="0033646D">
      <w:pPr>
        <w:pStyle w:val="Corpsdetexte"/>
        <w:numPr>
          <w:ilvl w:val="0"/>
          <w:numId w:val="14"/>
        </w:numPr>
        <w:tabs>
          <w:tab w:val="left" w:pos="0"/>
        </w:tabs>
        <w:spacing w:after="0"/>
        <w:ind w:left="357" w:hanging="357"/>
        <w:jc w:val="both"/>
        <w:rPr>
          <w:color w:val="auto"/>
        </w:rPr>
      </w:pPr>
      <w:r w:rsidRPr="00406BB2">
        <w:rPr>
          <w:color w:val="auto"/>
        </w:rPr>
        <w:t>S</w:t>
      </w:r>
      <w:r w:rsidR="006E1EFD" w:rsidRPr="00406BB2">
        <w:rPr>
          <w:color w:val="auto"/>
        </w:rPr>
        <w:t xml:space="preserve">ystème local de gestion du parc de cartes </w:t>
      </w:r>
      <w:proofErr w:type="spellStart"/>
      <w:r w:rsidR="006E1EFD" w:rsidRPr="00406BB2">
        <w:rPr>
          <w:color w:val="auto"/>
        </w:rPr>
        <w:t>CPx</w:t>
      </w:r>
      <w:proofErr w:type="spellEnd"/>
      <w:r w:rsidR="006E1EFD" w:rsidRPr="00406BB2">
        <w:rPr>
          <w:color w:val="auto"/>
        </w:rPr>
        <w:t xml:space="preserve"> utilisées</w:t>
      </w:r>
      <w:r w:rsidR="003E1432" w:rsidRPr="00406BB2">
        <w:rPr>
          <w:color w:val="auto"/>
        </w:rPr>
        <w:t> ;</w:t>
      </w:r>
    </w:p>
    <w:p w14:paraId="1AE8F78E" w14:textId="77777777" w:rsidR="006E1EFD" w:rsidRPr="00406BB2" w:rsidRDefault="00506AAD" w:rsidP="0033646D">
      <w:pPr>
        <w:pStyle w:val="Corpsdetexte"/>
        <w:numPr>
          <w:ilvl w:val="0"/>
          <w:numId w:val="14"/>
        </w:numPr>
        <w:tabs>
          <w:tab w:val="left" w:pos="0"/>
        </w:tabs>
        <w:spacing w:after="0"/>
        <w:ind w:left="357" w:hanging="357"/>
        <w:jc w:val="both"/>
        <w:rPr>
          <w:color w:val="auto"/>
        </w:rPr>
      </w:pPr>
      <w:r w:rsidRPr="00406BB2">
        <w:rPr>
          <w:color w:val="auto"/>
        </w:rPr>
        <w:t>L</w:t>
      </w:r>
      <w:r w:rsidR="006E1EFD" w:rsidRPr="00406BB2">
        <w:rPr>
          <w:color w:val="auto"/>
        </w:rPr>
        <w:t>ecteurs sans-contact en mode « transparent », c’est-à-dire des lecteurs qui ne font que transformer les ondes en commandes filaires et vice versa dans le cadre des échanges entre la carte CPS et l’Unité de Traitement Local (UTL)</w:t>
      </w:r>
      <w:r w:rsidR="003E1432" w:rsidRPr="00406BB2">
        <w:rPr>
          <w:color w:val="auto"/>
        </w:rPr>
        <w:t> ;</w:t>
      </w:r>
    </w:p>
    <w:p w14:paraId="766DCAAA" w14:textId="77777777" w:rsidR="006E1EFD" w:rsidRPr="00406BB2" w:rsidRDefault="006E1EFD" w:rsidP="0033646D">
      <w:pPr>
        <w:pStyle w:val="Corpsdetexte"/>
        <w:numPr>
          <w:ilvl w:val="0"/>
          <w:numId w:val="14"/>
        </w:numPr>
        <w:tabs>
          <w:tab w:val="left" w:pos="0"/>
        </w:tabs>
        <w:spacing w:after="0"/>
        <w:ind w:left="357" w:hanging="357"/>
        <w:jc w:val="both"/>
        <w:rPr>
          <w:color w:val="auto"/>
        </w:rPr>
      </w:pPr>
      <w:r w:rsidRPr="00406BB2">
        <w:rPr>
          <w:color w:val="auto"/>
        </w:rPr>
        <w:t>UTL</w:t>
      </w:r>
      <w:r w:rsidR="00861D65" w:rsidRPr="00406BB2">
        <w:rPr>
          <w:rStyle w:val="Appelnotedebasdep"/>
          <w:color w:val="auto"/>
        </w:rPr>
        <w:footnoteReference w:id="6"/>
      </w:r>
      <w:r w:rsidRPr="00406BB2">
        <w:rPr>
          <w:color w:val="auto"/>
        </w:rPr>
        <w:t xml:space="preserve"> « intelligents » (capables de communiquer avec la carte CPS au moyen de commandes </w:t>
      </w:r>
      <w:proofErr w:type="spellStart"/>
      <w:r w:rsidRPr="00406BB2">
        <w:rPr>
          <w:color w:val="auto"/>
        </w:rPr>
        <w:t>APDUs</w:t>
      </w:r>
      <w:proofErr w:type="spellEnd"/>
      <w:r w:rsidRPr="00406BB2">
        <w:rPr>
          <w:color w:val="auto"/>
        </w:rPr>
        <w:t xml:space="preserve"> n</w:t>
      </w:r>
      <w:r w:rsidR="00465C4D" w:rsidRPr="00406BB2">
        <w:rPr>
          <w:color w:val="auto"/>
        </w:rPr>
        <w:t>ormalisées par la norme IAS-ECC</w:t>
      </w:r>
      <w:r w:rsidRPr="00406BB2">
        <w:rPr>
          <w:color w:val="auto"/>
        </w:rPr>
        <w:t>, supportant le mode transparent, et susceptibles d’être mis à jour facilement</w:t>
      </w:r>
      <w:r w:rsidR="003E1432" w:rsidRPr="00406BB2">
        <w:rPr>
          <w:color w:val="auto"/>
        </w:rPr>
        <w:t> ;</w:t>
      </w:r>
    </w:p>
    <w:p w14:paraId="6D04D1EB" w14:textId="77777777" w:rsidR="006E1EFD" w:rsidRPr="00406BB2" w:rsidRDefault="00506AAD" w:rsidP="0033646D">
      <w:pPr>
        <w:pStyle w:val="Corpsdetexte"/>
        <w:numPr>
          <w:ilvl w:val="0"/>
          <w:numId w:val="14"/>
        </w:numPr>
        <w:tabs>
          <w:tab w:val="left" w:pos="0"/>
        </w:tabs>
        <w:spacing w:after="0"/>
        <w:ind w:left="357" w:hanging="357"/>
        <w:jc w:val="both"/>
        <w:rPr>
          <w:color w:val="auto"/>
        </w:rPr>
      </w:pPr>
      <w:r w:rsidRPr="00406BB2">
        <w:rPr>
          <w:color w:val="auto"/>
        </w:rPr>
        <w:t>P</w:t>
      </w:r>
      <w:r w:rsidR="006E1EFD" w:rsidRPr="00406BB2">
        <w:rPr>
          <w:color w:val="auto"/>
        </w:rPr>
        <w:t>rocessus d’enrôlement local simples</w:t>
      </w:r>
      <w:r w:rsidR="003E1432" w:rsidRPr="00406BB2">
        <w:rPr>
          <w:color w:val="auto"/>
        </w:rPr>
        <w:t> ;</w:t>
      </w:r>
    </w:p>
    <w:p w14:paraId="6CF60F71" w14:textId="77777777" w:rsidR="006E1EFD" w:rsidRPr="00406BB2" w:rsidRDefault="00506AAD" w:rsidP="0033646D">
      <w:pPr>
        <w:pStyle w:val="Corpsdetexte"/>
        <w:numPr>
          <w:ilvl w:val="0"/>
          <w:numId w:val="14"/>
        </w:numPr>
        <w:tabs>
          <w:tab w:val="left" w:pos="0"/>
        </w:tabs>
        <w:jc w:val="both"/>
        <w:rPr>
          <w:color w:val="auto"/>
        </w:rPr>
      </w:pPr>
      <w:r w:rsidRPr="00406BB2">
        <w:rPr>
          <w:color w:val="auto"/>
        </w:rPr>
        <w:t>C</w:t>
      </w:r>
      <w:r w:rsidR="006E1EFD" w:rsidRPr="00406BB2">
        <w:rPr>
          <w:color w:val="auto"/>
        </w:rPr>
        <w:t>âblages normalisés</w:t>
      </w:r>
      <w:r w:rsidR="00861D65" w:rsidRPr="00406BB2">
        <w:rPr>
          <w:color w:val="auto"/>
        </w:rPr>
        <w:t xml:space="preserve"> notamment Ethernet catégorie 5 ou supérieur</w:t>
      </w:r>
      <w:r w:rsidR="003E1432" w:rsidRPr="00406BB2">
        <w:rPr>
          <w:color w:val="auto"/>
        </w:rPr>
        <w:t>.</w:t>
      </w:r>
    </w:p>
    <w:p w14:paraId="36BB519F" w14:textId="77777777" w:rsidR="00721957" w:rsidRPr="00406BB2" w:rsidRDefault="00721957" w:rsidP="00721957">
      <w:pPr>
        <w:pStyle w:val="Corpsdetexte"/>
        <w:tabs>
          <w:tab w:val="left" w:pos="0"/>
        </w:tabs>
        <w:jc w:val="both"/>
        <w:rPr>
          <w:color w:val="auto"/>
        </w:rPr>
      </w:pPr>
      <w:r w:rsidRPr="00406BB2">
        <w:rPr>
          <w:color w:val="auto"/>
        </w:rPr>
        <w:t xml:space="preserve">Dans les scénarios correspondants au contrôle d’accès, le porteur de carte </w:t>
      </w:r>
      <w:proofErr w:type="spellStart"/>
      <w:r w:rsidRPr="00406BB2">
        <w:rPr>
          <w:color w:val="auto"/>
        </w:rPr>
        <w:t>CPx</w:t>
      </w:r>
      <w:proofErr w:type="spellEnd"/>
      <w:r w:rsidRPr="00406BB2">
        <w:rPr>
          <w:color w:val="auto"/>
        </w:rPr>
        <w:t xml:space="preserve"> utilise sa carte </w:t>
      </w:r>
      <w:proofErr w:type="spellStart"/>
      <w:r w:rsidRPr="00406BB2">
        <w:rPr>
          <w:color w:val="auto"/>
        </w:rPr>
        <w:t>CPx</w:t>
      </w:r>
      <w:proofErr w:type="spellEnd"/>
      <w:r w:rsidRPr="00406BB2">
        <w:rPr>
          <w:color w:val="auto"/>
        </w:rPr>
        <w:t xml:space="preserve"> pour s’authentifier aup</w:t>
      </w:r>
      <w:r w:rsidR="00465C4D" w:rsidRPr="00406BB2">
        <w:rPr>
          <w:color w:val="auto"/>
        </w:rPr>
        <w:t>rès du système, qui l’autorise ou non</w:t>
      </w:r>
      <w:r w:rsidRPr="00406BB2">
        <w:rPr>
          <w:color w:val="auto"/>
        </w:rPr>
        <w:t>. L’opération laisse généralement une trace : l’événement, qu’il soit ok ou ko est conservé sous la forme d’une association {date ; carte ; lieu d’accès ; référence vers l’identité associée} par chacun des éléments techniques composant le système.</w:t>
      </w:r>
    </w:p>
    <w:p w14:paraId="4B370612" w14:textId="77777777" w:rsidR="00F74BFD" w:rsidRPr="00406BB2" w:rsidRDefault="00721957" w:rsidP="00721957">
      <w:pPr>
        <w:pStyle w:val="Corpsdetexte"/>
        <w:tabs>
          <w:tab w:val="left" w:pos="0"/>
        </w:tabs>
        <w:jc w:val="both"/>
        <w:rPr>
          <w:color w:val="auto"/>
        </w:rPr>
      </w:pPr>
      <w:r w:rsidRPr="00406BB2">
        <w:rPr>
          <w:color w:val="auto"/>
        </w:rPr>
        <w:t>Il s’agit donc d’un modèle AAA (</w:t>
      </w:r>
      <w:proofErr w:type="spellStart"/>
      <w:r w:rsidRPr="00406BB2">
        <w:rPr>
          <w:color w:val="auto"/>
        </w:rPr>
        <w:t>Authentication</w:t>
      </w:r>
      <w:proofErr w:type="spellEnd"/>
      <w:r w:rsidRPr="00406BB2">
        <w:rPr>
          <w:color w:val="auto"/>
        </w:rPr>
        <w:t xml:space="preserve">, </w:t>
      </w:r>
      <w:proofErr w:type="spellStart"/>
      <w:r w:rsidRPr="00406BB2">
        <w:rPr>
          <w:color w:val="auto"/>
        </w:rPr>
        <w:t>Authorization</w:t>
      </w:r>
      <w:proofErr w:type="spellEnd"/>
      <w:r w:rsidRPr="00406BB2">
        <w:rPr>
          <w:color w:val="auto"/>
        </w:rPr>
        <w:t xml:space="preserve"> and </w:t>
      </w:r>
      <w:proofErr w:type="spellStart"/>
      <w:r w:rsidRPr="00406BB2">
        <w:rPr>
          <w:color w:val="auto"/>
        </w:rPr>
        <w:t>Accounting</w:t>
      </w:r>
      <w:proofErr w:type="spellEnd"/>
      <w:r w:rsidRPr="00406BB2">
        <w:rPr>
          <w:color w:val="auto"/>
        </w:rPr>
        <w:t xml:space="preserve">, pour Authentification, Autorisation et Traçabilité) dans lequel le « vecteur d’authentification » est la carte </w:t>
      </w:r>
      <w:proofErr w:type="spellStart"/>
      <w:r w:rsidRPr="00406BB2">
        <w:rPr>
          <w:color w:val="auto"/>
        </w:rPr>
        <w:t>CPx</w:t>
      </w:r>
      <w:proofErr w:type="spellEnd"/>
      <w:r w:rsidRPr="00406BB2">
        <w:rPr>
          <w:color w:val="auto"/>
        </w:rPr>
        <w:t>, utilisée via son volet sans-contact.</w:t>
      </w:r>
    </w:p>
    <w:p w14:paraId="18F0BB0E" w14:textId="77777777" w:rsidR="004E191A" w:rsidRPr="00406BB2" w:rsidRDefault="00F74BFD" w:rsidP="00721957">
      <w:pPr>
        <w:pStyle w:val="Corpsdetexte"/>
        <w:tabs>
          <w:tab w:val="left" w:pos="0"/>
        </w:tabs>
        <w:jc w:val="both"/>
        <w:rPr>
          <w:color w:val="auto"/>
        </w:rPr>
      </w:pPr>
      <w:r w:rsidRPr="00406BB2">
        <w:rPr>
          <w:color w:val="auto"/>
        </w:rPr>
        <w:lastRenderedPageBreak/>
        <w:t>Le lecteur lit depuis la carte de l’utilisateur, en sans-contact, des informations qui sont remontées du lecteur à l’UTL puis, éventuellement, de l’UTL au serveur.</w:t>
      </w:r>
    </w:p>
    <w:p w14:paraId="7849390C" w14:textId="77777777" w:rsidR="00DE0208" w:rsidRPr="00406BB2" w:rsidRDefault="00DE0208" w:rsidP="00DE0208">
      <w:pPr>
        <w:jc w:val="both"/>
        <w:rPr>
          <w:rStyle w:val="Rfrenceintense"/>
        </w:rPr>
      </w:pPr>
      <w:r w:rsidRPr="00406BB2">
        <w:rPr>
          <w:rStyle w:val="Rfrenceintense"/>
        </w:rPr>
        <w:t>Généralités exigées concernant les accès contrôlés objets de cette consultation</w:t>
      </w:r>
    </w:p>
    <w:p w14:paraId="2C1E7952" w14:textId="77777777" w:rsidR="00DE0208" w:rsidRPr="00406BB2" w:rsidRDefault="00DE0208" w:rsidP="00DE0208">
      <w:pPr>
        <w:jc w:val="both"/>
        <w:rPr>
          <w:rFonts w:cs="Arial"/>
        </w:rPr>
      </w:pPr>
      <w:r w:rsidRPr="00406BB2">
        <w:rPr>
          <w:rFonts w:cs="Arial"/>
        </w:rPr>
        <w:t>Point commun à toutes les portes contrôlées :</w:t>
      </w:r>
    </w:p>
    <w:p w14:paraId="28211149" w14:textId="77777777" w:rsidR="00DE0208" w:rsidRPr="00406BB2" w:rsidRDefault="00DE0208" w:rsidP="0033646D">
      <w:pPr>
        <w:pStyle w:val="Paragraphedeliste"/>
        <w:numPr>
          <w:ilvl w:val="0"/>
          <w:numId w:val="15"/>
        </w:numPr>
        <w:jc w:val="both"/>
        <w:rPr>
          <w:rFonts w:cs="Arial"/>
        </w:rPr>
      </w:pPr>
      <w:r w:rsidRPr="00406BB2">
        <w:rPr>
          <w:rFonts w:cs="Arial"/>
        </w:rPr>
        <w:t>Le système proposé devra être compatible avec l’utilisation traditionnelle d’un cylindre de serrure européen. Que ce soit dans son mode de</w:t>
      </w:r>
      <w:r w:rsidR="00506AAD" w:rsidRPr="00406BB2">
        <w:rPr>
          <w:rFonts w:cs="Arial"/>
        </w:rPr>
        <w:t xml:space="preserve"> fonctionnement normal ou dans </w:t>
      </w:r>
      <w:r w:rsidRPr="00406BB2">
        <w:rPr>
          <w:rFonts w:cs="Arial"/>
        </w:rPr>
        <w:t>un mode dégradé, le système de contrôle d’accès proposé devra maintenir la possibilité d’ouverture et de verrouillage à l’aide des clés utilisées dans l’établissement ;</w:t>
      </w:r>
    </w:p>
    <w:p w14:paraId="17A0F6D6" w14:textId="77777777" w:rsidR="00DE0208" w:rsidRPr="00406BB2" w:rsidRDefault="00DE0208" w:rsidP="0033646D">
      <w:pPr>
        <w:pStyle w:val="Paragraphedeliste"/>
        <w:numPr>
          <w:ilvl w:val="0"/>
          <w:numId w:val="15"/>
        </w:numPr>
        <w:jc w:val="both"/>
        <w:rPr>
          <w:rFonts w:cs="Arial"/>
        </w:rPr>
      </w:pPr>
      <w:r w:rsidRPr="00406BB2">
        <w:rPr>
          <w:rFonts w:cs="Arial"/>
        </w:rPr>
        <w:t>Toutes les portes devront être équipées d’un contact dit « contact de porte fer</w:t>
      </w:r>
      <w:r w:rsidR="00506AAD" w:rsidRPr="00406BB2">
        <w:rPr>
          <w:rFonts w:cs="Arial"/>
        </w:rPr>
        <w:t>mée » permettant de vérifier le</w:t>
      </w:r>
      <w:r w:rsidRPr="00406BB2">
        <w:rPr>
          <w:rFonts w:cs="Arial"/>
        </w:rPr>
        <w:t xml:space="preserve"> bon verrouillage à la fermeture. Ce contact de porte devra être associé à un signal sonore et à une remontée d’alarme v</w:t>
      </w:r>
      <w:r w:rsidR="00506AAD" w:rsidRPr="00406BB2">
        <w:rPr>
          <w:rFonts w:cs="Arial"/>
        </w:rPr>
        <w:t>ers le logiciel d’exploitation.</w:t>
      </w:r>
    </w:p>
    <w:p w14:paraId="152A3700" w14:textId="77777777" w:rsidR="00DE0208" w:rsidRPr="00406BB2" w:rsidRDefault="00506AAD" w:rsidP="0033646D">
      <w:pPr>
        <w:pStyle w:val="Paragraphedeliste"/>
        <w:numPr>
          <w:ilvl w:val="0"/>
          <w:numId w:val="15"/>
        </w:numPr>
        <w:jc w:val="both"/>
        <w:rPr>
          <w:rFonts w:cs="Arial"/>
        </w:rPr>
      </w:pPr>
      <w:r w:rsidRPr="00406BB2">
        <w:rPr>
          <w:rFonts w:cs="Arial"/>
        </w:rPr>
        <w:t xml:space="preserve">Le système proposé </w:t>
      </w:r>
      <w:r w:rsidR="00DE0208" w:rsidRPr="00406BB2">
        <w:rPr>
          <w:rFonts w:cs="Arial"/>
        </w:rPr>
        <w:t xml:space="preserve">devra être compatible </w:t>
      </w:r>
      <w:r w:rsidRPr="00406BB2">
        <w:rPr>
          <w:rFonts w:cs="Arial"/>
        </w:rPr>
        <w:t>a</w:t>
      </w:r>
      <w:r w:rsidR="00DE0208" w:rsidRPr="00406BB2">
        <w:rPr>
          <w:rFonts w:cs="Arial"/>
        </w:rPr>
        <w:t xml:space="preserve">vec un état dit </w:t>
      </w:r>
      <w:r w:rsidRPr="00406BB2">
        <w:rPr>
          <w:rFonts w:cs="Arial"/>
        </w:rPr>
        <w:t>« </w:t>
      </w:r>
      <w:r w:rsidR="00DE0208" w:rsidRPr="00406BB2">
        <w:rPr>
          <w:rFonts w:cs="Arial"/>
        </w:rPr>
        <w:t>d’ouverture permanente</w:t>
      </w:r>
      <w:r w:rsidRPr="00406BB2">
        <w:rPr>
          <w:rFonts w:cs="Arial"/>
        </w:rPr>
        <w:t> »</w:t>
      </w:r>
      <w:r w:rsidR="00DE0208" w:rsidRPr="00406BB2">
        <w:rPr>
          <w:rFonts w:cs="Arial"/>
        </w:rPr>
        <w:t xml:space="preserve"> applicable à partir du logiciel d’exploitation.</w:t>
      </w:r>
    </w:p>
    <w:p w14:paraId="0F8CCAE0" w14:textId="77777777" w:rsidR="004E191A" w:rsidRPr="00406BB2" w:rsidRDefault="004E191A" w:rsidP="004E191A">
      <w:pPr>
        <w:pStyle w:val="Paragraphedeliste"/>
        <w:ind w:left="360"/>
        <w:jc w:val="both"/>
        <w:rPr>
          <w:rFonts w:cs="Arial"/>
          <w:highlight w:val="green"/>
        </w:rPr>
      </w:pPr>
    </w:p>
    <w:p w14:paraId="274FBEFB" w14:textId="357BA13D" w:rsidR="00627C51" w:rsidRDefault="001A3544" w:rsidP="00627C51">
      <w:pPr>
        <w:tabs>
          <w:tab w:val="left" w:pos="0"/>
        </w:tabs>
        <w:ind w:right="-2"/>
        <w:rPr>
          <w:bCs/>
          <w:color w:val="943634"/>
          <w:spacing w:val="5"/>
          <w:u w:val="single"/>
        </w:rPr>
      </w:pPr>
      <w:r>
        <w:rPr>
          <w:bCs/>
          <w:color w:val="943634"/>
          <w:spacing w:val="5"/>
          <w:u w:val="single"/>
        </w:rPr>
        <w:t>Scénario à présenter par écrit</w:t>
      </w:r>
      <w:r w:rsidR="00627C51" w:rsidRPr="00C16650">
        <w:rPr>
          <w:bCs/>
          <w:color w:val="943634"/>
          <w:spacing w:val="5"/>
          <w:u w:val="single"/>
        </w:rPr>
        <w:t> :</w:t>
      </w:r>
    </w:p>
    <w:p w14:paraId="1C9FDE98" w14:textId="4BBA1E3E" w:rsidR="001A3544" w:rsidRDefault="001A3544" w:rsidP="001A3544">
      <w:pPr>
        <w:spacing w:after="0" w:line="240" w:lineRule="auto"/>
      </w:pPr>
      <w:r>
        <w:t xml:space="preserve">Les candidats devront présenter par écrit sur 5 pages maximum, </w:t>
      </w:r>
      <w:r w:rsidR="00AB6394">
        <w:t xml:space="preserve">à l’appui des plans fournis en annexe, </w:t>
      </w:r>
      <w:r>
        <w:t xml:space="preserve">la solution proposée. Il est précisé que toute candidature n’intégrant pas cette note de présentation sera rejetée. </w:t>
      </w:r>
    </w:p>
    <w:p w14:paraId="3C2B39F2" w14:textId="77777777" w:rsidR="001A3544" w:rsidRDefault="001A3544" w:rsidP="001A3544">
      <w:pPr>
        <w:spacing w:after="0" w:line="240" w:lineRule="auto"/>
      </w:pPr>
    </w:p>
    <w:p w14:paraId="615AD2C0" w14:textId="51BB0656" w:rsidR="001A3544" w:rsidRDefault="001A3544" w:rsidP="001A3544">
      <w:pPr>
        <w:spacing w:after="0" w:line="240" w:lineRule="auto"/>
      </w:pPr>
      <w:r>
        <w:t>Cette note doit permettre :</w:t>
      </w:r>
    </w:p>
    <w:p w14:paraId="0EEF01CA" w14:textId="77777777" w:rsidR="001A3544" w:rsidRDefault="001A3544" w:rsidP="001A3544">
      <w:pPr>
        <w:spacing w:after="0" w:line="240" w:lineRule="auto"/>
      </w:pPr>
    </w:p>
    <w:p w14:paraId="745407C8" w14:textId="665D94CB" w:rsidR="001A3544" w:rsidRDefault="001A3544" w:rsidP="001A3544">
      <w:pPr>
        <w:pStyle w:val="Paragraphedeliste"/>
        <w:numPr>
          <w:ilvl w:val="0"/>
          <w:numId w:val="11"/>
        </w:numPr>
        <w:spacing w:after="0" w:line="240" w:lineRule="auto"/>
        <w:ind w:left="630"/>
        <w:jc w:val="both"/>
      </w:pPr>
      <w:r>
        <w:t>D’analyser les possibilités offertes par la solution proposée par le candidat ;</w:t>
      </w:r>
    </w:p>
    <w:p w14:paraId="62E56079" w14:textId="4FD601A6" w:rsidR="001A3544" w:rsidRPr="001A3544" w:rsidRDefault="001A3544" w:rsidP="001A3544">
      <w:pPr>
        <w:pStyle w:val="Paragraphedeliste"/>
        <w:numPr>
          <w:ilvl w:val="0"/>
          <w:numId w:val="11"/>
        </w:numPr>
        <w:tabs>
          <w:tab w:val="left" w:pos="0"/>
        </w:tabs>
        <w:ind w:left="630" w:right="-2"/>
        <w:jc w:val="both"/>
        <w:rPr>
          <w:bCs/>
          <w:color w:val="943634"/>
          <w:spacing w:val="5"/>
          <w:u w:val="single"/>
        </w:rPr>
      </w:pPr>
      <w:r>
        <w:t>De juger le niveau de compréhension du contexte et des besoins des différents acteurs, autant fonctionnels que techniques.</w:t>
      </w:r>
    </w:p>
    <w:p w14:paraId="55A32DE6" w14:textId="5AA126C2" w:rsidR="00ED770A" w:rsidRPr="00AB6394" w:rsidRDefault="001C4AC7" w:rsidP="00D6477F">
      <w:pPr>
        <w:tabs>
          <w:tab w:val="left" w:pos="0"/>
        </w:tabs>
        <w:spacing w:after="0"/>
        <w:ind w:right="-2"/>
        <w:jc w:val="center"/>
        <w:rPr>
          <w:rFonts w:ascii="Calibri" w:hAnsi="Calibri"/>
          <w:b/>
          <w:bCs/>
          <w:i/>
          <w:iCs/>
          <w:color w:val="622423"/>
          <w:sz w:val="24"/>
          <w:szCs w:val="24"/>
        </w:rPr>
      </w:pPr>
      <w:r w:rsidRPr="00AB6394">
        <w:rPr>
          <w:rFonts w:ascii="Calibri" w:hAnsi="Calibri"/>
          <w:b/>
          <w:bCs/>
          <w:i/>
          <w:iCs/>
          <w:color w:val="622423"/>
          <w:sz w:val="24"/>
          <w:szCs w:val="24"/>
        </w:rPr>
        <w:t xml:space="preserve">L’attention des candidats est attirée sur ce </w:t>
      </w:r>
      <w:r w:rsidR="00AB6394" w:rsidRPr="00AB6394">
        <w:rPr>
          <w:rFonts w:ascii="Calibri" w:hAnsi="Calibri"/>
          <w:b/>
          <w:bCs/>
          <w:i/>
          <w:iCs/>
          <w:color w:val="622423"/>
          <w:sz w:val="24"/>
          <w:szCs w:val="24"/>
        </w:rPr>
        <w:t>scénario</w:t>
      </w:r>
      <w:r w:rsidRPr="00AB6394">
        <w:rPr>
          <w:rFonts w:ascii="Calibri" w:hAnsi="Calibri"/>
          <w:b/>
          <w:bCs/>
          <w:i/>
          <w:iCs/>
          <w:color w:val="622423"/>
          <w:sz w:val="24"/>
          <w:szCs w:val="24"/>
        </w:rPr>
        <w:t xml:space="preserve"> qui constitue un item évalué et noté.</w:t>
      </w:r>
    </w:p>
    <w:p w14:paraId="7024B302" w14:textId="77777777" w:rsidR="001C4AC7" w:rsidRPr="00AB6394" w:rsidRDefault="001C4AC7" w:rsidP="00D6477F">
      <w:pPr>
        <w:tabs>
          <w:tab w:val="left" w:pos="0"/>
        </w:tabs>
        <w:spacing w:after="0"/>
        <w:ind w:right="-2"/>
        <w:jc w:val="center"/>
        <w:rPr>
          <w:rFonts w:ascii="Calibri" w:hAnsi="Calibri"/>
          <w:b/>
          <w:bCs/>
          <w:i/>
          <w:iCs/>
          <w:color w:val="622423"/>
          <w:sz w:val="24"/>
          <w:szCs w:val="24"/>
        </w:rPr>
      </w:pPr>
      <w:r w:rsidRPr="00AB6394">
        <w:rPr>
          <w:rFonts w:ascii="Calibri" w:hAnsi="Calibri"/>
          <w:b/>
          <w:bCs/>
          <w:i/>
          <w:iCs/>
          <w:color w:val="622423"/>
          <w:sz w:val="24"/>
          <w:szCs w:val="24"/>
        </w:rPr>
        <w:t>L’absence de présentation du projet de catalogue rend l’offre non conforme.</w:t>
      </w:r>
    </w:p>
    <w:p w14:paraId="6B338A07" w14:textId="77777777" w:rsidR="00506AAD" w:rsidRPr="00406BB2" w:rsidRDefault="00506AAD">
      <w:pPr>
        <w:spacing w:after="0" w:line="240" w:lineRule="auto"/>
        <w:rPr>
          <w:highlight w:val="green"/>
        </w:rPr>
      </w:pPr>
      <w:r w:rsidRPr="00406BB2">
        <w:rPr>
          <w:highlight w:val="green"/>
        </w:rPr>
        <w:br w:type="page"/>
      </w:r>
    </w:p>
    <w:p w14:paraId="3343241B" w14:textId="77777777" w:rsidR="005C012D" w:rsidRPr="00406BB2" w:rsidRDefault="005C012D" w:rsidP="00643398">
      <w:pPr>
        <w:pStyle w:val="Titre3"/>
        <w:tabs>
          <w:tab w:val="left" w:pos="0"/>
        </w:tabs>
        <w:spacing w:before="0" w:after="0"/>
        <w:jc w:val="both"/>
      </w:pPr>
      <w:bookmarkStart w:id="17" w:name="_Toc175128589"/>
      <w:r w:rsidRPr="00406BB2">
        <w:lastRenderedPageBreak/>
        <w:t xml:space="preserve">IV-1 </w:t>
      </w:r>
      <w:r w:rsidR="00D37FDD" w:rsidRPr="00406BB2">
        <w:t>Spécifications techniques particulières</w:t>
      </w:r>
      <w:bookmarkEnd w:id="17"/>
    </w:p>
    <w:p w14:paraId="31CCF980" w14:textId="77777777" w:rsidR="00486F46" w:rsidRPr="00406BB2" w:rsidRDefault="00486F46" w:rsidP="005D737E"/>
    <w:p w14:paraId="77712B6F" w14:textId="77777777" w:rsidR="00916324" w:rsidRPr="00406BB2" w:rsidRDefault="008D7281" w:rsidP="00643398">
      <w:pPr>
        <w:tabs>
          <w:tab w:val="left" w:pos="0"/>
        </w:tabs>
        <w:jc w:val="both"/>
        <w:rPr>
          <w:rStyle w:val="lev"/>
        </w:rPr>
      </w:pPr>
      <w:r w:rsidRPr="00406BB2">
        <w:rPr>
          <w:rStyle w:val="lev"/>
        </w:rPr>
        <w:t xml:space="preserve">IV-1-2 </w:t>
      </w:r>
      <w:r w:rsidR="00916324" w:rsidRPr="00406BB2">
        <w:rPr>
          <w:rStyle w:val="lev"/>
        </w:rPr>
        <w:t xml:space="preserve">Fonctions </w:t>
      </w:r>
      <w:r w:rsidR="00CC4CE6" w:rsidRPr="00406BB2">
        <w:rPr>
          <w:rStyle w:val="lev"/>
        </w:rPr>
        <w:t xml:space="preserve">générales </w:t>
      </w:r>
      <w:r w:rsidR="00916324" w:rsidRPr="00406BB2">
        <w:rPr>
          <w:rStyle w:val="lev"/>
        </w:rPr>
        <w:t>exigées</w:t>
      </w:r>
    </w:p>
    <w:p w14:paraId="4B9C3A7C" w14:textId="77777777" w:rsidR="00155C72" w:rsidRPr="00406BB2" w:rsidRDefault="00155C72" w:rsidP="00E30556">
      <w:pPr>
        <w:jc w:val="both"/>
        <w:rPr>
          <w:rFonts w:cs="Arial"/>
        </w:rPr>
      </w:pPr>
      <w:r w:rsidRPr="00406BB2">
        <w:rPr>
          <w:rFonts w:cs="Arial"/>
        </w:rPr>
        <w:t xml:space="preserve">L’accès </w:t>
      </w:r>
      <w:r w:rsidR="00E7468D" w:rsidRPr="00406BB2">
        <w:rPr>
          <w:rFonts w:cs="Arial"/>
        </w:rPr>
        <w:t xml:space="preserve">physique aux </w:t>
      </w:r>
      <w:r w:rsidRPr="00406BB2">
        <w:rPr>
          <w:rFonts w:cs="Arial"/>
        </w:rPr>
        <w:t xml:space="preserve">systèmes compatibles </w:t>
      </w:r>
      <w:r w:rsidR="00E7468D" w:rsidRPr="00406BB2">
        <w:rPr>
          <w:rFonts w:cs="Arial"/>
        </w:rPr>
        <w:t xml:space="preserve">avec la carte sans contact </w:t>
      </w:r>
      <w:proofErr w:type="spellStart"/>
      <w:r w:rsidR="00E7468D" w:rsidRPr="00406BB2">
        <w:rPr>
          <w:rFonts w:cs="Arial"/>
        </w:rPr>
        <w:t>CPx</w:t>
      </w:r>
      <w:proofErr w:type="spellEnd"/>
      <w:r w:rsidRPr="00406BB2">
        <w:rPr>
          <w:rFonts w:cs="Arial"/>
        </w:rPr>
        <w:t xml:space="preserve"> concerne en particulier :</w:t>
      </w:r>
    </w:p>
    <w:p w14:paraId="437C75F2" w14:textId="77777777" w:rsidR="00155C72" w:rsidRPr="00406BB2" w:rsidRDefault="00155C72" w:rsidP="0033646D">
      <w:pPr>
        <w:pStyle w:val="Paragraphedeliste"/>
        <w:numPr>
          <w:ilvl w:val="0"/>
          <w:numId w:val="18"/>
        </w:numPr>
        <w:jc w:val="both"/>
        <w:rPr>
          <w:rFonts w:cs="Arial"/>
        </w:rPr>
      </w:pPr>
      <w:r w:rsidRPr="00406BB2">
        <w:rPr>
          <w:rFonts w:cs="Arial"/>
        </w:rPr>
        <w:t>L’activation des accès aux locaux sécurisés selon la période d’activité de l’agent</w:t>
      </w:r>
      <w:r w:rsidR="003E1432" w:rsidRPr="00406BB2">
        <w:rPr>
          <w:rFonts w:cs="Arial"/>
        </w:rPr>
        <w:t> ;</w:t>
      </w:r>
    </w:p>
    <w:p w14:paraId="71F1F211" w14:textId="77777777" w:rsidR="00155C72" w:rsidRPr="00406BB2" w:rsidRDefault="00155C72" w:rsidP="0033646D">
      <w:pPr>
        <w:pStyle w:val="Paragraphedeliste"/>
        <w:numPr>
          <w:ilvl w:val="0"/>
          <w:numId w:val="18"/>
        </w:numPr>
        <w:jc w:val="both"/>
        <w:rPr>
          <w:rFonts w:cs="Arial"/>
        </w:rPr>
      </w:pPr>
      <w:r w:rsidRPr="00406BB2">
        <w:rPr>
          <w:rFonts w:cs="Arial"/>
        </w:rPr>
        <w:t>L’accès aux locaux sensibles</w:t>
      </w:r>
      <w:r w:rsidR="003E1432" w:rsidRPr="00406BB2">
        <w:rPr>
          <w:rFonts w:cs="Arial"/>
        </w:rPr>
        <w:t>.</w:t>
      </w:r>
    </w:p>
    <w:p w14:paraId="69E05A6D" w14:textId="77777777" w:rsidR="00CC4CE6" w:rsidRPr="00406BB2" w:rsidRDefault="00E30556" w:rsidP="00E30556">
      <w:pPr>
        <w:jc w:val="both"/>
        <w:rPr>
          <w:rFonts w:cs="Arial"/>
        </w:rPr>
      </w:pPr>
      <w:r w:rsidRPr="00406BB2">
        <w:rPr>
          <w:rFonts w:cs="Arial"/>
        </w:rPr>
        <w:t xml:space="preserve">Le mode de lecture devra se faire sans contact. La technologie </w:t>
      </w:r>
      <w:r w:rsidR="003F5F88" w:rsidRPr="00406BB2">
        <w:rPr>
          <w:rFonts w:cs="Arial"/>
        </w:rPr>
        <w:t>RFID</w:t>
      </w:r>
      <w:r w:rsidR="00465C4D" w:rsidRPr="00406BB2">
        <w:rPr>
          <w:rStyle w:val="Appelnotedebasdep"/>
          <w:rFonts w:cs="Arial"/>
        </w:rPr>
        <w:footnoteReference w:id="7"/>
      </w:r>
      <w:r w:rsidR="003F5F88" w:rsidRPr="00406BB2">
        <w:rPr>
          <w:rFonts w:cs="Arial"/>
        </w:rPr>
        <w:t xml:space="preserve"> </w:t>
      </w:r>
      <w:proofErr w:type="gramStart"/>
      <w:r w:rsidRPr="00406BB2">
        <w:rPr>
          <w:rFonts w:cs="Arial"/>
        </w:rPr>
        <w:t>utilisée  ainsi</w:t>
      </w:r>
      <w:proofErr w:type="gramEnd"/>
      <w:r w:rsidRPr="00406BB2">
        <w:rPr>
          <w:rFonts w:cs="Arial"/>
        </w:rPr>
        <w:t xml:space="preserve">  que  la  distance maximale de lecture devr</w:t>
      </w:r>
      <w:r w:rsidR="00BC6496" w:rsidRPr="00406BB2">
        <w:rPr>
          <w:rFonts w:cs="Arial"/>
        </w:rPr>
        <w:t>ont</w:t>
      </w:r>
      <w:r w:rsidRPr="00406BB2">
        <w:rPr>
          <w:rFonts w:cs="Arial"/>
        </w:rPr>
        <w:t xml:space="preserve"> être précisée</w:t>
      </w:r>
      <w:r w:rsidR="00BC6496" w:rsidRPr="00406BB2">
        <w:rPr>
          <w:rFonts w:cs="Arial"/>
        </w:rPr>
        <w:t>s</w:t>
      </w:r>
      <w:r w:rsidR="00DC45AE" w:rsidRPr="00406BB2">
        <w:rPr>
          <w:rFonts w:cs="Arial"/>
        </w:rPr>
        <w:t>.</w:t>
      </w:r>
    </w:p>
    <w:p w14:paraId="5EFA094C" w14:textId="77777777" w:rsidR="00BB2878" w:rsidRPr="00406BB2" w:rsidRDefault="009E7B95" w:rsidP="00681ECD">
      <w:pPr>
        <w:jc w:val="both"/>
        <w:rPr>
          <w:rFonts w:cs="Arial"/>
        </w:rPr>
      </w:pPr>
      <w:r w:rsidRPr="00406BB2">
        <w:rPr>
          <w:rFonts w:cs="Arial"/>
        </w:rPr>
        <w:t>Les têtes de lecture</w:t>
      </w:r>
      <w:r w:rsidR="00681ECD" w:rsidRPr="00406BB2">
        <w:rPr>
          <w:rFonts w:cs="Arial"/>
        </w:rPr>
        <w:t xml:space="preserve">, Unités de </w:t>
      </w:r>
      <w:r w:rsidR="00523AC0" w:rsidRPr="00406BB2">
        <w:rPr>
          <w:rFonts w:cs="Arial"/>
        </w:rPr>
        <w:t>traitement</w:t>
      </w:r>
      <w:r w:rsidR="00681ECD" w:rsidRPr="00406BB2">
        <w:rPr>
          <w:rFonts w:cs="Arial"/>
        </w:rPr>
        <w:t xml:space="preserve"> local, </w:t>
      </w:r>
      <w:r w:rsidR="00523AC0" w:rsidRPr="00406BB2">
        <w:rPr>
          <w:rFonts w:cs="Arial"/>
        </w:rPr>
        <w:t>liaisons</w:t>
      </w:r>
      <w:r w:rsidR="00681ECD" w:rsidRPr="00406BB2">
        <w:rPr>
          <w:rFonts w:cs="Arial"/>
        </w:rPr>
        <w:t xml:space="preserve"> filaires, Réseaux </w:t>
      </w:r>
      <w:r w:rsidR="00523AC0" w:rsidRPr="00406BB2">
        <w:rPr>
          <w:rFonts w:cs="Arial"/>
        </w:rPr>
        <w:t>fédérateurs</w:t>
      </w:r>
      <w:r w:rsidR="00681ECD" w:rsidRPr="00406BB2">
        <w:rPr>
          <w:rFonts w:cs="Arial"/>
        </w:rPr>
        <w:t>, logiciels de gestion du système et ensemble des éléments du ou des systèmes proposés devront obligatoirement respecter les spécifications détaillées figurant dans le guide sur</w:t>
      </w:r>
      <w:r w:rsidR="00523AC0" w:rsidRPr="00406BB2">
        <w:rPr>
          <w:rFonts w:cs="Arial"/>
        </w:rPr>
        <w:t xml:space="preserve"> </w:t>
      </w:r>
      <w:r w:rsidR="00681ECD" w:rsidRPr="00406BB2">
        <w:rPr>
          <w:rFonts w:cs="Arial"/>
        </w:rPr>
        <w:t xml:space="preserve">la sécurité des technologies sans contact pour le contrôle des accès physiques, édité par le Secrétariat Général de la Défense et la Sécurité Nationale, Agence Nationale de Sécurité des </w:t>
      </w:r>
      <w:r w:rsidR="00523AC0" w:rsidRPr="00406BB2">
        <w:rPr>
          <w:rFonts w:cs="Arial"/>
        </w:rPr>
        <w:t>systèmes</w:t>
      </w:r>
      <w:r w:rsidR="00681ECD" w:rsidRPr="00406BB2">
        <w:rPr>
          <w:rFonts w:cs="Arial"/>
        </w:rPr>
        <w:t xml:space="preserve"> d’Informatio</w:t>
      </w:r>
      <w:r w:rsidR="00C72340" w:rsidRPr="00406BB2">
        <w:rPr>
          <w:rFonts w:cs="Arial"/>
        </w:rPr>
        <w:t>n, dans sa dernière mis</w:t>
      </w:r>
      <w:r w:rsidR="00832C73" w:rsidRPr="00406BB2">
        <w:rPr>
          <w:rFonts w:cs="Arial"/>
        </w:rPr>
        <w:t>e</w:t>
      </w:r>
      <w:r w:rsidR="00C72340" w:rsidRPr="00406BB2">
        <w:rPr>
          <w:rFonts w:cs="Arial"/>
        </w:rPr>
        <w:t xml:space="preserve"> à jour. </w:t>
      </w:r>
    </w:p>
    <w:p w14:paraId="3943928F" w14:textId="77777777" w:rsidR="009E7B95" w:rsidRPr="00406BB2" w:rsidRDefault="00681ECD" w:rsidP="00E30556">
      <w:pPr>
        <w:jc w:val="both"/>
        <w:rPr>
          <w:rFonts w:cs="Arial"/>
        </w:rPr>
      </w:pPr>
      <w:r w:rsidRPr="00406BB2">
        <w:rPr>
          <w:rFonts w:cs="Arial"/>
        </w:rPr>
        <w:t>L’annexe 4 du guide publié le 19 novembre 2012 est joint</w:t>
      </w:r>
      <w:r w:rsidR="00523AC0" w:rsidRPr="00406BB2">
        <w:rPr>
          <w:rFonts w:cs="Arial"/>
        </w:rPr>
        <w:t>e à titre indicatif</w:t>
      </w:r>
      <w:r w:rsidRPr="00406BB2">
        <w:rPr>
          <w:rFonts w:cs="Arial"/>
        </w:rPr>
        <w:t xml:space="preserve"> </w:t>
      </w:r>
      <w:r w:rsidR="00523AC0" w:rsidRPr="00406BB2">
        <w:rPr>
          <w:rFonts w:cs="Arial"/>
        </w:rPr>
        <w:t>en annexe</w:t>
      </w:r>
      <w:r w:rsidR="008C4701" w:rsidRPr="00406BB2">
        <w:rPr>
          <w:rFonts w:cs="Arial"/>
        </w:rPr>
        <w:t xml:space="preserve"> 3</w:t>
      </w:r>
      <w:r w:rsidR="00523AC0" w:rsidRPr="00406BB2">
        <w:rPr>
          <w:rFonts w:cs="Arial"/>
        </w:rPr>
        <w:t xml:space="preserve"> de ce CCTP. </w:t>
      </w:r>
      <w:r w:rsidRPr="00406BB2">
        <w:rPr>
          <w:rFonts w:cs="Arial"/>
        </w:rPr>
        <w:t xml:space="preserve"> </w:t>
      </w:r>
    </w:p>
    <w:p w14:paraId="705A4BA4" w14:textId="77777777" w:rsidR="00F246A1" w:rsidRPr="00406BB2" w:rsidRDefault="008D7281" w:rsidP="00A64454">
      <w:pPr>
        <w:tabs>
          <w:tab w:val="left" w:pos="0"/>
        </w:tabs>
        <w:jc w:val="both"/>
        <w:rPr>
          <w:rStyle w:val="lev"/>
        </w:rPr>
      </w:pPr>
      <w:r w:rsidRPr="00406BB2">
        <w:rPr>
          <w:rStyle w:val="lev"/>
        </w:rPr>
        <w:t>I</w:t>
      </w:r>
      <w:r w:rsidR="00A47A7B" w:rsidRPr="00406BB2">
        <w:rPr>
          <w:rStyle w:val="lev"/>
        </w:rPr>
        <w:t>V</w:t>
      </w:r>
      <w:r w:rsidRPr="00406BB2">
        <w:rPr>
          <w:rStyle w:val="lev"/>
        </w:rPr>
        <w:t xml:space="preserve">-1-3 </w:t>
      </w:r>
      <w:r w:rsidR="00916324" w:rsidRPr="00406BB2">
        <w:rPr>
          <w:rStyle w:val="lev"/>
        </w:rPr>
        <w:t>Caractéristiques minimales</w:t>
      </w:r>
    </w:p>
    <w:p w14:paraId="5314CEA9" w14:textId="77777777" w:rsidR="00F246A1" w:rsidRPr="001A3544" w:rsidRDefault="001C7DF4" w:rsidP="001C7DF4">
      <w:pPr>
        <w:rPr>
          <w:rStyle w:val="lev"/>
          <w:b w:val="0"/>
          <w:color w:val="auto"/>
          <w:sz w:val="24"/>
        </w:rPr>
      </w:pPr>
      <w:r w:rsidRPr="001A3544">
        <w:rPr>
          <w:rStyle w:val="Rfrenceintense"/>
          <w:sz w:val="24"/>
        </w:rPr>
        <w:t>Ensembles plaques béquilles électroniques </w:t>
      </w:r>
      <w:r w:rsidR="00523AC0" w:rsidRPr="001A3544">
        <w:rPr>
          <w:rStyle w:val="Rfrenceintense"/>
          <w:sz w:val="24"/>
        </w:rPr>
        <w:t>exigés au titre du BPU</w:t>
      </w:r>
      <w:r w:rsidRPr="001A3544">
        <w:rPr>
          <w:rStyle w:val="Rfrenceintense"/>
          <w:sz w:val="24"/>
        </w:rPr>
        <w:t>:</w:t>
      </w:r>
      <w:r w:rsidRPr="001A3544">
        <w:rPr>
          <w:rStyle w:val="lev"/>
          <w:b w:val="0"/>
          <w:color w:val="auto"/>
          <w:sz w:val="24"/>
        </w:rPr>
        <w:t xml:space="preserve"> </w:t>
      </w:r>
    </w:p>
    <w:p w14:paraId="6048FB70" w14:textId="77777777" w:rsidR="00376756" w:rsidRPr="001A3544" w:rsidRDefault="00376756" w:rsidP="0033646D">
      <w:pPr>
        <w:pStyle w:val="Paragraphedeliste"/>
        <w:numPr>
          <w:ilvl w:val="0"/>
          <w:numId w:val="19"/>
        </w:numPr>
        <w:jc w:val="both"/>
        <w:rPr>
          <w:rStyle w:val="lev"/>
          <w:b w:val="0"/>
          <w:color w:val="auto"/>
        </w:rPr>
      </w:pPr>
      <w:r w:rsidRPr="001A3544">
        <w:rPr>
          <w:rStyle w:val="lev"/>
          <w:b w:val="0"/>
          <w:color w:val="auto"/>
        </w:rPr>
        <w:t>Les ensembles proposés doivent pouvoir être installés</w:t>
      </w:r>
      <w:r w:rsidR="00465C4D" w:rsidRPr="001A3544">
        <w:rPr>
          <w:rStyle w:val="lev"/>
          <w:b w:val="0"/>
          <w:color w:val="auto"/>
        </w:rPr>
        <w:t xml:space="preserve"> sur différents types de porte ; </w:t>
      </w:r>
    </w:p>
    <w:p w14:paraId="6AE2F3EB" w14:textId="77777777" w:rsidR="0061108E" w:rsidRPr="001A3544" w:rsidRDefault="00513FAC" w:rsidP="0033646D">
      <w:pPr>
        <w:pStyle w:val="Paragraphedeliste"/>
        <w:numPr>
          <w:ilvl w:val="0"/>
          <w:numId w:val="19"/>
        </w:numPr>
        <w:jc w:val="both"/>
        <w:rPr>
          <w:rStyle w:val="lev"/>
          <w:b w:val="0"/>
          <w:color w:val="auto"/>
        </w:rPr>
      </w:pPr>
      <w:r w:rsidRPr="001A3544">
        <w:rPr>
          <w:rStyle w:val="lev"/>
          <w:b w:val="0"/>
          <w:color w:val="auto"/>
        </w:rPr>
        <w:t>F</w:t>
      </w:r>
      <w:r w:rsidR="0061108E" w:rsidRPr="001A3544">
        <w:rPr>
          <w:rStyle w:val="lev"/>
          <w:b w:val="0"/>
          <w:color w:val="auto"/>
        </w:rPr>
        <w:t>onctionnement à piles, sans câblage, portes à profil européen, pouvant fonctionner avec la majorité des serrures à mortaiser et des cylindres européens</w:t>
      </w:r>
      <w:r w:rsidRPr="001A3544">
        <w:rPr>
          <w:rStyle w:val="lev"/>
          <w:b w:val="0"/>
          <w:color w:val="auto"/>
        </w:rPr>
        <w:t>, tout type de porte</w:t>
      </w:r>
      <w:r w:rsidR="00523236" w:rsidRPr="001A3544">
        <w:rPr>
          <w:rStyle w:val="lev"/>
          <w:b w:val="0"/>
          <w:color w:val="auto"/>
        </w:rPr>
        <w:t>, différentes épaisseurs de porte</w:t>
      </w:r>
      <w:r w:rsidR="004B58CE" w:rsidRPr="001A3544">
        <w:rPr>
          <w:rStyle w:val="lev"/>
          <w:b w:val="0"/>
          <w:color w:val="auto"/>
        </w:rPr>
        <w:t> ;</w:t>
      </w:r>
    </w:p>
    <w:p w14:paraId="1FB45E5B" w14:textId="77777777" w:rsidR="00513FAC" w:rsidRPr="001A3544" w:rsidRDefault="00513FAC" w:rsidP="0033646D">
      <w:pPr>
        <w:pStyle w:val="Paragraphedeliste"/>
        <w:numPr>
          <w:ilvl w:val="0"/>
          <w:numId w:val="19"/>
        </w:numPr>
        <w:jc w:val="both"/>
        <w:rPr>
          <w:rStyle w:val="lev"/>
          <w:b w:val="0"/>
          <w:color w:val="auto"/>
        </w:rPr>
      </w:pPr>
      <w:r w:rsidRPr="001A3544">
        <w:rPr>
          <w:rStyle w:val="lev"/>
          <w:b w:val="0"/>
          <w:color w:val="auto"/>
        </w:rPr>
        <w:t>L’ensemble des composants électroniques doit se sit</w:t>
      </w:r>
      <w:r w:rsidR="004B58CE" w:rsidRPr="001A3544">
        <w:rPr>
          <w:rStyle w:val="lev"/>
          <w:b w:val="0"/>
          <w:color w:val="auto"/>
        </w:rPr>
        <w:t>uer côté intérieur de la porte ;</w:t>
      </w:r>
    </w:p>
    <w:p w14:paraId="659496C2" w14:textId="77777777" w:rsidR="004B58CE" w:rsidRPr="001A3544" w:rsidRDefault="00513FAC" w:rsidP="0033646D">
      <w:pPr>
        <w:pStyle w:val="Paragraphedeliste"/>
        <w:numPr>
          <w:ilvl w:val="0"/>
          <w:numId w:val="19"/>
        </w:numPr>
        <w:jc w:val="both"/>
        <w:rPr>
          <w:rStyle w:val="lev"/>
          <w:b w:val="0"/>
          <w:color w:val="auto"/>
        </w:rPr>
      </w:pPr>
      <w:r w:rsidRPr="001A3544">
        <w:rPr>
          <w:rStyle w:val="lev"/>
          <w:b w:val="0"/>
          <w:color w:val="auto"/>
        </w:rPr>
        <w:t>Les piles doivent se situer côté in</w:t>
      </w:r>
      <w:r w:rsidR="004B58CE" w:rsidRPr="001A3544">
        <w:rPr>
          <w:rStyle w:val="lev"/>
          <w:b w:val="0"/>
          <w:color w:val="auto"/>
        </w:rPr>
        <w:t>térieur des béquilles ;</w:t>
      </w:r>
    </w:p>
    <w:p w14:paraId="1068782E" w14:textId="77777777" w:rsidR="00513FAC" w:rsidRPr="001A3544" w:rsidRDefault="00513FAC" w:rsidP="0033646D">
      <w:pPr>
        <w:pStyle w:val="Paragraphedeliste"/>
        <w:numPr>
          <w:ilvl w:val="0"/>
          <w:numId w:val="19"/>
        </w:numPr>
        <w:jc w:val="both"/>
        <w:rPr>
          <w:rStyle w:val="lev"/>
          <w:b w:val="0"/>
          <w:color w:val="auto"/>
        </w:rPr>
      </w:pPr>
      <w:r w:rsidRPr="001A3544">
        <w:rPr>
          <w:rStyle w:val="lev"/>
          <w:b w:val="0"/>
          <w:color w:val="auto"/>
        </w:rPr>
        <w:t>Sys</w:t>
      </w:r>
      <w:r w:rsidR="004B58CE" w:rsidRPr="001A3544">
        <w:rPr>
          <w:rStyle w:val="lev"/>
          <w:b w:val="0"/>
          <w:color w:val="auto"/>
        </w:rPr>
        <w:t>tème d’alerte batteries faibles ;</w:t>
      </w:r>
    </w:p>
    <w:p w14:paraId="12D73F2D" w14:textId="77777777" w:rsidR="004B58CE" w:rsidRPr="001A3544" w:rsidRDefault="004B58CE" w:rsidP="0033646D">
      <w:pPr>
        <w:pStyle w:val="Paragraphedeliste"/>
        <w:numPr>
          <w:ilvl w:val="0"/>
          <w:numId w:val="19"/>
        </w:numPr>
        <w:jc w:val="both"/>
        <w:rPr>
          <w:rStyle w:val="lev"/>
          <w:b w:val="0"/>
          <w:color w:val="auto"/>
        </w:rPr>
      </w:pPr>
      <w:r w:rsidRPr="001A3544">
        <w:rPr>
          <w:rStyle w:val="lev"/>
          <w:b w:val="0"/>
          <w:color w:val="auto"/>
        </w:rPr>
        <w:t>Têtes de lecture équipées de signalisation couleur (accès autorisé, accès refusé au minimum) ;</w:t>
      </w:r>
    </w:p>
    <w:p w14:paraId="669F593E" w14:textId="77777777" w:rsidR="004B58CE" w:rsidRPr="001A3544" w:rsidRDefault="004B58CE" w:rsidP="0033646D">
      <w:pPr>
        <w:pStyle w:val="Paragraphedeliste"/>
        <w:numPr>
          <w:ilvl w:val="0"/>
          <w:numId w:val="19"/>
        </w:numPr>
        <w:jc w:val="both"/>
        <w:rPr>
          <w:rStyle w:val="lev"/>
          <w:b w:val="0"/>
          <w:color w:val="auto"/>
        </w:rPr>
      </w:pPr>
      <w:r w:rsidRPr="001A3544">
        <w:rPr>
          <w:rStyle w:val="lev"/>
          <w:b w:val="0"/>
          <w:color w:val="auto"/>
        </w:rPr>
        <w:t>Communication en temps réel des droits d’accès, ouvertures à distance, remontée des évènements ;</w:t>
      </w:r>
    </w:p>
    <w:p w14:paraId="0A2F8CB3" w14:textId="77777777" w:rsidR="001C7DF4" w:rsidRPr="001A3544" w:rsidRDefault="00CE1D67" w:rsidP="0033646D">
      <w:pPr>
        <w:pStyle w:val="Paragraphedeliste"/>
        <w:numPr>
          <w:ilvl w:val="0"/>
          <w:numId w:val="20"/>
        </w:numPr>
        <w:tabs>
          <w:tab w:val="left" w:pos="0"/>
        </w:tabs>
        <w:jc w:val="both"/>
        <w:rPr>
          <w:rStyle w:val="lev"/>
          <w:b w:val="0"/>
          <w:color w:val="auto"/>
        </w:rPr>
      </w:pPr>
      <w:r w:rsidRPr="001A3544">
        <w:rPr>
          <w:rStyle w:val="lev"/>
          <w:b w:val="0"/>
          <w:color w:val="auto"/>
        </w:rPr>
        <w:t>Lorsqu'un support d'identification autorisé est reconnu par la tête de lecture située sur l'ensemble de la plaque béquille, la béquille est libérée électroniquement. Après la fermeture de la porte, la béquille est à nouveau</w:t>
      </w:r>
      <w:r w:rsidR="00523AC0" w:rsidRPr="001A3544">
        <w:rPr>
          <w:rStyle w:val="lev"/>
          <w:b w:val="0"/>
          <w:color w:val="auto"/>
        </w:rPr>
        <w:t xml:space="preserve"> bloquée</w:t>
      </w:r>
      <w:r w:rsidR="004B58CE" w:rsidRPr="001A3544">
        <w:rPr>
          <w:rStyle w:val="lev"/>
          <w:b w:val="0"/>
          <w:color w:val="auto"/>
        </w:rPr>
        <w:t> ;</w:t>
      </w:r>
    </w:p>
    <w:p w14:paraId="5D355517" w14:textId="77777777" w:rsidR="003F5F88" w:rsidRPr="001A3544" w:rsidRDefault="00CE023B" w:rsidP="0033646D">
      <w:pPr>
        <w:pStyle w:val="Paragraphedeliste"/>
        <w:numPr>
          <w:ilvl w:val="0"/>
          <w:numId w:val="20"/>
        </w:numPr>
        <w:tabs>
          <w:tab w:val="left" w:pos="0"/>
        </w:tabs>
        <w:jc w:val="both"/>
        <w:rPr>
          <w:rStyle w:val="lev"/>
          <w:b w:val="0"/>
          <w:color w:val="auto"/>
        </w:rPr>
      </w:pPr>
      <w:r w:rsidRPr="001A3544">
        <w:rPr>
          <w:rStyle w:val="lev"/>
          <w:b w:val="0"/>
          <w:color w:val="auto"/>
        </w:rPr>
        <w:t xml:space="preserve">En cas de défaillance : Sauvegarde </w:t>
      </w:r>
      <w:r w:rsidR="00465C4D" w:rsidRPr="001A3544">
        <w:rPr>
          <w:rStyle w:val="lev"/>
          <w:b w:val="0"/>
          <w:color w:val="auto"/>
        </w:rPr>
        <w:t>des</w:t>
      </w:r>
      <w:r w:rsidR="009F3E88" w:rsidRPr="001A3544">
        <w:rPr>
          <w:rStyle w:val="lev"/>
          <w:b w:val="0"/>
          <w:color w:val="auto"/>
        </w:rPr>
        <w:t xml:space="preserve"> derniers</w:t>
      </w:r>
      <w:r w:rsidRPr="001A3544">
        <w:rPr>
          <w:rStyle w:val="lev"/>
          <w:b w:val="0"/>
          <w:color w:val="auto"/>
        </w:rPr>
        <w:t xml:space="preserve"> évènements ayant lieu hors liaison :</w:t>
      </w:r>
      <w:r w:rsidR="004B58CE" w:rsidRPr="001A3544">
        <w:rPr>
          <w:rStyle w:val="lev"/>
          <w:b w:val="0"/>
          <w:color w:val="auto"/>
        </w:rPr>
        <w:t xml:space="preserve"> </w:t>
      </w:r>
      <w:r w:rsidR="003347BC" w:rsidRPr="001A3544">
        <w:rPr>
          <w:rStyle w:val="lev"/>
          <w:b w:val="0"/>
          <w:color w:val="auto"/>
        </w:rPr>
        <w:t>b</w:t>
      </w:r>
      <w:r w:rsidRPr="001A3544">
        <w:rPr>
          <w:rStyle w:val="lev"/>
          <w:b w:val="0"/>
          <w:color w:val="auto"/>
        </w:rPr>
        <w:t>adges validés, badges refusés</w:t>
      </w:r>
      <w:r w:rsidR="003347BC" w:rsidRPr="001A3544">
        <w:rPr>
          <w:rStyle w:val="lev"/>
          <w:b w:val="0"/>
          <w:color w:val="auto"/>
        </w:rPr>
        <w:t>,</w:t>
      </w:r>
      <w:r w:rsidR="004B58CE" w:rsidRPr="001A3544">
        <w:rPr>
          <w:rStyle w:val="lev"/>
          <w:b w:val="0"/>
          <w:color w:val="auto"/>
        </w:rPr>
        <w:t xml:space="preserve"> </w:t>
      </w:r>
      <w:r w:rsidR="003347BC" w:rsidRPr="001A3544">
        <w:rPr>
          <w:rStyle w:val="lev"/>
          <w:b w:val="0"/>
          <w:color w:val="auto"/>
        </w:rPr>
        <w:t>d</w:t>
      </w:r>
      <w:r w:rsidRPr="001A3544">
        <w:rPr>
          <w:rStyle w:val="lev"/>
          <w:b w:val="0"/>
          <w:color w:val="auto"/>
        </w:rPr>
        <w:t>éfaut liaison sans fi</w:t>
      </w:r>
      <w:r w:rsidR="003E1432" w:rsidRPr="001A3544">
        <w:rPr>
          <w:rStyle w:val="lev"/>
          <w:b w:val="0"/>
          <w:color w:val="auto"/>
        </w:rPr>
        <w:t>l</w:t>
      </w:r>
      <w:r w:rsidR="003F5F88" w:rsidRPr="001A3544">
        <w:rPr>
          <w:rStyle w:val="lev"/>
          <w:b w:val="0"/>
          <w:color w:val="auto"/>
        </w:rPr>
        <w:t> ;</w:t>
      </w:r>
    </w:p>
    <w:p w14:paraId="620E37AF" w14:textId="77777777" w:rsidR="003F5F88" w:rsidRPr="001A3544" w:rsidRDefault="003F5F88" w:rsidP="0033646D">
      <w:pPr>
        <w:pStyle w:val="Paragraphedeliste"/>
        <w:numPr>
          <w:ilvl w:val="0"/>
          <w:numId w:val="20"/>
        </w:numPr>
        <w:tabs>
          <w:tab w:val="left" w:pos="0"/>
        </w:tabs>
        <w:jc w:val="both"/>
        <w:rPr>
          <w:rStyle w:val="lev"/>
          <w:b w:val="0"/>
          <w:color w:val="auto"/>
        </w:rPr>
      </w:pPr>
      <w:r w:rsidRPr="001A3544">
        <w:rPr>
          <w:rStyle w:val="lev"/>
          <w:b w:val="0"/>
          <w:color w:val="auto"/>
        </w:rPr>
        <w:t>Possibilité de monter un ensemble de chaque côté de</w:t>
      </w:r>
      <w:r w:rsidR="00CA6632" w:rsidRPr="001A3544">
        <w:rPr>
          <w:rStyle w:val="lev"/>
          <w:b w:val="0"/>
          <w:color w:val="auto"/>
        </w:rPr>
        <w:t xml:space="preserve"> </w:t>
      </w:r>
      <w:r w:rsidRPr="001A3544">
        <w:rPr>
          <w:rStyle w:val="lev"/>
          <w:b w:val="0"/>
          <w:color w:val="auto"/>
        </w:rPr>
        <w:t>la porte pour</w:t>
      </w:r>
      <w:r w:rsidR="00CA6632" w:rsidRPr="001A3544">
        <w:rPr>
          <w:rStyle w:val="lev"/>
          <w:b w:val="0"/>
          <w:color w:val="auto"/>
        </w:rPr>
        <w:t xml:space="preserve"> </w:t>
      </w:r>
      <w:r w:rsidRPr="001A3544">
        <w:rPr>
          <w:rStyle w:val="lev"/>
          <w:b w:val="0"/>
          <w:color w:val="auto"/>
        </w:rPr>
        <w:t>un contrôle en entrée et en sortie.</w:t>
      </w:r>
    </w:p>
    <w:p w14:paraId="567B16BB" w14:textId="77777777" w:rsidR="00AD7FBB" w:rsidRPr="001A3544" w:rsidRDefault="00523AC0" w:rsidP="00465C4D">
      <w:pPr>
        <w:tabs>
          <w:tab w:val="left" w:pos="0"/>
        </w:tabs>
        <w:jc w:val="both"/>
        <w:rPr>
          <w:rStyle w:val="lev"/>
          <w:b w:val="0"/>
          <w:color w:val="auto"/>
        </w:rPr>
      </w:pPr>
      <w:r w:rsidRPr="001A3544">
        <w:rPr>
          <w:rStyle w:val="lev"/>
          <w:b w:val="0"/>
          <w:color w:val="auto"/>
        </w:rPr>
        <w:lastRenderedPageBreak/>
        <w:t xml:space="preserve">Des systèmes </w:t>
      </w:r>
      <w:r w:rsidR="00465C4D" w:rsidRPr="001A3544">
        <w:rPr>
          <w:rStyle w:val="lev"/>
          <w:b w:val="0"/>
          <w:color w:val="auto"/>
        </w:rPr>
        <w:t>complémentaires</w:t>
      </w:r>
      <w:r w:rsidRPr="001A3544">
        <w:rPr>
          <w:rStyle w:val="lev"/>
          <w:b w:val="0"/>
          <w:color w:val="auto"/>
        </w:rPr>
        <w:t xml:space="preserve"> pourront être proposés au titre du </w:t>
      </w:r>
      <w:r w:rsidR="00B17D08" w:rsidRPr="001A3544">
        <w:rPr>
          <w:rStyle w:val="lev"/>
          <w:b w:val="0"/>
          <w:color w:val="auto"/>
        </w:rPr>
        <w:t>catalogue complémentaire H</w:t>
      </w:r>
      <w:r w:rsidRPr="001A3544">
        <w:rPr>
          <w:rStyle w:val="lev"/>
          <w:b w:val="0"/>
          <w:color w:val="auto"/>
        </w:rPr>
        <w:t xml:space="preserve">BPU sous réserve </w:t>
      </w:r>
      <w:r w:rsidR="009F3E88" w:rsidRPr="001A3544">
        <w:rPr>
          <w:rStyle w:val="lev"/>
          <w:b w:val="0"/>
          <w:color w:val="auto"/>
        </w:rPr>
        <w:t xml:space="preserve">de respecter les préconisations du présent CCTP. </w:t>
      </w:r>
    </w:p>
    <w:p w14:paraId="4B23DBD3" w14:textId="77777777" w:rsidR="00CE1D67" w:rsidRPr="001A3544" w:rsidRDefault="00CE1D67" w:rsidP="00465C4D">
      <w:pPr>
        <w:jc w:val="both"/>
        <w:rPr>
          <w:rStyle w:val="lev"/>
          <w:b w:val="0"/>
          <w:color w:val="auto"/>
          <w:sz w:val="24"/>
        </w:rPr>
      </w:pPr>
      <w:r w:rsidRPr="001A3544">
        <w:rPr>
          <w:rStyle w:val="Rfrenceintense"/>
          <w:sz w:val="24"/>
        </w:rPr>
        <w:t>Cylindres électroniques :</w:t>
      </w:r>
    </w:p>
    <w:p w14:paraId="39B509F7" w14:textId="77777777" w:rsidR="000F75D4" w:rsidRPr="001A3544" w:rsidRDefault="00CE1D67" w:rsidP="00A64454">
      <w:pPr>
        <w:tabs>
          <w:tab w:val="left" w:pos="0"/>
        </w:tabs>
        <w:jc w:val="both"/>
        <w:rPr>
          <w:rStyle w:val="lev"/>
          <w:b w:val="0"/>
          <w:color w:val="auto"/>
        </w:rPr>
      </w:pPr>
      <w:r w:rsidRPr="001A3544">
        <w:rPr>
          <w:rStyle w:val="lev"/>
          <w:b w:val="0"/>
          <w:color w:val="auto"/>
        </w:rPr>
        <w:t>Contrairement à l'ensemble plaque béquille qui bloque automatiquement la béquille après le passage en rendant la porte fermée de l'extérieur, le bouton sur le cylindre électronique doit être activé manuellement après lect</w:t>
      </w:r>
      <w:r w:rsidR="000F75D4" w:rsidRPr="001A3544">
        <w:rPr>
          <w:rStyle w:val="lev"/>
          <w:b w:val="0"/>
          <w:color w:val="auto"/>
        </w:rPr>
        <w:t>ure du badge </w:t>
      </w:r>
      <w:r w:rsidR="009F3E88" w:rsidRPr="001A3544">
        <w:rPr>
          <w:rStyle w:val="lev"/>
          <w:b w:val="0"/>
          <w:color w:val="auto"/>
        </w:rPr>
        <w:t>: après</w:t>
      </w:r>
      <w:r w:rsidRPr="001A3544">
        <w:rPr>
          <w:rStyle w:val="lev"/>
          <w:b w:val="0"/>
          <w:color w:val="auto"/>
        </w:rPr>
        <w:t xml:space="preserve"> contrôle de son autorisation</w:t>
      </w:r>
      <w:r w:rsidR="00AD7FBB" w:rsidRPr="001A3544">
        <w:rPr>
          <w:rStyle w:val="lev"/>
          <w:b w:val="0"/>
          <w:color w:val="auto"/>
        </w:rPr>
        <w:t>,</w:t>
      </w:r>
      <w:r w:rsidRPr="001A3544">
        <w:rPr>
          <w:rStyle w:val="lev"/>
          <w:b w:val="0"/>
          <w:color w:val="auto"/>
        </w:rPr>
        <w:t xml:space="preserve"> il peut être déverrouillé. </w:t>
      </w:r>
    </w:p>
    <w:p w14:paraId="714C1A2D" w14:textId="77777777" w:rsidR="000F75D4" w:rsidRPr="001A3544" w:rsidRDefault="00CE1D67" w:rsidP="00A64454">
      <w:pPr>
        <w:tabs>
          <w:tab w:val="left" w:pos="0"/>
        </w:tabs>
        <w:jc w:val="both"/>
        <w:rPr>
          <w:rStyle w:val="lev"/>
          <w:b w:val="0"/>
          <w:color w:val="auto"/>
        </w:rPr>
      </w:pPr>
      <w:r w:rsidRPr="001A3544">
        <w:rPr>
          <w:rStyle w:val="lev"/>
          <w:b w:val="0"/>
          <w:color w:val="auto"/>
        </w:rPr>
        <w:t xml:space="preserve">Lorsque la porte se referme après l'ouverture, celle-ci n'est pas condamnée. Le verrouillage s'effectue en actionnant une nouvelle fois le bouton côté intérieur. </w:t>
      </w:r>
    </w:p>
    <w:p w14:paraId="0F951B33" w14:textId="77777777" w:rsidR="00CE1D67" w:rsidRPr="001A3544" w:rsidRDefault="00CE1D67" w:rsidP="00A64454">
      <w:pPr>
        <w:tabs>
          <w:tab w:val="left" w:pos="0"/>
        </w:tabs>
        <w:jc w:val="both"/>
        <w:rPr>
          <w:rStyle w:val="lev"/>
          <w:b w:val="0"/>
          <w:color w:val="auto"/>
        </w:rPr>
      </w:pPr>
      <w:r w:rsidRPr="001A3544">
        <w:rPr>
          <w:rStyle w:val="lev"/>
          <w:b w:val="0"/>
          <w:color w:val="auto"/>
        </w:rPr>
        <w:t>Le cylindre électronique est préconisé lorsque la porte dispose déjà de garnitures que l'on ne souhaite pas changer, ou lorsque la disposition de la porte ne permet pas l'utilisation d'ensembles plaque béquilles. Le processus d'identification est confirmé par une information visuelle du cylindre électronique. Aucun câblage n'est nécessaire sur la porte</w:t>
      </w:r>
      <w:r w:rsidR="00AD7FBB" w:rsidRPr="001A3544">
        <w:rPr>
          <w:rStyle w:val="lev"/>
          <w:b w:val="0"/>
          <w:color w:val="auto"/>
        </w:rPr>
        <w:t>.</w:t>
      </w:r>
    </w:p>
    <w:p w14:paraId="664127E6" w14:textId="77777777" w:rsidR="00513FAC" w:rsidRPr="001A3544" w:rsidRDefault="00513FAC" w:rsidP="00A64454">
      <w:pPr>
        <w:tabs>
          <w:tab w:val="left" w:pos="0"/>
        </w:tabs>
        <w:jc w:val="both"/>
        <w:rPr>
          <w:rStyle w:val="lev"/>
          <w:b w:val="0"/>
          <w:color w:val="auto"/>
        </w:rPr>
      </w:pPr>
      <w:r w:rsidRPr="001A3544">
        <w:rPr>
          <w:rStyle w:val="lev"/>
          <w:b w:val="0"/>
          <w:color w:val="auto"/>
        </w:rPr>
        <w:t xml:space="preserve">Ensemble des composants électroniques sensibles dans le corps du cylindre. </w:t>
      </w:r>
    </w:p>
    <w:p w14:paraId="6CA4A17B" w14:textId="77777777" w:rsidR="00513FAC" w:rsidRPr="001A3544" w:rsidRDefault="00513FAC" w:rsidP="00513FAC">
      <w:pPr>
        <w:tabs>
          <w:tab w:val="left" w:pos="0"/>
        </w:tabs>
        <w:jc w:val="both"/>
        <w:rPr>
          <w:rStyle w:val="lev"/>
          <w:b w:val="0"/>
          <w:color w:val="auto"/>
        </w:rPr>
      </w:pPr>
      <w:r w:rsidRPr="001A3544">
        <w:rPr>
          <w:rStyle w:val="lev"/>
          <w:b w:val="0"/>
          <w:color w:val="auto"/>
        </w:rPr>
        <w:t>Pile positionnée dans le bouton extérieur, remplaçable à l’aide d’un ou</w:t>
      </w:r>
      <w:r w:rsidR="009F3E88" w:rsidRPr="001A3544">
        <w:rPr>
          <w:rStyle w:val="lev"/>
          <w:b w:val="0"/>
          <w:color w:val="auto"/>
        </w:rPr>
        <w:t xml:space="preserve">til spécifique. Alerte </w:t>
      </w:r>
      <w:r w:rsidR="00987839" w:rsidRPr="001A3544">
        <w:rPr>
          <w:rStyle w:val="lev"/>
          <w:b w:val="0"/>
          <w:color w:val="auto"/>
        </w:rPr>
        <w:t>batterie.</w:t>
      </w:r>
    </w:p>
    <w:p w14:paraId="02D3E05A" w14:textId="77777777" w:rsidR="004B58CE" w:rsidRPr="001A3544" w:rsidRDefault="004B58CE" w:rsidP="0033646D">
      <w:pPr>
        <w:pStyle w:val="Paragraphedeliste"/>
        <w:numPr>
          <w:ilvl w:val="0"/>
          <w:numId w:val="21"/>
        </w:numPr>
        <w:rPr>
          <w:rStyle w:val="lev"/>
          <w:b w:val="0"/>
          <w:color w:val="auto"/>
        </w:rPr>
      </w:pPr>
      <w:r w:rsidRPr="001A3544">
        <w:rPr>
          <w:rStyle w:val="lev"/>
          <w:b w:val="0"/>
          <w:color w:val="auto"/>
        </w:rPr>
        <w:t>Têtes de lecture équipées de signalisation couleur (accès autorisé, accès refusé au minimum) ;</w:t>
      </w:r>
    </w:p>
    <w:p w14:paraId="15528921" w14:textId="77777777" w:rsidR="004B58CE" w:rsidRPr="001A3544" w:rsidRDefault="004B58CE" w:rsidP="0033646D">
      <w:pPr>
        <w:pStyle w:val="Paragraphedeliste"/>
        <w:numPr>
          <w:ilvl w:val="0"/>
          <w:numId w:val="21"/>
        </w:numPr>
        <w:rPr>
          <w:rStyle w:val="lev"/>
          <w:b w:val="0"/>
          <w:color w:val="auto"/>
        </w:rPr>
      </w:pPr>
      <w:r w:rsidRPr="001A3544">
        <w:rPr>
          <w:rStyle w:val="lev"/>
          <w:b w:val="0"/>
          <w:color w:val="auto"/>
        </w:rPr>
        <w:t xml:space="preserve">Indice </w:t>
      </w:r>
      <w:proofErr w:type="spellStart"/>
      <w:r w:rsidRPr="001A3544">
        <w:rPr>
          <w:rStyle w:val="lev"/>
          <w:b w:val="0"/>
          <w:color w:val="auto"/>
        </w:rPr>
        <w:t>IPxx</w:t>
      </w:r>
      <w:proofErr w:type="spellEnd"/>
      <w:r w:rsidRPr="001A3544">
        <w:rPr>
          <w:rStyle w:val="lev"/>
          <w:b w:val="0"/>
          <w:color w:val="auto"/>
        </w:rPr>
        <w:t xml:space="preserve"> suffisan</w:t>
      </w:r>
      <w:r w:rsidR="00987839" w:rsidRPr="001A3544">
        <w:rPr>
          <w:rStyle w:val="lev"/>
          <w:b w:val="0"/>
          <w:color w:val="auto"/>
        </w:rPr>
        <w:t>t pour un montage en extérieur.</w:t>
      </w:r>
    </w:p>
    <w:p w14:paraId="1A6385D1" w14:textId="77777777" w:rsidR="00513FAC" w:rsidRPr="001A3544" w:rsidRDefault="00513FAC" w:rsidP="00B6069D">
      <w:pPr>
        <w:tabs>
          <w:tab w:val="left" w:pos="0"/>
        </w:tabs>
        <w:jc w:val="both"/>
        <w:rPr>
          <w:rStyle w:val="lev"/>
          <w:b w:val="0"/>
          <w:color w:val="auto"/>
        </w:rPr>
      </w:pPr>
      <w:r w:rsidRPr="001A3544">
        <w:rPr>
          <w:rStyle w:val="lev"/>
          <w:b w:val="0"/>
          <w:color w:val="auto"/>
        </w:rPr>
        <w:t xml:space="preserve">En cas de défaillance : Sauvegarde </w:t>
      </w:r>
      <w:r w:rsidR="00465C4D" w:rsidRPr="001A3544">
        <w:rPr>
          <w:rStyle w:val="lev"/>
          <w:b w:val="0"/>
          <w:color w:val="auto"/>
        </w:rPr>
        <w:t>des derniers</w:t>
      </w:r>
      <w:r w:rsidRPr="001A3544">
        <w:rPr>
          <w:rStyle w:val="lev"/>
          <w:b w:val="0"/>
          <w:color w:val="auto"/>
        </w:rPr>
        <w:t xml:space="preserve"> évènements ayant lieu hors liaison :</w:t>
      </w:r>
    </w:p>
    <w:p w14:paraId="771170B3" w14:textId="77777777" w:rsidR="00513FAC" w:rsidRPr="001A3544" w:rsidRDefault="00513FAC" w:rsidP="0033646D">
      <w:pPr>
        <w:pStyle w:val="Paragraphedeliste"/>
        <w:numPr>
          <w:ilvl w:val="0"/>
          <w:numId w:val="22"/>
        </w:numPr>
        <w:tabs>
          <w:tab w:val="left" w:pos="0"/>
        </w:tabs>
        <w:jc w:val="both"/>
        <w:rPr>
          <w:rStyle w:val="lev"/>
          <w:b w:val="0"/>
          <w:color w:val="auto"/>
        </w:rPr>
      </w:pPr>
      <w:r w:rsidRPr="001A3544">
        <w:rPr>
          <w:rStyle w:val="lev"/>
          <w:b w:val="0"/>
          <w:color w:val="auto"/>
        </w:rPr>
        <w:t>Badges validés, badges refusés</w:t>
      </w:r>
      <w:r w:rsidR="000654E1" w:rsidRPr="001A3544">
        <w:rPr>
          <w:rStyle w:val="lev"/>
          <w:b w:val="0"/>
          <w:color w:val="auto"/>
        </w:rPr>
        <w:t> ;</w:t>
      </w:r>
    </w:p>
    <w:p w14:paraId="731D71B2" w14:textId="77777777" w:rsidR="00513FAC" w:rsidRPr="001A3544" w:rsidRDefault="00513FAC" w:rsidP="0033646D">
      <w:pPr>
        <w:pStyle w:val="Paragraphedeliste"/>
        <w:numPr>
          <w:ilvl w:val="0"/>
          <w:numId w:val="22"/>
        </w:numPr>
        <w:tabs>
          <w:tab w:val="left" w:pos="0"/>
        </w:tabs>
        <w:jc w:val="both"/>
        <w:rPr>
          <w:rStyle w:val="lev"/>
          <w:b w:val="0"/>
          <w:color w:val="auto"/>
        </w:rPr>
      </w:pPr>
      <w:r w:rsidRPr="001A3544">
        <w:rPr>
          <w:rStyle w:val="lev"/>
          <w:b w:val="0"/>
          <w:color w:val="auto"/>
        </w:rPr>
        <w:t>Défaut liaison sans fi</w:t>
      </w:r>
      <w:r w:rsidR="000654E1" w:rsidRPr="001A3544">
        <w:rPr>
          <w:rStyle w:val="lev"/>
          <w:b w:val="0"/>
          <w:color w:val="auto"/>
        </w:rPr>
        <w:t>l.</w:t>
      </w:r>
    </w:p>
    <w:p w14:paraId="4B9F9E71" w14:textId="77777777" w:rsidR="00571EB4" w:rsidRPr="001A3544" w:rsidRDefault="007A5A4F" w:rsidP="00B6069D">
      <w:pPr>
        <w:jc w:val="both"/>
        <w:rPr>
          <w:bCs/>
          <w:spacing w:val="5"/>
          <w:sz w:val="24"/>
        </w:rPr>
      </w:pPr>
      <w:r w:rsidRPr="001A3544">
        <w:rPr>
          <w:rStyle w:val="Rfrenceintense"/>
          <w:sz w:val="24"/>
        </w:rPr>
        <w:t>Le</w:t>
      </w:r>
      <w:r w:rsidR="005B784E" w:rsidRPr="001A3544">
        <w:rPr>
          <w:rStyle w:val="Rfrenceintense"/>
          <w:sz w:val="24"/>
        </w:rPr>
        <w:t>cteur mural simple</w:t>
      </w:r>
      <w:r w:rsidRPr="001A3544">
        <w:rPr>
          <w:rStyle w:val="Rfrenceintense"/>
          <w:sz w:val="24"/>
        </w:rPr>
        <w:t> :</w:t>
      </w:r>
    </w:p>
    <w:p w14:paraId="458E3ABA" w14:textId="77777777" w:rsidR="00A015E3" w:rsidRPr="001A3544" w:rsidRDefault="0050535A" w:rsidP="00B6069D">
      <w:pPr>
        <w:tabs>
          <w:tab w:val="left" w:pos="0"/>
        </w:tabs>
        <w:jc w:val="both"/>
        <w:rPr>
          <w:rFonts w:cs="Arial"/>
        </w:rPr>
      </w:pPr>
      <w:r w:rsidRPr="001A3544">
        <w:rPr>
          <w:rFonts w:cs="Arial"/>
        </w:rPr>
        <w:t>Lecteur</w:t>
      </w:r>
      <w:r w:rsidR="00987839" w:rsidRPr="001A3544">
        <w:rPr>
          <w:rFonts w:cs="Arial"/>
        </w:rPr>
        <w:t xml:space="preserve"> programmable,</w:t>
      </w:r>
      <w:r w:rsidRPr="001A3544">
        <w:rPr>
          <w:rFonts w:cs="Arial"/>
        </w:rPr>
        <w:t xml:space="preserve"> compatible ISO 14443A </w:t>
      </w:r>
      <w:r w:rsidR="00DD628D" w:rsidRPr="001A3544">
        <w:rPr>
          <w:rFonts w:cs="Arial"/>
        </w:rPr>
        <w:t xml:space="preserve">(type B souhaité) </w:t>
      </w:r>
      <w:r w:rsidRPr="001A3544">
        <w:rPr>
          <w:rFonts w:cs="Arial"/>
        </w:rPr>
        <w:t xml:space="preserve">utilisant </w:t>
      </w:r>
      <w:r w:rsidR="00A015E3" w:rsidRPr="001A3544">
        <w:rPr>
          <w:rFonts w:cs="Arial"/>
        </w:rPr>
        <w:t>la bande 13,</w:t>
      </w:r>
      <w:r w:rsidRPr="001A3544">
        <w:rPr>
          <w:rFonts w:cs="Arial"/>
        </w:rPr>
        <w:t>56</w:t>
      </w:r>
      <w:r w:rsidR="00A015E3" w:rsidRPr="001A3544">
        <w:rPr>
          <w:rFonts w:cs="Arial"/>
        </w:rPr>
        <w:t xml:space="preserve"> </w:t>
      </w:r>
      <w:r w:rsidRPr="001A3544">
        <w:rPr>
          <w:rFonts w:cs="Arial"/>
        </w:rPr>
        <w:t>MHz</w:t>
      </w:r>
      <w:r w:rsidR="00A015E3" w:rsidRPr="001A3544">
        <w:rPr>
          <w:rFonts w:cs="Arial"/>
        </w:rPr>
        <w:t xml:space="preserve">, fixation murale, distance de lecture entre 4 et 8 cm. </w:t>
      </w:r>
    </w:p>
    <w:p w14:paraId="7C6FDE10" w14:textId="77777777" w:rsidR="00E917B6" w:rsidRPr="001A3544" w:rsidRDefault="00A015E3" w:rsidP="00B6069D">
      <w:pPr>
        <w:tabs>
          <w:tab w:val="left" w:pos="0"/>
        </w:tabs>
        <w:jc w:val="both"/>
        <w:rPr>
          <w:rFonts w:cs="Arial"/>
        </w:rPr>
      </w:pPr>
      <w:r w:rsidRPr="001A3544">
        <w:rPr>
          <w:rFonts w:cs="Arial"/>
        </w:rPr>
        <w:t>Les lecteurs sont livrés avec leur ca</w:t>
      </w:r>
      <w:r w:rsidR="00987839" w:rsidRPr="001A3544">
        <w:rPr>
          <w:rFonts w:cs="Arial"/>
        </w:rPr>
        <w:t>pot de protection. Les l</w:t>
      </w:r>
      <w:r w:rsidR="00E917B6" w:rsidRPr="001A3544">
        <w:rPr>
          <w:rFonts w:cs="Arial"/>
        </w:rPr>
        <w:t>ecteurs</w:t>
      </w:r>
      <w:r w:rsidR="00AE3599" w:rsidRPr="001A3544">
        <w:rPr>
          <w:rFonts w:cs="Arial"/>
        </w:rPr>
        <w:t xml:space="preserve"> doivent être </w:t>
      </w:r>
      <w:r w:rsidR="00832C73" w:rsidRPr="001A3544">
        <w:rPr>
          <w:rFonts w:cs="Arial"/>
        </w:rPr>
        <w:t>disponibles</w:t>
      </w:r>
      <w:r w:rsidR="00E917B6" w:rsidRPr="001A3544">
        <w:rPr>
          <w:rFonts w:cs="Arial"/>
        </w:rPr>
        <w:t xml:space="preserve"> sur ba</w:t>
      </w:r>
      <w:r w:rsidR="00987839" w:rsidRPr="001A3544">
        <w:rPr>
          <w:rFonts w:cs="Arial"/>
        </w:rPr>
        <w:t>ses en applique ou à encastrer.</w:t>
      </w:r>
    </w:p>
    <w:p w14:paraId="6AA70C9D" w14:textId="77777777" w:rsidR="004B58CE" w:rsidRPr="001A3544" w:rsidRDefault="004B58CE" w:rsidP="0033646D">
      <w:pPr>
        <w:pStyle w:val="Paragraphedeliste"/>
        <w:numPr>
          <w:ilvl w:val="0"/>
          <w:numId w:val="23"/>
        </w:numPr>
        <w:jc w:val="both"/>
        <w:rPr>
          <w:rStyle w:val="lev"/>
          <w:b w:val="0"/>
          <w:color w:val="auto"/>
        </w:rPr>
      </w:pPr>
      <w:r w:rsidRPr="001A3544">
        <w:rPr>
          <w:rStyle w:val="lev"/>
          <w:b w:val="0"/>
          <w:color w:val="auto"/>
        </w:rPr>
        <w:t>Signalisation couleur (accès autorisé, accès refusé au minimum) ;</w:t>
      </w:r>
    </w:p>
    <w:p w14:paraId="259BC62B" w14:textId="77777777" w:rsidR="004B58CE" w:rsidRPr="001A3544" w:rsidRDefault="004B58CE" w:rsidP="0033646D">
      <w:pPr>
        <w:pStyle w:val="Paragraphedeliste"/>
        <w:numPr>
          <w:ilvl w:val="0"/>
          <w:numId w:val="23"/>
        </w:numPr>
        <w:jc w:val="both"/>
        <w:rPr>
          <w:rStyle w:val="lev"/>
          <w:b w:val="0"/>
          <w:color w:val="auto"/>
        </w:rPr>
      </w:pPr>
      <w:r w:rsidRPr="001A3544">
        <w:rPr>
          <w:rStyle w:val="lev"/>
          <w:b w:val="0"/>
          <w:color w:val="auto"/>
        </w:rPr>
        <w:t xml:space="preserve">Indice </w:t>
      </w:r>
      <w:proofErr w:type="spellStart"/>
      <w:r w:rsidRPr="001A3544">
        <w:rPr>
          <w:rStyle w:val="lev"/>
          <w:b w:val="0"/>
          <w:color w:val="auto"/>
        </w:rPr>
        <w:t>IPxx</w:t>
      </w:r>
      <w:proofErr w:type="spellEnd"/>
      <w:r w:rsidRPr="001A3544">
        <w:rPr>
          <w:rStyle w:val="lev"/>
          <w:b w:val="0"/>
          <w:color w:val="auto"/>
        </w:rPr>
        <w:t xml:space="preserve"> suffisant pour un montage en extérieur, </w:t>
      </w:r>
      <w:r w:rsidR="00987839" w:rsidRPr="001A3544">
        <w:rPr>
          <w:rFonts w:cs="Arial"/>
        </w:rPr>
        <w:t>totalement étanches à l’eau et</w:t>
      </w:r>
      <w:r w:rsidRPr="001A3544">
        <w:rPr>
          <w:rFonts w:cs="Arial"/>
        </w:rPr>
        <w:t xml:space="preserve"> à l’humi</w:t>
      </w:r>
      <w:r w:rsidR="00987839" w:rsidRPr="001A3544">
        <w:rPr>
          <w:rFonts w:cs="Arial"/>
        </w:rPr>
        <w:t xml:space="preserve">dité et </w:t>
      </w:r>
      <w:r w:rsidRPr="001A3544">
        <w:rPr>
          <w:rFonts w:cs="Arial"/>
        </w:rPr>
        <w:t>anti vandales.</w:t>
      </w:r>
    </w:p>
    <w:p w14:paraId="640E1F02" w14:textId="77777777" w:rsidR="0061074F" w:rsidRPr="001A3544" w:rsidRDefault="0061074F" w:rsidP="00B6069D">
      <w:pPr>
        <w:jc w:val="both"/>
        <w:rPr>
          <w:rStyle w:val="lev"/>
          <w:b w:val="0"/>
          <w:color w:val="auto"/>
          <w:sz w:val="24"/>
        </w:rPr>
      </w:pPr>
      <w:r w:rsidRPr="001A3544">
        <w:rPr>
          <w:rStyle w:val="Rfrenceintense"/>
          <w:sz w:val="24"/>
        </w:rPr>
        <w:t>Logiciel d’exploitation :</w:t>
      </w:r>
      <w:r w:rsidRPr="001A3544">
        <w:rPr>
          <w:rStyle w:val="lev"/>
          <w:b w:val="0"/>
          <w:color w:val="auto"/>
          <w:sz w:val="24"/>
        </w:rPr>
        <w:t xml:space="preserve"> </w:t>
      </w:r>
    </w:p>
    <w:p w14:paraId="0CC88332" w14:textId="77777777" w:rsidR="0061074F" w:rsidRPr="001A3544" w:rsidRDefault="0061074F" w:rsidP="00B6069D">
      <w:pPr>
        <w:jc w:val="both"/>
      </w:pPr>
      <w:r w:rsidRPr="001A3544">
        <w:t>Le logiciel doit être multi sites et multipostes</w:t>
      </w:r>
      <w:r w:rsidR="00B6069D" w:rsidRPr="001A3544">
        <w:t>.</w:t>
      </w:r>
    </w:p>
    <w:p w14:paraId="035DC51F" w14:textId="77777777" w:rsidR="0061074F" w:rsidRPr="001A3544" w:rsidRDefault="0061074F" w:rsidP="00B6069D">
      <w:pPr>
        <w:jc w:val="both"/>
      </w:pPr>
      <w:r w:rsidRPr="001A3544">
        <w:t xml:space="preserve">Il doit être structuré autour d’une base de données unique, sécurisée et </w:t>
      </w:r>
      <w:r w:rsidR="00987839" w:rsidRPr="001A3544">
        <w:t>chiffré</w:t>
      </w:r>
      <w:r w:rsidRPr="001A3544">
        <w:t xml:space="preserve"> par les responsables APHP.</w:t>
      </w:r>
    </w:p>
    <w:p w14:paraId="3F5FF354" w14:textId="77777777" w:rsidR="000F75D4" w:rsidRPr="001A3544" w:rsidRDefault="0061074F" w:rsidP="00B6069D">
      <w:pPr>
        <w:jc w:val="both"/>
      </w:pPr>
      <w:r w:rsidRPr="001A3544">
        <w:t>Il doit permettre de gérer à distance et en temps réel</w:t>
      </w:r>
      <w:r w:rsidR="00123FE8" w:rsidRPr="001A3544">
        <w:t> :</w:t>
      </w:r>
    </w:p>
    <w:p w14:paraId="5F06B8C7" w14:textId="77777777" w:rsidR="0061074F" w:rsidRPr="001A3544" w:rsidRDefault="0061074F" w:rsidP="0033646D">
      <w:pPr>
        <w:pStyle w:val="Paragraphedeliste"/>
        <w:numPr>
          <w:ilvl w:val="0"/>
          <w:numId w:val="24"/>
        </w:numPr>
        <w:ind w:left="360"/>
        <w:jc w:val="both"/>
      </w:pPr>
      <w:r w:rsidRPr="001A3544">
        <w:lastRenderedPageBreak/>
        <w:t>L’architecture physique du matériel, les appairages et les routages</w:t>
      </w:r>
      <w:r w:rsidR="00AA3038" w:rsidRPr="001A3544">
        <w:t> ;</w:t>
      </w:r>
    </w:p>
    <w:p w14:paraId="1FEB8D47" w14:textId="77777777" w:rsidR="0061074F" w:rsidRPr="001A3544" w:rsidRDefault="0061074F" w:rsidP="0033646D">
      <w:pPr>
        <w:pStyle w:val="Paragraphedeliste"/>
        <w:numPr>
          <w:ilvl w:val="0"/>
          <w:numId w:val="24"/>
        </w:numPr>
        <w:ind w:left="360"/>
        <w:jc w:val="both"/>
      </w:pPr>
      <w:r w:rsidRPr="001A3544">
        <w:t>La création, modification et suppression des utilisateurs</w:t>
      </w:r>
      <w:r w:rsidR="00AA3038" w:rsidRPr="001A3544">
        <w:t> ;</w:t>
      </w:r>
    </w:p>
    <w:p w14:paraId="2A978E3F" w14:textId="77777777" w:rsidR="00704F27" w:rsidRPr="001A3544" w:rsidRDefault="00704F27" w:rsidP="0033646D">
      <w:pPr>
        <w:pStyle w:val="Paragraphedeliste"/>
        <w:numPr>
          <w:ilvl w:val="0"/>
          <w:numId w:val="24"/>
        </w:numPr>
        <w:ind w:left="360"/>
        <w:jc w:val="both"/>
      </w:pPr>
      <w:r w:rsidRPr="001A3544">
        <w:t>La synchronisation avec un référentiel APHP quotidien voire temps réel ;</w:t>
      </w:r>
    </w:p>
    <w:p w14:paraId="1338DC3C" w14:textId="77777777" w:rsidR="0061074F" w:rsidRPr="001A3544" w:rsidRDefault="0061074F" w:rsidP="0033646D">
      <w:pPr>
        <w:pStyle w:val="Paragraphedeliste"/>
        <w:numPr>
          <w:ilvl w:val="0"/>
          <w:numId w:val="24"/>
        </w:numPr>
        <w:ind w:left="360"/>
        <w:jc w:val="both"/>
      </w:pPr>
      <w:r w:rsidRPr="001A3544">
        <w:t xml:space="preserve">La </w:t>
      </w:r>
      <w:r w:rsidR="00123FE8" w:rsidRPr="001A3544">
        <w:t>création</w:t>
      </w:r>
      <w:r w:rsidRPr="001A3544">
        <w:t xml:space="preserve"> d’a</w:t>
      </w:r>
      <w:r w:rsidR="00123FE8" w:rsidRPr="001A3544">
        <w:t>ctions calendaires comme les ouvertures fermetures automatique</w:t>
      </w:r>
      <w:r w:rsidR="00832C73" w:rsidRPr="001A3544">
        <w:t>s</w:t>
      </w:r>
      <w:r w:rsidR="00123FE8" w:rsidRPr="001A3544">
        <w:t xml:space="preserve"> horodatées ; </w:t>
      </w:r>
    </w:p>
    <w:p w14:paraId="07659901" w14:textId="77777777" w:rsidR="0061074F" w:rsidRPr="001A3544" w:rsidRDefault="0061074F" w:rsidP="0033646D">
      <w:pPr>
        <w:pStyle w:val="Paragraphedeliste"/>
        <w:numPr>
          <w:ilvl w:val="0"/>
          <w:numId w:val="24"/>
        </w:numPr>
        <w:ind w:left="360"/>
        <w:jc w:val="both"/>
      </w:pPr>
      <w:r w:rsidRPr="001A3544">
        <w:t>L’ouverture et fermeture d’accès à distance</w:t>
      </w:r>
      <w:r w:rsidR="00465C4D" w:rsidRPr="001A3544">
        <w:t> ;</w:t>
      </w:r>
    </w:p>
    <w:p w14:paraId="5FAB7F79" w14:textId="1F3A97FF" w:rsidR="0061074F" w:rsidRPr="001A3544" w:rsidRDefault="00465C4D" w:rsidP="0033646D">
      <w:pPr>
        <w:pStyle w:val="Paragraphedeliste"/>
        <w:numPr>
          <w:ilvl w:val="0"/>
          <w:numId w:val="24"/>
        </w:numPr>
        <w:ind w:left="360"/>
        <w:jc w:val="both"/>
      </w:pPr>
      <w:r w:rsidRPr="001A3544">
        <w:t xml:space="preserve">La communication avec </w:t>
      </w:r>
      <w:r w:rsidR="0061074F" w:rsidRPr="001A3544">
        <w:t>des systèmes tiers</w:t>
      </w:r>
      <w:r w:rsidR="00E655BA" w:rsidRPr="001A3544">
        <w:t xml:space="preserve">, vidéo surveillance par </w:t>
      </w:r>
      <w:r w:rsidR="008C506D" w:rsidRPr="001A3544">
        <w:t>exemple ;</w:t>
      </w:r>
    </w:p>
    <w:p w14:paraId="51462311" w14:textId="77777777" w:rsidR="0061074F" w:rsidRPr="001A3544" w:rsidRDefault="00704F27" w:rsidP="0033646D">
      <w:pPr>
        <w:pStyle w:val="Paragraphedeliste"/>
        <w:numPr>
          <w:ilvl w:val="0"/>
          <w:numId w:val="24"/>
        </w:numPr>
        <w:ind w:left="360"/>
        <w:jc w:val="both"/>
      </w:pPr>
      <w:r w:rsidRPr="001A3544">
        <w:t xml:space="preserve">Droits d’accès selon prérequis de type zones, bâtiment ou activité ; </w:t>
      </w:r>
    </w:p>
    <w:p w14:paraId="0ABC226A" w14:textId="03E0A55D" w:rsidR="0061074F" w:rsidRPr="001A3544" w:rsidRDefault="0061074F" w:rsidP="0033646D">
      <w:pPr>
        <w:pStyle w:val="Paragraphedeliste"/>
        <w:numPr>
          <w:ilvl w:val="0"/>
          <w:numId w:val="24"/>
        </w:numPr>
        <w:ind w:left="360"/>
        <w:jc w:val="both"/>
      </w:pPr>
      <w:r w:rsidRPr="001A3544">
        <w:t xml:space="preserve">La traçabilité des </w:t>
      </w:r>
      <w:r w:rsidR="0067085D" w:rsidRPr="001A3544">
        <w:t>évènements</w:t>
      </w:r>
      <w:r w:rsidRPr="001A3544">
        <w:t xml:space="preserve"> : </w:t>
      </w:r>
      <w:r w:rsidR="0067085D" w:rsidRPr="001A3544">
        <w:t>ouvertures,</w:t>
      </w:r>
      <w:r w:rsidRPr="001A3544">
        <w:t xml:space="preserve"> actions dans le </w:t>
      </w:r>
      <w:r w:rsidR="0067085D" w:rsidRPr="001A3544">
        <w:t xml:space="preserve">système ; </w:t>
      </w:r>
    </w:p>
    <w:p w14:paraId="5C3499CE" w14:textId="3A1E433D" w:rsidR="008A6F01" w:rsidRPr="001A3544" w:rsidRDefault="008A6F01" w:rsidP="0033646D">
      <w:pPr>
        <w:pStyle w:val="Paragraphedeliste"/>
        <w:numPr>
          <w:ilvl w:val="0"/>
          <w:numId w:val="24"/>
        </w:numPr>
        <w:ind w:left="360"/>
        <w:jc w:val="both"/>
      </w:pPr>
      <w:r w:rsidRPr="001A3544">
        <w:t>L’extraction de la liste des utilisateurs selon plusieurs critères : période, statut du bénéficiaire (autorisé, bloqué, en quarantaine, etc.), autres (non obligatoire), pour des revues de contrôle</w:t>
      </w:r>
    </w:p>
    <w:p w14:paraId="6E80EAD0" w14:textId="77777777" w:rsidR="00EB7C75" w:rsidRPr="001A3544" w:rsidRDefault="00EB7C75" w:rsidP="0033646D">
      <w:pPr>
        <w:pStyle w:val="Paragraphedeliste"/>
        <w:numPr>
          <w:ilvl w:val="0"/>
          <w:numId w:val="24"/>
        </w:numPr>
        <w:ind w:left="360"/>
        <w:jc w:val="both"/>
      </w:pPr>
      <w:r w:rsidRPr="001A3544">
        <w:t xml:space="preserve">L’ensemble du système doit être </w:t>
      </w:r>
      <w:proofErr w:type="spellStart"/>
      <w:r w:rsidRPr="001A3544">
        <w:t>supervisable</w:t>
      </w:r>
      <w:proofErr w:type="spellEnd"/>
      <w:r w:rsidR="00704F27" w:rsidRPr="001A3544">
        <w:t xml:space="preserve"> par un responsable central</w:t>
      </w:r>
      <w:r w:rsidR="0067085D" w:rsidRPr="001A3544">
        <w:t> ;</w:t>
      </w:r>
    </w:p>
    <w:p w14:paraId="62BD1124" w14:textId="77777777" w:rsidR="00704F27" w:rsidRPr="001A3544" w:rsidRDefault="00832C73" w:rsidP="0033646D">
      <w:pPr>
        <w:pStyle w:val="Paragraphedeliste"/>
        <w:numPr>
          <w:ilvl w:val="0"/>
          <w:numId w:val="24"/>
        </w:numPr>
        <w:ind w:left="360"/>
        <w:jc w:val="both"/>
      </w:pPr>
      <w:r w:rsidRPr="001A3544">
        <w:t>Télémaintenance</w:t>
      </w:r>
      <w:r w:rsidR="00704F27" w:rsidRPr="001A3544">
        <w:t xml:space="preserve"> et mise à jour via accès VPN sous contrôle APHP</w:t>
      </w:r>
      <w:r w:rsidR="0067085D" w:rsidRPr="001A3544">
        <w:t> ;</w:t>
      </w:r>
    </w:p>
    <w:p w14:paraId="0A477B5B" w14:textId="77777777" w:rsidR="0061074F" w:rsidRPr="001A3544" w:rsidRDefault="00704F27" w:rsidP="0033646D">
      <w:pPr>
        <w:pStyle w:val="Paragraphedeliste"/>
        <w:numPr>
          <w:ilvl w:val="0"/>
          <w:numId w:val="24"/>
        </w:numPr>
        <w:ind w:left="360"/>
        <w:jc w:val="both"/>
      </w:pPr>
      <w:r w:rsidRPr="001A3544">
        <w:t>Possibilité de verrouillage intégral des accès ou selon différentes stratégies : par établisseme</w:t>
      </w:r>
      <w:r w:rsidR="00832C73" w:rsidRPr="001A3544">
        <w:t>nt, par bâtiment ; par service ;</w:t>
      </w:r>
    </w:p>
    <w:p w14:paraId="73540D66" w14:textId="77777777" w:rsidR="00832C73" w:rsidRPr="001A3544" w:rsidRDefault="00832C73" w:rsidP="0033646D">
      <w:pPr>
        <w:pStyle w:val="Paragraphedeliste"/>
        <w:numPr>
          <w:ilvl w:val="0"/>
          <w:numId w:val="24"/>
        </w:numPr>
        <w:ind w:left="360"/>
        <w:jc w:val="both"/>
      </w:pPr>
      <w:r w:rsidRPr="001A3544">
        <w:t xml:space="preserve">L’affichage des alarmes et incidents doit être directement lisible sur le logiciel, sans interprétation, par exemple par un affichage sous forme de plan. Une extraction des données doit être possible sous format non propriétaire. </w:t>
      </w:r>
    </w:p>
    <w:p w14:paraId="378C51B4" w14:textId="77777777" w:rsidR="002B7BF8" w:rsidRPr="00406BB2" w:rsidRDefault="002B7BF8" w:rsidP="002B621D">
      <w:pPr>
        <w:spacing w:after="0" w:line="240" w:lineRule="auto"/>
        <w:ind w:left="360"/>
        <w:contextualSpacing/>
        <w:jc w:val="both"/>
        <w:rPr>
          <w:szCs w:val="20"/>
          <w:highlight w:val="green"/>
        </w:rPr>
      </w:pPr>
    </w:p>
    <w:p w14:paraId="05DABBFB" w14:textId="77777777" w:rsidR="00A47A7B" w:rsidRPr="00406BB2" w:rsidRDefault="00A47A7B" w:rsidP="00B6069D">
      <w:pPr>
        <w:spacing w:after="0" w:line="240" w:lineRule="auto"/>
        <w:contextualSpacing/>
        <w:jc w:val="both"/>
        <w:rPr>
          <w:rFonts w:cs="Arial"/>
        </w:rPr>
      </w:pPr>
    </w:p>
    <w:p w14:paraId="336A444E" w14:textId="25E5DB25" w:rsidR="008407B7" w:rsidRPr="00406BB2" w:rsidRDefault="00A47A7B" w:rsidP="005D737E">
      <w:pPr>
        <w:pStyle w:val="Titre3"/>
        <w:tabs>
          <w:tab w:val="left" w:pos="0"/>
        </w:tabs>
        <w:spacing w:before="0" w:after="0"/>
        <w:jc w:val="both"/>
      </w:pPr>
      <w:bookmarkStart w:id="18" w:name="_Toc175128590"/>
      <w:r w:rsidRPr="00406BB2">
        <w:t xml:space="preserve">IV-2 </w:t>
      </w:r>
      <w:r w:rsidR="008C506D" w:rsidRPr="00406BB2">
        <w:t>Continuité de service</w:t>
      </w:r>
      <w:bookmarkEnd w:id="18"/>
    </w:p>
    <w:p w14:paraId="76BF69FD" w14:textId="77777777" w:rsidR="002B7BF8" w:rsidRPr="00406BB2" w:rsidRDefault="002B7BF8" w:rsidP="00B6069D">
      <w:pPr>
        <w:jc w:val="both"/>
      </w:pPr>
    </w:p>
    <w:p w14:paraId="0ECB400D" w14:textId="1CA1657F" w:rsidR="00E655BA" w:rsidRPr="001A3544" w:rsidRDefault="00241373" w:rsidP="00B6069D">
      <w:pPr>
        <w:jc w:val="both"/>
      </w:pPr>
      <w:r w:rsidRPr="001A3544">
        <w:t xml:space="preserve">Durée d’approvisionnement : le candidat s’engage à fournir du matériel de remplacement identique pendant </w:t>
      </w:r>
      <w:r w:rsidR="009F3E88" w:rsidRPr="001A3544">
        <w:t>5</w:t>
      </w:r>
      <w:r w:rsidRPr="001A3544">
        <w:t xml:space="preserve"> ans</w:t>
      </w:r>
      <w:r w:rsidR="009F3E88" w:rsidRPr="001A3544">
        <w:t xml:space="preserve"> minimum. </w:t>
      </w:r>
      <w:r w:rsidR="006D0BDB" w:rsidRPr="001A3544">
        <w:t xml:space="preserve">Conformément à l’article L111-3 du code de la </w:t>
      </w:r>
      <w:r w:rsidR="00E655BA" w:rsidRPr="001A3544">
        <w:t>consommation.</w:t>
      </w:r>
    </w:p>
    <w:p w14:paraId="2664F2CA" w14:textId="77777777" w:rsidR="00241373" w:rsidRPr="001A3544" w:rsidRDefault="009F3E88" w:rsidP="00B6069D">
      <w:pPr>
        <w:jc w:val="both"/>
      </w:pPr>
      <w:r w:rsidRPr="001A3544">
        <w:t>La durabilité des équipements proposés</w:t>
      </w:r>
      <w:r w:rsidR="006D0BDB" w:rsidRPr="001A3544">
        <w:t xml:space="preserve"> et la date jusqu’à laquelle les pièces détachées indispensables à l’utilisation des produits seront disponibles sont </w:t>
      </w:r>
      <w:r w:rsidRPr="001A3544">
        <w:t xml:space="preserve">à renseigner dans le cadre de réponse technique joint en annexe </w:t>
      </w:r>
      <w:r w:rsidR="0034457F" w:rsidRPr="001A3544">
        <w:t>1</w:t>
      </w:r>
      <w:r w:rsidR="00241373" w:rsidRPr="001A3544">
        <w:t>;</w:t>
      </w:r>
      <w:r w:rsidR="006D0BDB" w:rsidRPr="001A3544">
        <w:t xml:space="preserve"> </w:t>
      </w:r>
    </w:p>
    <w:p w14:paraId="09C2EE7A" w14:textId="77777777" w:rsidR="00E655BA" w:rsidRPr="001A3544" w:rsidRDefault="00E655BA" w:rsidP="00B6069D">
      <w:pPr>
        <w:jc w:val="both"/>
      </w:pPr>
      <w:r w:rsidRPr="001A3544">
        <w:t xml:space="preserve">Le candidat s’engage à proposer une prestation de maintenance sur l’ensemble des équipements et logiciels déployés pendant une durée de 10 ans minimum. </w:t>
      </w:r>
    </w:p>
    <w:p w14:paraId="341B34A9" w14:textId="7E14D52F" w:rsidR="0012169A" w:rsidRPr="001A3544" w:rsidRDefault="0012169A" w:rsidP="00B6069D">
      <w:pPr>
        <w:jc w:val="both"/>
      </w:pPr>
      <w:r w:rsidRPr="001A3544">
        <w:t xml:space="preserve">Le titulaire trie, retraite et évacue l’ensemble des déchets produits au cours de ses interventions. Les coûts inhérents à ce traitement sont inclus dans les prix forfaitaires, quelle que soit la nature des déchets. </w:t>
      </w:r>
    </w:p>
    <w:p w14:paraId="12C01954" w14:textId="77777777" w:rsidR="0012169A" w:rsidRPr="00406BB2" w:rsidRDefault="0012169A" w:rsidP="00B6069D">
      <w:pPr>
        <w:jc w:val="both"/>
      </w:pPr>
      <w:r w:rsidRPr="001A3544">
        <w:t xml:space="preserve">Fin de vie des produits : Le titulaire se conforme aux directives DEEE (Déchet d’Equipement Electrique et Electronique) et </w:t>
      </w:r>
      <w:proofErr w:type="spellStart"/>
      <w:r w:rsidRPr="001A3544">
        <w:t>LdSD</w:t>
      </w:r>
      <w:proofErr w:type="spellEnd"/>
      <w:r w:rsidRPr="001A3544">
        <w:t xml:space="preserve"> (Limitation des Substances Dangereuses), mises en application par le décret 2005-829 du 20/07/2005, relatif à la composition des équipements électriques et électroniques et à l’élimination des déchets issus de ces équipements.</w:t>
      </w:r>
    </w:p>
    <w:p w14:paraId="6E986E80" w14:textId="1F8D27CA" w:rsidR="0012169A" w:rsidRDefault="0012169A" w:rsidP="00B6069D">
      <w:pPr>
        <w:jc w:val="both"/>
      </w:pPr>
    </w:p>
    <w:p w14:paraId="053C34B9" w14:textId="271DFAA8" w:rsidR="00AB6394" w:rsidRDefault="00AB6394" w:rsidP="00B6069D">
      <w:pPr>
        <w:jc w:val="both"/>
      </w:pPr>
    </w:p>
    <w:p w14:paraId="4425B488" w14:textId="6D476F63" w:rsidR="00AB6394" w:rsidRDefault="00AB6394" w:rsidP="00B6069D">
      <w:pPr>
        <w:jc w:val="both"/>
      </w:pPr>
    </w:p>
    <w:p w14:paraId="68891682" w14:textId="77777777" w:rsidR="00AB6394" w:rsidRPr="00406BB2" w:rsidRDefault="00AB6394" w:rsidP="00B6069D">
      <w:pPr>
        <w:jc w:val="both"/>
      </w:pPr>
    </w:p>
    <w:p w14:paraId="68D40D2C" w14:textId="00435581" w:rsidR="00085771" w:rsidRPr="00406BB2" w:rsidRDefault="00085771" w:rsidP="005D737E">
      <w:pPr>
        <w:pStyle w:val="Titre3"/>
        <w:tabs>
          <w:tab w:val="left" w:pos="0"/>
        </w:tabs>
        <w:spacing w:before="0" w:after="0"/>
        <w:jc w:val="both"/>
      </w:pPr>
      <w:bookmarkStart w:id="19" w:name="_Toc175128591"/>
      <w:r w:rsidRPr="00406BB2">
        <w:lastRenderedPageBreak/>
        <w:t>IV-</w:t>
      </w:r>
      <w:r w:rsidR="00A47A7B" w:rsidRPr="00406BB2">
        <w:t>3</w:t>
      </w:r>
      <w:r w:rsidR="00B94FA3" w:rsidRPr="00406BB2">
        <w:t xml:space="preserve"> </w:t>
      </w:r>
      <w:r w:rsidR="008C506D" w:rsidRPr="00406BB2">
        <w:t>Obligation de conseil</w:t>
      </w:r>
      <w:bookmarkEnd w:id="19"/>
    </w:p>
    <w:p w14:paraId="2C971378" w14:textId="77777777" w:rsidR="002B7BF8" w:rsidRPr="00406BB2" w:rsidRDefault="002B7BF8" w:rsidP="00B6069D">
      <w:pPr>
        <w:jc w:val="both"/>
      </w:pPr>
    </w:p>
    <w:p w14:paraId="2A0A47BF" w14:textId="1F376E81" w:rsidR="00060ECC" w:rsidRPr="00406BB2" w:rsidRDefault="00060ECC" w:rsidP="00B6069D">
      <w:pPr>
        <w:jc w:val="both"/>
      </w:pPr>
      <w:r w:rsidRPr="00406BB2">
        <w:t>Le titulaire mettra à disposition de l’établissement un chef de projet ayant les compétences et le degré de responsabilité nécessaires po</w:t>
      </w:r>
      <w:r w:rsidR="006711D5" w:rsidRPr="00406BB2">
        <w:t>ur valider les choix envisagés.</w:t>
      </w:r>
    </w:p>
    <w:p w14:paraId="5E75D3DA" w14:textId="77777777" w:rsidR="00DF476B" w:rsidRPr="00406BB2" w:rsidRDefault="00DF476B" w:rsidP="00DF476B">
      <w:pPr>
        <w:pStyle w:val="Titre3"/>
        <w:tabs>
          <w:tab w:val="left" w:pos="0"/>
        </w:tabs>
        <w:spacing w:before="0" w:after="0"/>
        <w:jc w:val="both"/>
      </w:pPr>
      <w:bookmarkStart w:id="20" w:name="_Toc175128592"/>
      <w:r w:rsidRPr="00406BB2">
        <w:t>IV-4 Intégration au système d’information de l’AP-HP</w:t>
      </w:r>
      <w:bookmarkEnd w:id="20"/>
    </w:p>
    <w:p w14:paraId="694D2EBB" w14:textId="77777777" w:rsidR="00DF476B" w:rsidRPr="00406BB2" w:rsidRDefault="00DF476B" w:rsidP="00DF476B">
      <w:pPr>
        <w:jc w:val="both"/>
        <w:rPr>
          <w:rStyle w:val="Rfrenceintense"/>
          <w:sz w:val="24"/>
        </w:rPr>
      </w:pPr>
      <w:bookmarkStart w:id="21" w:name="_Ref387505528"/>
      <w:bookmarkStart w:id="22" w:name="_Ref387505538"/>
      <w:bookmarkStart w:id="23" w:name="_Toc389759214"/>
    </w:p>
    <w:p w14:paraId="5106A249" w14:textId="77777777" w:rsidR="00DF476B" w:rsidRPr="00406BB2" w:rsidRDefault="00DF476B" w:rsidP="00DF476B">
      <w:pPr>
        <w:tabs>
          <w:tab w:val="left" w:pos="0"/>
        </w:tabs>
        <w:jc w:val="both"/>
        <w:rPr>
          <w:rStyle w:val="lev"/>
          <w:i/>
          <w:iCs/>
        </w:rPr>
      </w:pPr>
      <w:r w:rsidRPr="00406BB2">
        <w:rPr>
          <w:rStyle w:val="lev"/>
          <w:i/>
          <w:iCs/>
        </w:rPr>
        <w:t>IV-4-1 Contexte</w:t>
      </w:r>
    </w:p>
    <w:p w14:paraId="068CA902" w14:textId="77777777" w:rsidR="00DF476B" w:rsidRPr="00406BB2" w:rsidRDefault="00DF476B" w:rsidP="00DF476B">
      <w:pPr>
        <w:jc w:val="both"/>
        <w:rPr>
          <w:rStyle w:val="Rfrenceintense"/>
          <w:sz w:val="24"/>
        </w:rPr>
      </w:pPr>
      <w:r w:rsidRPr="00406BB2">
        <w:rPr>
          <w:rStyle w:val="Rfrenceintense"/>
          <w:sz w:val="24"/>
        </w:rPr>
        <w:t>Parc informatique</w:t>
      </w:r>
    </w:p>
    <w:p w14:paraId="5D3C6713" w14:textId="2D6FF01B" w:rsidR="00DF476B" w:rsidRPr="00AB6394" w:rsidRDefault="00DF476B" w:rsidP="00DF476B">
      <w:pPr>
        <w:rPr>
          <w:rStyle w:val="Style115pt"/>
          <w:rFonts w:cs="Arial"/>
        </w:rPr>
      </w:pPr>
      <w:r w:rsidRPr="00AB6394">
        <w:rPr>
          <w:rStyle w:val="Style115pt"/>
          <w:rFonts w:cs="Arial"/>
          <w:b/>
        </w:rPr>
        <w:t xml:space="preserve">A la date de </w:t>
      </w:r>
      <w:r w:rsidR="00AB6394" w:rsidRPr="00AB6394">
        <w:rPr>
          <w:rStyle w:val="Style115pt"/>
          <w:rFonts w:cs="Arial"/>
          <w:b/>
        </w:rPr>
        <w:t>publication du marché</w:t>
      </w:r>
      <w:r w:rsidRPr="00AB6394">
        <w:rPr>
          <w:rStyle w:val="Style115pt"/>
          <w:rFonts w:cs="Arial"/>
        </w:rPr>
        <w:t>:</w:t>
      </w:r>
    </w:p>
    <w:p w14:paraId="56DCF87B" w14:textId="77777777" w:rsidR="00DF476B" w:rsidRPr="00AB6394" w:rsidRDefault="00DF476B" w:rsidP="00DF476B">
      <w:pPr>
        <w:jc w:val="both"/>
        <w:rPr>
          <w:rFonts w:cs="Arial"/>
        </w:rPr>
      </w:pPr>
      <w:r w:rsidRPr="00AB6394">
        <w:rPr>
          <w:rFonts w:cs="Arial"/>
        </w:rPr>
        <w:t>La suite bureautique OFFICE de Microsoft en version 2010 / 2016 est largement déployée.</w:t>
      </w:r>
    </w:p>
    <w:p w14:paraId="7A00F81F" w14:textId="77777777" w:rsidR="00DF476B" w:rsidRPr="00AB6394" w:rsidRDefault="00DF476B" w:rsidP="00DF476B">
      <w:pPr>
        <w:jc w:val="both"/>
        <w:rPr>
          <w:rStyle w:val="Rfrenceintense"/>
          <w:sz w:val="24"/>
        </w:rPr>
      </w:pPr>
      <w:r w:rsidRPr="00AB6394">
        <w:rPr>
          <w:rStyle w:val="Rfrenceintense"/>
          <w:sz w:val="24"/>
        </w:rPr>
        <w:t>Serveurs</w:t>
      </w:r>
    </w:p>
    <w:p w14:paraId="123BC410" w14:textId="77777777" w:rsidR="00DF476B" w:rsidRPr="00AB6394" w:rsidRDefault="00DF476B" w:rsidP="00DF476B">
      <w:pPr>
        <w:jc w:val="both"/>
        <w:rPr>
          <w:rFonts w:cs="Arial"/>
        </w:rPr>
      </w:pPr>
      <w:r w:rsidRPr="00AB6394">
        <w:rPr>
          <w:rFonts w:cs="Arial"/>
        </w:rPr>
        <w:t>Les systèmes d’exploitation de référence des serveurs sont :</w:t>
      </w:r>
    </w:p>
    <w:p w14:paraId="19DD4499" w14:textId="77777777" w:rsidR="00DF476B" w:rsidRPr="00AB6394" w:rsidRDefault="00DF476B" w:rsidP="00DF476B">
      <w:pPr>
        <w:numPr>
          <w:ilvl w:val="0"/>
          <w:numId w:val="42"/>
        </w:numPr>
        <w:spacing w:after="0" w:line="276" w:lineRule="auto"/>
        <w:jc w:val="both"/>
        <w:rPr>
          <w:rFonts w:cs="Arial"/>
        </w:rPr>
      </w:pPr>
      <w:r w:rsidRPr="00AB6394">
        <w:rPr>
          <w:rFonts w:cs="Arial"/>
        </w:rPr>
        <w:t>WINDOWS 2012 R2 ou supérieur ;</w:t>
      </w:r>
    </w:p>
    <w:p w14:paraId="589D708E" w14:textId="77777777" w:rsidR="00DF476B" w:rsidRPr="00AB6394" w:rsidRDefault="00DF476B" w:rsidP="00DF476B">
      <w:pPr>
        <w:numPr>
          <w:ilvl w:val="0"/>
          <w:numId w:val="42"/>
        </w:numPr>
        <w:spacing w:after="0" w:line="276" w:lineRule="auto"/>
        <w:jc w:val="both"/>
        <w:rPr>
          <w:rFonts w:cs="Arial"/>
        </w:rPr>
      </w:pPr>
      <w:r w:rsidRPr="00AB6394">
        <w:rPr>
          <w:rFonts w:cs="Arial"/>
        </w:rPr>
        <w:t>LINUX REDHAT en version 64 bits ;</w:t>
      </w:r>
    </w:p>
    <w:p w14:paraId="2AF3E2A9" w14:textId="77777777" w:rsidR="00DF476B" w:rsidRPr="00AB6394" w:rsidRDefault="00DF476B" w:rsidP="00DF476B">
      <w:pPr>
        <w:numPr>
          <w:ilvl w:val="0"/>
          <w:numId w:val="42"/>
        </w:numPr>
        <w:spacing w:line="276" w:lineRule="auto"/>
        <w:ind w:left="357" w:hanging="357"/>
        <w:jc w:val="both"/>
        <w:rPr>
          <w:rFonts w:cs="Arial"/>
        </w:rPr>
      </w:pPr>
      <w:r w:rsidRPr="00AB6394">
        <w:rPr>
          <w:rFonts w:cs="Arial"/>
        </w:rPr>
        <w:t>HP-UX sous ITANIUM.</w:t>
      </w:r>
    </w:p>
    <w:p w14:paraId="694B3686" w14:textId="77777777" w:rsidR="00DF476B" w:rsidRPr="00AB6394" w:rsidRDefault="00DF476B" w:rsidP="00DF476B">
      <w:pPr>
        <w:jc w:val="both"/>
        <w:rPr>
          <w:rFonts w:cs="Arial"/>
        </w:rPr>
      </w:pPr>
      <w:r w:rsidRPr="00AB6394">
        <w:rPr>
          <w:rFonts w:cs="Arial"/>
        </w:rPr>
        <w:t>Les solutions de virtualisation de l’éditeur VMWARE sont utilisées sauf incompatibilité avérée.</w:t>
      </w:r>
    </w:p>
    <w:p w14:paraId="05779750" w14:textId="77777777" w:rsidR="00DF476B" w:rsidRPr="00AB6394" w:rsidRDefault="00DF476B" w:rsidP="00DF476B">
      <w:pPr>
        <w:jc w:val="both"/>
        <w:rPr>
          <w:rFonts w:cs="Arial"/>
        </w:rPr>
      </w:pPr>
      <w:r w:rsidRPr="00AB6394">
        <w:rPr>
          <w:rFonts w:cs="Arial"/>
        </w:rPr>
        <w:t>Les systèmes de base de données de références sont :</w:t>
      </w:r>
    </w:p>
    <w:p w14:paraId="57F4895D" w14:textId="77777777" w:rsidR="00DF476B" w:rsidRPr="00AB6394" w:rsidRDefault="00DF476B" w:rsidP="00DF476B">
      <w:pPr>
        <w:numPr>
          <w:ilvl w:val="0"/>
          <w:numId w:val="43"/>
        </w:numPr>
        <w:spacing w:after="0" w:line="276" w:lineRule="auto"/>
        <w:jc w:val="both"/>
        <w:rPr>
          <w:rFonts w:cs="Arial"/>
        </w:rPr>
      </w:pPr>
      <w:r w:rsidRPr="00AB6394">
        <w:rPr>
          <w:rFonts w:cs="Arial"/>
        </w:rPr>
        <w:t>ORACLE ;</w:t>
      </w:r>
    </w:p>
    <w:p w14:paraId="5B46A28E" w14:textId="77777777" w:rsidR="00DF476B" w:rsidRPr="00AB6394" w:rsidRDefault="00DF476B" w:rsidP="00DF476B">
      <w:pPr>
        <w:numPr>
          <w:ilvl w:val="0"/>
          <w:numId w:val="43"/>
        </w:numPr>
        <w:spacing w:after="0" w:line="276" w:lineRule="auto"/>
        <w:jc w:val="both"/>
        <w:rPr>
          <w:rFonts w:cs="Arial"/>
        </w:rPr>
      </w:pPr>
      <w:r w:rsidRPr="00AB6394">
        <w:rPr>
          <w:rFonts w:cs="Arial"/>
        </w:rPr>
        <w:t>SQL SERVER de Microsoft ;</w:t>
      </w:r>
    </w:p>
    <w:p w14:paraId="3FD6FF66" w14:textId="77777777" w:rsidR="00DF476B" w:rsidRPr="00AB6394" w:rsidRDefault="00DF476B" w:rsidP="00DF476B">
      <w:pPr>
        <w:numPr>
          <w:ilvl w:val="0"/>
          <w:numId w:val="43"/>
        </w:numPr>
        <w:spacing w:line="276" w:lineRule="auto"/>
        <w:ind w:left="357" w:hanging="357"/>
        <w:jc w:val="both"/>
        <w:rPr>
          <w:rFonts w:cs="Arial"/>
        </w:rPr>
      </w:pPr>
      <w:r w:rsidRPr="00AB6394">
        <w:rPr>
          <w:rFonts w:cs="Arial"/>
        </w:rPr>
        <w:t>POSTGRESQL.</w:t>
      </w:r>
    </w:p>
    <w:p w14:paraId="3610AF6B" w14:textId="77777777" w:rsidR="00DF476B" w:rsidRPr="00AB6394" w:rsidRDefault="00DF476B" w:rsidP="00DF476B">
      <w:pPr>
        <w:jc w:val="both"/>
        <w:rPr>
          <w:rFonts w:cs="Arial"/>
        </w:rPr>
      </w:pPr>
      <w:r w:rsidRPr="00AB6394">
        <w:rPr>
          <w:rFonts w:cs="Arial"/>
        </w:rPr>
        <w:t xml:space="preserve">Le logiciel </w:t>
      </w:r>
      <w:proofErr w:type="spellStart"/>
      <w:r w:rsidRPr="00AB6394">
        <w:rPr>
          <w:rFonts w:cs="Arial"/>
        </w:rPr>
        <w:t>XenAPP</w:t>
      </w:r>
      <w:proofErr w:type="spellEnd"/>
      <w:r w:rsidRPr="00AB6394">
        <w:rPr>
          <w:rFonts w:cs="Arial"/>
        </w:rPr>
        <w:t xml:space="preserve"> de l’éditeur CITRIX est utilisé notamment pour publier les applications clients/serveurs ne présentant pas de contraintes de performances particulières (flux vidéo notamment).</w:t>
      </w:r>
    </w:p>
    <w:p w14:paraId="39265AA9" w14:textId="77777777" w:rsidR="00DF476B" w:rsidRPr="00406BB2" w:rsidRDefault="00DF476B" w:rsidP="00DF476B">
      <w:pPr>
        <w:jc w:val="both"/>
        <w:rPr>
          <w:rStyle w:val="Rfrenceintense"/>
          <w:sz w:val="24"/>
        </w:rPr>
      </w:pPr>
      <w:r w:rsidRPr="00406BB2">
        <w:rPr>
          <w:rStyle w:val="Rfrenceintense"/>
          <w:sz w:val="24"/>
        </w:rPr>
        <w:t>Centres informatiques</w:t>
      </w:r>
    </w:p>
    <w:p w14:paraId="0F70E77B" w14:textId="5ACF6802" w:rsidR="00DF476B" w:rsidRPr="00406BB2" w:rsidRDefault="00DF476B" w:rsidP="00DF476B">
      <w:pPr>
        <w:jc w:val="both"/>
        <w:rPr>
          <w:rFonts w:cs="Arial"/>
        </w:rPr>
      </w:pPr>
      <w:r w:rsidRPr="00406BB2">
        <w:rPr>
          <w:rFonts w:cs="Arial"/>
        </w:rPr>
        <w:t>Chaque hôpital</w:t>
      </w:r>
      <w:r w:rsidR="00AB6394">
        <w:rPr>
          <w:rFonts w:cs="Arial"/>
        </w:rPr>
        <w:t xml:space="preserve">, tout comme le PIC </w:t>
      </w:r>
      <w:r w:rsidR="003B2DF6">
        <w:rPr>
          <w:rFonts w:cs="Arial"/>
        </w:rPr>
        <w:t xml:space="preserve">ACHAT, </w:t>
      </w:r>
      <w:r w:rsidR="003B2DF6" w:rsidRPr="00406BB2">
        <w:rPr>
          <w:rFonts w:cs="Arial"/>
        </w:rPr>
        <w:t>dispose</w:t>
      </w:r>
      <w:r w:rsidRPr="00406BB2">
        <w:rPr>
          <w:rFonts w:cs="Arial"/>
        </w:rPr>
        <w:t xml:space="preserve"> d’une ou deux salles informatiques. Ces salles sont destinées à héberger de manière sécurisée (contrôle d’accès, détection d’intrusion, climatisation, courant électrique de haute qualité) les applications locales, les services bureautiques, les services d’infrastructure (DNS, DHCP, contrôleur de domaine active directory, sauvegarde, baie disque) ainsi que le cœur de réseau de l’établissement et son accès au réseau d’interconnexion.</w:t>
      </w:r>
    </w:p>
    <w:p w14:paraId="796D043D" w14:textId="678EFFF7" w:rsidR="00DF476B" w:rsidRPr="00406BB2" w:rsidRDefault="00DF476B" w:rsidP="00DF476B">
      <w:pPr>
        <w:jc w:val="both"/>
        <w:rPr>
          <w:rFonts w:cs="Arial"/>
        </w:rPr>
      </w:pPr>
      <w:r w:rsidRPr="00406BB2">
        <w:rPr>
          <w:rFonts w:cs="Arial"/>
        </w:rPr>
        <w:t>Le Département Infrastruct</w:t>
      </w:r>
      <w:r w:rsidR="00AB6394">
        <w:rPr>
          <w:rFonts w:cs="Arial"/>
        </w:rPr>
        <w:t>ures et Services (DIS) de la DSN</w:t>
      </w:r>
      <w:r w:rsidRPr="00406BB2">
        <w:rPr>
          <w:rFonts w:cs="Arial"/>
        </w:rPr>
        <w:t xml:space="preserve"> opère les 2 centres Informatiques principaux (Datacenter).</w:t>
      </w:r>
    </w:p>
    <w:p w14:paraId="66489EF4" w14:textId="77777777" w:rsidR="00DF476B" w:rsidRPr="00406BB2" w:rsidRDefault="00DF476B" w:rsidP="00DF476B">
      <w:pPr>
        <w:jc w:val="both"/>
        <w:rPr>
          <w:rFonts w:cs="Arial"/>
          <w:color w:val="000000"/>
        </w:rPr>
      </w:pPr>
      <w:r w:rsidRPr="00406BB2">
        <w:rPr>
          <w:rFonts w:cs="Arial"/>
          <w:color w:val="000000"/>
        </w:rPr>
        <w:t xml:space="preserve">Le réseau entre les sites de l’AP-HP comporte 2 anneaux fédérateurs à 20 Gb/s chacun agissant en équilibrage de charge et en secours l'un de l'autre. Ces anneaux sont raccordés à 8 boucles </w:t>
      </w:r>
      <w:r w:rsidRPr="00406BB2">
        <w:rPr>
          <w:rFonts w:cs="Arial"/>
          <w:color w:val="000000"/>
        </w:rPr>
        <w:lastRenderedPageBreak/>
        <w:t>périphériques à 10 Gb/s et à 2 boucles périphériques à 1Gb/s offrant un haut niveau de disponibilité.</w:t>
      </w:r>
    </w:p>
    <w:p w14:paraId="0B06EE28" w14:textId="77777777" w:rsidR="00DF476B" w:rsidRPr="00406BB2" w:rsidRDefault="00DF476B" w:rsidP="00DF476B">
      <w:pPr>
        <w:jc w:val="both"/>
        <w:rPr>
          <w:rFonts w:cs="Arial"/>
          <w:color w:val="000000"/>
        </w:rPr>
      </w:pPr>
      <w:r w:rsidRPr="00406BB2">
        <w:rPr>
          <w:rFonts w:cs="Arial"/>
          <w:color w:val="000000"/>
        </w:rPr>
        <w:t>Entre les zones de sécurité du réseau (Internet, à la frontière des centres informatiques, à la frontière des DMZ), un filtrage du trafic est réalisé avec des pare-feu.</w:t>
      </w:r>
    </w:p>
    <w:p w14:paraId="23EB1D25" w14:textId="77777777" w:rsidR="00DF476B" w:rsidRPr="00406BB2" w:rsidRDefault="00DF476B" w:rsidP="00DF476B">
      <w:pPr>
        <w:jc w:val="both"/>
        <w:rPr>
          <w:rStyle w:val="Rfrenceintense"/>
          <w:sz w:val="24"/>
        </w:rPr>
      </w:pPr>
      <w:r w:rsidRPr="00406BB2">
        <w:rPr>
          <w:rStyle w:val="Rfrenceintense"/>
          <w:sz w:val="24"/>
        </w:rPr>
        <w:t>Internet</w:t>
      </w:r>
    </w:p>
    <w:p w14:paraId="0DC9D927" w14:textId="77777777" w:rsidR="00DF476B" w:rsidRPr="00406BB2" w:rsidRDefault="00DF476B" w:rsidP="00DF476B">
      <w:pPr>
        <w:jc w:val="both"/>
        <w:rPr>
          <w:rFonts w:cs="Arial"/>
          <w:color w:val="000000"/>
        </w:rPr>
      </w:pPr>
      <w:r w:rsidRPr="00406BB2">
        <w:rPr>
          <w:rFonts w:cs="Arial"/>
          <w:color w:val="000000"/>
        </w:rPr>
        <w:t>Il est possible d’accéder au réseau Intranet de l’AP-HP depuis Internet au travers de la Solution VPN SSL CONNEXTRA de JUNIPER.</w:t>
      </w:r>
    </w:p>
    <w:p w14:paraId="139C764D" w14:textId="77777777" w:rsidR="00DF476B" w:rsidRPr="00406BB2" w:rsidRDefault="00DF476B" w:rsidP="00DF476B">
      <w:pPr>
        <w:jc w:val="both"/>
        <w:rPr>
          <w:rFonts w:cs="Arial"/>
          <w:color w:val="000000"/>
        </w:rPr>
      </w:pPr>
      <w:r w:rsidRPr="00406BB2">
        <w:rPr>
          <w:rFonts w:cs="Arial"/>
          <w:color w:val="000000"/>
        </w:rPr>
        <w:t>Le réseau de l’AP-HP est doublement raccordé à l’Internet par 2 opérateurs de télécommunication avec un débit de 500 Mb/s à la date de publication du marché.</w:t>
      </w:r>
    </w:p>
    <w:p w14:paraId="7473263C" w14:textId="77777777" w:rsidR="00DF476B" w:rsidRPr="00406BB2" w:rsidRDefault="00DF476B" w:rsidP="00DF476B">
      <w:pPr>
        <w:jc w:val="both"/>
        <w:rPr>
          <w:rStyle w:val="Rfrenceintense"/>
          <w:sz w:val="24"/>
        </w:rPr>
      </w:pPr>
      <w:bookmarkStart w:id="24" w:name="_Toc387401330"/>
      <w:r w:rsidRPr="00406BB2">
        <w:rPr>
          <w:rStyle w:val="Rfrenceintense"/>
          <w:sz w:val="24"/>
        </w:rPr>
        <w:t>Sites web Internet/Intranet</w:t>
      </w:r>
      <w:bookmarkEnd w:id="24"/>
    </w:p>
    <w:p w14:paraId="008EC9D5" w14:textId="77777777" w:rsidR="00DF476B" w:rsidRPr="00406BB2" w:rsidRDefault="00DF476B" w:rsidP="00DF476B">
      <w:pPr>
        <w:jc w:val="both"/>
        <w:rPr>
          <w:rFonts w:cs="Arial"/>
        </w:rPr>
      </w:pPr>
      <w:r w:rsidRPr="00406BB2">
        <w:rPr>
          <w:rFonts w:cs="Arial"/>
        </w:rPr>
        <w:t>Le choix technologique de WORDPRESS a été fait pour les sites WEB institutionnels accessibles depuis Internet.</w:t>
      </w:r>
    </w:p>
    <w:p w14:paraId="00E19194" w14:textId="77777777" w:rsidR="00DF476B" w:rsidRPr="00406BB2" w:rsidRDefault="00DF476B" w:rsidP="00DF476B">
      <w:pPr>
        <w:jc w:val="both"/>
        <w:rPr>
          <w:rFonts w:cs="Arial"/>
        </w:rPr>
      </w:pPr>
      <w:r w:rsidRPr="00406BB2">
        <w:rPr>
          <w:rFonts w:cs="Arial"/>
        </w:rPr>
        <w:t>Le choix technologique de SPIP a été fait pour les sites WEB de publication accessibles depuis l’Intranet. Un portail utilisant la technologie 9iAS d’ORACLE fédère les différents sites SPIP.</w:t>
      </w:r>
    </w:p>
    <w:p w14:paraId="689A79C9" w14:textId="77777777" w:rsidR="00DF476B" w:rsidRPr="00406BB2" w:rsidRDefault="00DF476B" w:rsidP="00DF476B">
      <w:pPr>
        <w:jc w:val="both"/>
        <w:rPr>
          <w:rFonts w:cs="Arial"/>
        </w:rPr>
      </w:pPr>
      <w:r w:rsidRPr="00406BB2">
        <w:rPr>
          <w:rFonts w:cs="Arial"/>
        </w:rPr>
        <w:t xml:space="preserve">Cet accès se fait depuis un serveur PROXY dont le script de configuration est accessible depuis l’URL </w:t>
      </w:r>
      <w:hyperlink r:id="rId14" w:history="1">
        <w:r w:rsidRPr="00406BB2">
          <w:rPr>
            <w:rStyle w:val="Lienhypertexte"/>
            <w:rFonts w:cs="Arial"/>
          </w:rPr>
          <w:t>http://proxy.aphp.fr/inter.pac</w:t>
        </w:r>
      </w:hyperlink>
      <w:r w:rsidRPr="00406BB2">
        <w:rPr>
          <w:rFonts w:cs="Arial"/>
        </w:rPr>
        <w:t>.</w:t>
      </w:r>
    </w:p>
    <w:p w14:paraId="093F0101" w14:textId="77777777" w:rsidR="00DF476B" w:rsidRPr="00406BB2" w:rsidRDefault="00DF476B" w:rsidP="00DF476B">
      <w:pPr>
        <w:jc w:val="both"/>
        <w:rPr>
          <w:rStyle w:val="Rfrenceintense"/>
          <w:sz w:val="24"/>
        </w:rPr>
      </w:pPr>
      <w:r w:rsidRPr="00406BB2">
        <w:rPr>
          <w:rStyle w:val="Rfrenceintense"/>
          <w:sz w:val="24"/>
        </w:rPr>
        <w:t>Messagerie</w:t>
      </w:r>
    </w:p>
    <w:p w14:paraId="51163A96" w14:textId="77777777" w:rsidR="00DF476B" w:rsidRPr="00406BB2" w:rsidRDefault="00DF476B" w:rsidP="00DF476B">
      <w:pPr>
        <w:jc w:val="both"/>
        <w:rPr>
          <w:rFonts w:cs="Arial"/>
        </w:rPr>
      </w:pPr>
      <w:r w:rsidRPr="00406BB2">
        <w:rPr>
          <w:rFonts w:cs="Arial"/>
        </w:rPr>
        <w:t>La messagerie EXCHANGE version 2010 est utilisée à l’AP-HP avec un total de 42 000 boîtes aux lettres électroniques.</w:t>
      </w:r>
    </w:p>
    <w:p w14:paraId="5CD2614F" w14:textId="77777777" w:rsidR="00DF476B" w:rsidRPr="00406BB2" w:rsidRDefault="00DF476B" w:rsidP="00DF476B">
      <w:pPr>
        <w:jc w:val="both"/>
        <w:rPr>
          <w:rFonts w:cs="Arial"/>
        </w:rPr>
      </w:pPr>
      <w:r w:rsidRPr="00406BB2">
        <w:rPr>
          <w:rFonts w:cs="Arial"/>
        </w:rPr>
        <w:t>Le service de messagerie est utilisable depuis l’Intranet ou l’Internet en WEBMAIL ou depuis un client lourd avec le protocole MAPI ou depuis les SMARTPHONES avec le client ACTIVESYNC de Microsoft.</w:t>
      </w:r>
    </w:p>
    <w:p w14:paraId="0DEC0538" w14:textId="77777777" w:rsidR="00DF476B" w:rsidRPr="00406BB2" w:rsidRDefault="00DF476B" w:rsidP="00DF476B">
      <w:pPr>
        <w:jc w:val="both"/>
        <w:rPr>
          <w:rFonts w:cs="Arial"/>
        </w:rPr>
      </w:pPr>
    </w:p>
    <w:p w14:paraId="3290EFF0" w14:textId="77777777" w:rsidR="00DF476B" w:rsidRPr="00406BB2" w:rsidRDefault="00DF476B" w:rsidP="00DF476B">
      <w:pPr>
        <w:jc w:val="both"/>
        <w:rPr>
          <w:rStyle w:val="Rfrenceintense"/>
          <w:sz w:val="24"/>
        </w:rPr>
      </w:pPr>
      <w:r w:rsidRPr="00406BB2">
        <w:rPr>
          <w:rStyle w:val="Rfrenceintense"/>
          <w:sz w:val="24"/>
        </w:rPr>
        <w:t>Exploitation</w:t>
      </w:r>
    </w:p>
    <w:p w14:paraId="7D51A5AC" w14:textId="77777777" w:rsidR="00DF476B" w:rsidRPr="00406BB2" w:rsidRDefault="00DF476B" w:rsidP="00DF476B">
      <w:pPr>
        <w:jc w:val="both"/>
        <w:rPr>
          <w:rFonts w:cs="Arial"/>
        </w:rPr>
      </w:pPr>
      <w:r w:rsidRPr="00406BB2">
        <w:rPr>
          <w:rFonts w:cs="Arial"/>
        </w:rPr>
        <w:t>Les logiciels suivants sont utilisés pour assurer l’exploitation du SI de l’AP-HP :</w:t>
      </w:r>
    </w:p>
    <w:p w14:paraId="404DAF5F" w14:textId="77777777" w:rsidR="00DF476B" w:rsidRPr="00406BB2" w:rsidRDefault="00DF476B" w:rsidP="00DF476B">
      <w:pPr>
        <w:numPr>
          <w:ilvl w:val="0"/>
          <w:numId w:val="41"/>
        </w:numPr>
        <w:spacing w:after="0" w:line="276" w:lineRule="auto"/>
        <w:jc w:val="both"/>
        <w:rPr>
          <w:rFonts w:cs="Arial"/>
        </w:rPr>
      </w:pPr>
      <w:r w:rsidRPr="00406BB2">
        <w:rPr>
          <w:rFonts w:cs="Arial"/>
        </w:rPr>
        <w:t>NAGIOS pour la supervision ;</w:t>
      </w:r>
    </w:p>
    <w:p w14:paraId="7F4D9AF6" w14:textId="77777777" w:rsidR="00DF476B" w:rsidRPr="00406BB2" w:rsidRDefault="00DF476B" w:rsidP="00DF476B">
      <w:pPr>
        <w:numPr>
          <w:ilvl w:val="0"/>
          <w:numId w:val="41"/>
        </w:numPr>
        <w:spacing w:after="0" w:line="276" w:lineRule="auto"/>
        <w:jc w:val="both"/>
        <w:rPr>
          <w:rFonts w:cs="Arial"/>
        </w:rPr>
      </w:pPr>
      <w:r w:rsidRPr="00406BB2">
        <w:rPr>
          <w:rFonts w:cs="Arial"/>
        </w:rPr>
        <w:t xml:space="preserve">SM9 de MICROFOCUS pour la gestion des incidents (en fin de vie, voir </w:t>
      </w:r>
      <w:proofErr w:type="spellStart"/>
      <w:r w:rsidRPr="00406BB2">
        <w:rPr>
          <w:rFonts w:cs="Arial"/>
        </w:rPr>
        <w:t>SMAx</w:t>
      </w:r>
      <w:proofErr w:type="spellEnd"/>
      <w:r w:rsidRPr="00406BB2">
        <w:rPr>
          <w:rFonts w:cs="Arial"/>
        </w:rPr>
        <w:t>);</w:t>
      </w:r>
    </w:p>
    <w:p w14:paraId="5F3ECC32" w14:textId="77777777" w:rsidR="00DF476B" w:rsidRPr="00406BB2" w:rsidRDefault="00DF476B" w:rsidP="00DF476B">
      <w:pPr>
        <w:numPr>
          <w:ilvl w:val="0"/>
          <w:numId w:val="41"/>
        </w:numPr>
        <w:spacing w:after="0" w:line="276" w:lineRule="auto"/>
        <w:jc w:val="both"/>
        <w:rPr>
          <w:rFonts w:cs="Arial"/>
        </w:rPr>
      </w:pPr>
      <w:proofErr w:type="spellStart"/>
      <w:r w:rsidRPr="00406BB2">
        <w:rPr>
          <w:rFonts w:cs="Arial"/>
        </w:rPr>
        <w:t>SMAx</w:t>
      </w:r>
      <w:proofErr w:type="spellEnd"/>
      <w:r w:rsidRPr="00406BB2">
        <w:rPr>
          <w:rFonts w:cs="Arial"/>
        </w:rPr>
        <w:t xml:space="preserve"> de MICROFOCUS pour la gestion des demandes et des incidents</w:t>
      </w:r>
    </w:p>
    <w:p w14:paraId="072C8BAF" w14:textId="77777777" w:rsidR="00DF476B" w:rsidRPr="00406BB2" w:rsidRDefault="00DF476B" w:rsidP="00DF476B">
      <w:pPr>
        <w:numPr>
          <w:ilvl w:val="0"/>
          <w:numId w:val="41"/>
        </w:numPr>
        <w:spacing w:after="0" w:line="276" w:lineRule="auto"/>
        <w:jc w:val="both"/>
        <w:rPr>
          <w:rFonts w:cs="Arial"/>
        </w:rPr>
      </w:pPr>
      <w:r w:rsidRPr="00406BB2">
        <w:rPr>
          <w:rFonts w:cs="Arial"/>
        </w:rPr>
        <w:t>SCCM de Microsoft pour l’assistance à distance des postes de travail ;</w:t>
      </w:r>
    </w:p>
    <w:p w14:paraId="52F7732B" w14:textId="77777777" w:rsidR="00DF476B" w:rsidRPr="00406BB2" w:rsidRDefault="00DF476B" w:rsidP="00DF476B">
      <w:pPr>
        <w:numPr>
          <w:ilvl w:val="0"/>
          <w:numId w:val="41"/>
        </w:numPr>
        <w:spacing w:after="0" w:line="276" w:lineRule="auto"/>
        <w:jc w:val="both"/>
        <w:rPr>
          <w:rFonts w:cs="Arial"/>
        </w:rPr>
      </w:pPr>
      <w:r w:rsidRPr="00406BB2">
        <w:rPr>
          <w:rFonts w:cs="Arial"/>
        </w:rPr>
        <w:t>SCCM de Microsoft pour l’inventaire et la télédistribution des logiciels sur les postes de travail ;</w:t>
      </w:r>
    </w:p>
    <w:p w14:paraId="7A0A141B" w14:textId="77777777" w:rsidR="00DF476B" w:rsidRPr="00406BB2" w:rsidRDefault="00DF476B" w:rsidP="00DF476B">
      <w:pPr>
        <w:numPr>
          <w:ilvl w:val="0"/>
          <w:numId w:val="41"/>
        </w:numPr>
        <w:spacing w:line="276" w:lineRule="auto"/>
        <w:ind w:left="357" w:hanging="357"/>
        <w:jc w:val="both"/>
        <w:rPr>
          <w:rFonts w:cs="Arial"/>
        </w:rPr>
      </w:pPr>
      <w:r w:rsidRPr="00406BB2">
        <w:rPr>
          <w:rFonts w:cs="Arial"/>
        </w:rPr>
        <w:t>ADMINBASTION de WALLIX pour la télémaintenance.</w:t>
      </w:r>
    </w:p>
    <w:p w14:paraId="6FB247B1" w14:textId="42D655AC" w:rsidR="00DF476B" w:rsidRDefault="00DF476B" w:rsidP="00DF476B">
      <w:pPr>
        <w:spacing w:line="276" w:lineRule="auto"/>
        <w:ind w:left="357"/>
        <w:jc w:val="both"/>
        <w:rPr>
          <w:rFonts w:cs="Arial"/>
          <w:highlight w:val="green"/>
        </w:rPr>
      </w:pPr>
    </w:p>
    <w:p w14:paraId="33A18479" w14:textId="77777777" w:rsidR="00AB6394" w:rsidRPr="00406BB2" w:rsidRDefault="00AB6394" w:rsidP="00DF476B">
      <w:pPr>
        <w:spacing w:line="276" w:lineRule="auto"/>
        <w:ind w:left="357"/>
        <w:jc w:val="both"/>
        <w:rPr>
          <w:rFonts w:cs="Arial"/>
          <w:highlight w:val="green"/>
        </w:rPr>
      </w:pPr>
    </w:p>
    <w:p w14:paraId="2575431E" w14:textId="77777777" w:rsidR="00DF476B" w:rsidRPr="001E0513" w:rsidRDefault="00DF476B" w:rsidP="00DF476B">
      <w:pPr>
        <w:jc w:val="both"/>
        <w:rPr>
          <w:rStyle w:val="Rfrenceintense"/>
          <w:sz w:val="24"/>
        </w:rPr>
      </w:pPr>
      <w:r w:rsidRPr="001E0513">
        <w:rPr>
          <w:rStyle w:val="Rfrenceintense"/>
          <w:sz w:val="24"/>
        </w:rPr>
        <w:lastRenderedPageBreak/>
        <w:t>Support et gestion des incidents</w:t>
      </w:r>
    </w:p>
    <w:p w14:paraId="1E9CAC71" w14:textId="77777777" w:rsidR="00DF476B" w:rsidRPr="001E0513" w:rsidRDefault="00DF476B" w:rsidP="00DF476B">
      <w:pPr>
        <w:jc w:val="both"/>
        <w:rPr>
          <w:rFonts w:cs="Arial"/>
        </w:rPr>
      </w:pPr>
      <w:r w:rsidRPr="001E0513">
        <w:rPr>
          <w:rFonts w:cs="Arial"/>
        </w:rPr>
        <w:t>L’AP-HP met en œuvre les bonnes pratiques du standard ITIL pour la gestion des incidents.</w:t>
      </w:r>
    </w:p>
    <w:p w14:paraId="7B903D05" w14:textId="77777777" w:rsidR="00DF476B" w:rsidRPr="001E0513" w:rsidRDefault="00DF476B" w:rsidP="00DF476B">
      <w:pPr>
        <w:jc w:val="both"/>
        <w:rPr>
          <w:rFonts w:cs="Arial"/>
        </w:rPr>
      </w:pPr>
      <w:r w:rsidRPr="001E0513">
        <w:rPr>
          <w:rFonts w:cs="Arial"/>
        </w:rPr>
        <w:t>Le support utilisateur AP-HP est assuré aux heures et jours ouvrés. En dehors de ces plages horaires, des astreintes AP-HP sont assurées pour les systèmes critiques et essentiels.</w:t>
      </w:r>
    </w:p>
    <w:p w14:paraId="6781DE14" w14:textId="77777777" w:rsidR="00DF476B" w:rsidRPr="001E0513" w:rsidRDefault="00DF476B" w:rsidP="00DF476B">
      <w:pPr>
        <w:jc w:val="both"/>
        <w:rPr>
          <w:rStyle w:val="Rfrenceintense"/>
          <w:sz w:val="24"/>
        </w:rPr>
      </w:pPr>
      <w:bookmarkStart w:id="25" w:name="_Ref388543951"/>
      <w:bookmarkStart w:id="26" w:name="_Ref388543965"/>
      <w:bookmarkStart w:id="27" w:name="_Toc389759211"/>
      <w:r w:rsidRPr="001E0513">
        <w:rPr>
          <w:rStyle w:val="Rfrenceintense"/>
          <w:sz w:val="24"/>
        </w:rPr>
        <w:t>Sécurité du SI de l’AP-HP</w:t>
      </w:r>
      <w:bookmarkEnd w:id="25"/>
      <w:bookmarkEnd w:id="26"/>
      <w:bookmarkEnd w:id="27"/>
    </w:p>
    <w:p w14:paraId="7C318971" w14:textId="77777777" w:rsidR="00DF476B" w:rsidRPr="001E0513" w:rsidRDefault="00DF476B" w:rsidP="00DF476B">
      <w:pPr>
        <w:jc w:val="both"/>
        <w:rPr>
          <w:rFonts w:cs="Arial"/>
        </w:rPr>
      </w:pPr>
      <w:r w:rsidRPr="001E0513">
        <w:rPr>
          <w:rFonts w:cs="Arial"/>
        </w:rPr>
        <w:t>La Politique Générale de Sécurité du SI (PGSSI) disponible à l’annexe 7. Elle fixe les objectifs de sécurité visant à garantir la protection du Système d’Information et à définir les mesures induites.</w:t>
      </w:r>
    </w:p>
    <w:p w14:paraId="1372AEA3" w14:textId="77777777" w:rsidR="00DF476B" w:rsidRPr="001E0513" w:rsidRDefault="00DF476B" w:rsidP="00DF476B">
      <w:pPr>
        <w:jc w:val="both"/>
        <w:rPr>
          <w:rFonts w:cs="Arial"/>
        </w:rPr>
      </w:pPr>
      <w:r w:rsidRPr="001E0513">
        <w:rPr>
          <w:rFonts w:cs="Arial"/>
        </w:rPr>
        <w:t>L’AP-HP met en œuvre le principe de défense en profondeur des systèmes d’information tel que préconisé par l’ANSSI (</w:t>
      </w:r>
      <w:hyperlink r:id="rId15" w:history="1">
        <w:r w:rsidRPr="001E0513">
          <w:rPr>
            <w:rStyle w:val="Lienhypertexte"/>
            <w:rFonts w:cs="Arial"/>
          </w:rPr>
          <w:t>La défense en profondeur appliquée aux systèmes d’information</w:t>
        </w:r>
      </w:hyperlink>
      <w:r w:rsidRPr="001E0513">
        <w:rPr>
          <w:rFonts w:cs="Arial"/>
        </w:rPr>
        <w:t>).</w:t>
      </w:r>
    </w:p>
    <w:p w14:paraId="31A25CFC" w14:textId="77777777" w:rsidR="00DF476B" w:rsidRPr="001E0513" w:rsidRDefault="00DF476B" w:rsidP="00DF476B">
      <w:pPr>
        <w:jc w:val="both"/>
        <w:rPr>
          <w:rFonts w:cs="Arial"/>
        </w:rPr>
      </w:pPr>
      <w:r w:rsidRPr="001E0513">
        <w:rPr>
          <w:rFonts w:cs="Arial"/>
        </w:rPr>
        <w:t>L’AP-HP suit les bonnes pratiques de sécurité préconisées par l’ASIP Santé.</w:t>
      </w:r>
    </w:p>
    <w:p w14:paraId="3CD60B1C" w14:textId="77777777" w:rsidR="00DF476B" w:rsidRPr="001E0513" w:rsidRDefault="00DF476B" w:rsidP="00DF476B">
      <w:pPr>
        <w:jc w:val="both"/>
        <w:rPr>
          <w:rFonts w:cs="Arial"/>
        </w:rPr>
      </w:pPr>
      <w:r w:rsidRPr="001E0513">
        <w:rPr>
          <w:rFonts w:cs="Arial"/>
        </w:rPr>
        <w:t>L’antivirus CORTEX XDR de Palo Alto Networks est mis en œuvre sur l’ensemble des postes de travail MAC/WINDOWS et des serveurs WINDOWS.</w:t>
      </w:r>
    </w:p>
    <w:p w14:paraId="7A7509A9" w14:textId="77777777" w:rsidR="00DF476B" w:rsidRPr="001E0513" w:rsidRDefault="00DF476B" w:rsidP="00DF476B">
      <w:pPr>
        <w:jc w:val="both"/>
        <w:rPr>
          <w:rFonts w:cs="Arial"/>
        </w:rPr>
      </w:pPr>
      <w:r w:rsidRPr="001E0513">
        <w:rPr>
          <w:rFonts w:cs="Arial"/>
        </w:rPr>
        <w:t>Le service ANTISPAM et antivirus de la société PROOFPOINT est utilisé en réception des messages électroniques en provenance de l’Internet.</w:t>
      </w:r>
    </w:p>
    <w:p w14:paraId="77008616" w14:textId="77777777" w:rsidR="00DF476B" w:rsidRPr="001E0513" w:rsidRDefault="00DF476B" w:rsidP="00DF476B">
      <w:pPr>
        <w:jc w:val="both"/>
        <w:rPr>
          <w:rFonts w:cs="Arial"/>
        </w:rPr>
      </w:pPr>
      <w:r w:rsidRPr="001E0513">
        <w:rPr>
          <w:rFonts w:cs="Arial"/>
        </w:rPr>
        <w:t>Des proxys avec une Solution de filtrage de contenu permettent de sécuriser la navigation Internet des utilisateurs du SI.</w:t>
      </w:r>
    </w:p>
    <w:p w14:paraId="6A24F732" w14:textId="77777777" w:rsidR="00DF476B" w:rsidRPr="001E0513" w:rsidRDefault="00DF476B" w:rsidP="00DF476B">
      <w:pPr>
        <w:jc w:val="both"/>
        <w:rPr>
          <w:rFonts w:cs="Arial"/>
        </w:rPr>
      </w:pPr>
      <w:r w:rsidRPr="001E0513">
        <w:rPr>
          <w:rFonts w:cs="Arial"/>
        </w:rPr>
        <w:t>Les vulnérabilités techniques sont gérées par l’outil SECURITY CENTER de TENABLE en lien avec une centralisation des journaux techniques.</w:t>
      </w:r>
    </w:p>
    <w:p w14:paraId="272C2716" w14:textId="77777777" w:rsidR="00DF476B" w:rsidRPr="001E0513" w:rsidRDefault="00DF476B" w:rsidP="00DF476B">
      <w:pPr>
        <w:jc w:val="both"/>
        <w:rPr>
          <w:rFonts w:cs="Arial"/>
        </w:rPr>
      </w:pPr>
      <w:r w:rsidRPr="001E0513">
        <w:rPr>
          <w:rFonts w:cs="Arial"/>
        </w:rPr>
        <w:t>Les correctifs de sécurité WINDOWS sont gérés par la solution WSUS et SCCM de Microsoft. La mise à jour des serveurs fait l’objet d’un plan de maintenance minimisant les impacts sur le service rendu par les systèmes mis à jour.</w:t>
      </w:r>
    </w:p>
    <w:p w14:paraId="63E43C60" w14:textId="77777777" w:rsidR="00DF476B" w:rsidRPr="001E0513" w:rsidRDefault="00DF476B" w:rsidP="00DF476B">
      <w:pPr>
        <w:jc w:val="both"/>
        <w:rPr>
          <w:rStyle w:val="Rfrenceintense"/>
          <w:sz w:val="24"/>
        </w:rPr>
      </w:pPr>
      <w:r w:rsidRPr="001E0513">
        <w:rPr>
          <w:rStyle w:val="Rfrenceintense"/>
          <w:sz w:val="24"/>
        </w:rPr>
        <w:t>Description du service SIRIUS</w:t>
      </w:r>
      <w:bookmarkEnd w:id="21"/>
      <w:bookmarkEnd w:id="22"/>
      <w:bookmarkEnd w:id="23"/>
    </w:p>
    <w:p w14:paraId="45ED105B" w14:textId="77777777" w:rsidR="00DF476B" w:rsidRPr="001E0513" w:rsidRDefault="00DF476B" w:rsidP="00DF476B">
      <w:pPr>
        <w:jc w:val="both"/>
        <w:rPr>
          <w:rFonts w:cs="Arial"/>
        </w:rPr>
      </w:pPr>
      <w:r w:rsidRPr="001E0513">
        <w:rPr>
          <w:rFonts w:cs="Arial"/>
        </w:rPr>
        <w:t>SIRIUS, Système Informatisé du Référentiel Unique des Structures, est l'application informatique, qui centralise les données du référentiel des structures de l’AP-HP.</w:t>
      </w:r>
    </w:p>
    <w:p w14:paraId="329958F6" w14:textId="2B5647D9" w:rsidR="00DF476B" w:rsidRPr="001E0513" w:rsidRDefault="00DF476B" w:rsidP="00DF476B">
      <w:pPr>
        <w:jc w:val="both"/>
        <w:rPr>
          <w:rFonts w:cs="Arial"/>
        </w:rPr>
      </w:pPr>
      <w:r w:rsidRPr="001E0513">
        <w:rPr>
          <w:rFonts w:cs="Arial"/>
        </w:rPr>
        <w:t xml:space="preserve">Les structures sont les différents niveaux qui permettent de décrire l'AP-HP tant pour son organisation médicale (ex : services, départements...), sa gestion (pôles, unités de gestion...) et son organisation géographique (lits, chambres, </w:t>
      </w:r>
      <w:r w:rsidR="003B2DF6" w:rsidRPr="001E0513">
        <w:rPr>
          <w:rFonts w:cs="Arial"/>
        </w:rPr>
        <w:t>étages...</w:t>
      </w:r>
      <w:r w:rsidRPr="001E0513">
        <w:rPr>
          <w:rFonts w:cs="Arial"/>
        </w:rPr>
        <w:t>).</w:t>
      </w:r>
    </w:p>
    <w:p w14:paraId="3FF6B068" w14:textId="77777777" w:rsidR="00DF476B" w:rsidRPr="00406BB2" w:rsidRDefault="00DF476B" w:rsidP="00DF476B">
      <w:pPr>
        <w:keepNext/>
        <w:jc w:val="center"/>
        <w:rPr>
          <w:rFonts w:cs="Arial"/>
          <w:highlight w:val="green"/>
        </w:rPr>
      </w:pPr>
      <w:r w:rsidRPr="00406BB2">
        <w:rPr>
          <w:rFonts w:cs="Arial"/>
          <w:noProof/>
          <w:highlight w:val="green"/>
        </w:rPr>
        <w:lastRenderedPageBreak/>
        <w:drawing>
          <wp:inline distT="0" distB="0" distL="0" distR="0" wp14:anchorId="79EC663C" wp14:editId="7D1AF7C4">
            <wp:extent cx="5396230" cy="376682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6230" cy="3766820"/>
                    </a:xfrm>
                    <a:prstGeom prst="rect">
                      <a:avLst/>
                    </a:prstGeom>
                    <a:noFill/>
                    <a:ln>
                      <a:noFill/>
                    </a:ln>
                  </pic:spPr>
                </pic:pic>
              </a:graphicData>
            </a:graphic>
          </wp:inline>
        </w:drawing>
      </w:r>
    </w:p>
    <w:p w14:paraId="75DA53DB" w14:textId="77777777" w:rsidR="00DF476B" w:rsidRPr="001E0513" w:rsidRDefault="00DF476B" w:rsidP="00DF476B">
      <w:pPr>
        <w:pStyle w:val="Lgende"/>
        <w:jc w:val="center"/>
        <w:rPr>
          <w:rFonts w:cs="Arial"/>
        </w:rPr>
      </w:pPr>
    </w:p>
    <w:p w14:paraId="53CFDCBD" w14:textId="2590BD8B" w:rsidR="00DF476B" w:rsidRPr="001E0513" w:rsidRDefault="00DF476B" w:rsidP="00DF476B">
      <w:pPr>
        <w:pStyle w:val="Lgende"/>
        <w:jc w:val="center"/>
        <w:rPr>
          <w:rFonts w:cs="Arial"/>
        </w:rPr>
      </w:pPr>
      <w:bookmarkStart w:id="28" w:name="_Toc389759290"/>
      <w:r w:rsidRPr="001E0513">
        <w:rPr>
          <w:rFonts w:cs="Arial"/>
        </w:rPr>
        <w:t xml:space="preserve">Figure </w:t>
      </w:r>
      <w:r w:rsidRPr="001E0513">
        <w:rPr>
          <w:rFonts w:cs="Arial"/>
        </w:rPr>
        <w:fldChar w:fldCharType="begin"/>
      </w:r>
      <w:r w:rsidRPr="001E0513">
        <w:rPr>
          <w:rFonts w:cs="Arial"/>
        </w:rPr>
        <w:instrText xml:space="preserve"> SEQ Figure \* ARABIC </w:instrText>
      </w:r>
      <w:r w:rsidRPr="001E0513">
        <w:rPr>
          <w:rFonts w:cs="Arial"/>
        </w:rPr>
        <w:fldChar w:fldCharType="separate"/>
      </w:r>
      <w:r w:rsidR="005B0EB7">
        <w:rPr>
          <w:rFonts w:cs="Arial"/>
          <w:noProof/>
        </w:rPr>
        <w:t>1</w:t>
      </w:r>
      <w:r w:rsidRPr="001E0513">
        <w:rPr>
          <w:rFonts w:cs="Arial"/>
          <w:noProof/>
        </w:rPr>
        <w:fldChar w:fldCharType="end"/>
      </w:r>
      <w:r w:rsidRPr="001E0513">
        <w:rPr>
          <w:rFonts w:cs="Arial"/>
        </w:rPr>
        <w:t xml:space="preserve"> : Modèle de structure</w:t>
      </w:r>
      <w:bookmarkEnd w:id="28"/>
    </w:p>
    <w:p w14:paraId="44E41E1B" w14:textId="77777777" w:rsidR="00EA30DA" w:rsidRPr="001E0513" w:rsidRDefault="00EA30DA" w:rsidP="00EA30DA"/>
    <w:p w14:paraId="685412F4" w14:textId="70252E33" w:rsidR="00DF476B" w:rsidRPr="001E0513" w:rsidRDefault="00DF476B" w:rsidP="00DF476B">
      <w:pPr>
        <w:rPr>
          <w:rFonts w:cs="Arial"/>
        </w:rPr>
      </w:pPr>
      <w:r w:rsidRPr="001E0513">
        <w:rPr>
          <w:rFonts w:cs="Arial"/>
        </w:rPr>
        <w:t>SIRIUS est interfacé avec GAIAP.</w:t>
      </w:r>
    </w:p>
    <w:p w14:paraId="5D6A5DBA" w14:textId="3FEA4EA3" w:rsidR="00EA30DA" w:rsidRPr="001E0513" w:rsidRDefault="00EA30DA" w:rsidP="00DF476B">
      <w:pPr>
        <w:rPr>
          <w:rFonts w:cs="Arial"/>
        </w:rPr>
      </w:pPr>
    </w:p>
    <w:p w14:paraId="50530B3B" w14:textId="110DAA04" w:rsidR="00EA30DA" w:rsidRPr="001E0513" w:rsidRDefault="00EA30DA" w:rsidP="00DF476B">
      <w:pPr>
        <w:rPr>
          <w:rFonts w:cs="Arial"/>
        </w:rPr>
      </w:pPr>
    </w:p>
    <w:p w14:paraId="7C6801BD" w14:textId="2B13BBCD" w:rsidR="00DF476B" w:rsidRPr="001E0513" w:rsidRDefault="00DF476B" w:rsidP="00DF476B">
      <w:pPr>
        <w:pStyle w:val="Lgende"/>
        <w:keepNext/>
        <w:jc w:val="center"/>
        <w:rPr>
          <w:noProof/>
        </w:rPr>
      </w:pPr>
      <w:bookmarkStart w:id="29" w:name="_Toc389759296"/>
      <w:r w:rsidRPr="001E0513">
        <w:t xml:space="preserve">Tableau </w:t>
      </w:r>
      <w:fldSimple w:instr=" SEQ Tableau \* ARABIC ">
        <w:r w:rsidR="005B0EB7">
          <w:rPr>
            <w:noProof/>
          </w:rPr>
          <w:t>1</w:t>
        </w:r>
      </w:fldSimple>
      <w:r w:rsidRPr="001E0513">
        <w:t xml:space="preserve"> : Eléments de volumétrie du </w:t>
      </w:r>
      <w:r w:rsidRPr="001E0513">
        <w:rPr>
          <w:noProof/>
        </w:rPr>
        <w:t>référentiel SIRIUS</w:t>
      </w:r>
      <w:bookmarkEnd w:id="29"/>
    </w:p>
    <w:tbl>
      <w:tblPr>
        <w:tblW w:w="5939" w:type="dxa"/>
        <w:jc w:val="cente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2680"/>
        <w:gridCol w:w="3259"/>
      </w:tblGrid>
      <w:tr w:rsidR="00DF476B" w:rsidRPr="001E0513" w14:paraId="085C6DC4" w14:textId="77777777" w:rsidTr="00EA30DA">
        <w:trPr>
          <w:trHeight w:val="420"/>
          <w:jc w:val="center"/>
        </w:trPr>
        <w:tc>
          <w:tcPr>
            <w:tcW w:w="2680" w:type="dxa"/>
            <w:tcBorders>
              <w:top w:val="single" w:sz="4" w:space="0" w:color="000000"/>
              <w:left w:val="single" w:sz="4" w:space="0" w:color="000000"/>
              <w:bottom w:val="single" w:sz="4" w:space="0" w:color="000000"/>
              <w:right w:val="nil"/>
            </w:tcBorders>
            <w:shd w:val="clear" w:color="auto" w:fill="000000"/>
            <w:noWrap/>
            <w:vAlign w:val="center"/>
            <w:hideMark/>
          </w:tcPr>
          <w:p w14:paraId="3D17AD77" w14:textId="77777777" w:rsidR="00DF476B" w:rsidRPr="001E0513" w:rsidRDefault="00DF476B" w:rsidP="00EA30DA">
            <w:pPr>
              <w:spacing w:line="240" w:lineRule="auto"/>
              <w:jc w:val="center"/>
              <w:rPr>
                <w:rFonts w:cs="Arial"/>
                <w:color w:val="FFFFFF"/>
              </w:rPr>
            </w:pPr>
            <w:r w:rsidRPr="001E0513">
              <w:rPr>
                <w:rFonts w:cs="Arial"/>
                <w:color w:val="FFFFFF"/>
              </w:rPr>
              <w:t>Niveau de structure</w:t>
            </w:r>
          </w:p>
        </w:tc>
        <w:tc>
          <w:tcPr>
            <w:tcW w:w="3259" w:type="dxa"/>
            <w:tcBorders>
              <w:top w:val="single" w:sz="4" w:space="0" w:color="000000"/>
              <w:left w:val="nil"/>
              <w:bottom w:val="single" w:sz="4" w:space="0" w:color="000000"/>
              <w:right w:val="single" w:sz="4" w:space="0" w:color="000000"/>
            </w:tcBorders>
            <w:shd w:val="clear" w:color="auto" w:fill="000000"/>
            <w:noWrap/>
            <w:vAlign w:val="center"/>
            <w:hideMark/>
          </w:tcPr>
          <w:p w14:paraId="5066872B" w14:textId="77777777" w:rsidR="00DF476B" w:rsidRPr="001E0513" w:rsidRDefault="00DF476B" w:rsidP="00EA30DA">
            <w:pPr>
              <w:spacing w:line="240" w:lineRule="auto"/>
              <w:jc w:val="center"/>
              <w:rPr>
                <w:rFonts w:cs="Arial"/>
                <w:color w:val="FFFFFF"/>
              </w:rPr>
            </w:pPr>
            <w:r w:rsidRPr="001E0513">
              <w:rPr>
                <w:rFonts w:cs="Arial"/>
                <w:color w:val="FFFFFF"/>
              </w:rPr>
              <w:t>Nombre d'éléments référencés y compris historique</w:t>
            </w:r>
          </w:p>
        </w:tc>
      </w:tr>
      <w:tr w:rsidR="00DF476B" w:rsidRPr="001E0513" w14:paraId="707E8AF6" w14:textId="77777777" w:rsidTr="00EA30DA">
        <w:trPr>
          <w:trHeight w:val="300"/>
          <w:jc w:val="center"/>
        </w:trPr>
        <w:tc>
          <w:tcPr>
            <w:tcW w:w="2680" w:type="dxa"/>
            <w:shd w:val="clear" w:color="auto" w:fill="CCCCCC"/>
            <w:noWrap/>
            <w:vAlign w:val="center"/>
            <w:hideMark/>
          </w:tcPr>
          <w:p w14:paraId="5CEBB651" w14:textId="77777777" w:rsidR="00DF476B" w:rsidRPr="001E0513" w:rsidRDefault="00DF476B" w:rsidP="00EA30DA">
            <w:pPr>
              <w:spacing w:line="240" w:lineRule="auto"/>
              <w:rPr>
                <w:rFonts w:cs="Arial"/>
                <w:b/>
                <w:bCs/>
                <w:color w:val="000000"/>
              </w:rPr>
            </w:pPr>
            <w:r w:rsidRPr="001E0513">
              <w:rPr>
                <w:rFonts w:cs="Arial"/>
                <w:b/>
                <w:bCs/>
                <w:color w:val="000000"/>
              </w:rPr>
              <w:t>Hôpital</w:t>
            </w:r>
          </w:p>
        </w:tc>
        <w:tc>
          <w:tcPr>
            <w:tcW w:w="3259" w:type="dxa"/>
            <w:shd w:val="clear" w:color="auto" w:fill="CCCCCC"/>
            <w:noWrap/>
            <w:vAlign w:val="center"/>
            <w:hideMark/>
          </w:tcPr>
          <w:p w14:paraId="59BE3184" w14:textId="77777777" w:rsidR="00DF476B" w:rsidRPr="001E0513" w:rsidRDefault="00DF476B" w:rsidP="00EA30DA">
            <w:pPr>
              <w:spacing w:line="240" w:lineRule="auto"/>
              <w:jc w:val="right"/>
              <w:rPr>
                <w:rFonts w:cs="Arial"/>
                <w:color w:val="000000"/>
              </w:rPr>
            </w:pPr>
            <w:r w:rsidRPr="001E0513">
              <w:rPr>
                <w:rFonts w:cs="Arial"/>
                <w:color w:val="000000"/>
              </w:rPr>
              <w:t>56</w:t>
            </w:r>
          </w:p>
        </w:tc>
      </w:tr>
      <w:tr w:rsidR="00DF476B" w:rsidRPr="001E0513" w14:paraId="7CA0898B" w14:textId="77777777" w:rsidTr="00EA30DA">
        <w:trPr>
          <w:trHeight w:val="300"/>
          <w:jc w:val="center"/>
        </w:trPr>
        <w:tc>
          <w:tcPr>
            <w:tcW w:w="2680" w:type="dxa"/>
            <w:shd w:val="clear" w:color="auto" w:fill="auto"/>
            <w:noWrap/>
            <w:vAlign w:val="center"/>
            <w:hideMark/>
          </w:tcPr>
          <w:p w14:paraId="41A602CB" w14:textId="77777777" w:rsidR="00DF476B" w:rsidRPr="001E0513" w:rsidRDefault="00DF476B" w:rsidP="00EA30DA">
            <w:pPr>
              <w:spacing w:line="240" w:lineRule="auto"/>
              <w:rPr>
                <w:rFonts w:cs="Arial"/>
                <w:b/>
                <w:bCs/>
                <w:color w:val="000000"/>
              </w:rPr>
            </w:pPr>
            <w:r w:rsidRPr="001E0513">
              <w:rPr>
                <w:rFonts w:cs="Arial"/>
                <w:b/>
                <w:bCs/>
                <w:color w:val="000000"/>
              </w:rPr>
              <w:t>Site *</w:t>
            </w:r>
          </w:p>
        </w:tc>
        <w:tc>
          <w:tcPr>
            <w:tcW w:w="3259" w:type="dxa"/>
            <w:shd w:val="clear" w:color="auto" w:fill="auto"/>
            <w:noWrap/>
            <w:vAlign w:val="center"/>
            <w:hideMark/>
          </w:tcPr>
          <w:p w14:paraId="18C5F04D" w14:textId="77777777" w:rsidR="00DF476B" w:rsidRPr="001E0513" w:rsidRDefault="00DF476B" w:rsidP="00EA30DA">
            <w:pPr>
              <w:spacing w:line="240" w:lineRule="auto"/>
              <w:jc w:val="right"/>
              <w:rPr>
                <w:rFonts w:cs="Arial"/>
                <w:color w:val="000000"/>
              </w:rPr>
            </w:pPr>
            <w:r w:rsidRPr="001E0513">
              <w:rPr>
                <w:rFonts w:cs="Arial"/>
                <w:color w:val="000000"/>
              </w:rPr>
              <w:t>7</w:t>
            </w:r>
          </w:p>
        </w:tc>
      </w:tr>
      <w:tr w:rsidR="00DF476B" w:rsidRPr="001E0513" w14:paraId="096692C2" w14:textId="77777777" w:rsidTr="00EA30DA">
        <w:trPr>
          <w:trHeight w:val="300"/>
          <w:jc w:val="center"/>
        </w:trPr>
        <w:tc>
          <w:tcPr>
            <w:tcW w:w="2680" w:type="dxa"/>
            <w:shd w:val="clear" w:color="auto" w:fill="CCCCCC"/>
            <w:noWrap/>
            <w:vAlign w:val="center"/>
            <w:hideMark/>
          </w:tcPr>
          <w:p w14:paraId="35C995F4" w14:textId="77777777" w:rsidR="00DF476B" w:rsidRPr="001E0513" w:rsidRDefault="00DF476B" w:rsidP="00EA30DA">
            <w:pPr>
              <w:spacing w:line="240" w:lineRule="auto"/>
              <w:rPr>
                <w:rFonts w:cs="Arial"/>
                <w:b/>
                <w:bCs/>
                <w:color w:val="000000"/>
              </w:rPr>
            </w:pPr>
            <w:r w:rsidRPr="001E0513">
              <w:rPr>
                <w:rFonts w:cs="Arial"/>
                <w:b/>
                <w:bCs/>
                <w:color w:val="000000"/>
              </w:rPr>
              <w:t>Bâtiment *</w:t>
            </w:r>
          </w:p>
        </w:tc>
        <w:tc>
          <w:tcPr>
            <w:tcW w:w="3259" w:type="dxa"/>
            <w:shd w:val="clear" w:color="auto" w:fill="CCCCCC"/>
            <w:noWrap/>
            <w:vAlign w:val="center"/>
            <w:hideMark/>
          </w:tcPr>
          <w:p w14:paraId="118A803E" w14:textId="77777777" w:rsidR="00DF476B" w:rsidRPr="001E0513" w:rsidRDefault="00DF476B" w:rsidP="00EA30DA">
            <w:pPr>
              <w:spacing w:line="240" w:lineRule="auto"/>
              <w:jc w:val="right"/>
              <w:rPr>
                <w:rFonts w:cs="Arial"/>
                <w:color w:val="000000"/>
              </w:rPr>
            </w:pPr>
            <w:r w:rsidRPr="001E0513">
              <w:rPr>
                <w:rFonts w:cs="Arial"/>
                <w:color w:val="000000"/>
              </w:rPr>
              <w:t>67</w:t>
            </w:r>
          </w:p>
        </w:tc>
      </w:tr>
      <w:tr w:rsidR="00DF476B" w:rsidRPr="001E0513" w14:paraId="033079C5" w14:textId="77777777" w:rsidTr="00EA30DA">
        <w:trPr>
          <w:trHeight w:val="300"/>
          <w:jc w:val="center"/>
        </w:trPr>
        <w:tc>
          <w:tcPr>
            <w:tcW w:w="2680" w:type="dxa"/>
            <w:shd w:val="clear" w:color="auto" w:fill="auto"/>
            <w:noWrap/>
            <w:vAlign w:val="center"/>
            <w:hideMark/>
          </w:tcPr>
          <w:p w14:paraId="3F18D3D9" w14:textId="77777777" w:rsidR="00DF476B" w:rsidRPr="001E0513" w:rsidRDefault="00DF476B" w:rsidP="00EA30DA">
            <w:pPr>
              <w:spacing w:line="240" w:lineRule="auto"/>
              <w:rPr>
                <w:rFonts w:cs="Arial"/>
                <w:b/>
                <w:bCs/>
                <w:color w:val="000000"/>
              </w:rPr>
            </w:pPr>
            <w:r w:rsidRPr="001E0513">
              <w:rPr>
                <w:rFonts w:cs="Arial"/>
                <w:b/>
                <w:bCs/>
                <w:color w:val="000000"/>
              </w:rPr>
              <w:t>Secteur Bâtiment *</w:t>
            </w:r>
          </w:p>
        </w:tc>
        <w:tc>
          <w:tcPr>
            <w:tcW w:w="3259" w:type="dxa"/>
            <w:shd w:val="clear" w:color="auto" w:fill="auto"/>
            <w:noWrap/>
            <w:vAlign w:val="center"/>
            <w:hideMark/>
          </w:tcPr>
          <w:p w14:paraId="36840E97" w14:textId="77777777" w:rsidR="00DF476B" w:rsidRPr="001E0513" w:rsidRDefault="00DF476B" w:rsidP="00EA30DA">
            <w:pPr>
              <w:spacing w:line="240" w:lineRule="auto"/>
              <w:jc w:val="right"/>
              <w:rPr>
                <w:rFonts w:cs="Arial"/>
                <w:color w:val="000000"/>
              </w:rPr>
            </w:pPr>
            <w:r w:rsidRPr="001E0513">
              <w:rPr>
                <w:rFonts w:cs="Arial"/>
                <w:color w:val="000000"/>
              </w:rPr>
              <w:t>96</w:t>
            </w:r>
          </w:p>
        </w:tc>
      </w:tr>
      <w:tr w:rsidR="00DF476B" w:rsidRPr="001E0513" w14:paraId="00A9580A" w14:textId="77777777" w:rsidTr="00EA30DA">
        <w:trPr>
          <w:trHeight w:val="300"/>
          <w:jc w:val="center"/>
        </w:trPr>
        <w:tc>
          <w:tcPr>
            <w:tcW w:w="2680" w:type="dxa"/>
            <w:shd w:val="clear" w:color="auto" w:fill="CCCCCC"/>
            <w:noWrap/>
            <w:vAlign w:val="center"/>
            <w:hideMark/>
          </w:tcPr>
          <w:p w14:paraId="75BC35E8" w14:textId="77777777" w:rsidR="00DF476B" w:rsidRPr="001E0513" w:rsidRDefault="00DF476B" w:rsidP="00EA30DA">
            <w:pPr>
              <w:spacing w:line="240" w:lineRule="auto"/>
              <w:rPr>
                <w:rFonts w:cs="Arial"/>
                <w:b/>
                <w:bCs/>
                <w:color w:val="000000"/>
              </w:rPr>
            </w:pPr>
            <w:r w:rsidRPr="001E0513">
              <w:rPr>
                <w:rFonts w:cs="Arial"/>
                <w:b/>
                <w:bCs/>
                <w:color w:val="000000"/>
              </w:rPr>
              <w:t>Etage *</w:t>
            </w:r>
          </w:p>
        </w:tc>
        <w:tc>
          <w:tcPr>
            <w:tcW w:w="3259" w:type="dxa"/>
            <w:shd w:val="clear" w:color="auto" w:fill="CCCCCC"/>
            <w:noWrap/>
            <w:vAlign w:val="center"/>
            <w:hideMark/>
          </w:tcPr>
          <w:p w14:paraId="506D0017" w14:textId="77777777" w:rsidR="00DF476B" w:rsidRPr="001E0513" w:rsidRDefault="00DF476B" w:rsidP="00EA30DA">
            <w:pPr>
              <w:spacing w:line="240" w:lineRule="auto"/>
              <w:jc w:val="right"/>
              <w:rPr>
                <w:rFonts w:cs="Arial"/>
                <w:color w:val="000000"/>
              </w:rPr>
            </w:pPr>
            <w:r w:rsidRPr="001E0513">
              <w:rPr>
                <w:rFonts w:cs="Arial"/>
                <w:color w:val="000000"/>
              </w:rPr>
              <w:t>369</w:t>
            </w:r>
          </w:p>
        </w:tc>
      </w:tr>
      <w:tr w:rsidR="00DF476B" w:rsidRPr="001E0513" w14:paraId="4B52543A" w14:textId="77777777" w:rsidTr="00EA30DA">
        <w:trPr>
          <w:trHeight w:val="300"/>
          <w:jc w:val="center"/>
        </w:trPr>
        <w:tc>
          <w:tcPr>
            <w:tcW w:w="2680" w:type="dxa"/>
            <w:shd w:val="clear" w:color="auto" w:fill="auto"/>
            <w:noWrap/>
            <w:vAlign w:val="center"/>
            <w:hideMark/>
          </w:tcPr>
          <w:p w14:paraId="7BA31766" w14:textId="77777777" w:rsidR="00DF476B" w:rsidRPr="001E0513" w:rsidRDefault="00DF476B" w:rsidP="00EA30DA">
            <w:pPr>
              <w:spacing w:line="240" w:lineRule="auto"/>
              <w:rPr>
                <w:rFonts w:cs="Arial"/>
                <w:b/>
                <w:bCs/>
                <w:color w:val="000000"/>
              </w:rPr>
            </w:pPr>
            <w:r w:rsidRPr="001E0513">
              <w:rPr>
                <w:rFonts w:cs="Arial"/>
                <w:b/>
                <w:bCs/>
                <w:color w:val="000000"/>
              </w:rPr>
              <w:t>Pôle</w:t>
            </w:r>
          </w:p>
        </w:tc>
        <w:tc>
          <w:tcPr>
            <w:tcW w:w="3259" w:type="dxa"/>
            <w:shd w:val="clear" w:color="auto" w:fill="auto"/>
            <w:noWrap/>
            <w:vAlign w:val="center"/>
            <w:hideMark/>
          </w:tcPr>
          <w:p w14:paraId="3AC5A4DC" w14:textId="77777777" w:rsidR="00DF476B" w:rsidRPr="001E0513" w:rsidRDefault="00DF476B" w:rsidP="00EA30DA">
            <w:pPr>
              <w:spacing w:line="240" w:lineRule="auto"/>
              <w:jc w:val="right"/>
              <w:rPr>
                <w:rFonts w:cs="Arial"/>
                <w:color w:val="000000"/>
              </w:rPr>
            </w:pPr>
            <w:r w:rsidRPr="001E0513">
              <w:rPr>
                <w:rFonts w:cs="Arial"/>
                <w:color w:val="000000"/>
              </w:rPr>
              <w:t>666</w:t>
            </w:r>
          </w:p>
        </w:tc>
      </w:tr>
      <w:tr w:rsidR="00DF476B" w:rsidRPr="001E0513" w14:paraId="2E4140F6" w14:textId="77777777" w:rsidTr="00EA30DA">
        <w:trPr>
          <w:trHeight w:val="300"/>
          <w:jc w:val="center"/>
        </w:trPr>
        <w:tc>
          <w:tcPr>
            <w:tcW w:w="2680" w:type="dxa"/>
            <w:shd w:val="clear" w:color="auto" w:fill="CCCCCC"/>
            <w:noWrap/>
            <w:vAlign w:val="center"/>
            <w:hideMark/>
          </w:tcPr>
          <w:p w14:paraId="307619C6" w14:textId="77777777" w:rsidR="00DF476B" w:rsidRPr="001E0513" w:rsidRDefault="00DF476B" w:rsidP="00EA30DA">
            <w:pPr>
              <w:spacing w:line="240" w:lineRule="auto"/>
              <w:rPr>
                <w:rFonts w:cs="Arial"/>
                <w:b/>
                <w:bCs/>
                <w:color w:val="000000"/>
              </w:rPr>
            </w:pPr>
            <w:r w:rsidRPr="001E0513">
              <w:rPr>
                <w:rFonts w:cs="Arial"/>
                <w:b/>
                <w:bCs/>
                <w:color w:val="000000"/>
              </w:rPr>
              <w:lastRenderedPageBreak/>
              <w:t>UG</w:t>
            </w:r>
          </w:p>
        </w:tc>
        <w:tc>
          <w:tcPr>
            <w:tcW w:w="3259" w:type="dxa"/>
            <w:shd w:val="clear" w:color="auto" w:fill="CCCCCC"/>
            <w:noWrap/>
            <w:vAlign w:val="center"/>
            <w:hideMark/>
          </w:tcPr>
          <w:p w14:paraId="3DC79F91" w14:textId="77777777" w:rsidR="00DF476B" w:rsidRPr="001E0513" w:rsidRDefault="00DF476B" w:rsidP="00EA30DA">
            <w:pPr>
              <w:spacing w:line="240" w:lineRule="auto"/>
              <w:jc w:val="right"/>
              <w:rPr>
                <w:rFonts w:cs="Arial"/>
                <w:color w:val="000000"/>
              </w:rPr>
            </w:pPr>
            <w:r w:rsidRPr="001E0513">
              <w:rPr>
                <w:rFonts w:cs="Arial"/>
                <w:color w:val="000000"/>
              </w:rPr>
              <w:t>10 399</w:t>
            </w:r>
          </w:p>
        </w:tc>
      </w:tr>
      <w:tr w:rsidR="00DF476B" w:rsidRPr="001E0513" w14:paraId="3AE4C425" w14:textId="77777777" w:rsidTr="00EA30DA">
        <w:trPr>
          <w:trHeight w:val="300"/>
          <w:jc w:val="center"/>
        </w:trPr>
        <w:tc>
          <w:tcPr>
            <w:tcW w:w="2680" w:type="dxa"/>
            <w:shd w:val="clear" w:color="auto" w:fill="auto"/>
            <w:noWrap/>
            <w:vAlign w:val="center"/>
            <w:hideMark/>
          </w:tcPr>
          <w:p w14:paraId="1865FB8E" w14:textId="77777777" w:rsidR="00DF476B" w:rsidRPr="001E0513" w:rsidRDefault="00DF476B" w:rsidP="00EA30DA">
            <w:pPr>
              <w:spacing w:line="240" w:lineRule="auto"/>
              <w:rPr>
                <w:rFonts w:cs="Arial"/>
                <w:b/>
                <w:bCs/>
                <w:color w:val="000000"/>
              </w:rPr>
            </w:pPr>
            <w:r w:rsidRPr="001E0513">
              <w:rPr>
                <w:rFonts w:cs="Arial"/>
                <w:b/>
                <w:bCs/>
                <w:color w:val="000000"/>
              </w:rPr>
              <w:t>UA</w:t>
            </w:r>
          </w:p>
        </w:tc>
        <w:tc>
          <w:tcPr>
            <w:tcW w:w="3259" w:type="dxa"/>
            <w:shd w:val="clear" w:color="auto" w:fill="auto"/>
            <w:noWrap/>
            <w:vAlign w:val="center"/>
            <w:hideMark/>
          </w:tcPr>
          <w:p w14:paraId="1B70366D" w14:textId="77777777" w:rsidR="00DF476B" w:rsidRPr="001E0513" w:rsidRDefault="00DF476B" w:rsidP="00EA30DA">
            <w:pPr>
              <w:spacing w:line="240" w:lineRule="auto"/>
              <w:jc w:val="right"/>
              <w:rPr>
                <w:rFonts w:cs="Arial"/>
                <w:color w:val="000000"/>
              </w:rPr>
            </w:pPr>
            <w:r w:rsidRPr="001E0513">
              <w:rPr>
                <w:rFonts w:cs="Arial"/>
                <w:color w:val="000000"/>
              </w:rPr>
              <w:t>10 640</w:t>
            </w:r>
          </w:p>
        </w:tc>
      </w:tr>
      <w:tr w:rsidR="00DF476B" w:rsidRPr="001E0513" w14:paraId="377DE5B8" w14:textId="77777777" w:rsidTr="00EA30DA">
        <w:trPr>
          <w:trHeight w:val="300"/>
          <w:jc w:val="center"/>
        </w:trPr>
        <w:tc>
          <w:tcPr>
            <w:tcW w:w="2680" w:type="dxa"/>
            <w:shd w:val="clear" w:color="auto" w:fill="CCCCCC"/>
            <w:noWrap/>
            <w:vAlign w:val="center"/>
            <w:hideMark/>
          </w:tcPr>
          <w:p w14:paraId="7545A365" w14:textId="77777777" w:rsidR="00DF476B" w:rsidRPr="001E0513" w:rsidRDefault="00DF476B" w:rsidP="00EA30DA">
            <w:pPr>
              <w:spacing w:line="240" w:lineRule="auto"/>
              <w:rPr>
                <w:rFonts w:cs="Arial"/>
                <w:b/>
                <w:bCs/>
                <w:color w:val="000000"/>
              </w:rPr>
            </w:pPr>
            <w:r w:rsidRPr="001E0513">
              <w:rPr>
                <w:rFonts w:cs="Arial"/>
                <w:b/>
                <w:bCs/>
                <w:color w:val="000000"/>
              </w:rPr>
              <w:t>UMA</w:t>
            </w:r>
          </w:p>
        </w:tc>
        <w:tc>
          <w:tcPr>
            <w:tcW w:w="3259" w:type="dxa"/>
            <w:shd w:val="clear" w:color="auto" w:fill="CCCCCC"/>
            <w:noWrap/>
            <w:vAlign w:val="center"/>
            <w:hideMark/>
          </w:tcPr>
          <w:p w14:paraId="0B9A3F5F" w14:textId="77777777" w:rsidR="00DF476B" w:rsidRPr="001E0513" w:rsidRDefault="00DF476B" w:rsidP="00EA30DA">
            <w:pPr>
              <w:spacing w:line="240" w:lineRule="auto"/>
              <w:jc w:val="right"/>
              <w:rPr>
                <w:rFonts w:cs="Arial"/>
                <w:color w:val="000000"/>
              </w:rPr>
            </w:pPr>
            <w:r w:rsidRPr="001E0513">
              <w:rPr>
                <w:rFonts w:cs="Arial"/>
                <w:color w:val="000000"/>
              </w:rPr>
              <w:t>8 357</w:t>
            </w:r>
          </w:p>
        </w:tc>
      </w:tr>
      <w:tr w:rsidR="00DF476B" w:rsidRPr="001E0513" w14:paraId="3385554F" w14:textId="77777777" w:rsidTr="00EA30DA">
        <w:trPr>
          <w:trHeight w:val="300"/>
          <w:jc w:val="center"/>
        </w:trPr>
        <w:tc>
          <w:tcPr>
            <w:tcW w:w="2680" w:type="dxa"/>
            <w:shd w:val="clear" w:color="auto" w:fill="auto"/>
            <w:noWrap/>
            <w:vAlign w:val="center"/>
            <w:hideMark/>
          </w:tcPr>
          <w:p w14:paraId="73E2A53F" w14:textId="77777777" w:rsidR="00DF476B" w:rsidRPr="001E0513" w:rsidRDefault="00DF476B" w:rsidP="00EA30DA">
            <w:pPr>
              <w:spacing w:line="240" w:lineRule="auto"/>
              <w:rPr>
                <w:rFonts w:cs="Arial"/>
                <w:b/>
                <w:bCs/>
                <w:color w:val="000000"/>
              </w:rPr>
            </w:pPr>
            <w:r w:rsidRPr="001E0513">
              <w:rPr>
                <w:rFonts w:cs="Arial"/>
                <w:b/>
                <w:bCs/>
                <w:color w:val="000000"/>
              </w:rPr>
              <w:t>UH</w:t>
            </w:r>
          </w:p>
        </w:tc>
        <w:tc>
          <w:tcPr>
            <w:tcW w:w="3259" w:type="dxa"/>
            <w:shd w:val="clear" w:color="auto" w:fill="auto"/>
            <w:noWrap/>
            <w:vAlign w:val="center"/>
            <w:hideMark/>
          </w:tcPr>
          <w:p w14:paraId="58EA672F" w14:textId="77777777" w:rsidR="00DF476B" w:rsidRPr="001E0513" w:rsidRDefault="00DF476B" w:rsidP="00EA30DA">
            <w:pPr>
              <w:spacing w:line="240" w:lineRule="auto"/>
              <w:jc w:val="right"/>
              <w:rPr>
                <w:rFonts w:cs="Arial"/>
                <w:color w:val="000000"/>
              </w:rPr>
            </w:pPr>
            <w:r w:rsidRPr="001E0513">
              <w:rPr>
                <w:rFonts w:cs="Arial"/>
                <w:color w:val="000000"/>
              </w:rPr>
              <w:t>10 186</w:t>
            </w:r>
          </w:p>
        </w:tc>
      </w:tr>
      <w:tr w:rsidR="00DF476B" w:rsidRPr="001E0513" w14:paraId="418B29C5" w14:textId="77777777" w:rsidTr="00EA30DA">
        <w:trPr>
          <w:trHeight w:val="300"/>
          <w:jc w:val="center"/>
        </w:trPr>
        <w:tc>
          <w:tcPr>
            <w:tcW w:w="2680" w:type="dxa"/>
            <w:shd w:val="clear" w:color="auto" w:fill="CCCCCC"/>
            <w:noWrap/>
            <w:vAlign w:val="center"/>
            <w:hideMark/>
          </w:tcPr>
          <w:p w14:paraId="1D268C5F" w14:textId="77777777" w:rsidR="00DF476B" w:rsidRPr="001E0513" w:rsidRDefault="00DF476B" w:rsidP="00EA30DA">
            <w:pPr>
              <w:spacing w:line="240" w:lineRule="auto"/>
              <w:rPr>
                <w:rFonts w:cs="Arial"/>
                <w:b/>
                <w:bCs/>
                <w:color w:val="000000"/>
              </w:rPr>
            </w:pPr>
            <w:r w:rsidRPr="001E0513">
              <w:rPr>
                <w:rFonts w:cs="Arial"/>
                <w:b/>
                <w:bCs/>
                <w:color w:val="000000"/>
              </w:rPr>
              <w:t>Unité de soins</w:t>
            </w:r>
          </w:p>
        </w:tc>
        <w:tc>
          <w:tcPr>
            <w:tcW w:w="3259" w:type="dxa"/>
            <w:shd w:val="clear" w:color="auto" w:fill="CCCCCC"/>
            <w:noWrap/>
            <w:vAlign w:val="center"/>
            <w:hideMark/>
          </w:tcPr>
          <w:p w14:paraId="6AE3D5BA" w14:textId="77777777" w:rsidR="00DF476B" w:rsidRPr="001E0513" w:rsidRDefault="00DF476B" w:rsidP="00EA30DA">
            <w:pPr>
              <w:spacing w:line="240" w:lineRule="auto"/>
              <w:jc w:val="right"/>
              <w:rPr>
                <w:rFonts w:cs="Arial"/>
                <w:color w:val="000000"/>
              </w:rPr>
            </w:pPr>
            <w:r w:rsidRPr="001E0513">
              <w:rPr>
                <w:rFonts w:cs="Arial"/>
                <w:color w:val="000000"/>
              </w:rPr>
              <w:t>872</w:t>
            </w:r>
          </w:p>
        </w:tc>
      </w:tr>
      <w:tr w:rsidR="00DF476B" w:rsidRPr="001E0513" w14:paraId="1F2E0138" w14:textId="77777777" w:rsidTr="00EA30DA">
        <w:trPr>
          <w:trHeight w:val="300"/>
          <w:jc w:val="center"/>
        </w:trPr>
        <w:tc>
          <w:tcPr>
            <w:tcW w:w="2680" w:type="dxa"/>
            <w:shd w:val="clear" w:color="auto" w:fill="auto"/>
            <w:noWrap/>
            <w:vAlign w:val="center"/>
            <w:hideMark/>
          </w:tcPr>
          <w:p w14:paraId="12CE454F" w14:textId="77777777" w:rsidR="00DF476B" w:rsidRPr="001E0513" w:rsidRDefault="00DF476B" w:rsidP="00EA30DA">
            <w:pPr>
              <w:spacing w:line="240" w:lineRule="auto"/>
              <w:rPr>
                <w:rFonts w:cs="Arial"/>
                <w:b/>
                <w:bCs/>
                <w:color w:val="000000"/>
              </w:rPr>
            </w:pPr>
            <w:r w:rsidRPr="001E0513">
              <w:rPr>
                <w:rFonts w:cs="Arial"/>
                <w:b/>
                <w:bCs/>
                <w:color w:val="000000"/>
              </w:rPr>
              <w:t>URM Clinique</w:t>
            </w:r>
          </w:p>
        </w:tc>
        <w:tc>
          <w:tcPr>
            <w:tcW w:w="3259" w:type="dxa"/>
            <w:shd w:val="clear" w:color="auto" w:fill="auto"/>
            <w:noWrap/>
            <w:vAlign w:val="center"/>
            <w:hideMark/>
          </w:tcPr>
          <w:p w14:paraId="0E4599E8" w14:textId="77777777" w:rsidR="00DF476B" w:rsidRPr="001E0513" w:rsidRDefault="00DF476B" w:rsidP="00EA30DA">
            <w:pPr>
              <w:spacing w:line="240" w:lineRule="auto"/>
              <w:jc w:val="right"/>
              <w:rPr>
                <w:rFonts w:cs="Arial"/>
                <w:color w:val="000000"/>
              </w:rPr>
            </w:pPr>
            <w:r w:rsidRPr="001E0513">
              <w:rPr>
                <w:rFonts w:cs="Arial"/>
                <w:color w:val="000000"/>
              </w:rPr>
              <w:t>1 299</w:t>
            </w:r>
          </w:p>
        </w:tc>
      </w:tr>
      <w:tr w:rsidR="00DF476B" w:rsidRPr="001E0513" w14:paraId="0C08CC2B" w14:textId="77777777" w:rsidTr="00EA30DA">
        <w:trPr>
          <w:trHeight w:val="300"/>
          <w:jc w:val="center"/>
        </w:trPr>
        <w:tc>
          <w:tcPr>
            <w:tcW w:w="2680" w:type="dxa"/>
            <w:shd w:val="clear" w:color="auto" w:fill="CCCCCC"/>
            <w:noWrap/>
            <w:vAlign w:val="center"/>
            <w:hideMark/>
          </w:tcPr>
          <w:p w14:paraId="42F19411" w14:textId="77777777" w:rsidR="00DF476B" w:rsidRPr="001E0513" w:rsidRDefault="00DF476B" w:rsidP="00EA30DA">
            <w:pPr>
              <w:spacing w:line="240" w:lineRule="auto"/>
              <w:rPr>
                <w:rFonts w:cs="Arial"/>
                <w:b/>
                <w:bCs/>
                <w:color w:val="000000"/>
              </w:rPr>
            </w:pPr>
            <w:r w:rsidRPr="001E0513">
              <w:rPr>
                <w:rFonts w:cs="Arial"/>
                <w:b/>
                <w:bCs/>
                <w:color w:val="000000"/>
              </w:rPr>
              <w:t>Service</w:t>
            </w:r>
          </w:p>
        </w:tc>
        <w:tc>
          <w:tcPr>
            <w:tcW w:w="3259" w:type="dxa"/>
            <w:shd w:val="clear" w:color="auto" w:fill="CCCCCC"/>
            <w:noWrap/>
            <w:vAlign w:val="center"/>
            <w:hideMark/>
          </w:tcPr>
          <w:p w14:paraId="48CA1808" w14:textId="77777777" w:rsidR="00DF476B" w:rsidRPr="001E0513" w:rsidRDefault="00DF476B" w:rsidP="00EA30DA">
            <w:pPr>
              <w:spacing w:line="240" w:lineRule="auto"/>
              <w:jc w:val="right"/>
              <w:rPr>
                <w:rFonts w:cs="Arial"/>
                <w:color w:val="000000"/>
              </w:rPr>
            </w:pPr>
            <w:r w:rsidRPr="001E0513">
              <w:rPr>
                <w:rFonts w:cs="Arial"/>
                <w:color w:val="000000"/>
              </w:rPr>
              <w:t>1 481</w:t>
            </w:r>
          </w:p>
        </w:tc>
      </w:tr>
      <w:tr w:rsidR="00DF476B" w:rsidRPr="001E0513" w14:paraId="4FFE4F67" w14:textId="77777777" w:rsidTr="00EA30DA">
        <w:trPr>
          <w:trHeight w:val="300"/>
          <w:jc w:val="center"/>
        </w:trPr>
        <w:tc>
          <w:tcPr>
            <w:tcW w:w="2680" w:type="dxa"/>
            <w:shd w:val="clear" w:color="auto" w:fill="auto"/>
            <w:noWrap/>
            <w:vAlign w:val="center"/>
            <w:hideMark/>
          </w:tcPr>
          <w:p w14:paraId="488D3841" w14:textId="77777777" w:rsidR="00DF476B" w:rsidRPr="001E0513" w:rsidRDefault="00DF476B" w:rsidP="00EA30DA">
            <w:pPr>
              <w:spacing w:line="240" w:lineRule="auto"/>
              <w:rPr>
                <w:rFonts w:cs="Arial"/>
                <w:b/>
                <w:bCs/>
                <w:color w:val="000000"/>
              </w:rPr>
            </w:pPr>
            <w:r w:rsidRPr="001E0513">
              <w:rPr>
                <w:rFonts w:cs="Arial"/>
                <w:b/>
                <w:bCs/>
                <w:color w:val="000000"/>
              </w:rPr>
              <w:t>UF</w:t>
            </w:r>
          </w:p>
        </w:tc>
        <w:tc>
          <w:tcPr>
            <w:tcW w:w="3259" w:type="dxa"/>
            <w:shd w:val="clear" w:color="auto" w:fill="auto"/>
            <w:noWrap/>
            <w:vAlign w:val="center"/>
            <w:hideMark/>
          </w:tcPr>
          <w:p w14:paraId="6CB3FD03" w14:textId="77777777" w:rsidR="00DF476B" w:rsidRPr="001E0513" w:rsidRDefault="00DF476B" w:rsidP="00EA30DA">
            <w:pPr>
              <w:spacing w:line="240" w:lineRule="auto"/>
              <w:jc w:val="right"/>
              <w:rPr>
                <w:rFonts w:cs="Arial"/>
                <w:color w:val="000000"/>
              </w:rPr>
            </w:pPr>
            <w:r w:rsidRPr="001E0513">
              <w:rPr>
                <w:rFonts w:cs="Arial"/>
                <w:color w:val="000000"/>
              </w:rPr>
              <w:t>3 517</w:t>
            </w:r>
          </w:p>
        </w:tc>
      </w:tr>
      <w:tr w:rsidR="00DF476B" w:rsidRPr="001E0513" w14:paraId="6B112814" w14:textId="77777777" w:rsidTr="00EA30DA">
        <w:trPr>
          <w:trHeight w:val="300"/>
          <w:jc w:val="center"/>
        </w:trPr>
        <w:tc>
          <w:tcPr>
            <w:tcW w:w="2680" w:type="dxa"/>
            <w:shd w:val="clear" w:color="auto" w:fill="CCCCCC"/>
            <w:noWrap/>
            <w:vAlign w:val="center"/>
            <w:hideMark/>
          </w:tcPr>
          <w:p w14:paraId="6A39113C" w14:textId="77777777" w:rsidR="00DF476B" w:rsidRPr="001E0513" w:rsidRDefault="00DF476B" w:rsidP="00EA30DA">
            <w:pPr>
              <w:spacing w:line="240" w:lineRule="auto"/>
              <w:rPr>
                <w:rFonts w:cs="Arial"/>
                <w:b/>
                <w:bCs/>
                <w:color w:val="000000"/>
              </w:rPr>
            </w:pPr>
            <w:r w:rsidRPr="001E0513">
              <w:rPr>
                <w:rFonts w:cs="Arial"/>
                <w:b/>
                <w:bCs/>
                <w:color w:val="000000"/>
              </w:rPr>
              <w:t>Poste de traitement</w:t>
            </w:r>
          </w:p>
        </w:tc>
        <w:tc>
          <w:tcPr>
            <w:tcW w:w="3259" w:type="dxa"/>
            <w:shd w:val="clear" w:color="auto" w:fill="CCCCCC"/>
            <w:noWrap/>
            <w:vAlign w:val="center"/>
            <w:hideMark/>
          </w:tcPr>
          <w:p w14:paraId="2A571D70" w14:textId="77777777" w:rsidR="00DF476B" w:rsidRPr="001E0513" w:rsidRDefault="00DF476B" w:rsidP="00EA30DA">
            <w:pPr>
              <w:spacing w:line="240" w:lineRule="auto"/>
              <w:jc w:val="right"/>
              <w:rPr>
                <w:rFonts w:cs="Arial"/>
                <w:color w:val="000000"/>
              </w:rPr>
            </w:pPr>
            <w:r w:rsidRPr="001E0513">
              <w:rPr>
                <w:rFonts w:cs="Arial"/>
                <w:color w:val="000000"/>
              </w:rPr>
              <w:t>2 973</w:t>
            </w:r>
          </w:p>
        </w:tc>
      </w:tr>
      <w:tr w:rsidR="00DF476B" w:rsidRPr="001E0513" w14:paraId="741323E8" w14:textId="77777777" w:rsidTr="00EA30DA">
        <w:trPr>
          <w:trHeight w:val="300"/>
          <w:jc w:val="center"/>
        </w:trPr>
        <w:tc>
          <w:tcPr>
            <w:tcW w:w="2680" w:type="dxa"/>
            <w:shd w:val="clear" w:color="auto" w:fill="auto"/>
            <w:noWrap/>
            <w:vAlign w:val="center"/>
            <w:hideMark/>
          </w:tcPr>
          <w:p w14:paraId="0C3B71AB" w14:textId="77777777" w:rsidR="00DF476B" w:rsidRPr="001E0513" w:rsidRDefault="00DF476B" w:rsidP="00EA30DA">
            <w:pPr>
              <w:spacing w:line="240" w:lineRule="auto"/>
              <w:rPr>
                <w:rFonts w:cs="Arial"/>
                <w:b/>
                <w:bCs/>
                <w:color w:val="000000"/>
              </w:rPr>
            </w:pPr>
            <w:r w:rsidRPr="001E0513">
              <w:rPr>
                <w:rFonts w:cs="Arial"/>
                <w:b/>
                <w:bCs/>
                <w:color w:val="000000"/>
              </w:rPr>
              <w:t>Chambre</w:t>
            </w:r>
          </w:p>
        </w:tc>
        <w:tc>
          <w:tcPr>
            <w:tcW w:w="3259" w:type="dxa"/>
            <w:shd w:val="clear" w:color="auto" w:fill="auto"/>
            <w:noWrap/>
            <w:vAlign w:val="center"/>
            <w:hideMark/>
          </w:tcPr>
          <w:p w14:paraId="5F845DE6" w14:textId="77777777" w:rsidR="00DF476B" w:rsidRPr="001E0513" w:rsidRDefault="00DF476B" w:rsidP="00EA30DA">
            <w:pPr>
              <w:spacing w:line="240" w:lineRule="auto"/>
              <w:jc w:val="right"/>
              <w:rPr>
                <w:rFonts w:cs="Arial"/>
                <w:color w:val="000000"/>
              </w:rPr>
            </w:pPr>
            <w:r w:rsidRPr="001E0513">
              <w:rPr>
                <w:rFonts w:cs="Arial"/>
                <w:color w:val="000000"/>
              </w:rPr>
              <w:t>28 978</w:t>
            </w:r>
          </w:p>
        </w:tc>
      </w:tr>
      <w:tr w:rsidR="00DF476B" w:rsidRPr="001E0513" w14:paraId="27495132" w14:textId="77777777" w:rsidTr="00EA30DA">
        <w:trPr>
          <w:trHeight w:val="300"/>
          <w:jc w:val="center"/>
        </w:trPr>
        <w:tc>
          <w:tcPr>
            <w:tcW w:w="2680" w:type="dxa"/>
            <w:shd w:val="clear" w:color="auto" w:fill="CCCCCC"/>
            <w:noWrap/>
            <w:vAlign w:val="center"/>
            <w:hideMark/>
          </w:tcPr>
          <w:p w14:paraId="1D5575F1" w14:textId="77777777" w:rsidR="00DF476B" w:rsidRPr="001E0513" w:rsidRDefault="00DF476B" w:rsidP="00EA30DA">
            <w:pPr>
              <w:spacing w:line="240" w:lineRule="auto"/>
              <w:rPr>
                <w:rFonts w:cs="Arial"/>
                <w:b/>
                <w:bCs/>
                <w:color w:val="000000"/>
              </w:rPr>
            </w:pPr>
            <w:r w:rsidRPr="001E0513">
              <w:rPr>
                <w:rFonts w:cs="Arial"/>
                <w:b/>
                <w:bCs/>
                <w:color w:val="000000"/>
              </w:rPr>
              <w:t>Lit</w:t>
            </w:r>
          </w:p>
        </w:tc>
        <w:tc>
          <w:tcPr>
            <w:tcW w:w="3259" w:type="dxa"/>
            <w:shd w:val="clear" w:color="auto" w:fill="CCCCCC"/>
            <w:noWrap/>
            <w:vAlign w:val="center"/>
            <w:hideMark/>
          </w:tcPr>
          <w:p w14:paraId="729A5F5C" w14:textId="77777777" w:rsidR="00DF476B" w:rsidRPr="001E0513" w:rsidRDefault="00DF476B" w:rsidP="00EA30DA">
            <w:pPr>
              <w:spacing w:line="240" w:lineRule="auto"/>
              <w:jc w:val="right"/>
              <w:rPr>
                <w:rFonts w:cs="Arial"/>
                <w:color w:val="000000"/>
              </w:rPr>
            </w:pPr>
            <w:r w:rsidRPr="001E0513">
              <w:rPr>
                <w:rFonts w:cs="Arial"/>
                <w:color w:val="000000"/>
              </w:rPr>
              <w:t>37 756</w:t>
            </w:r>
          </w:p>
        </w:tc>
      </w:tr>
      <w:tr w:rsidR="00DF476B" w:rsidRPr="001E0513" w14:paraId="4F87D718" w14:textId="77777777" w:rsidTr="00EA30DA">
        <w:trPr>
          <w:trHeight w:val="420"/>
          <w:jc w:val="center"/>
        </w:trPr>
        <w:tc>
          <w:tcPr>
            <w:tcW w:w="2680" w:type="dxa"/>
            <w:shd w:val="clear" w:color="auto" w:fill="auto"/>
            <w:noWrap/>
            <w:vAlign w:val="center"/>
            <w:hideMark/>
          </w:tcPr>
          <w:p w14:paraId="42BCBFE8" w14:textId="77777777" w:rsidR="00DF476B" w:rsidRPr="001E0513" w:rsidRDefault="00DF476B" w:rsidP="00EA30DA">
            <w:pPr>
              <w:spacing w:line="240" w:lineRule="auto"/>
              <w:rPr>
                <w:rFonts w:cs="Arial"/>
                <w:b/>
                <w:bCs/>
                <w:color w:val="000000"/>
              </w:rPr>
            </w:pPr>
            <w:r w:rsidRPr="001E0513">
              <w:rPr>
                <w:rFonts w:cs="Arial"/>
                <w:b/>
                <w:bCs/>
                <w:color w:val="000000"/>
              </w:rPr>
              <w:t>Total</w:t>
            </w:r>
          </w:p>
        </w:tc>
        <w:tc>
          <w:tcPr>
            <w:tcW w:w="3259" w:type="dxa"/>
            <w:shd w:val="clear" w:color="auto" w:fill="auto"/>
            <w:noWrap/>
            <w:vAlign w:val="center"/>
            <w:hideMark/>
          </w:tcPr>
          <w:p w14:paraId="5E1B11D4" w14:textId="77777777" w:rsidR="00DF476B" w:rsidRPr="001E0513" w:rsidRDefault="00DF476B" w:rsidP="00EA30DA">
            <w:pPr>
              <w:spacing w:line="240" w:lineRule="auto"/>
              <w:jc w:val="right"/>
              <w:rPr>
                <w:rFonts w:cs="Arial"/>
                <w:color w:val="000000"/>
              </w:rPr>
            </w:pPr>
            <w:r w:rsidRPr="001E0513">
              <w:rPr>
                <w:rFonts w:cs="Arial"/>
                <w:color w:val="000000"/>
              </w:rPr>
              <w:t>117 719</w:t>
            </w:r>
          </w:p>
        </w:tc>
      </w:tr>
    </w:tbl>
    <w:p w14:paraId="29538ED5" w14:textId="77777777" w:rsidR="00DF476B" w:rsidRPr="001E0513" w:rsidRDefault="00DF476B" w:rsidP="00DF476B">
      <w:pPr>
        <w:rPr>
          <w:rFonts w:cs="Arial"/>
        </w:rPr>
      </w:pPr>
    </w:p>
    <w:p w14:paraId="059B566D" w14:textId="77777777" w:rsidR="00DF476B" w:rsidRPr="001E0513" w:rsidRDefault="00DF476B" w:rsidP="00DF476B">
      <w:pPr>
        <w:rPr>
          <w:rFonts w:cs="Arial"/>
        </w:rPr>
      </w:pPr>
      <w:r w:rsidRPr="001E0513">
        <w:rPr>
          <w:rFonts w:cs="Arial"/>
        </w:rPr>
        <w:t>* : Les niveaux de structures de l'axe géographique sont alimentés uniquement pour les établissements déployés.</w:t>
      </w:r>
    </w:p>
    <w:p w14:paraId="334F4D4B" w14:textId="77777777" w:rsidR="00DF476B" w:rsidRPr="001E0513" w:rsidRDefault="00DF476B" w:rsidP="00DF476B">
      <w:pPr>
        <w:tabs>
          <w:tab w:val="left" w:pos="0"/>
        </w:tabs>
        <w:jc w:val="both"/>
        <w:rPr>
          <w:rStyle w:val="lev"/>
        </w:rPr>
      </w:pPr>
    </w:p>
    <w:p w14:paraId="04550AD8" w14:textId="77777777" w:rsidR="00DF476B" w:rsidRPr="001E0513" w:rsidRDefault="00DF476B" w:rsidP="00DF476B">
      <w:pPr>
        <w:tabs>
          <w:tab w:val="left" w:pos="0"/>
        </w:tabs>
        <w:jc w:val="both"/>
        <w:rPr>
          <w:rStyle w:val="lev"/>
        </w:rPr>
      </w:pPr>
      <w:r w:rsidRPr="001E0513">
        <w:rPr>
          <w:rStyle w:val="lev"/>
        </w:rPr>
        <w:t>IV-4-2 GAIAP</w:t>
      </w:r>
    </w:p>
    <w:p w14:paraId="4D8DB6B7" w14:textId="77777777" w:rsidR="00DF476B" w:rsidRPr="001E0513" w:rsidRDefault="00DF476B" w:rsidP="00DF476B">
      <w:pPr>
        <w:jc w:val="both"/>
      </w:pPr>
      <w:r w:rsidRPr="001E0513">
        <w:t>L’AP-HP met en œuvre un logiciel de gestion des identités et des accès pour son système d’information. Ce système est dénommé GAIAP ou gestion des identités et des accès pour l’AP-HP.</w:t>
      </w:r>
    </w:p>
    <w:p w14:paraId="50A777CD" w14:textId="77777777" w:rsidR="00DF476B" w:rsidRPr="001E0513" w:rsidRDefault="00DF476B" w:rsidP="00DF476B">
      <w:pPr>
        <w:jc w:val="both"/>
      </w:pPr>
      <w:r w:rsidRPr="001E0513">
        <w:t>GAIAP a pour objectif d’être le référentiel unique des identités des professionnels accédant au système d’information mais aussi aux locaux de l’Institution. Il s’agit soit des personnels soit des tiers tels que les prestataires, les associations de patients… Les patients et leurs accompagnants ne sont pas gérés par GAIAP.</w:t>
      </w:r>
    </w:p>
    <w:p w14:paraId="43ABCDD6" w14:textId="77777777" w:rsidR="00DF476B" w:rsidRPr="001E0513" w:rsidRDefault="00DF476B" w:rsidP="00DF476B">
      <w:pPr>
        <w:jc w:val="both"/>
      </w:pPr>
      <w:r w:rsidRPr="001E0513">
        <w:t>Pour les personnels AP-HP, GAIAP est mis à jour quotidiennement avec le système de gestion du personnel. Pour les tiers, une interface graphique de saisie est mise à disposition des personnels habilités pour la création de leur identité numérique.</w:t>
      </w:r>
    </w:p>
    <w:p w14:paraId="310466D5" w14:textId="77777777" w:rsidR="00DF476B" w:rsidRPr="001E0513" w:rsidRDefault="00DF476B" w:rsidP="00DF476B">
      <w:pPr>
        <w:jc w:val="both"/>
      </w:pPr>
      <w:r w:rsidRPr="001E0513">
        <w:t xml:space="preserve">L’identité numérique comporte un identifiant unique constitué du matricule pour les personnels. Le matricule court est un nombre entier naturel positif inférieur à 7 000 000. Pour les tiers, l’identifiant unique un constitué d’un nombre commençant par 7 </w:t>
      </w:r>
      <w:proofErr w:type="gramStart"/>
      <w:r w:rsidRPr="001E0513">
        <w:t>suivi</w:t>
      </w:r>
      <w:proofErr w:type="gramEnd"/>
      <w:r w:rsidRPr="001E0513">
        <w:t xml:space="preserve"> de 6 chiffres ou 8 suivi de 6 chiffres dans le cas de la DSFP.</w:t>
      </w:r>
    </w:p>
    <w:p w14:paraId="10E9B5ED" w14:textId="77777777" w:rsidR="00DF476B" w:rsidRPr="001E0513" w:rsidRDefault="00DF476B" w:rsidP="00DF476B">
      <w:pPr>
        <w:jc w:val="both"/>
      </w:pPr>
      <w:r w:rsidRPr="001E0513">
        <w:t>GAIAP automatise le processus de commande initiale, renouvellement ou révocation des cartes CPE/CPS auprès de l’ASIP Santé.</w:t>
      </w:r>
    </w:p>
    <w:p w14:paraId="70F4EF94" w14:textId="77777777" w:rsidR="00DF476B" w:rsidRPr="001E0513" w:rsidRDefault="00DF476B" w:rsidP="00DF476B">
      <w:pPr>
        <w:jc w:val="both"/>
      </w:pPr>
      <w:r w:rsidRPr="001E0513">
        <w:lastRenderedPageBreak/>
        <w:t xml:space="preserve">GAIAP assure la personnalisation graphique des cartes CPE/CPS/Tiers/Visiteurs en pilotant les imprimantes thermiques DATACARD CD800 et SIGMA DS3, avec </w:t>
      </w:r>
      <w:proofErr w:type="spellStart"/>
      <w:r w:rsidRPr="001E0513">
        <w:t>laminateur</w:t>
      </w:r>
      <w:proofErr w:type="spellEnd"/>
      <w:r w:rsidRPr="001E0513">
        <w:t>, des 45 bureaux de cartes sur site.</w:t>
      </w:r>
    </w:p>
    <w:p w14:paraId="7F980097" w14:textId="77777777" w:rsidR="00DF476B" w:rsidRPr="001E0513" w:rsidRDefault="00DF476B" w:rsidP="00DF476B">
      <w:pPr>
        <w:jc w:val="both"/>
      </w:pPr>
      <w:r w:rsidRPr="001E0513">
        <w:t>GAIAP est interfacé au travers d’un produit spécialisé de type ETL (</w:t>
      </w:r>
      <w:proofErr w:type="spellStart"/>
      <w:r w:rsidRPr="001E0513">
        <w:t>extract</w:t>
      </w:r>
      <w:proofErr w:type="spellEnd"/>
      <w:r w:rsidRPr="001E0513">
        <w:t xml:space="preserve"> </w:t>
      </w:r>
      <w:proofErr w:type="spellStart"/>
      <w:r w:rsidRPr="001E0513">
        <w:t>load</w:t>
      </w:r>
      <w:proofErr w:type="spellEnd"/>
      <w:r w:rsidRPr="001E0513">
        <w:t xml:space="preserve"> </w:t>
      </w:r>
      <w:proofErr w:type="spellStart"/>
      <w:r w:rsidRPr="001E0513">
        <w:t>transform</w:t>
      </w:r>
      <w:proofErr w:type="spellEnd"/>
      <w:r w:rsidRPr="001E0513">
        <w:t>,) à des systèmes tiers et notamment aux dispositifs de contrôle d’accès physique du présent accord cadre. L’interface peut être uni ou bidirectionnelle. Sa fréquence de mise en œuvre est quotidienne avec un déclenchement par défaut après 5H00 du matin, pour intégrer les mises à jour réalisées dans le logiciel de gestion des ressources humaines.</w:t>
      </w:r>
    </w:p>
    <w:p w14:paraId="055B9C91" w14:textId="77777777" w:rsidR="00DF476B" w:rsidRPr="001E0513" w:rsidRDefault="00DF476B" w:rsidP="00DF476B">
      <w:pPr>
        <w:jc w:val="both"/>
      </w:pPr>
      <w:r w:rsidRPr="001E0513">
        <w:t>GAIAP fournit des fichiers mensuels sur la liste des personnels ayant un statut « actif » par GHU. Les personnels non actifs, sont réputés perdre leur droit d’accès aux locaux (en accord avec les règles définies par le GHU).</w:t>
      </w:r>
    </w:p>
    <w:p w14:paraId="269215F5" w14:textId="77777777" w:rsidR="00DF476B" w:rsidRPr="001E0513" w:rsidRDefault="00DF476B" w:rsidP="00DF476B">
      <w:pPr>
        <w:jc w:val="both"/>
      </w:pPr>
      <w:r w:rsidRPr="001E0513">
        <w:t>GAIAP fournit également des fichiers quotidiennement par GHU sur la liste des personnels en mouvement par rapport au fichier mensuel. Le mouvement est soit une fin d’activité (changement de statut), soit une mutation (changement de site, de service). Le fichier Mouvement cumul journellement les évènements de changement jusqu’à la fin du mois.</w:t>
      </w:r>
    </w:p>
    <w:p w14:paraId="4D612315" w14:textId="6CB249E0" w:rsidR="00DF476B" w:rsidRPr="001E0513" w:rsidRDefault="00DF476B" w:rsidP="00DF476B">
      <w:pPr>
        <w:jc w:val="both"/>
        <w:rPr>
          <w:rFonts w:cs="Arial"/>
        </w:rPr>
      </w:pPr>
      <w:r w:rsidRPr="001E0513">
        <w:rPr>
          <w:rFonts w:cs="Arial"/>
        </w:rPr>
        <w:t xml:space="preserve">Les fichiers des Présents et des mouvements contiennent depuis octobre 2021 un champ pour recevoir l’identifiant RFID de la Carte de la personne (carte avec fonction sans-contact), Ce champ n’est complété de la valeur de l’identifiant RFID de la carte que lorsque l’enrôlement SSO a été effectuée par son propriétaire. </w:t>
      </w:r>
    </w:p>
    <w:p w14:paraId="0EC90D5D" w14:textId="77777777" w:rsidR="00EA30DA" w:rsidRPr="001E0513" w:rsidRDefault="00EA30DA" w:rsidP="00DF476B">
      <w:pPr>
        <w:jc w:val="both"/>
        <w:rPr>
          <w:rFonts w:cs="Arial"/>
        </w:rPr>
      </w:pPr>
    </w:p>
    <w:p w14:paraId="228BB69F" w14:textId="77777777" w:rsidR="00DF476B" w:rsidRPr="001E0513" w:rsidRDefault="00DF476B" w:rsidP="00DF476B">
      <w:pPr>
        <w:jc w:val="both"/>
        <w:rPr>
          <w:rStyle w:val="Rfrenceintense"/>
          <w:sz w:val="24"/>
        </w:rPr>
      </w:pPr>
      <w:bookmarkStart w:id="30" w:name="_Toc388528794"/>
      <w:bookmarkStart w:id="31" w:name="_Toc389759262"/>
      <w:r w:rsidRPr="001E0513">
        <w:rPr>
          <w:rStyle w:val="Rfrenceintense"/>
          <w:sz w:val="24"/>
        </w:rPr>
        <w:t>IV-4-3 Gestion des vulnérabilités techniques</w:t>
      </w:r>
      <w:bookmarkEnd w:id="30"/>
      <w:bookmarkEnd w:id="31"/>
    </w:p>
    <w:p w14:paraId="64E9AB01" w14:textId="1E94E04D" w:rsidR="00DF476B" w:rsidRPr="001E0513" w:rsidRDefault="00DF476B" w:rsidP="00DF476B">
      <w:pPr>
        <w:jc w:val="both"/>
        <w:rPr>
          <w:rFonts w:cs="Arial"/>
        </w:rPr>
      </w:pPr>
      <w:r w:rsidRPr="001E0513">
        <w:rPr>
          <w:rFonts w:cs="Arial"/>
        </w:rPr>
        <w:t>L’AP-HP procède à une recherche périodique des vulnérabilités techniques de son système d’information. Elle utilise le référentiel COMMON VULNERABILITY SCORING SYSTEM (CVSS) en version 2.0 du NATIONAL INSTITUTE OF STANDARDS AND TECHNOLOGY (NIST), et notamment le guide de mise en œuvre « CVSS IMPLEMENTATION GUIDANCE » pour caractériser les vulnérabilités techniques.</w:t>
      </w:r>
    </w:p>
    <w:p w14:paraId="506DB593" w14:textId="77777777" w:rsidR="00EA30DA" w:rsidRPr="001E0513" w:rsidRDefault="00EA30DA" w:rsidP="00DF476B">
      <w:pPr>
        <w:jc w:val="both"/>
        <w:rPr>
          <w:rFonts w:cs="Arial"/>
        </w:rPr>
      </w:pPr>
    </w:p>
    <w:p w14:paraId="73523CDF" w14:textId="77777777" w:rsidR="00DF476B" w:rsidRPr="001E0513" w:rsidRDefault="00DF476B" w:rsidP="00DF476B">
      <w:pPr>
        <w:jc w:val="both"/>
        <w:rPr>
          <w:rStyle w:val="Rfrenceintense"/>
          <w:sz w:val="24"/>
        </w:rPr>
      </w:pPr>
      <w:bookmarkStart w:id="32" w:name="_Toc388528795"/>
      <w:bookmarkStart w:id="33" w:name="_Toc389759263"/>
      <w:r w:rsidRPr="001E0513">
        <w:rPr>
          <w:rStyle w:val="Rfrenceintense"/>
          <w:sz w:val="24"/>
        </w:rPr>
        <w:t>Vulnérabilités techniques de la solution</w:t>
      </w:r>
      <w:bookmarkEnd w:id="32"/>
      <w:bookmarkEnd w:id="33"/>
    </w:p>
    <w:p w14:paraId="34F62C5A" w14:textId="77777777" w:rsidR="00DF476B" w:rsidRPr="001E0513" w:rsidRDefault="00DF476B" w:rsidP="00DF476B">
      <w:pPr>
        <w:jc w:val="both"/>
        <w:rPr>
          <w:rFonts w:cs="Arial"/>
        </w:rPr>
      </w:pPr>
      <w:r w:rsidRPr="001E0513">
        <w:rPr>
          <w:rFonts w:cs="Arial"/>
        </w:rPr>
        <w:t>Une vulnérabilité technique de la solution, qui a les caractéristiques suivantes :</w:t>
      </w:r>
    </w:p>
    <w:p w14:paraId="63103D8D" w14:textId="77777777" w:rsidR="00DF476B" w:rsidRPr="001E0513" w:rsidRDefault="00DF476B" w:rsidP="00DF476B">
      <w:pPr>
        <w:numPr>
          <w:ilvl w:val="0"/>
          <w:numId w:val="35"/>
        </w:numPr>
        <w:spacing w:after="0" w:line="276" w:lineRule="auto"/>
        <w:jc w:val="both"/>
        <w:rPr>
          <w:rFonts w:cs="Arial"/>
        </w:rPr>
      </w:pPr>
      <w:r w:rsidRPr="001E0513">
        <w:rPr>
          <w:rFonts w:cs="Arial"/>
        </w:rPr>
        <w:t>Vecteur d’attaque (ACCESS VECTOR) = Réseau (NETWORK) ;</w:t>
      </w:r>
    </w:p>
    <w:p w14:paraId="011647A8" w14:textId="77777777" w:rsidR="00DF476B" w:rsidRPr="001E0513" w:rsidRDefault="00DF476B" w:rsidP="00DF476B">
      <w:pPr>
        <w:numPr>
          <w:ilvl w:val="0"/>
          <w:numId w:val="35"/>
        </w:numPr>
        <w:spacing w:after="0" w:line="276" w:lineRule="auto"/>
        <w:jc w:val="both"/>
        <w:rPr>
          <w:rFonts w:cs="Arial"/>
        </w:rPr>
      </w:pPr>
      <w:r w:rsidRPr="001E0513">
        <w:rPr>
          <w:rFonts w:cs="Arial"/>
        </w:rPr>
        <w:t>Complexité d’exploitation (ACCESS COMPLEXITY) inférieure ou égale à moyen (MEDIUM) ;</w:t>
      </w:r>
    </w:p>
    <w:p w14:paraId="4EC7AE0E" w14:textId="77777777" w:rsidR="00DF476B" w:rsidRPr="001E0513" w:rsidRDefault="00DF476B" w:rsidP="00DF476B">
      <w:pPr>
        <w:numPr>
          <w:ilvl w:val="0"/>
          <w:numId w:val="35"/>
        </w:numPr>
        <w:spacing w:after="0" w:line="276" w:lineRule="auto"/>
        <w:jc w:val="both"/>
        <w:rPr>
          <w:rFonts w:cs="Arial"/>
        </w:rPr>
      </w:pPr>
      <w:r w:rsidRPr="001E0513">
        <w:rPr>
          <w:rFonts w:cs="Arial"/>
        </w:rPr>
        <w:t>Authentification = non nécessaire (NONE) ;</w:t>
      </w:r>
    </w:p>
    <w:p w14:paraId="5D6D2780" w14:textId="77777777" w:rsidR="00DF476B" w:rsidRPr="001E0513" w:rsidRDefault="00DF476B" w:rsidP="00DF476B">
      <w:pPr>
        <w:numPr>
          <w:ilvl w:val="0"/>
          <w:numId w:val="35"/>
        </w:numPr>
        <w:spacing w:after="0" w:line="276" w:lineRule="auto"/>
        <w:jc w:val="both"/>
        <w:rPr>
          <w:rFonts w:cs="Arial"/>
        </w:rPr>
      </w:pPr>
      <w:r w:rsidRPr="001E0513">
        <w:rPr>
          <w:rFonts w:cs="Arial"/>
        </w:rPr>
        <w:t>Impact sur la confidentialité, l’intégrité ou la disponibilité supérieure ou égale à partiel (PARTIAL).</w:t>
      </w:r>
    </w:p>
    <w:p w14:paraId="3F914BB1" w14:textId="0F834C8F" w:rsidR="00DF476B" w:rsidRDefault="00DF476B" w:rsidP="00DF476B">
      <w:pPr>
        <w:jc w:val="both"/>
        <w:rPr>
          <w:rFonts w:cs="Arial"/>
          <w:b/>
        </w:rPr>
      </w:pPr>
      <w:r w:rsidRPr="001E0513">
        <w:rPr>
          <w:rFonts w:cs="Arial"/>
          <w:b/>
        </w:rPr>
        <w:t>Est considérée comme un incident bloquant.</w:t>
      </w:r>
    </w:p>
    <w:p w14:paraId="3B1CC777" w14:textId="16CF6ED1" w:rsidR="00AB6394" w:rsidRDefault="00AB6394" w:rsidP="00DF476B">
      <w:pPr>
        <w:jc w:val="both"/>
        <w:rPr>
          <w:rFonts w:cs="Arial"/>
          <w:b/>
        </w:rPr>
      </w:pPr>
    </w:p>
    <w:p w14:paraId="2EDB1015" w14:textId="77777777" w:rsidR="00AB6394" w:rsidRPr="001E0513" w:rsidRDefault="00AB6394" w:rsidP="00DF476B">
      <w:pPr>
        <w:jc w:val="both"/>
        <w:rPr>
          <w:rFonts w:cs="Arial"/>
          <w:b/>
        </w:rPr>
      </w:pPr>
    </w:p>
    <w:p w14:paraId="4411983F" w14:textId="77777777" w:rsidR="00DF476B" w:rsidRPr="001E0513" w:rsidRDefault="00DF476B" w:rsidP="00DF476B">
      <w:pPr>
        <w:jc w:val="both"/>
        <w:rPr>
          <w:rFonts w:cs="Arial"/>
        </w:rPr>
      </w:pPr>
      <w:r w:rsidRPr="001E0513">
        <w:rPr>
          <w:rFonts w:cs="Arial"/>
        </w:rPr>
        <w:lastRenderedPageBreak/>
        <w:t>Les vulnérabilités techniques de la solution qui auraient les caractéristiques suivantes :</w:t>
      </w:r>
    </w:p>
    <w:p w14:paraId="720A85A5" w14:textId="77777777" w:rsidR="00DF476B" w:rsidRPr="001E0513" w:rsidRDefault="00DF476B" w:rsidP="00DF476B">
      <w:pPr>
        <w:numPr>
          <w:ilvl w:val="0"/>
          <w:numId w:val="36"/>
        </w:numPr>
        <w:spacing w:after="0" w:line="276" w:lineRule="auto"/>
        <w:jc w:val="both"/>
        <w:rPr>
          <w:rFonts w:cs="Arial"/>
        </w:rPr>
      </w:pPr>
      <w:r w:rsidRPr="001E0513">
        <w:rPr>
          <w:rFonts w:cs="Arial"/>
        </w:rPr>
        <w:t>Vecteur d’attaque (ACCESS VECTOR) = réseau adjacent (ADJACENT NETWORK) ;</w:t>
      </w:r>
    </w:p>
    <w:p w14:paraId="18B60634" w14:textId="77777777" w:rsidR="00DF476B" w:rsidRPr="001E0513" w:rsidRDefault="00DF476B" w:rsidP="00DF476B">
      <w:pPr>
        <w:numPr>
          <w:ilvl w:val="0"/>
          <w:numId w:val="36"/>
        </w:numPr>
        <w:spacing w:after="0" w:line="276" w:lineRule="auto"/>
        <w:jc w:val="both"/>
        <w:rPr>
          <w:rFonts w:cs="Arial"/>
        </w:rPr>
      </w:pPr>
      <w:r w:rsidRPr="001E0513">
        <w:rPr>
          <w:rFonts w:cs="Arial"/>
        </w:rPr>
        <w:t>Quelle que soit la complexité d’exploitation ;</w:t>
      </w:r>
    </w:p>
    <w:p w14:paraId="1A18A4BA" w14:textId="77777777" w:rsidR="00DF476B" w:rsidRPr="001E0513" w:rsidRDefault="00DF476B" w:rsidP="00DF476B">
      <w:pPr>
        <w:numPr>
          <w:ilvl w:val="0"/>
          <w:numId w:val="36"/>
        </w:numPr>
        <w:spacing w:after="0" w:line="276" w:lineRule="auto"/>
        <w:jc w:val="both"/>
        <w:rPr>
          <w:rFonts w:cs="Arial"/>
        </w:rPr>
      </w:pPr>
      <w:r w:rsidRPr="001E0513">
        <w:rPr>
          <w:rFonts w:cs="Arial"/>
        </w:rPr>
        <w:t>Avec ou sans authentification ;</w:t>
      </w:r>
    </w:p>
    <w:p w14:paraId="3E743103" w14:textId="77777777" w:rsidR="00DF476B" w:rsidRPr="001E0513" w:rsidRDefault="00DF476B" w:rsidP="00DF476B">
      <w:pPr>
        <w:numPr>
          <w:ilvl w:val="0"/>
          <w:numId w:val="36"/>
        </w:numPr>
        <w:spacing w:after="0" w:line="276" w:lineRule="auto"/>
        <w:jc w:val="both"/>
        <w:rPr>
          <w:rFonts w:cs="Arial"/>
        </w:rPr>
      </w:pPr>
      <w:r w:rsidRPr="001E0513">
        <w:rPr>
          <w:rFonts w:cs="Arial"/>
        </w:rPr>
        <w:t>Impact sur la confidentialité, l’intégrité ou la disponibilité supérieure ou égale à partiel (PARTIAL).</w:t>
      </w:r>
    </w:p>
    <w:p w14:paraId="0A8917D6" w14:textId="77777777" w:rsidR="00DF476B" w:rsidRPr="001E0513" w:rsidRDefault="00DF476B" w:rsidP="00DF476B">
      <w:pPr>
        <w:jc w:val="both"/>
        <w:rPr>
          <w:rFonts w:cs="Arial"/>
          <w:b/>
        </w:rPr>
      </w:pPr>
      <w:r w:rsidRPr="001E0513">
        <w:rPr>
          <w:rFonts w:cs="Arial"/>
          <w:b/>
        </w:rPr>
        <w:t>Sont considérées comme des incidents majeurs.</w:t>
      </w:r>
    </w:p>
    <w:p w14:paraId="486414C1" w14:textId="77777777" w:rsidR="00DF476B" w:rsidRPr="001E0513" w:rsidRDefault="00DF476B" w:rsidP="00DF476B">
      <w:pPr>
        <w:jc w:val="both"/>
        <w:rPr>
          <w:rFonts w:cs="Arial"/>
        </w:rPr>
      </w:pPr>
      <w:r w:rsidRPr="001E0513">
        <w:rPr>
          <w:rFonts w:cs="Arial"/>
        </w:rPr>
        <w:t>Les autres vulnérabilités techniques de la solution sont considérées comme des incidents mineurs.</w:t>
      </w:r>
    </w:p>
    <w:p w14:paraId="427D09CD" w14:textId="77777777" w:rsidR="00DF476B" w:rsidRPr="001E0513" w:rsidRDefault="00DF476B" w:rsidP="00DF476B">
      <w:pPr>
        <w:jc w:val="both"/>
        <w:rPr>
          <w:rStyle w:val="Rfrenceintense"/>
          <w:sz w:val="24"/>
        </w:rPr>
      </w:pPr>
      <w:bookmarkStart w:id="34" w:name="_Toc388528796"/>
      <w:bookmarkStart w:id="35" w:name="_Toc389759264"/>
      <w:r w:rsidRPr="001E0513">
        <w:rPr>
          <w:rStyle w:val="Rfrenceintense"/>
          <w:sz w:val="24"/>
        </w:rPr>
        <w:t>Vulnérabilités techniques de l’environnement</w:t>
      </w:r>
      <w:bookmarkEnd w:id="34"/>
      <w:bookmarkEnd w:id="35"/>
    </w:p>
    <w:p w14:paraId="51EDE792" w14:textId="77777777" w:rsidR="00DF476B" w:rsidRPr="001E0513" w:rsidRDefault="00DF476B" w:rsidP="00DF476B">
      <w:pPr>
        <w:jc w:val="both"/>
        <w:rPr>
          <w:rFonts w:cs="Arial"/>
        </w:rPr>
      </w:pPr>
      <w:r w:rsidRPr="001E0513">
        <w:rPr>
          <w:rFonts w:cs="Arial"/>
        </w:rPr>
        <w:t>L’AP-HP met en œuvre un plan de maintenance préventive des composants technologiques sous-jacent de la solution (Systèmes d’exploitation, base de données…) en appliquant périodiquement les correctifs de sécurité publiés par les éditeurs.</w:t>
      </w:r>
    </w:p>
    <w:p w14:paraId="2ED9ADAC" w14:textId="77777777" w:rsidR="00DF476B" w:rsidRPr="001E0513" w:rsidRDefault="00DF476B" w:rsidP="00DF476B">
      <w:pPr>
        <w:jc w:val="both"/>
        <w:rPr>
          <w:rFonts w:cs="Arial"/>
        </w:rPr>
      </w:pPr>
      <w:r w:rsidRPr="001E0513">
        <w:rPr>
          <w:rFonts w:cs="Arial"/>
        </w:rPr>
        <w:t>La période de mise à jour par défaut est le trimestre, exceptée pour les vulnérabilités techniques, dont le vecteur d’attaque (ACCESS VECTOR) est égal à Réseau (NETWORK) et l’authentification est non nécessaire (NONE), qui sont comblées sans délai.</w:t>
      </w:r>
    </w:p>
    <w:p w14:paraId="6FE86CF5" w14:textId="77777777" w:rsidR="00DF476B" w:rsidRPr="001E0513" w:rsidRDefault="00DF476B" w:rsidP="00DF476B">
      <w:pPr>
        <w:jc w:val="both"/>
        <w:rPr>
          <w:rFonts w:cs="Arial"/>
        </w:rPr>
      </w:pPr>
      <w:r w:rsidRPr="001E0513">
        <w:rPr>
          <w:rFonts w:cs="Arial"/>
        </w:rPr>
        <w:t xml:space="preserve">Le Titulaire garantit le bon fonctionnement de sa solution dans le cadre de ce plan de maintenance. En cas de dysfonctionnement de la solution, l’origine de l’incident est imputable à la solution et par la même, au Titulaire et </w:t>
      </w:r>
      <w:r w:rsidRPr="001E0513">
        <w:rPr>
          <w:rFonts w:cs="Arial"/>
          <w:u w:val="single"/>
        </w:rPr>
        <w:t>non pas</w:t>
      </w:r>
      <w:r w:rsidRPr="001E0513">
        <w:rPr>
          <w:rFonts w:cs="Arial"/>
        </w:rPr>
        <w:t xml:space="preserve"> aux composants technologiques sous-jacents.</w:t>
      </w:r>
    </w:p>
    <w:p w14:paraId="42A8EC2A" w14:textId="77777777" w:rsidR="00DF476B" w:rsidRPr="001E0513" w:rsidRDefault="00DF476B" w:rsidP="00DF476B">
      <w:pPr>
        <w:jc w:val="both"/>
        <w:rPr>
          <w:rStyle w:val="Rfrenceintense"/>
          <w:sz w:val="24"/>
        </w:rPr>
      </w:pPr>
      <w:bookmarkStart w:id="36" w:name="_Hlk498281034"/>
      <w:bookmarkStart w:id="37" w:name="_Toc389759256"/>
      <w:bookmarkStart w:id="38" w:name="_Toc389759273"/>
      <w:r w:rsidRPr="001E0513">
        <w:rPr>
          <w:rStyle w:val="Rfrenceintense"/>
          <w:sz w:val="24"/>
        </w:rPr>
        <w:t xml:space="preserve">IV-4-4 </w:t>
      </w:r>
      <w:bookmarkEnd w:id="36"/>
      <w:r w:rsidRPr="001E0513">
        <w:rPr>
          <w:rStyle w:val="Rfrenceintense"/>
          <w:sz w:val="24"/>
        </w:rPr>
        <w:t>Accompagnement, Formation et Transfert de compétence</w:t>
      </w:r>
      <w:bookmarkEnd w:id="37"/>
    </w:p>
    <w:p w14:paraId="6578D628" w14:textId="77777777" w:rsidR="00DF476B" w:rsidRPr="001E0513" w:rsidRDefault="00DF476B" w:rsidP="00DF476B">
      <w:pPr>
        <w:jc w:val="both"/>
        <w:rPr>
          <w:rFonts w:cs="Arial"/>
        </w:rPr>
      </w:pPr>
      <w:r w:rsidRPr="001E0513">
        <w:rPr>
          <w:rFonts w:cs="Arial"/>
        </w:rPr>
        <w:t>La Solution de contrôle d’accès est un dispositif essentiel à la sécurité des personnels, des patients et des visiteurs.</w:t>
      </w:r>
    </w:p>
    <w:p w14:paraId="67BCA0A2" w14:textId="77777777" w:rsidR="00DF476B" w:rsidRPr="001E0513" w:rsidRDefault="00DF476B" w:rsidP="00DF476B">
      <w:pPr>
        <w:jc w:val="both"/>
        <w:rPr>
          <w:rFonts w:cs="Arial"/>
        </w:rPr>
      </w:pPr>
      <w:r w:rsidRPr="001E0513">
        <w:rPr>
          <w:rFonts w:cs="Arial"/>
        </w:rPr>
        <w:t>Le titulaire réalise une présentation complète de sa solution de contrôle d’accès. Le transfert de compétence se réalise de manière continue, tout au long de la prestation de mise en œuvre de la solution de contrôle d’accès.</w:t>
      </w:r>
    </w:p>
    <w:p w14:paraId="4A6B5A77" w14:textId="77777777" w:rsidR="00DF476B" w:rsidRPr="001E0513" w:rsidRDefault="00DF476B" w:rsidP="00DF476B">
      <w:pPr>
        <w:jc w:val="both"/>
        <w:rPr>
          <w:rStyle w:val="Rfrenceintense"/>
          <w:sz w:val="24"/>
        </w:rPr>
      </w:pPr>
      <w:bookmarkStart w:id="39" w:name="_Toc389759257"/>
      <w:r w:rsidRPr="001E0513">
        <w:rPr>
          <w:rStyle w:val="Rfrenceintense"/>
          <w:sz w:val="24"/>
        </w:rPr>
        <w:t>Accompagnement</w:t>
      </w:r>
      <w:bookmarkEnd w:id="39"/>
    </w:p>
    <w:p w14:paraId="137A6B7D" w14:textId="77777777" w:rsidR="00DF476B" w:rsidRPr="001E0513" w:rsidRDefault="00DF476B" w:rsidP="00DF476B">
      <w:pPr>
        <w:jc w:val="both"/>
        <w:rPr>
          <w:rFonts w:cs="Arial"/>
        </w:rPr>
      </w:pPr>
      <w:r w:rsidRPr="001E0513">
        <w:rPr>
          <w:rFonts w:cs="Arial"/>
        </w:rPr>
        <w:t>Tout le long des opérations de mise en exploitation de la Solution, le Titulaire réalise l’ensemble de ces opérations en présence de l’AP-HP, selon le planning convenu.</w:t>
      </w:r>
    </w:p>
    <w:p w14:paraId="5A7A4F3C" w14:textId="77777777" w:rsidR="00DF476B" w:rsidRPr="001E0513" w:rsidRDefault="00DF476B" w:rsidP="00DF476B">
      <w:pPr>
        <w:jc w:val="both"/>
        <w:rPr>
          <w:rFonts w:cs="Arial"/>
        </w:rPr>
      </w:pPr>
      <w:r w:rsidRPr="001E0513">
        <w:rPr>
          <w:rFonts w:cs="Arial"/>
        </w:rPr>
        <w:t>A l’issue de la mise en œuvre de la Solution, le Titulaire assiste l’AP-HP dans la prise en main, la navigation dans les interfaces d’administration et dans la prise de connaissance du corpus documentaire technique qu’il aura au préalable rédigé.</w:t>
      </w:r>
    </w:p>
    <w:p w14:paraId="213E8CD0" w14:textId="3E285379" w:rsidR="00DF476B" w:rsidRDefault="00DF476B" w:rsidP="00DF476B">
      <w:pPr>
        <w:jc w:val="both"/>
        <w:rPr>
          <w:rFonts w:cs="Arial"/>
        </w:rPr>
      </w:pPr>
      <w:r w:rsidRPr="001E0513">
        <w:rPr>
          <w:rFonts w:cs="Arial"/>
        </w:rPr>
        <w:t>L’objectif de l’AP-HP est d’être autonome dans l’usage et l’administration courante de la Solution.</w:t>
      </w:r>
    </w:p>
    <w:p w14:paraId="2C17299E" w14:textId="26E4166E" w:rsidR="00AB6394" w:rsidRDefault="00AB6394" w:rsidP="00DF476B">
      <w:pPr>
        <w:jc w:val="both"/>
        <w:rPr>
          <w:rFonts w:cs="Arial"/>
        </w:rPr>
      </w:pPr>
    </w:p>
    <w:p w14:paraId="173D47AA" w14:textId="39B9B987" w:rsidR="00AB6394" w:rsidRDefault="00AB6394" w:rsidP="00DF476B">
      <w:pPr>
        <w:jc w:val="both"/>
        <w:rPr>
          <w:rFonts w:cs="Arial"/>
        </w:rPr>
      </w:pPr>
    </w:p>
    <w:p w14:paraId="250F50A1" w14:textId="77777777" w:rsidR="00AB6394" w:rsidRPr="001E0513" w:rsidRDefault="00AB6394" w:rsidP="00DF476B">
      <w:pPr>
        <w:jc w:val="both"/>
        <w:rPr>
          <w:rFonts w:cs="Arial"/>
        </w:rPr>
      </w:pPr>
    </w:p>
    <w:p w14:paraId="77ACBD22" w14:textId="77777777" w:rsidR="00DF476B" w:rsidRPr="001E0513" w:rsidRDefault="00DF476B" w:rsidP="00DF476B">
      <w:pPr>
        <w:jc w:val="both"/>
        <w:rPr>
          <w:rStyle w:val="Rfrenceintense"/>
          <w:sz w:val="24"/>
        </w:rPr>
      </w:pPr>
      <w:bookmarkStart w:id="40" w:name="_Toc389759259"/>
      <w:r w:rsidRPr="001E0513">
        <w:rPr>
          <w:rStyle w:val="Rfrenceintense"/>
          <w:sz w:val="24"/>
        </w:rPr>
        <w:lastRenderedPageBreak/>
        <w:t>Recette de la Solution</w:t>
      </w:r>
      <w:bookmarkEnd w:id="40"/>
    </w:p>
    <w:p w14:paraId="38E0BCAF" w14:textId="77777777" w:rsidR="00DF476B" w:rsidRPr="001E0513" w:rsidRDefault="00DF476B" w:rsidP="00DF476B">
      <w:pPr>
        <w:jc w:val="both"/>
        <w:rPr>
          <w:rFonts w:cs="Arial"/>
        </w:rPr>
      </w:pPr>
      <w:r w:rsidRPr="001E0513">
        <w:rPr>
          <w:rFonts w:cs="Arial"/>
        </w:rPr>
        <w:t>Le Titulaire met à disposition de l’AP-HP les moyens simples et conviviaux de suivi et de pilotage des différentes recettes. La phase de recette vise à confirmer :</w:t>
      </w:r>
    </w:p>
    <w:p w14:paraId="20B35ED1" w14:textId="0E541C5F" w:rsidR="00DF476B" w:rsidRPr="001E0513" w:rsidRDefault="00AB6394" w:rsidP="00DF476B">
      <w:pPr>
        <w:numPr>
          <w:ilvl w:val="0"/>
          <w:numId w:val="34"/>
        </w:numPr>
        <w:autoSpaceDE w:val="0"/>
        <w:autoSpaceDN w:val="0"/>
        <w:adjustRightInd w:val="0"/>
        <w:spacing w:after="0" w:line="276" w:lineRule="auto"/>
        <w:jc w:val="both"/>
        <w:rPr>
          <w:rFonts w:cs="Arial"/>
        </w:rPr>
      </w:pPr>
      <w:r w:rsidRPr="001E0513">
        <w:rPr>
          <w:rFonts w:cs="Arial"/>
        </w:rPr>
        <w:t>La</w:t>
      </w:r>
      <w:r w:rsidR="00DF476B" w:rsidRPr="001E0513">
        <w:rPr>
          <w:rFonts w:cs="Arial"/>
        </w:rPr>
        <w:t xml:space="preserve"> conformité des livrables aux besoins exprimés dans le C.C.T.P et annexes ou, le cas échéant, celles décrites dans l'offre du Titulaire, ainsi que le cadre réglementaire ;</w:t>
      </w:r>
    </w:p>
    <w:p w14:paraId="1C493837" w14:textId="0D089F3E" w:rsidR="00DF476B" w:rsidRPr="001E0513" w:rsidRDefault="00AB6394" w:rsidP="00DF476B">
      <w:pPr>
        <w:numPr>
          <w:ilvl w:val="0"/>
          <w:numId w:val="34"/>
        </w:numPr>
        <w:autoSpaceDE w:val="0"/>
        <w:autoSpaceDN w:val="0"/>
        <w:adjustRightInd w:val="0"/>
        <w:spacing w:after="0" w:line="276" w:lineRule="auto"/>
        <w:jc w:val="both"/>
        <w:rPr>
          <w:rFonts w:cs="Arial"/>
        </w:rPr>
      </w:pPr>
      <w:r w:rsidRPr="001E0513">
        <w:rPr>
          <w:rFonts w:cs="Arial"/>
        </w:rPr>
        <w:t>La</w:t>
      </w:r>
      <w:r w:rsidR="00DF476B" w:rsidRPr="001E0513">
        <w:rPr>
          <w:rFonts w:cs="Arial"/>
        </w:rPr>
        <w:t xml:space="preserve"> conformité du service rendu par la Solution aux besoins exprimés dans le C.C.T.P. et annexes ou, le cas échéant, celles décrites dans l'offre du Titulaire, ainsi que le cadre réglementaire ;</w:t>
      </w:r>
    </w:p>
    <w:p w14:paraId="3FFE69FA" w14:textId="6F232AA5" w:rsidR="00DF476B" w:rsidRPr="001E0513" w:rsidRDefault="00AB6394" w:rsidP="00DF476B">
      <w:pPr>
        <w:numPr>
          <w:ilvl w:val="0"/>
          <w:numId w:val="34"/>
        </w:numPr>
        <w:autoSpaceDE w:val="0"/>
        <w:autoSpaceDN w:val="0"/>
        <w:adjustRightInd w:val="0"/>
        <w:spacing w:after="0" w:line="276" w:lineRule="auto"/>
        <w:jc w:val="both"/>
        <w:rPr>
          <w:rFonts w:cs="Arial"/>
        </w:rPr>
      </w:pPr>
      <w:r w:rsidRPr="001E0513">
        <w:rPr>
          <w:rFonts w:cs="Arial"/>
        </w:rPr>
        <w:t>Le</w:t>
      </w:r>
      <w:r w:rsidR="00DF476B" w:rsidRPr="001E0513">
        <w:rPr>
          <w:rFonts w:cs="Arial"/>
        </w:rPr>
        <w:t xml:space="preserve"> bon fonctionnement de la Solution ;</w:t>
      </w:r>
    </w:p>
    <w:p w14:paraId="1E34670D" w14:textId="77777777" w:rsidR="00DF476B" w:rsidRPr="001E0513" w:rsidRDefault="00DF476B" w:rsidP="00DF476B">
      <w:pPr>
        <w:numPr>
          <w:ilvl w:val="0"/>
          <w:numId w:val="34"/>
        </w:numPr>
        <w:autoSpaceDE w:val="0"/>
        <w:autoSpaceDN w:val="0"/>
        <w:adjustRightInd w:val="0"/>
        <w:spacing w:after="0" w:line="276" w:lineRule="auto"/>
        <w:jc w:val="both"/>
        <w:rPr>
          <w:rFonts w:cs="Arial"/>
        </w:rPr>
      </w:pPr>
      <w:r w:rsidRPr="001E0513">
        <w:rPr>
          <w:rFonts w:cs="Arial"/>
        </w:rPr>
        <w:t>L’absence de régression.</w:t>
      </w:r>
    </w:p>
    <w:p w14:paraId="5B621F49" w14:textId="77777777" w:rsidR="00DF476B" w:rsidRPr="001E0513" w:rsidRDefault="00DF476B" w:rsidP="00DF476B">
      <w:pPr>
        <w:autoSpaceDE w:val="0"/>
        <w:autoSpaceDN w:val="0"/>
        <w:adjustRightInd w:val="0"/>
        <w:spacing w:line="240" w:lineRule="auto"/>
        <w:jc w:val="both"/>
        <w:rPr>
          <w:rFonts w:cs="Arial"/>
        </w:rPr>
      </w:pPr>
      <w:r w:rsidRPr="001E0513">
        <w:rPr>
          <w:rFonts w:cs="Arial"/>
        </w:rPr>
        <w:t>La recette de la Solution est assurée par l’AP-HP. Elle s’appuie sur les documents de spécifications fonctionnelles et, pour chaque fonctionnalité, sur le cahier de recette unitaire (description des tests à réaliser au niveau de la Solution et résultats attendus) qui est rédigé préalablement à toute livraison par le Titulaire.</w:t>
      </w:r>
    </w:p>
    <w:p w14:paraId="5E570AE2" w14:textId="77777777" w:rsidR="00DF476B" w:rsidRPr="001E0513" w:rsidRDefault="00DF476B" w:rsidP="00DF476B">
      <w:pPr>
        <w:autoSpaceDE w:val="0"/>
        <w:autoSpaceDN w:val="0"/>
        <w:adjustRightInd w:val="0"/>
        <w:spacing w:line="240" w:lineRule="auto"/>
        <w:jc w:val="both"/>
        <w:rPr>
          <w:rFonts w:cs="Arial"/>
        </w:rPr>
      </w:pPr>
      <w:r w:rsidRPr="001E0513">
        <w:rPr>
          <w:rFonts w:cs="Arial"/>
        </w:rPr>
        <w:t>La mise à disposition d’un environnement de recette compatible avec le bon déroulement de celle-ci incombe au Titulaire, en coordination avec l’AP-HP. Pour la première installation de la Solution, cet environnement doit être à l’image de la cible en production.</w:t>
      </w:r>
    </w:p>
    <w:p w14:paraId="4C49785C" w14:textId="77777777" w:rsidR="00DF476B" w:rsidRPr="001E0513" w:rsidRDefault="00DF476B" w:rsidP="00DF476B">
      <w:pPr>
        <w:jc w:val="both"/>
        <w:rPr>
          <w:rFonts w:cs="Arial"/>
        </w:rPr>
      </w:pPr>
      <w:r w:rsidRPr="001E0513">
        <w:rPr>
          <w:rFonts w:cs="Arial"/>
        </w:rPr>
        <w:t>En anticipation de la recette, l’AP-HP souhaite pouvoir évaluer les développements et la configuration sur un environnement de recette « usine » dont la gestion est assurée par le Titulaire (charte graphique, ergonomie, enchainement des écrans…).</w:t>
      </w:r>
    </w:p>
    <w:p w14:paraId="399B4FB8" w14:textId="77777777" w:rsidR="00DF476B" w:rsidRPr="001E0513" w:rsidRDefault="00DF476B" w:rsidP="00DF476B">
      <w:pPr>
        <w:autoSpaceDE w:val="0"/>
        <w:autoSpaceDN w:val="0"/>
        <w:adjustRightInd w:val="0"/>
        <w:jc w:val="both"/>
        <w:rPr>
          <w:rFonts w:cs="Arial"/>
        </w:rPr>
      </w:pPr>
      <w:r w:rsidRPr="001E0513">
        <w:rPr>
          <w:rFonts w:cs="Arial"/>
        </w:rPr>
        <w:t xml:space="preserve">La fourniture est évaluée </w:t>
      </w:r>
      <w:r w:rsidRPr="001E0513">
        <w:rPr>
          <w:rFonts w:cs="Arial"/>
          <w:b/>
          <w:u w:val="single"/>
        </w:rPr>
        <w:t>sur les plans technique et applicatif</w:t>
      </w:r>
      <w:r w:rsidRPr="001E0513">
        <w:rPr>
          <w:rFonts w:cs="Arial"/>
        </w:rPr>
        <w:t xml:space="preserve"> à partir des cahiers de recettes concernés.</w:t>
      </w:r>
    </w:p>
    <w:p w14:paraId="164E07B5" w14:textId="77777777" w:rsidR="00DF476B" w:rsidRPr="001E0513" w:rsidRDefault="00DF476B" w:rsidP="00DF476B">
      <w:pPr>
        <w:autoSpaceDE w:val="0"/>
        <w:autoSpaceDN w:val="0"/>
        <w:adjustRightInd w:val="0"/>
        <w:jc w:val="both"/>
        <w:rPr>
          <w:rFonts w:cs="Arial"/>
        </w:rPr>
      </w:pPr>
      <w:r w:rsidRPr="001E0513">
        <w:rPr>
          <w:rFonts w:cs="Arial"/>
        </w:rPr>
        <w:t>Chaque anomalie détectée donne lieu à l'émission par l’AP-HP d'une fiche d'anomalie. Les fiches d'anomalies seront affectées d'un indice de gravité :</w:t>
      </w:r>
    </w:p>
    <w:p w14:paraId="4A8A77A1" w14:textId="77777777" w:rsidR="00DF476B" w:rsidRPr="001E0513" w:rsidRDefault="00DF476B" w:rsidP="00DF476B">
      <w:pPr>
        <w:numPr>
          <w:ilvl w:val="0"/>
          <w:numId w:val="33"/>
        </w:numPr>
        <w:autoSpaceDE w:val="0"/>
        <w:autoSpaceDN w:val="0"/>
        <w:adjustRightInd w:val="0"/>
        <w:spacing w:after="0" w:line="276" w:lineRule="auto"/>
        <w:jc w:val="both"/>
        <w:rPr>
          <w:rFonts w:cs="Arial"/>
        </w:rPr>
      </w:pPr>
      <w:r w:rsidRPr="001E0513">
        <w:rPr>
          <w:rFonts w:cs="Arial"/>
        </w:rPr>
        <w:t>Anomalie bloquante :</w:t>
      </w:r>
    </w:p>
    <w:p w14:paraId="3D1C4344" w14:textId="77777777" w:rsidR="00DF476B" w:rsidRPr="001E0513" w:rsidRDefault="00DF476B" w:rsidP="00DF476B">
      <w:pPr>
        <w:autoSpaceDE w:val="0"/>
        <w:autoSpaceDN w:val="0"/>
        <w:adjustRightInd w:val="0"/>
        <w:ind w:left="360"/>
        <w:jc w:val="both"/>
        <w:rPr>
          <w:rFonts w:cs="Arial"/>
        </w:rPr>
      </w:pPr>
      <w:r w:rsidRPr="001E0513">
        <w:rPr>
          <w:rFonts w:cs="Arial"/>
        </w:rPr>
        <w:t>Elle interdit la réalisation d'un test technique majeur ou le test d'une fonctionnalité essentielle du produit. Appliquée à une documentation ou à une prestation, elle sanctionne une incohérence ou un dysfonctionnement grave par rapport à l'attendu du cahier de recette. Ce type d'anomalie impose de la part du Titulaire, la mise à disposition d'une version rectificative ou la réalisation d'une action corrective, dans un délai de 48 heures, la recette étant bloquée.</w:t>
      </w:r>
    </w:p>
    <w:p w14:paraId="004D5123" w14:textId="77777777" w:rsidR="00DF476B" w:rsidRPr="001E0513" w:rsidRDefault="00DF476B" w:rsidP="00DF476B">
      <w:pPr>
        <w:numPr>
          <w:ilvl w:val="0"/>
          <w:numId w:val="33"/>
        </w:numPr>
        <w:spacing w:after="0" w:line="276" w:lineRule="auto"/>
        <w:jc w:val="both"/>
        <w:rPr>
          <w:rFonts w:cs="Arial"/>
        </w:rPr>
      </w:pPr>
      <w:r w:rsidRPr="001E0513">
        <w:rPr>
          <w:rFonts w:cs="Arial"/>
        </w:rPr>
        <w:t>Anomalie non bloquante :</w:t>
      </w:r>
    </w:p>
    <w:p w14:paraId="312E5F7E" w14:textId="77777777" w:rsidR="00DF476B" w:rsidRPr="001E0513" w:rsidRDefault="00DF476B" w:rsidP="00DF476B">
      <w:pPr>
        <w:autoSpaceDE w:val="0"/>
        <w:autoSpaceDN w:val="0"/>
        <w:adjustRightInd w:val="0"/>
        <w:ind w:left="360"/>
        <w:jc w:val="both"/>
        <w:rPr>
          <w:rFonts w:cs="Arial"/>
        </w:rPr>
      </w:pPr>
      <w:r w:rsidRPr="001E0513">
        <w:rPr>
          <w:rFonts w:cs="Arial"/>
        </w:rPr>
        <w:t>D'une gravité moindre que les précédentes, elles font l'objet d'un traitement groupé de la part du Titulaire, pour mise à disposition d'une version corrective globale. Le contrôle des versions correctives, faisant suite à la prise en compte de fiches d'anomalies signalées, fait partie intégrante de la recette. La mise à disposition d'une version corrective du produit doit impérativement être accompagnée d'une liste récapitulant dans le détail le contenu des adaptations portées au produit depuis la précédente version, y compris au niveau de la documentation. Les fiches d'anomalies traitées doivent notamment être signalées.</w:t>
      </w:r>
    </w:p>
    <w:p w14:paraId="5B122BF5" w14:textId="77777777" w:rsidR="00DF476B" w:rsidRPr="001E0513" w:rsidRDefault="00DF476B" w:rsidP="00DF476B">
      <w:pPr>
        <w:autoSpaceDE w:val="0"/>
        <w:autoSpaceDN w:val="0"/>
        <w:adjustRightInd w:val="0"/>
        <w:jc w:val="both"/>
        <w:rPr>
          <w:rFonts w:cs="Arial"/>
        </w:rPr>
      </w:pPr>
      <w:r w:rsidRPr="001E0513">
        <w:rPr>
          <w:rFonts w:cs="Arial"/>
        </w:rPr>
        <w:t xml:space="preserve">L'installation d'une nouvelle version dans l'environnement de recette est soumise à l'accord préalable de l’AP-HP. Chaque nouvelle version ou correctif est livré en environnement de recette avec le dossier de test correspondant (plan de test mis en œuvre et résultats des tests réalisés). </w:t>
      </w:r>
      <w:r w:rsidRPr="001E0513">
        <w:rPr>
          <w:rFonts w:cs="Arial"/>
        </w:rPr>
        <w:lastRenderedPageBreak/>
        <w:t>Les tests de non-régression doivent être effectués sur l’ensemble de la Solution avant toute livraison.</w:t>
      </w:r>
    </w:p>
    <w:p w14:paraId="632D2D4B" w14:textId="77777777" w:rsidR="00DF476B" w:rsidRPr="001E0513" w:rsidRDefault="00DF476B" w:rsidP="00DF476B">
      <w:pPr>
        <w:autoSpaceDE w:val="0"/>
        <w:autoSpaceDN w:val="0"/>
        <w:adjustRightInd w:val="0"/>
        <w:jc w:val="both"/>
        <w:rPr>
          <w:rFonts w:cs="Arial"/>
        </w:rPr>
      </w:pPr>
      <w:r w:rsidRPr="001E0513">
        <w:rPr>
          <w:rFonts w:cs="Arial"/>
          <w:b/>
          <w:u w:val="single"/>
        </w:rPr>
        <w:t>La validation de la recette est prononcée par l’AP-HP</w:t>
      </w:r>
      <w:r w:rsidRPr="001E0513">
        <w:rPr>
          <w:rFonts w:cs="Arial"/>
        </w:rPr>
        <w:t>.</w:t>
      </w:r>
    </w:p>
    <w:p w14:paraId="572F8789" w14:textId="77777777" w:rsidR="00DF476B" w:rsidRPr="001E0513" w:rsidRDefault="00DF476B" w:rsidP="00DF476B">
      <w:pPr>
        <w:autoSpaceDE w:val="0"/>
        <w:autoSpaceDN w:val="0"/>
        <w:adjustRightInd w:val="0"/>
        <w:spacing w:line="240" w:lineRule="auto"/>
        <w:jc w:val="both"/>
        <w:rPr>
          <w:rFonts w:cs="Arial"/>
          <w:strike/>
        </w:rPr>
      </w:pPr>
      <w:r w:rsidRPr="001E0513">
        <w:rPr>
          <w:rFonts w:cs="Arial"/>
        </w:rPr>
        <w:t>Dans tous les cas, elle est prononcée à la suite d'une réunion de synthèse à laquelle sont conviés des représentants de chacun des groupes ayant participé à la recette. Au cours de cette réunion, toutes les fiches anomalies émises sont étudiées. Chacune de ces fiches fait l’objet d’une validation ou non et dans ce dernier cas, une date de résolution est indiquée.</w:t>
      </w:r>
    </w:p>
    <w:p w14:paraId="556F852F" w14:textId="77777777" w:rsidR="00DF476B" w:rsidRPr="001E0513" w:rsidRDefault="00DF476B" w:rsidP="00DF476B">
      <w:pPr>
        <w:autoSpaceDE w:val="0"/>
        <w:autoSpaceDN w:val="0"/>
        <w:adjustRightInd w:val="0"/>
        <w:spacing w:line="240" w:lineRule="auto"/>
        <w:jc w:val="both"/>
        <w:rPr>
          <w:rFonts w:cs="Arial"/>
        </w:rPr>
      </w:pPr>
      <w:r w:rsidRPr="001E0513">
        <w:rPr>
          <w:rFonts w:cs="Arial"/>
        </w:rPr>
        <w:t>L’AP-HP ne peut être tenue pour responsable d'un retard dans une validation, si celui-ci fait suite à une notification tardive ne lui permettant pas de réaliser la recette dans le délai prévu. Il en est de même pour le cas où des anomalies bloquantes se révèlent non solutionnées à la date prévue pour la validation.</w:t>
      </w:r>
    </w:p>
    <w:p w14:paraId="325543ED" w14:textId="77777777" w:rsidR="00DF476B" w:rsidRPr="001E0513" w:rsidRDefault="00DF476B" w:rsidP="00DF476B">
      <w:pPr>
        <w:jc w:val="both"/>
        <w:rPr>
          <w:rStyle w:val="Rfrenceintense"/>
          <w:sz w:val="24"/>
        </w:rPr>
      </w:pPr>
      <w:r w:rsidRPr="001E0513">
        <w:rPr>
          <w:rStyle w:val="Rfrenceintense"/>
          <w:sz w:val="24"/>
        </w:rPr>
        <w:t>IV-4-5 LIVRABLES</w:t>
      </w:r>
    </w:p>
    <w:p w14:paraId="0C1BAB80" w14:textId="77777777" w:rsidR="00DF476B" w:rsidRPr="001E0513" w:rsidRDefault="00DF476B" w:rsidP="00DF476B">
      <w:pPr>
        <w:jc w:val="both"/>
        <w:rPr>
          <w:rStyle w:val="Rfrenceintense"/>
          <w:sz w:val="24"/>
        </w:rPr>
      </w:pPr>
      <w:r w:rsidRPr="001E0513">
        <w:rPr>
          <w:rStyle w:val="Rfrenceintense"/>
          <w:sz w:val="24"/>
        </w:rPr>
        <w:t>Livrables paramétrage</w:t>
      </w:r>
      <w:bookmarkEnd w:id="38"/>
      <w:r w:rsidRPr="001E0513">
        <w:rPr>
          <w:rStyle w:val="Rfrenceintense"/>
          <w:sz w:val="24"/>
        </w:rPr>
        <w:t xml:space="preserve"> </w:t>
      </w:r>
    </w:p>
    <w:p w14:paraId="1C8EFD28" w14:textId="77777777" w:rsidR="00DF476B" w:rsidRPr="001E0513" w:rsidRDefault="00DF476B" w:rsidP="00DF476B">
      <w:pPr>
        <w:pStyle w:val="Paragraphedeliste"/>
        <w:numPr>
          <w:ilvl w:val="0"/>
          <w:numId w:val="38"/>
        </w:numPr>
        <w:spacing w:after="0" w:line="276" w:lineRule="auto"/>
        <w:ind w:left="360"/>
        <w:jc w:val="both"/>
        <w:rPr>
          <w:rFonts w:cs="Arial"/>
        </w:rPr>
      </w:pPr>
      <w:r w:rsidRPr="001E0513">
        <w:rPr>
          <w:rFonts w:cs="Arial"/>
        </w:rPr>
        <w:t>Spécifications générales et détaillées de l’architecture globale et de chaque sous-ensemble ;</w:t>
      </w:r>
    </w:p>
    <w:p w14:paraId="3492AF17" w14:textId="77777777" w:rsidR="00DF476B" w:rsidRPr="001E0513" w:rsidRDefault="00DF476B" w:rsidP="00DF476B">
      <w:pPr>
        <w:pStyle w:val="Paragraphedeliste"/>
        <w:numPr>
          <w:ilvl w:val="0"/>
          <w:numId w:val="38"/>
        </w:numPr>
        <w:spacing w:after="0" w:line="276" w:lineRule="auto"/>
        <w:ind w:left="360"/>
        <w:jc w:val="both"/>
        <w:rPr>
          <w:rFonts w:cs="Arial"/>
        </w:rPr>
      </w:pPr>
      <w:r w:rsidRPr="001E0513">
        <w:rPr>
          <w:rFonts w:cs="Arial"/>
        </w:rPr>
        <w:t>Dossier d’architecture technique.</w:t>
      </w:r>
    </w:p>
    <w:p w14:paraId="7A53CABC" w14:textId="77777777" w:rsidR="00DF476B" w:rsidRPr="001E0513" w:rsidRDefault="00DF476B" w:rsidP="00DF476B">
      <w:pPr>
        <w:pStyle w:val="Paragraphedeliste"/>
        <w:spacing w:after="0" w:line="276" w:lineRule="auto"/>
        <w:ind w:left="360"/>
        <w:jc w:val="both"/>
        <w:rPr>
          <w:rFonts w:cs="Arial"/>
        </w:rPr>
      </w:pPr>
    </w:p>
    <w:p w14:paraId="7B959623" w14:textId="77777777" w:rsidR="00DF476B" w:rsidRPr="001E0513" w:rsidRDefault="00DF476B" w:rsidP="00DF476B">
      <w:pPr>
        <w:jc w:val="both"/>
        <w:rPr>
          <w:rStyle w:val="Rfrenceintense"/>
          <w:sz w:val="24"/>
        </w:rPr>
      </w:pPr>
      <w:bookmarkStart w:id="41" w:name="_Toc389759274"/>
      <w:r w:rsidRPr="001E0513">
        <w:rPr>
          <w:rStyle w:val="Rfrenceintense"/>
          <w:sz w:val="24"/>
        </w:rPr>
        <w:t>Livrables recette</w:t>
      </w:r>
      <w:bookmarkEnd w:id="41"/>
    </w:p>
    <w:p w14:paraId="34ADC90E" w14:textId="77777777" w:rsidR="00DF476B" w:rsidRPr="001E0513" w:rsidRDefault="00DF476B" w:rsidP="00DF476B">
      <w:pPr>
        <w:numPr>
          <w:ilvl w:val="0"/>
          <w:numId w:val="39"/>
        </w:numPr>
        <w:spacing w:after="0" w:line="276" w:lineRule="auto"/>
        <w:jc w:val="both"/>
        <w:rPr>
          <w:rFonts w:cs="Arial"/>
        </w:rPr>
      </w:pPr>
      <w:r w:rsidRPr="001E0513">
        <w:rPr>
          <w:rFonts w:cs="Arial"/>
        </w:rPr>
        <w:t>Cahiers de tests et fiches unitaires des tests à exécuter en environnement de recette.</w:t>
      </w:r>
    </w:p>
    <w:p w14:paraId="0A07002C" w14:textId="77777777" w:rsidR="00DF476B" w:rsidRPr="001E0513" w:rsidRDefault="00DF476B" w:rsidP="00DF476B">
      <w:pPr>
        <w:spacing w:after="0" w:line="276" w:lineRule="auto"/>
        <w:ind w:left="360"/>
        <w:jc w:val="both"/>
        <w:rPr>
          <w:rFonts w:cs="Arial"/>
        </w:rPr>
      </w:pPr>
    </w:p>
    <w:p w14:paraId="499E428B" w14:textId="77777777" w:rsidR="00DF476B" w:rsidRPr="001E0513" w:rsidRDefault="00DF476B" w:rsidP="00DF476B">
      <w:pPr>
        <w:jc w:val="both"/>
        <w:rPr>
          <w:rStyle w:val="Rfrenceintense"/>
          <w:rFonts w:ascii="Cambria" w:hAnsi="Cambria"/>
          <w:sz w:val="24"/>
        </w:rPr>
      </w:pPr>
      <w:bookmarkStart w:id="42" w:name="_Toc389759275"/>
      <w:r w:rsidRPr="001E0513">
        <w:rPr>
          <w:rStyle w:val="Rfrenceintense"/>
          <w:sz w:val="24"/>
        </w:rPr>
        <w:t>Livr</w:t>
      </w:r>
      <w:r w:rsidRPr="001E0513">
        <w:rPr>
          <w:rStyle w:val="Rfrenceintense"/>
          <w:rFonts w:ascii="Cambria" w:hAnsi="Cambria"/>
          <w:sz w:val="24"/>
        </w:rPr>
        <w:t>ables mise en exploitation</w:t>
      </w:r>
      <w:bookmarkEnd w:id="42"/>
    </w:p>
    <w:p w14:paraId="576BAEED" w14:textId="77777777" w:rsidR="00DF476B" w:rsidRPr="001E0513" w:rsidRDefault="00DF476B" w:rsidP="00DF476B">
      <w:pPr>
        <w:pStyle w:val="Paragraphedeliste"/>
        <w:numPr>
          <w:ilvl w:val="0"/>
          <w:numId w:val="37"/>
        </w:numPr>
        <w:spacing w:after="0" w:line="276" w:lineRule="auto"/>
        <w:ind w:left="401"/>
        <w:jc w:val="both"/>
        <w:rPr>
          <w:rFonts w:cs="Arial"/>
        </w:rPr>
      </w:pPr>
      <w:r w:rsidRPr="001E0513">
        <w:rPr>
          <w:rFonts w:cs="Arial"/>
        </w:rPr>
        <w:t>Référentiel des logiciels constituant la Solution ;</w:t>
      </w:r>
    </w:p>
    <w:p w14:paraId="5922B188" w14:textId="77777777" w:rsidR="00DF476B" w:rsidRPr="001E0513" w:rsidRDefault="00DF476B" w:rsidP="00DF476B">
      <w:pPr>
        <w:pStyle w:val="Paragraphedeliste"/>
        <w:numPr>
          <w:ilvl w:val="0"/>
          <w:numId w:val="37"/>
        </w:numPr>
        <w:spacing w:after="0" w:line="276" w:lineRule="auto"/>
        <w:ind w:left="401"/>
        <w:jc w:val="both"/>
        <w:rPr>
          <w:rFonts w:cs="Arial"/>
        </w:rPr>
      </w:pPr>
      <w:r w:rsidRPr="001E0513">
        <w:rPr>
          <w:rFonts w:cs="Arial"/>
        </w:rPr>
        <w:t>Manuels d’installation de chaque sous-ensemble ;</w:t>
      </w:r>
    </w:p>
    <w:p w14:paraId="23019CC7" w14:textId="77777777" w:rsidR="00DF476B" w:rsidRPr="001E0513" w:rsidRDefault="00DF476B" w:rsidP="00DF476B">
      <w:pPr>
        <w:pStyle w:val="Paragraphedeliste"/>
        <w:numPr>
          <w:ilvl w:val="0"/>
          <w:numId w:val="37"/>
        </w:numPr>
        <w:spacing w:after="0" w:line="276" w:lineRule="auto"/>
        <w:ind w:left="401"/>
        <w:jc w:val="both"/>
        <w:rPr>
          <w:rFonts w:cs="Arial"/>
        </w:rPr>
      </w:pPr>
      <w:r w:rsidRPr="001E0513">
        <w:rPr>
          <w:rFonts w:cs="Arial"/>
        </w:rPr>
        <w:t>Manuels d’administration technique et fonctionnelle ;</w:t>
      </w:r>
    </w:p>
    <w:p w14:paraId="0FE84720" w14:textId="77777777" w:rsidR="00DF476B" w:rsidRPr="001E0513" w:rsidRDefault="00DF476B" w:rsidP="00DF476B">
      <w:pPr>
        <w:pStyle w:val="Paragraphedeliste"/>
        <w:numPr>
          <w:ilvl w:val="0"/>
          <w:numId w:val="37"/>
        </w:numPr>
        <w:spacing w:after="0" w:line="276" w:lineRule="auto"/>
        <w:ind w:left="401"/>
        <w:jc w:val="both"/>
        <w:rPr>
          <w:rFonts w:cs="Arial"/>
        </w:rPr>
      </w:pPr>
      <w:r w:rsidRPr="001E0513">
        <w:rPr>
          <w:rFonts w:cs="Arial"/>
        </w:rPr>
        <w:t>Manuels d’utilisation ;</w:t>
      </w:r>
    </w:p>
    <w:p w14:paraId="5CFD5F61" w14:textId="77777777" w:rsidR="00DF476B" w:rsidRPr="001E0513" w:rsidRDefault="00DF476B" w:rsidP="00DF476B">
      <w:pPr>
        <w:pStyle w:val="Paragraphedeliste"/>
        <w:numPr>
          <w:ilvl w:val="0"/>
          <w:numId w:val="37"/>
        </w:numPr>
        <w:spacing w:after="0" w:line="276" w:lineRule="auto"/>
        <w:ind w:left="401"/>
        <w:jc w:val="both"/>
        <w:rPr>
          <w:rFonts w:cs="Arial"/>
        </w:rPr>
      </w:pPr>
      <w:r w:rsidRPr="001E0513">
        <w:rPr>
          <w:rFonts w:cs="Arial"/>
        </w:rPr>
        <w:t>Manuels d’exploitation ;</w:t>
      </w:r>
    </w:p>
    <w:p w14:paraId="7F40F463" w14:textId="77777777" w:rsidR="00DF476B" w:rsidRPr="001E0513" w:rsidRDefault="00DF476B" w:rsidP="00DF476B">
      <w:pPr>
        <w:pStyle w:val="Paragraphedeliste"/>
        <w:numPr>
          <w:ilvl w:val="0"/>
          <w:numId w:val="37"/>
        </w:numPr>
        <w:spacing w:after="0" w:line="276" w:lineRule="auto"/>
        <w:ind w:left="401"/>
        <w:jc w:val="both"/>
        <w:rPr>
          <w:rFonts w:cs="Arial"/>
        </w:rPr>
      </w:pPr>
      <w:r w:rsidRPr="001E0513">
        <w:rPr>
          <w:rFonts w:cs="Arial"/>
        </w:rPr>
        <w:t>Le guide de résolution d’incident d’exploitation.</w:t>
      </w:r>
    </w:p>
    <w:p w14:paraId="676F4067" w14:textId="22954B19" w:rsidR="0012169A" w:rsidRPr="00406BB2" w:rsidRDefault="0012169A" w:rsidP="00B6069D">
      <w:pPr>
        <w:jc w:val="both"/>
        <w:rPr>
          <w:highlight w:val="green"/>
        </w:rPr>
      </w:pPr>
    </w:p>
    <w:p w14:paraId="546EC424" w14:textId="3127876C" w:rsidR="00162F6E" w:rsidRPr="00406BB2" w:rsidRDefault="00162F6E" w:rsidP="00B6069D">
      <w:pPr>
        <w:jc w:val="both"/>
        <w:rPr>
          <w:highlight w:val="green"/>
        </w:rPr>
      </w:pPr>
    </w:p>
    <w:p w14:paraId="54831845" w14:textId="74C00573" w:rsidR="00162F6E" w:rsidRPr="00406BB2" w:rsidRDefault="00162F6E" w:rsidP="00B6069D">
      <w:pPr>
        <w:jc w:val="both"/>
        <w:rPr>
          <w:highlight w:val="green"/>
        </w:rPr>
      </w:pPr>
    </w:p>
    <w:p w14:paraId="059E12C1" w14:textId="136ABEEC" w:rsidR="00162F6E" w:rsidRDefault="00162F6E" w:rsidP="00B6069D">
      <w:pPr>
        <w:jc w:val="both"/>
        <w:rPr>
          <w:highlight w:val="green"/>
        </w:rPr>
      </w:pPr>
    </w:p>
    <w:p w14:paraId="012B29A6" w14:textId="078B4484" w:rsidR="00AB6394" w:rsidRDefault="00AB6394" w:rsidP="00B6069D">
      <w:pPr>
        <w:jc w:val="both"/>
        <w:rPr>
          <w:highlight w:val="green"/>
        </w:rPr>
      </w:pPr>
    </w:p>
    <w:p w14:paraId="04D03654" w14:textId="2BC844AA" w:rsidR="00AB6394" w:rsidRDefault="00AB6394" w:rsidP="00B6069D">
      <w:pPr>
        <w:jc w:val="both"/>
        <w:rPr>
          <w:highlight w:val="green"/>
        </w:rPr>
      </w:pPr>
    </w:p>
    <w:p w14:paraId="3CFEFD42" w14:textId="77777777" w:rsidR="00AB6394" w:rsidRPr="00406BB2" w:rsidRDefault="00AB6394" w:rsidP="00B6069D">
      <w:pPr>
        <w:jc w:val="both"/>
        <w:rPr>
          <w:highlight w:val="green"/>
        </w:rPr>
      </w:pPr>
    </w:p>
    <w:p w14:paraId="31025600" w14:textId="77777777" w:rsidR="00162F6E" w:rsidRPr="00406BB2" w:rsidRDefault="00162F6E" w:rsidP="00B6069D">
      <w:pPr>
        <w:jc w:val="both"/>
        <w:rPr>
          <w:highlight w:val="green"/>
        </w:rPr>
      </w:pPr>
    </w:p>
    <w:p w14:paraId="0C2AACC7" w14:textId="7F1D3210" w:rsidR="0065041A" w:rsidRPr="001E0513" w:rsidRDefault="0065041A" w:rsidP="00162F6E">
      <w:pPr>
        <w:pStyle w:val="Titre3"/>
        <w:jc w:val="left"/>
      </w:pPr>
      <w:bookmarkStart w:id="43" w:name="_Toc175128593"/>
      <w:r w:rsidRPr="001E0513">
        <w:lastRenderedPageBreak/>
        <w:t>IV-5 Suivi du marché - Indicateurs</w:t>
      </w:r>
      <w:bookmarkEnd w:id="43"/>
    </w:p>
    <w:p w14:paraId="5C32FC86" w14:textId="77777777" w:rsidR="0065041A" w:rsidRPr="001E0513" w:rsidRDefault="0065041A" w:rsidP="0065041A">
      <w:pPr>
        <w:spacing w:after="0" w:line="240" w:lineRule="auto"/>
        <w:rPr>
          <w:rFonts w:ascii="Calibri" w:eastAsia="Calibri" w:hAnsi="Calibri" w:cs="Calibri"/>
          <w:lang w:eastAsia="en-US"/>
        </w:rPr>
      </w:pPr>
    </w:p>
    <w:p w14:paraId="2B0E7D4B" w14:textId="77777777" w:rsidR="0065041A" w:rsidRPr="001E0513" w:rsidRDefault="0065041A" w:rsidP="0065041A">
      <w:pPr>
        <w:spacing w:after="0" w:line="240" w:lineRule="auto"/>
        <w:jc w:val="both"/>
        <w:rPr>
          <w:rFonts w:eastAsia="Calibri" w:cs="Calibri"/>
          <w:lang w:eastAsia="en-US"/>
        </w:rPr>
      </w:pPr>
      <w:r w:rsidRPr="001E0513">
        <w:rPr>
          <w:rFonts w:eastAsia="Calibri" w:cs="Calibri"/>
          <w:lang w:eastAsia="en-US"/>
        </w:rPr>
        <w:t>Le suivi technique du marché sera apprécié par la fourniture régulière de statistiques et rapports relatifs aux prestations confiées au Titulaire, les livrables étant à fournir en format électronique et en français.</w:t>
      </w:r>
    </w:p>
    <w:p w14:paraId="65E96D34" w14:textId="77777777" w:rsidR="0065041A" w:rsidRPr="001E0513" w:rsidRDefault="0065041A" w:rsidP="0065041A">
      <w:pPr>
        <w:spacing w:after="0" w:line="240" w:lineRule="auto"/>
        <w:jc w:val="both"/>
        <w:rPr>
          <w:rFonts w:eastAsia="Calibri" w:cs="Calibri"/>
          <w:lang w:eastAsia="en-US"/>
        </w:rPr>
      </w:pPr>
      <w:r w:rsidRPr="001E0513">
        <w:rPr>
          <w:rFonts w:eastAsia="Calibri" w:cs="Calibri"/>
          <w:lang w:eastAsia="en-US"/>
        </w:rPr>
        <w:t>Dans le cadre de ses interventions matérielles et logicielles concernées par le marché, le Titulaire s’engage à mettre en œuvre le suivi d’indicateurs sur l’ensemble du périmètre applicatif couvert par le présent marché et à remettre à l’AP-HP les bilans annuels de ces relevés d’indicateurs.</w:t>
      </w:r>
    </w:p>
    <w:p w14:paraId="470F3E41" w14:textId="77777777" w:rsidR="0065041A" w:rsidRPr="001E0513" w:rsidRDefault="0065041A" w:rsidP="0065041A">
      <w:pPr>
        <w:spacing w:after="0" w:line="240" w:lineRule="auto"/>
        <w:jc w:val="both"/>
        <w:rPr>
          <w:rFonts w:eastAsia="Calibri" w:cs="Calibri"/>
          <w:lang w:eastAsia="en-US"/>
        </w:rPr>
      </w:pPr>
      <w:r w:rsidRPr="001E0513">
        <w:rPr>
          <w:rFonts w:eastAsia="Calibri" w:cs="Calibri"/>
          <w:lang w:eastAsia="en-US"/>
        </w:rPr>
        <w:t xml:space="preserve">Les indicateurs concernent : </w:t>
      </w:r>
    </w:p>
    <w:p w14:paraId="2ED41FB4" w14:textId="77777777" w:rsidR="0065041A" w:rsidRPr="001E0513" w:rsidRDefault="0065041A" w:rsidP="0065041A">
      <w:pPr>
        <w:numPr>
          <w:ilvl w:val="0"/>
          <w:numId w:val="47"/>
        </w:numPr>
        <w:spacing w:after="0" w:line="240" w:lineRule="auto"/>
        <w:contextualSpacing/>
        <w:jc w:val="both"/>
        <w:rPr>
          <w:rFonts w:eastAsia="Calibri" w:cs="Calibri"/>
          <w:lang w:eastAsia="en-US"/>
        </w:rPr>
      </w:pPr>
      <w:r w:rsidRPr="001E0513">
        <w:rPr>
          <w:rFonts w:eastAsia="Calibri" w:cs="Calibri"/>
          <w:lang w:eastAsia="en-US"/>
        </w:rPr>
        <w:t>Le nombre de comptes actifs (ou nombre de badges) enregistrés en base pour le contrôle d’accès physiques</w:t>
      </w:r>
    </w:p>
    <w:p w14:paraId="1AD0F8EF" w14:textId="77777777" w:rsidR="0065041A" w:rsidRPr="001E0513" w:rsidRDefault="0065041A" w:rsidP="0065041A">
      <w:pPr>
        <w:numPr>
          <w:ilvl w:val="0"/>
          <w:numId w:val="47"/>
        </w:numPr>
        <w:spacing w:after="0" w:line="240" w:lineRule="auto"/>
        <w:contextualSpacing/>
        <w:jc w:val="both"/>
        <w:rPr>
          <w:rFonts w:eastAsia="Calibri" w:cs="Calibri"/>
          <w:lang w:eastAsia="en-US"/>
        </w:rPr>
      </w:pPr>
      <w:r w:rsidRPr="001E0513">
        <w:rPr>
          <w:rFonts w:eastAsia="Calibri" w:cs="Calibri"/>
          <w:lang w:eastAsia="en-US"/>
        </w:rPr>
        <w:t>Le nombre de bâtiments par établissement dont les accès sont contrôlés</w:t>
      </w:r>
    </w:p>
    <w:p w14:paraId="5DEAB9AC" w14:textId="77777777" w:rsidR="0065041A" w:rsidRPr="001E0513" w:rsidRDefault="0065041A" w:rsidP="0065041A">
      <w:pPr>
        <w:numPr>
          <w:ilvl w:val="0"/>
          <w:numId w:val="47"/>
        </w:numPr>
        <w:spacing w:after="0" w:line="240" w:lineRule="auto"/>
        <w:contextualSpacing/>
        <w:jc w:val="both"/>
        <w:rPr>
          <w:rFonts w:eastAsia="Calibri" w:cs="Calibri"/>
          <w:lang w:eastAsia="en-US"/>
        </w:rPr>
      </w:pPr>
      <w:r w:rsidRPr="001E0513">
        <w:rPr>
          <w:rFonts w:eastAsia="Calibri" w:cs="Calibri"/>
          <w:lang w:eastAsia="en-US"/>
        </w:rPr>
        <w:t>Le nombre de serrures électroniques installées par bâtiment (inventaire)</w:t>
      </w:r>
    </w:p>
    <w:p w14:paraId="4AE4C3CB" w14:textId="48CC0E79" w:rsidR="0065041A" w:rsidRPr="00CF0BF5" w:rsidRDefault="0065041A" w:rsidP="00CF0BF5">
      <w:pPr>
        <w:spacing w:after="0" w:line="240" w:lineRule="auto"/>
        <w:jc w:val="both"/>
        <w:rPr>
          <w:rFonts w:eastAsia="Calibri" w:cs="Calibri"/>
          <w:lang w:eastAsia="en-US"/>
        </w:rPr>
      </w:pPr>
      <w:r w:rsidRPr="001E0513">
        <w:rPr>
          <w:rFonts w:eastAsia="Calibri" w:cs="Calibri"/>
          <w:lang w:eastAsia="en-US"/>
        </w:rPr>
        <w:t>Le Titulaire a la possibilité d’enrichir cette liste d’indicateurs avec des relevés dont il précisera la pertinence dans leur description.</w:t>
      </w:r>
    </w:p>
    <w:p w14:paraId="3997A0F6" w14:textId="77777777" w:rsidR="0005699F" w:rsidRPr="001E0513" w:rsidRDefault="00A504F9" w:rsidP="00D432A3">
      <w:pPr>
        <w:pStyle w:val="Titre1"/>
        <w:jc w:val="left"/>
      </w:pPr>
      <w:bookmarkStart w:id="44" w:name="_Toc175128594"/>
      <w:bookmarkStart w:id="45" w:name="_Toc185928140"/>
      <w:bookmarkStart w:id="46" w:name="_Toc192500547"/>
      <w:bookmarkStart w:id="47" w:name="_Toc192500548"/>
      <w:bookmarkStart w:id="48" w:name="_Toc185928142"/>
      <w:bookmarkStart w:id="49" w:name="_Toc192500549"/>
      <w:r w:rsidRPr="001E0513">
        <w:t>V-</w:t>
      </w:r>
      <w:r w:rsidR="0005699F" w:rsidRPr="001E0513">
        <w:t xml:space="preserve"> </w:t>
      </w:r>
      <w:r w:rsidR="000F4AC3" w:rsidRPr="001E0513">
        <w:t>DOSSIER TECHNIQUE</w:t>
      </w:r>
      <w:bookmarkEnd w:id="44"/>
    </w:p>
    <w:p w14:paraId="6469F5B8" w14:textId="77777777" w:rsidR="004104A8" w:rsidRPr="001E0513" w:rsidRDefault="004104A8" w:rsidP="00BB5F58">
      <w:pPr>
        <w:spacing w:line="276" w:lineRule="auto"/>
        <w:jc w:val="both"/>
      </w:pPr>
      <w:bookmarkStart w:id="50" w:name="_Toc190670173"/>
      <w:bookmarkStart w:id="51" w:name="_Toc196885433"/>
      <w:r w:rsidRPr="001E0513">
        <w:t xml:space="preserve">Le </w:t>
      </w:r>
      <w:r w:rsidR="0051574C" w:rsidRPr="001E0513">
        <w:t xml:space="preserve">candidat </w:t>
      </w:r>
      <w:r w:rsidRPr="001E0513">
        <w:t>devra joindre, pour chaque matériel proposé, un dossier technique rédigé en français comprenant :</w:t>
      </w:r>
    </w:p>
    <w:p w14:paraId="50048A9B" w14:textId="77777777" w:rsidR="00A47A7B" w:rsidRPr="001E0513" w:rsidRDefault="00A47A7B" w:rsidP="00BB5F58">
      <w:pPr>
        <w:pStyle w:val="Paragraphedeliste"/>
        <w:numPr>
          <w:ilvl w:val="0"/>
          <w:numId w:val="44"/>
        </w:numPr>
        <w:spacing w:line="276" w:lineRule="auto"/>
        <w:jc w:val="both"/>
      </w:pPr>
      <w:r w:rsidRPr="001E0513">
        <w:t xml:space="preserve">Un engagement écrit de compatibilité sans restriction avec la carte </w:t>
      </w:r>
      <w:proofErr w:type="spellStart"/>
      <w:r w:rsidRPr="001E0513">
        <w:t>CPx</w:t>
      </w:r>
      <w:proofErr w:type="spellEnd"/>
      <w:r w:rsidRPr="001E0513">
        <w:t> ;</w:t>
      </w:r>
    </w:p>
    <w:p w14:paraId="59463253" w14:textId="77777777" w:rsidR="00A47A7B" w:rsidRPr="001E0513" w:rsidRDefault="00A47A7B" w:rsidP="00BB5F58">
      <w:pPr>
        <w:pStyle w:val="Paragraphedeliste"/>
        <w:numPr>
          <w:ilvl w:val="0"/>
          <w:numId w:val="44"/>
        </w:numPr>
        <w:spacing w:line="276" w:lineRule="auto"/>
        <w:jc w:val="both"/>
      </w:pPr>
      <w:r w:rsidRPr="001E0513">
        <w:t>Un engagement écrit que les logiciels et matériels proposés dans le cadre de ce marché ne comportent aucune vulnérabilité qui permettrait de prendre leur contrôle à distance sans identification et authentification préalable ;</w:t>
      </w:r>
    </w:p>
    <w:p w14:paraId="75058812" w14:textId="77777777" w:rsidR="00A47A7B" w:rsidRPr="001E0513" w:rsidRDefault="00A47A7B" w:rsidP="00BB5F58">
      <w:pPr>
        <w:pStyle w:val="Paragraphedeliste"/>
        <w:numPr>
          <w:ilvl w:val="0"/>
          <w:numId w:val="44"/>
        </w:numPr>
        <w:spacing w:line="276" w:lineRule="auto"/>
        <w:jc w:val="both"/>
      </w:pPr>
      <w:r w:rsidRPr="001E0513">
        <w:t>Le certificat CSPN pour les têtes de lecture proposées ;</w:t>
      </w:r>
    </w:p>
    <w:p w14:paraId="70420649" w14:textId="77777777" w:rsidR="00A47A7B" w:rsidRPr="001E0513" w:rsidRDefault="00A47A7B" w:rsidP="00BB5F58">
      <w:pPr>
        <w:pStyle w:val="Paragraphedeliste"/>
        <w:numPr>
          <w:ilvl w:val="0"/>
          <w:numId w:val="44"/>
        </w:numPr>
        <w:spacing w:line="276" w:lineRule="auto"/>
        <w:jc w:val="both"/>
      </w:pPr>
      <w:r w:rsidRPr="001E0513">
        <w:t>Le certificat de compatibilité ISO 14443</w:t>
      </w:r>
      <w:r w:rsidR="004E4E84" w:rsidRPr="001E0513">
        <w:t xml:space="preserve"> </w:t>
      </w:r>
      <w:r w:rsidRPr="001E0513">
        <w:t xml:space="preserve">A pour les </w:t>
      </w:r>
      <w:r w:rsidR="0067085D" w:rsidRPr="001E0513">
        <w:t>équipements concernés</w:t>
      </w:r>
      <w:r w:rsidRPr="001E0513">
        <w:t> </w:t>
      </w:r>
      <w:r w:rsidR="00DD628D" w:rsidRPr="001E0513">
        <w:t>(type B souhaité)</w:t>
      </w:r>
      <w:r w:rsidRPr="001E0513">
        <w:t xml:space="preserve">; </w:t>
      </w:r>
    </w:p>
    <w:p w14:paraId="2FF80027" w14:textId="049362FC" w:rsidR="002B5C56" w:rsidRPr="001E0513" w:rsidRDefault="002B5C56" w:rsidP="002B5C56">
      <w:pPr>
        <w:pStyle w:val="Paragraphedeliste"/>
        <w:numPr>
          <w:ilvl w:val="0"/>
          <w:numId w:val="44"/>
        </w:numPr>
        <w:spacing w:line="276" w:lineRule="auto"/>
        <w:jc w:val="both"/>
      </w:pPr>
      <w:r w:rsidRPr="001E0513">
        <w:t xml:space="preserve">Le </w:t>
      </w:r>
      <w:r w:rsidR="00202689">
        <w:t>scénario envisagé</w:t>
      </w:r>
      <w:r w:rsidRPr="001E0513">
        <w:t> ;</w:t>
      </w:r>
    </w:p>
    <w:p w14:paraId="582AA5B8" w14:textId="77777777" w:rsidR="002B5C56" w:rsidRPr="001E0513" w:rsidRDefault="002B5C56" w:rsidP="002B5C56">
      <w:pPr>
        <w:pStyle w:val="Paragraphedeliste"/>
        <w:numPr>
          <w:ilvl w:val="0"/>
          <w:numId w:val="44"/>
        </w:numPr>
      </w:pPr>
      <w:r w:rsidRPr="001E0513">
        <w:t>Le cadre de réponse technique joint en annexe 1, sous format Word ;</w:t>
      </w:r>
    </w:p>
    <w:p w14:paraId="77245D9B" w14:textId="77777777" w:rsidR="00A47A7B" w:rsidRPr="001E0513" w:rsidRDefault="00A47A7B" w:rsidP="00B94FA3">
      <w:pPr>
        <w:pStyle w:val="Paragraphedeliste"/>
        <w:spacing w:line="276" w:lineRule="auto"/>
        <w:ind w:left="360"/>
        <w:jc w:val="both"/>
      </w:pPr>
    </w:p>
    <w:p w14:paraId="4927F460" w14:textId="6EF8B5C0" w:rsidR="004104A8" w:rsidRPr="001E0513" w:rsidRDefault="004104A8" w:rsidP="00BB5F58">
      <w:pPr>
        <w:pStyle w:val="Paragraphedeliste"/>
        <w:numPr>
          <w:ilvl w:val="0"/>
          <w:numId w:val="44"/>
        </w:numPr>
        <w:spacing w:line="276" w:lineRule="auto"/>
        <w:jc w:val="both"/>
      </w:pPr>
      <w:r w:rsidRPr="001E0513">
        <w:t>Une documentation technique comprenant au minimum </w:t>
      </w:r>
      <w:r w:rsidR="00202689">
        <w:t>pour les équipements</w:t>
      </w:r>
      <w:r w:rsidR="003B2DF6">
        <w:t xml:space="preserve"> pro</w:t>
      </w:r>
      <w:r w:rsidR="00202689">
        <w:t>posés</w:t>
      </w:r>
      <w:r w:rsidRPr="001E0513">
        <w:t>:</w:t>
      </w:r>
    </w:p>
    <w:p w14:paraId="7B0757AF" w14:textId="77777777" w:rsidR="004104A8" w:rsidRPr="001E0513" w:rsidRDefault="004104A8" w:rsidP="00BB5F58">
      <w:pPr>
        <w:numPr>
          <w:ilvl w:val="1"/>
          <w:numId w:val="44"/>
        </w:numPr>
        <w:spacing w:after="0" w:line="276" w:lineRule="auto"/>
        <w:contextualSpacing/>
        <w:jc w:val="both"/>
      </w:pPr>
      <w:r w:rsidRPr="001E0513">
        <w:t>Notice technique ;</w:t>
      </w:r>
    </w:p>
    <w:p w14:paraId="63BBC617" w14:textId="77777777" w:rsidR="004104A8" w:rsidRPr="001E0513" w:rsidRDefault="004104A8" w:rsidP="00BB5F58">
      <w:pPr>
        <w:numPr>
          <w:ilvl w:val="1"/>
          <w:numId w:val="44"/>
        </w:numPr>
        <w:spacing w:after="0" w:line="276" w:lineRule="auto"/>
        <w:contextualSpacing/>
        <w:jc w:val="both"/>
      </w:pPr>
      <w:r w:rsidRPr="001E0513">
        <w:t>Nomenclature des pièces détachées</w:t>
      </w:r>
      <w:r w:rsidR="0077232D" w:rsidRPr="001E0513">
        <w:t>.</w:t>
      </w:r>
    </w:p>
    <w:p w14:paraId="35AB4163" w14:textId="77777777" w:rsidR="00632028" w:rsidRPr="001E0513" w:rsidRDefault="00632028" w:rsidP="00632028">
      <w:pPr>
        <w:spacing w:after="0" w:line="276" w:lineRule="auto"/>
        <w:contextualSpacing/>
        <w:jc w:val="both"/>
      </w:pPr>
    </w:p>
    <w:p w14:paraId="05F8556D" w14:textId="77777777" w:rsidR="004104A8" w:rsidRPr="001E0513" w:rsidRDefault="004104A8" w:rsidP="00BB5F58">
      <w:pPr>
        <w:pStyle w:val="Paragraphedeliste"/>
        <w:numPr>
          <w:ilvl w:val="0"/>
          <w:numId w:val="44"/>
        </w:numPr>
        <w:spacing w:line="276" w:lineRule="auto"/>
        <w:jc w:val="both"/>
      </w:pPr>
      <w:r w:rsidRPr="001E0513">
        <w:t>Une documentation commerciale ;</w:t>
      </w:r>
    </w:p>
    <w:p w14:paraId="22F1DDA3" w14:textId="77777777" w:rsidR="004104A8" w:rsidRPr="001E0513" w:rsidRDefault="004104A8" w:rsidP="00BB5F58">
      <w:pPr>
        <w:pStyle w:val="Paragraphedeliste"/>
        <w:numPr>
          <w:ilvl w:val="0"/>
          <w:numId w:val="44"/>
        </w:numPr>
      </w:pPr>
      <w:r w:rsidRPr="001E0513">
        <w:t>Une fiche de renseignements sur la formation dispensée lors de la mise en service ;</w:t>
      </w:r>
    </w:p>
    <w:p w14:paraId="33D0820B" w14:textId="77777777" w:rsidR="00632028" w:rsidRPr="001E0513" w:rsidRDefault="00632028" w:rsidP="00BB5F58">
      <w:pPr>
        <w:pStyle w:val="Paragraphedeliste"/>
        <w:numPr>
          <w:ilvl w:val="0"/>
          <w:numId w:val="44"/>
        </w:numPr>
      </w:pPr>
      <w:r w:rsidRPr="001E0513">
        <w:t>Un mémoire présentant l’organisation et le service de prestations de conseils en implantation</w:t>
      </w:r>
      <w:r w:rsidR="00B6069D" w:rsidRPr="001E0513">
        <w:t> ;</w:t>
      </w:r>
    </w:p>
    <w:p w14:paraId="449665F5" w14:textId="1EFE1E74" w:rsidR="001463AE" w:rsidRPr="001E0513" w:rsidRDefault="001463AE" w:rsidP="00162F6E">
      <w:pPr>
        <w:pStyle w:val="Paragraphedeliste"/>
        <w:numPr>
          <w:ilvl w:val="0"/>
          <w:numId w:val="44"/>
        </w:numPr>
        <w:jc w:val="both"/>
      </w:pPr>
      <w:r w:rsidRPr="001E0513">
        <w:t xml:space="preserve">Un résumé de </w:t>
      </w:r>
      <w:proofErr w:type="gramStart"/>
      <w:r w:rsidRPr="001E0513">
        <w:t>deux pages maximum</w:t>
      </w:r>
      <w:proofErr w:type="gramEnd"/>
      <w:r w:rsidRPr="001E0513">
        <w:t xml:space="preserve"> présentant l’offre (avantages, inconvénients…) ;</w:t>
      </w:r>
    </w:p>
    <w:p w14:paraId="58D23A20" w14:textId="77777777" w:rsidR="001463AE" w:rsidRPr="001E0513" w:rsidRDefault="001463AE" w:rsidP="00BB5F58">
      <w:pPr>
        <w:pStyle w:val="Paragraphedeliste"/>
        <w:numPr>
          <w:ilvl w:val="0"/>
          <w:numId w:val="44"/>
        </w:numPr>
        <w:jc w:val="both"/>
      </w:pPr>
      <w:r w:rsidRPr="001E0513">
        <w:t>Une courte vidéo à vocation de e-learning sur l’utilisation des produits proposés.</w:t>
      </w:r>
    </w:p>
    <w:p w14:paraId="140CBA77" w14:textId="77777777" w:rsidR="004104A8" w:rsidRPr="001E0513" w:rsidRDefault="004104A8" w:rsidP="009E571D">
      <w:pPr>
        <w:spacing w:line="276" w:lineRule="auto"/>
        <w:jc w:val="both"/>
        <w:rPr>
          <w:rFonts w:cs="Arial"/>
        </w:rPr>
      </w:pPr>
      <w:r w:rsidRPr="001E0513">
        <w:rPr>
          <w:rFonts w:cs="Arial"/>
        </w:rPr>
        <w:t>Le titulaire sera tenu au respect de son offre validée et acceptée par A</w:t>
      </w:r>
      <w:r w:rsidR="00A504F9" w:rsidRPr="001E0513">
        <w:rPr>
          <w:rFonts w:cs="Arial"/>
        </w:rPr>
        <w:t>.</w:t>
      </w:r>
      <w:r w:rsidRPr="001E0513">
        <w:rPr>
          <w:rFonts w:cs="Arial"/>
        </w:rPr>
        <w:t>C</w:t>
      </w:r>
      <w:r w:rsidR="00A504F9" w:rsidRPr="001E0513">
        <w:rPr>
          <w:rFonts w:cs="Arial"/>
        </w:rPr>
        <w:t>.</w:t>
      </w:r>
      <w:r w:rsidRPr="001E0513">
        <w:rPr>
          <w:rFonts w:cs="Arial"/>
        </w:rPr>
        <w:t>H</w:t>
      </w:r>
      <w:r w:rsidR="00A504F9" w:rsidRPr="001E0513">
        <w:rPr>
          <w:rFonts w:cs="Arial"/>
        </w:rPr>
        <w:t>.</w:t>
      </w:r>
      <w:r w:rsidRPr="001E0513">
        <w:rPr>
          <w:rFonts w:cs="Arial"/>
        </w:rPr>
        <w:t>A</w:t>
      </w:r>
      <w:r w:rsidR="00A504F9" w:rsidRPr="001E0513">
        <w:rPr>
          <w:rFonts w:cs="Arial"/>
        </w:rPr>
        <w:t>.</w:t>
      </w:r>
      <w:r w:rsidRPr="001E0513">
        <w:rPr>
          <w:rFonts w:cs="Arial"/>
        </w:rPr>
        <w:t>T</w:t>
      </w:r>
      <w:r w:rsidR="00A504F9" w:rsidRPr="001E0513">
        <w:rPr>
          <w:rFonts w:cs="Arial"/>
        </w:rPr>
        <w:t>.</w:t>
      </w:r>
      <w:r w:rsidRPr="001E0513">
        <w:rPr>
          <w:rFonts w:cs="Arial"/>
        </w:rPr>
        <w:t xml:space="preserve"> après mise au point.</w:t>
      </w:r>
    </w:p>
    <w:p w14:paraId="670CFFEF" w14:textId="77777777" w:rsidR="007F34BC" w:rsidRPr="001E0513" w:rsidRDefault="00E46572" w:rsidP="00D432A3">
      <w:pPr>
        <w:pStyle w:val="Titre1"/>
        <w:jc w:val="left"/>
      </w:pPr>
      <w:bookmarkStart w:id="52" w:name="_Toc175128595"/>
      <w:r w:rsidRPr="001E0513">
        <w:lastRenderedPageBreak/>
        <w:t>V</w:t>
      </w:r>
      <w:r w:rsidR="00A504F9" w:rsidRPr="001E0513">
        <w:t>I-</w:t>
      </w:r>
      <w:r w:rsidR="007F34BC" w:rsidRPr="001E0513">
        <w:t xml:space="preserve"> </w:t>
      </w:r>
      <w:bookmarkEnd w:id="50"/>
      <w:bookmarkEnd w:id="51"/>
      <w:r w:rsidR="00E35E58" w:rsidRPr="001E0513">
        <w:t>NORMES ET REGLEMENTATIONS</w:t>
      </w:r>
      <w:bookmarkEnd w:id="52"/>
    </w:p>
    <w:p w14:paraId="78C35108" w14:textId="77777777" w:rsidR="007F34BC" w:rsidRPr="001E0513" w:rsidRDefault="007E7BE0" w:rsidP="007E7BE0">
      <w:pPr>
        <w:tabs>
          <w:tab w:val="left" w:pos="0"/>
        </w:tabs>
        <w:rPr>
          <w:rFonts w:cs="Arial"/>
        </w:rPr>
      </w:pPr>
      <w:r w:rsidRPr="001E0513">
        <w:rPr>
          <w:rFonts w:cs="Arial"/>
        </w:rPr>
        <w:t xml:space="preserve">Comme tous les produits suivant les standards du marché, la carte </w:t>
      </w:r>
      <w:proofErr w:type="spellStart"/>
      <w:r w:rsidRPr="001E0513">
        <w:rPr>
          <w:rFonts w:cs="Arial"/>
        </w:rPr>
        <w:t>CPx</w:t>
      </w:r>
      <w:proofErr w:type="spellEnd"/>
      <w:r w:rsidRPr="001E0513">
        <w:rPr>
          <w:rFonts w:cs="Arial"/>
        </w:rPr>
        <w:t xml:space="preserve"> s’appuie sur l’ISO 14443[Standards “sans-contact”] pour sa partie sans-contact.</w:t>
      </w:r>
    </w:p>
    <w:p w14:paraId="78089E9B" w14:textId="77777777" w:rsidR="004104A8" w:rsidRPr="001E0513" w:rsidRDefault="004104A8" w:rsidP="00E320BF">
      <w:pPr>
        <w:jc w:val="both"/>
        <w:rPr>
          <w:rFonts w:cs="Arial"/>
        </w:rPr>
      </w:pPr>
      <w:r w:rsidRPr="001E0513">
        <w:rPr>
          <w:rFonts w:cs="Arial"/>
        </w:rPr>
        <w:t>L’ensemble des équipements proposés par le titulaire ainsi que leurs conditions d’installation sur les sites des hôpitaux doivent obligatoirement être conformes :</w:t>
      </w:r>
    </w:p>
    <w:p w14:paraId="7DB9A680" w14:textId="77777777" w:rsidR="004104A8" w:rsidRPr="001E0513" w:rsidRDefault="002D268F" w:rsidP="0033646D">
      <w:pPr>
        <w:pStyle w:val="Paragraphedeliste"/>
        <w:numPr>
          <w:ilvl w:val="0"/>
          <w:numId w:val="8"/>
        </w:numPr>
        <w:ind w:left="426"/>
        <w:jc w:val="both"/>
        <w:rPr>
          <w:rFonts w:cs="Arial"/>
        </w:rPr>
      </w:pPr>
      <w:r w:rsidRPr="001E0513">
        <w:rPr>
          <w:rFonts w:cs="Arial"/>
        </w:rPr>
        <w:t>A</w:t>
      </w:r>
      <w:r w:rsidR="004104A8" w:rsidRPr="001E0513">
        <w:rPr>
          <w:rFonts w:cs="Arial"/>
        </w:rPr>
        <w:t>ux décrets, arrêtés, circulaires en vigueur à la date de remise des offres, en particulier :</w:t>
      </w:r>
    </w:p>
    <w:p w14:paraId="563588FD" w14:textId="77777777" w:rsidR="002D268F" w:rsidRPr="001E0513" w:rsidRDefault="004104A8" w:rsidP="0033646D">
      <w:pPr>
        <w:pStyle w:val="Paragraphedeliste"/>
        <w:numPr>
          <w:ilvl w:val="0"/>
          <w:numId w:val="28"/>
        </w:numPr>
        <w:jc w:val="both"/>
        <w:rPr>
          <w:rFonts w:cs="Arial"/>
        </w:rPr>
      </w:pPr>
      <w:r w:rsidRPr="001E0513">
        <w:rPr>
          <w:rFonts w:cs="Arial"/>
        </w:rPr>
        <w:t xml:space="preserve">A l’arrêté du 25 juin 1980 </w:t>
      </w:r>
      <w:r w:rsidR="00832C73" w:rsidRPr="001E0513">
        <w:rPr>
          <w:rFonts w:cs="Arial"/>
        </w:rPr>
        <w:t>chapitre III du ministère de l’I</w:t>
      </w:r>
      <w:r w:rsidRPr="001E0513">
        <w:rPr>
          <w:rFonts w:cs="Arial"/>
        </w:rPr>
        <w:t xml:space="preserve">ntérieur portant réglementation de l’utilisation de </w:t>
      </w:r>
      <w:r w:rsidR="00E320BF" w:rsidRPr="001E0513">
        <w:rPr>
          <w:rFonts w:cs="Arial"/>
        </w:rPr>
        <w:t>certains matériaux dans les ERP ;</w:t>
      </w:r>
    </w:p>
    <w:p w14:paraId="5ED541ED" w14:textId="77777777" w:rsidR="00632028" w:rsidRPr="001E0513" w:rsidRDefault="00632028" w:rsidP="0033646D">
      <w:pPr>
        <w:pStyle w:val="Paragraphedeliste"/>
        <w:numPr>
          <w:ilvl w:val="0"/>
          <w:numId w:val="28"/>
        </w:numPr>
        <w:jc w:val="both"/>
        <w:rPr>
          <w:rFonts w:cs="Arial"/>
        </w:rPr>
      </w:pPr>
      <w:r w:rsidRPr="001E0513">
        <w:rPr>
          <w:rFonts w:cs="Arial"/>
        </w:rPr>
        <w:t>Au Règlement de sécurité contre les risques d’incendie et de panique dans les établissements recevant du public (ERP) approuvé par arrêté du 25 juin 1980 et complété notamment par un arrêté du 12 décembre 1984 ;</w:t>
      </w:r>
    </w:p>
    <w:p w14:paraId="364F1024" w14:textId="77777777" w:rsidR="002D268F" w:rsidRPr="001E0513" w:rsidRDefault="002D268F" w:rsidP="002D268F">
      <w:pPr>
        <w:pStyle w:val="Paragraphedeliste"/>
        <w:ind w:left="1134"/>
        <w:jc w:val="both"/>
        <w:rPr>
          <w:rFonts w:cs="Arial"/>
        </w:rPr>
      </w:pPr>
    </w:p>
    <w:p w14:paraId="122B1643" w14:textId="77777777" w:rsidR="004104A8" w:rsidRPr="001E0513" w:rsidRDefault="00FE3657" w:rsidP="0033646D">
      <w:pPr>
        <w:pStyle w:val="Paragraphedeliste"/>
        <w:numPr>
          <w:ilvl w:val="0"/>
          <w:numId w:val="4"/>
        </w:numPr>
        <w:ind w:left="426"/>
        <w:jc w:val="both"/>
        <w:rPr>
          <w:rFonts w:cs="Arial"/>
        </w:rPr>
      </w:pPr>
      <w:r w:rsidRPr="001E0513">
        <w:rPr>
          <w:rFonts w:cs="Arial"/>
        </w:rPr>
        <w:t>Aux directives européennes ;</w:t>
      </w:r>
    </w:p>
    <w:p w14:paraId="1A01D25F" w14:textId="77777777" w:rsidR="002D268F" w:rsidRPr="001E0513" w:rsidRDefault="002D268F" w:rsidP="00241373">
      <w:pPr>
        <w:pStyle w:val="Paragraphedeliste"/>
        <w:ind w:left="426"/>
        <w:jc w:val="both"/>
        <w:rPr>
          <w:rFonts w:cs="Arial"/>
        </w:rPr>
      </w:pPr>
    </w:p>
    <w:p w14:paraId="52F04BAB" w14:textId="77777777" w:rsidR="004104A8" w:rsidRPr="001E0513" w:rsidRDefault="004104A8" w:rsidP="0033646D">
      <w:pPr>
        <w:pStyle w:val="Paragraphedeliste"/>
        <w:numPr>
          <w:ilvl w:val="0"/>
          <w:numId w:val="5"/>
        </w:numPr>
        <w:ind w:left="426"/>
        <w:jc w:val="both"/>
        <w:rPr>
          <w:rFonts w:cs="Arial"/>
        </w:rPr>
      </w:pPr>
      <w:r w:rsidRPr="001E0513">
        <w:rPr>
          <w:rFonts w:cs="Arial"/>
        </w:rPr>
        <w:t xml:space="preserve">Aux normes françaises et aux documents </w:t>
      </w:r>
      <w:r w:rsidR="00832C73" w:rsidRPr="001E0513">
        <w:rPr>
          <w:rFonts w:cs="Arial"/>
        </w:rPr>
        <w:t>techniques unifiés (DTU) publié</w:t>
      </w:r>
      <w:r w:rsidRPr="001E0513">
        <w:rPr>
          <w:rFonts w:cs="Arial"/>
        </w:rPr>
        <w:t>s au moins 6 mois avant la remise des offres</w:t>
      </w:r>
      <w:r w:rsidR="002D268F" w:rsidRPr="001E0513">
        <w:rPr>
          <w:rFonts w:cs="Arial"/>
        </w:rPr>
        <w:t> ;</w:t>
      </w:r>
    </w:p>
    <w:p w14:paraId="6793D20F" w14:textId="77777777" w:rsidR="00FE3657" w:rsidRPr="001E0513" w:rsidRDefault="00FE3657" w:rsidP="00FE3657">
      <w:pPr>
        <w:pStyle w:val="Paragraphedeliste"/>
        <w:ind w:left="426"/>
        <w:jc w:val="both"/>
        <w:rPr>
          <w:rFonts w:cs="Arial"/>
        </w:rPr>
      </w:pPr>
    </w:p>
    <w:p w14:paraId="2CEE7BB7" w14:textId="77777777" w:rsidR="004104A8" w:rsidRPr="001E0513" w:rsidRDefault="004104A8" w:rsidP="0033646D">
      <w:pPr>
        <w:pStyle w:val="Paragraphedeliste"/>
        <w:numPr>
          <w:ilvl w:val="0"/>
          <w:numId w:val="5"/>
        </w:numPr>
        <w:ind w:left="426"/>
        <w:jc w:val="both"/>
        <w:rPr>
          <w:rFonts w:cs="Arial"/>
        </w:rPr>
      </w:pPr>
      <w:r w:rsidRPr="001E0513">
        <w:rPr>
          <w:rFonts w:cs="Arial"/>
        </w:rPr>
        <w:t>Au règlement de sécurité contre les risques d’incendie et de panique dans les ERP, et dispositions spécifiques aux établissements de type U.</w:t>
      </w:r>
    </w:p>
    <w:tbl>
      <w:tblPr>
        <w:tblW w:w="5241" w:type="pct"/>
        <w:tblBorders>
          <w:top w:val="single" w:sz="8" w:space="0" w:color="4F81BD"/>
          <w:left w:val="single" w:sz="8" w:space="0" w:color="4F81BD"/>
          <w:bottom w:val="single" w:sz="8" w:space="0" w:color="4F81BD"/>
          <w:right w:val="single" w:sz="8" w:space="0" w:color="4F81BD"/>
        </w:tblBorders>
        <w:tblLayout w:type="fixed"/>
        <w:tblLook w:val="0000" w:firstRow="0" w:lastRow="0" w:firstColumn="0" w:lastColumn="0" w:noHBand="0" w:noVBand="0"/>
      </w:tblPr>
      <w:tblGrid>
        <w:gridCol w:w="1833"/>
        <w:gridCol w:w="7654"/>
      </w:tblGrid>
      <w:tr w:rsidR="00EB0370" w:rsidRPr="001E0513" w14:paraId="75931E25" w14:textId="77777777" w:rsidTr="00FD35F2">
        <w:trPr>
          <w:trHeight w:val="565"/>
        </w:trPr>
        <w:tc>
          <w:tcPr>
            <w:tcW w:w="966" w:type="pct"/>
            <w:tcBorders>
              <w:top w:val="single" w:sz="8" w:space="0" w:color="4F81BD"/>
              <w:left w:val="single" w:sz="8" w:space="0" w:color="4F81BD"/>
              <w:bottom w:val="single" w:sz="8" w:space="0" w:color="4F81BD"/>
              <w:right w:val="single" w:sz="8" w:space="0" w:color="4F81BD"/>
            </w:tcBorders>
            <w:shd w:val="clear" w:color="auto" w:fill="DBE5F1"/>
            <w:vAlign w:val="center"/>
          </w:tcPr>
          <w:p w14:paraId="540CF565" w14:textId="77777777" w:rsidR="00EB0370" w:rsidRPr="001E0513" w:rsidRDefault="00EB0370" w:rsidP="0068218E">
            <w:pPr>
              <w:spacing w:after="0" w:line="240" w:lineRule="auto"/>
              <w:ind w:left="24" w:right="-208"/>
              <w:jc w:val="center"/>
              <w:rPr>
                <w:b/>
              </w:rPr>
            </w:pPr>
            <w:r w:rsidRPr="001E0513">
              <w:rPr>
                <w:b/>
              </w:rPr>
              <w:t>Référence</w:t>
            </w:r>
          </w:p>
        </w:tc>
        <w:tc>
          <w:tcPr>
            <w:tcW w:w="4034" w:type="pct"/>
            <w:tcBorders>
              <w:top w:val="single" w:sz="8" w:space="0" w:color="4F81BD"/>
              <w:bottom w:val="single" w:sz="8" w:space="0" w:color="4F81BD"/>
            </w:tcBorders>
            <w:shd w:val="clear" w:color="auto" w:fill="DBE5F1"/>
            <w:vAlign w:val="center"/>
          </w:tcPr>
          <w:p w14:paraId="102EFC56" w14:textId="77777777" w:rsidR="00EB0370" w:rsidRPr="001E0513" w:rsidRDefault="00EB0370" w:rsidP="0068218E">
            <w:pPr>
              <w:spacing w:after="0" w:line="240" w:lineRule="auto"/>
              <w:jc w:val="center"/>
              <w:rPr>
                <w:b/>
              </w:rPr>
            </w:pPr>
            <w:r w:rsidRPr="001E0513">
              <w:rPr>
                <w:b/>
              </w:rPr>
              <w:t>Libellé</w:t>
            </w:r>
          </w:p>
        </w:tc>
      </w:tr>
      <w:tr w:rsidR="00EB0370" w:rsidRPr="001E0513" w14:paraId="1D5EC74D" w14:textId="77777777" w:rsidTr="00FD35F2">
        <w:trPr>
          <w:trHeight w:val="255"/>
        </w:trPr>
        <w:tc>
          <w:tcPr>
            <w:tcW w:w="966" w:type="pct"/>
            <w:tcBorders>
              <w:top w:val="single" w:sz="8" w:space="0" w:color="4F81BD"/>
              <w:left w:val="single" w:sz="8" w:space="0" w:color="4F81BD"/>
              <w:bottom w:val="single" w:sz="8" w:space="0" w:color="4F81BD"/>
              <w:right w:val="single" w:sz="8" w:space="0" w:color="4F81BD"/>
            </w:tcBorders>
            <w:shd w:val="clear" w:color="auto" w:fill="DBE5F1"/>
            <w:noWrap/>
            <w:vAlign w:val="center"/>
          </w:tcPr>
          <w:p w14:paraId="27F86668" w14:textId="77777777" w:rsidR="00EB0370" w:rsidRPr="001E0513" w:rsidRDefault="00571EB4" w:rsidP="00FD35F2">
            <w:pPr>
              <w:spacing w:after="0" w:line="240" w:lineRule="auto"/>
              <w:ind w:left="24" w:right="-67"/>
              <w:jc w:val="center"/>
              <w:rPr>
                <w:rFonts w:cs="Arial"/>
                <w:lang w:eastAsia="ko-KR"/>
              </w:rPr>
            </w:pPr>
            <w:r w:rsidRPr="001E0513">
              <w:rPr>
                <w:rFonts w:cs="Arial"/>
                <w:lang w:eastAsia="ko-KR"/>
              </w:rPr>
              <w:t>ISO/IEC 14443</w:t>
            </w:r>
            <w:r w:rsidR="00FD35F2" w:rsidRPr="001E0513">
              <w:rPr>
                <w:rFonts w:cs="Arial"/>
                <w:lang w:eastAsia="ko-KR"/>
              </w:rPr>
              <w:t>-1</w:t>
            </w:r>
          </w:p>
        </w:tc>
        <w:tc>
          <w:tcPr>
            <w:tcW w:w="4034" w:type="pct"/>
            <w:tcBorders>
              <w:top w:val="single" w:sz="8" w:space="0" w:color="4F81BD"/>
              <w:bottom w:val="single" w:sz="8" w:space="0" w:color="4F81BD"/>
            </w:tcBorders>
            <w:shd w:val="clear" w:color="auto" w:fill="auto"/>
            <w:noWrap/>
            <w:vAlign w:val="center"/>
          </w:tcPr>
          <w:p w14:paraId="7F7D6C15" w14:textId="77777777" w:rsidR="00571EB4" w:rsidRPr="001E0513" w:rsidRDefault="00FD35F2" w:rsidP="00FD35F2">
            <w:pPr>
              <w:spacing w:after="0"/>
              <w:jc w:val="both"/>
              <w:rPr>
                <w:rFonts w:cs="Arial"/>
              </w:rPr>
            </w:pPr>
            <w:r w:rsidRPr="001E0513">
              <w:rPr>
                <w:rFonts w:cs="Arial"/>
              </w:rPr>
              <w:t xml:space="preserve"> (2016-03-15)</w:t>
            </w:r>
          </w:p>
          <w:p w14:paraId="09A86CB3" w14:textId="77777777" w:rsidR="00EB0370" w:rsidRPr="001E0513" w:rsidRDefault="00571EB4" w:rsidP="00FD35F2">
            <w:pPr>
              <w:spacing w:after="0"/>
              <w:jc w:val="both"/>
              <w:rPr>
                <w:rFonts w:cs="Arial"/>
              </w:rPr>
            </w:pPr>
            <w:r w:rsidRPr="001E0513">
              <w:rPr>
                <w:rFonts w:cs="Arial"/>
              </w:rPr>
              <w:t>Titre : Cartes d'identification - Cartes à circuit(s) intégré(s) sans contact - Cartes de proximité - Partie 1 : caractéristiques physiques</w:t>
            </w:r>
          </w:p>
        </w:tc>
      </w:tr>
      <w:tr w:rsidR="00FD35F2" w:rsidRPr="001E0513" w14:paraId="0BC8D8A2" w14:textId="77777777" w:rsidTr="00FD35F2">
        <w:trPr>
          <w:trHeight w:val="255"/>
        </w:trPr>
        <w:tc>
          <w:tcPr>
            <w:tcW w:w="966" w:type="pct"/>
            <w:tcBorders>
              <w:left w:val="single" w:sz="8" w:space="0" w:color="4F81BD"/>
              <w:right w:val="single" w:sz="8" w:space="0" w:color="4F81BD"/>
            </w:tcBorders>
            <w:shd w:val="clear" w:color="auto" w:fill="DBE5F1"/>
            <w:noWrap/>
            <w:vAlign w:val="center"/>
          </w:tcPr>
          <w:p w14:paraId="58109842" w14:textId="77777777" w:rsidR="00FD35F2" w:rsidRPr="001E0513" w:rsidRDefault="00FD35F2" w:rsidP="00FD35F2">
            <w:pPr>
              <w:jc w:val="center"/>
            </w:pPr>
            <w:r w:rsidRPr="001E0513">
              <w:t>ISO/IEC 14443-2</w:t>
            </w:r>
          </w:p>
        </w:tc>
        <w:tc>
          <w:tcPr>
            <w:tcW w:w="4034" w:type="pct"/>
            <w:shd w:val="clear" w:color="auto" w:fill="auto"/>
            <w:noWrap/>
            <w:vAlign w:val="center"/>
          </w:tcPr>
          <w:p w14:paraId="0FADFA2A" w14:textId="77777777" w:rsidR="00FD35F2" w:rsidRPr="001E0513" w:rsidRDefault="00FD35F2" w:rsidP="00FD35F2">
            <w:pPr>
              <w:spacing w:after="0" w:line="240" w:lineRule="auto"/>
              <w:jc w:val="both"/>
              <w:rPr>
                <w:rFonts w:cs="Arial"/>
                <w:lang w:eastAsia="ko-KR"/>
              </w:rPr>
            </w:pPr>
            <w:r w:rsidRPr="001E0513">
              <w:rPr>
                <w:rFonts w:cs="Arial"/>
                <w:lang w:eastAsia="ko-KR"/>
              </w:rPr>
              <w:t xml:space="preserve"> (2016-07-15)</w:t>
            </w:r>
          </w:p>
          <w:p w14:paraId="2062DD19" w14:textId="77777777" w:rsidR="00FD35F2" w:rsidRPr="001E0513" w:rsidRDefault="00FD35F2" w:rsidP="00FD35F2">
            <w:pPr>
              <w:spacing w:after="0" w:line="240" w:lineRule="auto"/>
              <w:jc w:val="both"/>
              <w:rPr>
                <w:rFonts w:cs="Arial"/>
                <w:lang w:eastAsia="ko-KR"/>
              </w:rPr>
            </w:pPr>
            <w:r w:rsidRPr="001E0513">
              <w:rPr>
                <w:rFonts w:cs="Arial"/>
                <w:lang w:eastAsia="ko-KR"/>
              </w:rPr>
              <w:t>Titre : Cartes d'identification - Cartes à circuit(s) intégré(s) sans contact - Cartes de proximité - Partie 2: Interface radiofréquence et des signaux de communication</w:t>
            </w:r>
          </w:p>
        </w:tc>
      </w:tr>
      <w:tr w:rsidR="00FD35F2" w:rsidRPr="001E0513" w14:paraId="2FD2629E" w14:textId="77777777" w:rsidTr="00FD35F2">
        <w:trPr>
          <w:trHeight w:val="255"/>
        </w:trPr>
        <w:tc>
          <w:tcPr>
            <w:tcW w:w="966" w:type="pct"/>
            <w:tcBorders>
              <w:top w:val="single" w:sz="8" w:space="0" w:color="4F81BD"/>
              <w:left w:val="single" w:sz="8" w:space="0" w:color="4F81BD"/>
              <w:bottom w:val="single" w:sz="8" w:space="0" w:color="4F81BD"/>
              <w:right w:val="single" w:sz="8" w:space="0" w:color="4F81BD"/>
            </w:tcBorders>
            <w:shd w:val="clear" w:color="auto" w:fill="DBE5F1"/>
            <w:noWrap/>
            <w:vAlign w:val="center"/>
          </w:tcPr>
          <w:p w14:paraId="332B7C72" w14:textId="77777777" w:rsidR="00FD35F2" w:rsidRPr="001E0513" w:rsidRDefault="00FD35F2" w:rsidP="00FD35F2">
            <w:pPr>
              <w:jc w:val="center"/>
            </w:pPr>
            <w:r w:rsidRPr="001E0513">
              <w:t>ISO/IEC 14443-3</w:t>
            </w:r>
          </w:p>
        </w:tc>
        <w:tc>
          <w:tcPr>
            <w:tcW w:w="4034" w:type="pct"/>
            <w:tcBorders>
              <w:top w:val="single" w:sz="8" w:space="0" w:color="4F81BD"/>
              <w:bottom w:val="single" w:sz="8" w:space="0" w:color="4F81BD"/>
            </w:tcBorders>
            <w:shd w:val="clear" w:color="auto" w:fill="auto"/>
            <w:noWrap/>
            <w:vAlign w:val="center"/>
          </w:tcPr>
          <w:p w14:paraId="2651E0BB" w14:textId="77777777" w:rsidR="00FD35F2" w:rsidRPr="001E0513" w:rsidRDefault="00FD35F2" w:rsidP="00FD35F2">
            <w:pPr>
              <w:spacing w:after="0" w:line="240" w:lineRule="auto"/>
              <w:jc w:val="both"/>
              <w:rPr>
                <w:rFonts w:cs="Arial"/>
                <w:lang w:eastAsia="ko-KR"/>
              </w:rPr>
            </w:pPr>
            <w:r w:rsidRPr="001E0513">
              <w:rPr>
                <w:rFonts w:cs="Arial"/>
                <w:lang w:eastAsia="ko-KR"/>
              </w:rPr>
              <w:t xml:space="preserve"> (2016-06-01)</w:t>
            </w:r>
          </w:p>
          <w:p w14:paraId="2E272C11" w14:textId="77777777" w:rsidR="00FD35F2" w:rsidRPr="001E0513" w:rsidRDefault="00FD35F2" w:rsidP="00FD35F2">
            <w:pPr>
              <w:spacing w:after="0" w:line="240" w:lineRule="auto"/>
              <w:jc w:val="both"/>
              <w:rPr>
                <w:rFonts w:cs="Arial"/>
                <w:lang w:eastAsia="ko-KR"/>
              </w:rPr>
            </w:pPr>
            <w:r w:rsidRPr="001E0513">
              <w:rPr>
                <w:rFonts w:cs="Arial"/>
                <w:lang w:eastAsia="ko-KR"/>
              </w:rPr>
              <w:t>Titre : Cartes d'identification - Cartes à circuit intégré sans contact - Cartes de proximité - Partie 3 : initialisation et anticollision</w:t>
            </w:r>
          </w:p>
        </w:tc>
      </w:tr>
      <w:tr w:rsidR="00FD35F2" w:rsidRPr="001E0513" w14:paraId="280CAAEB" w14:textId="77777777" w:rsidTr="00FD35F2">
        <w:trPr>
          <w:trHeight w:val="255"/>
        </w:trPr>
        <w:tc>
          <w:tcPr>
            <w:tcW w:w="966" w:type="pct"/>
            <w:tcBorders>
              <w:left w:val="single" w:sz="8" w:space="0" w:color="4F81BD"/>
              <w:bottom w:val="single" w:sz="4" w:space="0" w:color="4F81BD"/>
              <w:right w:val="single" w:sz="8" w:space="0" w:color="4F81BD"/>
            </w:tcBorders>
            <w:shd w:val="clear" w:color="auto" w:fill="DBE5F1"/>
            <w:noWrap/>
            <w:vAlign w:val="center"/>
          </w:tcPr>
          <w:p w14:paraId="351E0417" w14:textId="77777777" w:rsidR="00FD35F2" w:rsidRPr="001E0513" w:rsidRDefault="00FD35F2" w:rsidP="00FD35F2">
            <w:pPr>
              <w:jc w:val="center"/>
            </w:pPr>
            <w:r w:rsidRPr="001E0513">
              <w:t>ISO/IEC 14443-4</w:t>
            </w:r>
          </w:p>
        </w:tc>
        <w:tc>
          <w:tcPr>
            <w:tcW w:w="4034" w:type="pct"/>
            <w:tcBorders>
              <w:bottom w:val="single" w:sz="4" w:space="0" w:color="4F81BD"/>
            </w:tcBorders>
            <w:shd w:val="clear" w:color="auto" w:fill="auto"/>
            <w:noWrap/>
            <w:vAlign w:val="center"/>
          </w:tcPr>
          <w:p w14:paraId="5B8FC523" w14:textId="77777777" w:rsidR="00FD35F2" w:rsidRPr="001E0513" w:rsidRDefault="00FD35F2" w:rsidP="00FD35F2">
            <w:pPr>
              <w:spacing w:after="0" w:line="240" w:lineRule="auto"/>
              <w:jc w:val="both"/>
              <w:rPr>
                <w:rFonts w:cs="Arial"/>
                <w:lang w:eastAsia="ko-KR"/>
              </w:rPr>
            </w:pPr>
            <w:r w:rsidRPr="001E0513">
              <w:rPr>
                <w:rFonts w:cs="Arial"/>
                <w:lang w:eastAsia="ko-KR"/>
              </w:rPr>
              <w:t xml:space="preserve"> (2016-06-01)</w:t>
            </w:r>
          </w:p>
          <w:p w14:paraId="358AC74D" w14:textId="77777777" w:rsidR="00FD35F2" w:rsidRPr="001E0513" w:rsidRDefault="00FD35F2" w:rsidP="00FD35F2">
            <w:pPr>
              <w:spacing w:after="0" w:line="240" w:lineRule="auto"/>
              <w:jc w:val="both"/>
              <w:rPr>
                <w:rFonts w:cs="Arial"/>
                <w:lang w:eastAsia="ko-KR"/>
              </w:rPr>
            </w:pPr>
            <w:r w:rsidRPr="001E0513">
              <w:rPr>
                <w:rFonts w:cs="Arial"/>
                <w:lang w:eastAsia="ko-KR"/>
              </w:rPr>
              <w:t>Titre : Cartes d'identification - Cartes à circuit intégré sans contact - Cartes de proximité - Partie 4 : protocole de transmission</w:t>
            </w:r>
          </w:p>
        </w:tc>
      </w:tr>
      <w:tr w:rsidR="00EB0370" w:rsidRPr="001E0513" w14:paraId="30EEDB1F" w14:textId="77777777" w:rsidTr="00FD35F2">
        <w:trPr>
          <w:trHeight w:val="255"/>
        </w:trPr>
        <w:tc>
          <w:tcPr>
            <w:tcW w:w="966" w:type="pct"/>
            <w:tcBorders>
              <w:top w:val="single" w:sz="4" w:space="0" w:color="4F81BD"/>
              <w:left w:val="single" w:sz="4" w:space="0" w:color="4F81BD"/>
              <w:bottom w:val="single" w:sz="4" w:space="0" w:color="4F81BD"/>
              <w:right w:val="single" w:sz="4" w:space="0" w:color="4F81BD"/>
            </w:tcBorders>
            <w:shd w:val="clear" w:color="auto" w:fill="DBE5F1"/>
            <w:noWrap/>
            <w:vAlign w:val="center"/>
          </w:tcPr>
          <w:p w14:paraId="0905B9F7" w14:textId="77777777" w:rsidR="00EB0370" w:rsidRPr="001E0513" w:rsidRDefault="006D0BDB" w:rsidP="0068218E">
            <w:pPr>
              <w:tabs>
                <w:tab w:val="left" w:pos="555"/>
              </w:tabs>
              <w:spacing w:after="0" w:line="240" w:lineRule="auto"/>
              <w:ind w:left="24" w:right="-67"/>
              <w:rPr>
                <w:rFonts w:cs="Arial"/>
                <w:lang w:eastAsia="ko-KR"/>
              </w:rPr>
            </w:pPr>
            <w:r w:rsidRPr="001E0513">
              <w:rPr>
                <w:rFonts w:cs="Arial"/>
                <w:lang w:eastAsia="ko-KR"/>
              </w:rPr>
              <w:t>Décret 2014-1482 du 9 décembre 2014</w:t>
            </w:r>
          </w:p>
        </w:tc>
        <w:tc>
          <w:tcPr>
            <w:tcW w:w="4034" w:type="pct"/>
            <w:tcBorders>
              <w:top w:val="single" w:sz="4" w:space="0" w:color="4F81BD"/>
              <w:left w:val="single" w:sz="4" w:space="0" w:color="4F81BD"/>
              <w:bottom w:val="single" w:sz="4" w:space="0" w:color="4F81BD"/>
              <w:right w:val="single" w:sz="4" w:space="0" w:color="4F81BD"/>
            </w:tcBorders>
            <w:shd w:val="clear" w:color="auto" w:fill="auto"/>
            <w:noWrap/>
            <w:vAlign w:val="center"/>
          </w:tcPr>
          <w:p w14:paraId="3BBBDBDF" w14:textId="77777777" w:rsidR="00EB0370" w:rsidRPr="001E0513" w:rsidRDefault="006D0BDB" w:rsidP="0068218E">
            <w:pPr>
              <w:spacing w:after="0" w:line="240" w:lineRule="auto"/>
              <w:rPr>
                <w:rFonts w:cs="Arial"/>
                <w:lang w:eastAsia="ko-KR"/>
              </w:rPr>
            </w:pPr>
            <w:r w:rsidRPr="001E0513">
              <w:rPr>
                <w:rFonts w:cs="Arial"/>
                <w:lang w:eastAsia="ko-KR"/>
              </w:rPr>
              <w:t>Obligation d’information et de fourniture concernant les pièces détachées indispensables à l’utilisation d’un bien</w:t>
            </w:r>
          </w:p>
        </w:tc>
      </w:tr>
      <w:tr w:rsidR="00EB0370" w:rsidRPr="001E0513" w14:paraId="74F21286" w14:textId="77777777" w:rsidTr="00FD35F2">
        <w:trPr>
          <w:trHeight w:val="255"/>
        </w:trPr>
        <w:tc>
          <w:tcPr>
            <w:tcW w:w="966" w:type="pct"/>
            <w:tcBorders>
              <w:top w:val="single" w:sz="4" w:space="0" w:color="4F81BD"/>
              <w:left w:val="single" w:sz="8" w:space="0" w:color="4F81BD"/>
              <w:bottom w:val="single" w:sz="8" w:space="0" w:color="4F81BD"/>
              <w:right w:val="single" w:sz="8" w:space="0" w:color="4F81BD"/>
            </w:tcBorders>
            <w:shd w:val="clear" w:color="auto" w:fill="DBE5F1"/>
            <w:noWrap/>
            <w:vAlign w:val="center"/>
          </w:tcPr>
          <w:p w14:paraId="5658F752" w14:textId="77777777" w:rsidR="00EB0370" w:rsidRPr="001E0513" w:rsidRDefault="00EB0370" w:rsidP="0068218E">
            <w:pPr>
              <w:spacing w:after="0" w:line="240" w:lineRule="auto"/>
              <w:ind w:left="24" w:right="-67"/>
              <w:jc w:val="center"/>
              <w:rPr>
                <w:rFonts w:cs="Arial"/>
                <w:lang w:eastAsia="ko-KR"/>
              </w:rPr>
            </w:pPr>
          </w:p>
        </w:tc>
        <w:tc>
          <w:tcPr>
            <w:tcW w:w="4034" w:type="pct"/>
            <w:tcBorders>
              <w:top w:val="single" w:sz="4" w:space="0" w:color="4F81BD"/>
              <w:bottom w:val="single" w:sz="8" w:space="0" w:color="4F81BD"/>
            </w:tcBorders>
            <w:shd w:val="clear" w:color="auto" w:fill="auto"/>
            <w:noWrap/>
            <w:vAlign w:val="center"/>
          </w:tcPr>
          <w:p w14:paraId="2E14F46F" w14:textId="77777777" w:rsidR="00EB0370" w:rsidRPr="001E0513" w:rsidRDefault="00EB0370" w:rsidP="0068218E">
            <w:pPr>
              <w:spacing w:after="0" w:line="240" w:lineRule="auto"/>
              <w:rPr>
                <w:rFonts w:cs="Arial"/>
                <w:lang w:eastAsia="ko-KR"/>
              </w:rPr>
            </w:pPr>
          </w:p>
        </w:tc>
      </w:tr>
    </w:tbl>
    <w:p w14:paraId="425FC403" w14:textId="77777777" w:rsidR="00162F6E" w:rsidRPr="001E0513" w:rsidRDefault="00162F6E" w:rsidP="004104A8">
      <w:pPr>
        <w:rPr>
          <w:rFonts w:cs="Arial"/>
        </w:rPr>
      </w:pPr>
    </w:p>
    <w:p w14:paraId="6A65A784" w14:textId="6FBD46A6" w:rsidR="004104A8" w:rsidRDefault="004104A8" w:rsidP="00162F6E">
      <w:r w:rsidRPr="001E0513">
        <w:rPr>
          <w:b/>
          <w:bCs/>
          <w:color w:val="943634"/>
          <w:spacing w:val="5"/>
        </w:rPr>
        <w:t>Remarques</w:t>
      </w:r>
      <w:r w:rsidR="00162F6E" w:rsidRPr="001E0513">
        <w:rPr>
          <w:b/>
          <w:bCs/>
          <w:color w:val="943634"/>
          <w:spacing w:val="5"/>
        </w:rPr>
        <w:t xml:space="preserve"> : </w:t>
      </w:r>
      <w:r w:rsidRPr="001E0513">
        <w:t>Liste non exhaustive des normes</w:t>
      </w:r>
      <w:r w:rsidR="0067085D" w:rsidRPr="001E0513">
        <w:t>.</w:t>
      </w:r>
    </w:p>
    <w:p w14:paraId="4B4C3F4C" w14:textId="15CEDEF4" w:rsidR="00202689" w:rsidRDefault="00202689" w:rsidP="00162F6E"/>
    <w:p w14:paraId="3C4BFDAC" w14:textId="77777777" w:rsidR="00202689" w:rsidRPr="001E0513" w:rsidRDefault="00202689" w:rsidP="00162F6E">
      <w:pPr>
        <w:rPr>
          <w:b/>
          <w:bCs/>
          <w:color w:val="943634"/>
          <w:spacing w:val="5"/>
        </w:rPr>
      </w:pPr>
    </w:p>
    <w:p w14:paraId="7EFB02E9" w14:textId="77777777" w:rsidR="00731A03" w:rsidRPr="001E0513" w:rsidRDefault="00E46572" w:rsidP="00731A03">
      <w:pPr>
        <w:pStyle w:val="Titre1"/>
        <w:jc w:val="left"/>
      </w:pPr>
      <w:bookmarkStart w:id="53" w:name="_Toc196885434"/>
      <w:bookmarkStart w:id="54" w:name="_Toc175128596"/>
      <w:bookmarkEnd w:id="45"/>
      <w:bookmarkEnd w:id="46"/>
      <w:r w:rsidRPr="001E0513">
        <w:lastRenderedPageBreak/>
        <w:t>V</w:t>
      </w:r>
      <w:r w:rsidR="00A504F9" w:rsidRPr="001E0513">
        <w:t>II-</w:t>
      </w:r>
      <w:r w:rsidR="007F34BC" w:rsidRPr="001E0513">
        <w:t xml:space="preserve"> </w:t>
      </w:r>
      <w:bookmarkEnd w:id="47"/>
      <w:bookmarkEnd w:id="48"/>
      <w:bookmarkEnd w:id="49"/>
      <w:bookmarkEnd w:id="53"/>
      <w:r w:rsidR="00971B33" w:rsidRPr="001E0513">
        <w:t>LIMITES DE PRESTATIONS</w:t>
      </w:r>
      <w:bookmarkEnd w:id="54"/>
    </w:p>
    <w:p w14:paraId="7EABB03C" w14:textId="77777777" w:rsidR="00060ECC" w:rsidRPr="001E0513" w:rsidRDefault="00731A03" w:rsidP="00585821">
      <w:pPr>
        <w:autoSpaceDE w:val="0"/>
        <w:autoSpaceDN w:val="0"/>
        <w:adjustRightInd w:val="0"/>
        <w:spacing w:after="0" w:line="240" w:lineRule="auto"/>
        <w:jc w:val="both"/>
        <w:rPr>
          <w:rStyle w:val="lev"/>
          <w:rFonts w:ascii="Times New Roman" w:hAnsi="Times New Roman"/>
          <w:b w:val="0"/>
          <w:bCs w:val="0"/>
          <w:color w:val="auto"/>
          <w:spacing w:val="0"/>
          <w:szCs w:val="24"/>
        </w:rPr>
      </w:pPr>
      <w:r w:rsidRPr="001E0513">
        <w:rPr>
          <w:rStyle w:val="lev"/>
          <w:sz w:val="20"/>
        </w:rPr>
        <w:t xml:space="preserve"> </w:t>
      </w:r>
      <w:r w:rsidR="00060ECC" w:rsidRPr="001E0513">
        <w:rPr>
          <w:rFonts w:ascii="Times New Roman" w:hAnsi="Times New Roman"/>
          <w:szCs w:val="24"/>
        </w:rPr>
        <w:t>Les prestations couvrent l'étude, la pose, le raccordement, le déploiement, la configuration du</w:t>
      </w:r>
      <w:r w:rsidR="00A32D7E" w:rsidRPr="001E0513">
        <w:rPr>
          <w:rFonts w:ascii="Times New Roman" w:hAnsi="Times New Roman"/>
          <w:szCs w:val="24"/>
        </w:rPr>
        <w:t xml:space="preserve"> </w:t>
      </w:r>
      <w:r w:rsidR="0067085D" w:rsidRPr="001E0513">
        <w:rPr>
          <w:rFonts w:ascii="Times New Roman" w:hAnsi="Times New Roman"/>
          <w:szCs w:val="24"/>
        </w:rPr>
        <w:t>système</w:t>
      </w:r>
      <w:r w:rsidR="00B541AB" w:rsidRPr="001E0513">
        <w:rPr>
          <w:rFonts w:ascii="Times New Roman" w:hAnsi="Times New Roman"/>
          <w:szCs w:val="24"/>
        </w:rPr>
        <w:t>. Le prestataire</w:t>
      </w:r>
      <w:r w:rsidR="00060ECC" w:rsidRPr="001E0513">
        <w:rPr>
          <w:rFonts w:ascii="Times New Roman" w:hAnsi="Times New Roman"/>
          <w:szCs w:val="24"/>
        </w:rPr>
        <w:t xml:space="preserve"> réalisera la prestation de bout en bout et a une obligation de </w:t>
      </w:r>
      <w:r w:rsidR="00060ECC" w:rsidRPr="001E0513">
        <w:rPr>
          <w:rFonts w:ascii="Times New Roman" w:hAnsi="Times New Roman"/>
          <w:b/>
          <w:szCs w:val="24"/>
        </w:rPr>
        <w:t xml:space="preserve">résultat. </w:t>
      </w:r>
    </w:p>
    <w:p w14:paraId="1B94D6EC" w14:textId="77777777" w:rsidR="00060ECC" w:rsidRPr="00406BB2" w:rsidRDefault="00060ECC" w:rsidP="00585821">
      <w:pPr>
        <w:jc w:val="both"/>
        <w:rPr>
          <w:rStyle w:val="lev"/>
          <w:highlight w:val="green"/>
        </w:rPr>
      </w:pPr>
    </w:p>
    <w:p w14:paraId="3805EF94" w14:textId="77777777" w:rsidR="00731A03" w:rsidRPr="001E0513" w:rsidRDefault="00A32D7E" w:rsidP="00585821">
      <w:pPr>
        <w:jc w:val="both"/>
        <w:rPr>
          <w:rStyle w:val="lev"/>
        </w:rPr>
      </w:pPr>
      <w:r w:rsidRPr="001E0513">
        <w:rPr>
          <w:rStyle w:val="lev"/>
        </w:rPr>
        <w:t>Modalités de livraisons</w:t>
      </w:r>
    </w:p>
    <w:p w14:paraId="56C4E46B" w14:textId="31C6B061" w:rsidR="00AF2475" w:rsidRPr="001E0513" w:rsidRDefault="00AF2475" w:rsidP="00585821">
      <w:pPr>
        <w:jc w:val="both"/>
      </w:pPr>
      <w:r w:rsidRPr="001E0513">
        <w:t xml:space="preserve">La date exacte de livraison devra être convenue entre la personne habilitée à réceptionner </w:t>
      </w:r>
      <w:r w:rsidR="00202689">
        <w:t xml:space="preserve">à ACHAT </w:t>
      </w:r>
      <w:r w:rsidRPr="001E0513">
        <w:t>d’une part, et le titulaire du marché d’autre part, au plus tard 8 jours avant la semaine de livraison fixée lors de la confirmation de commande du titulaire. Cette date de livraison sera confirmée par le titulaire auprès du site par écrit.</w:t>
      </w:r>
    </w:p>
    <w:p w14:paraId="5A75CF40" w14:textId="77777777" w:rsidR="00731A03" w:rsidRPr="001E0513" w:rsidRDefault="00585821" w:rsidP="00585821">
      <w:pPr>
        <w:jc w:val="both"/>
        <w:rPr>
          <w:b/>
          <w:bCs/>
          <w:color w:val="943634"/>
          <w:spacing w:val="5"/>
        </w:rPr>
      </w:pPr>
      <w:r w:rsidRPr="001E0513">
        <w:rPr>
          <w:rStyle w:val="lev"/>
        </w:rPr>
        <w:t>R</w:t>
      </w:r>
      <w:r w:rsidR="00731A03" w:rsidRPr="001E0513">
        <w:rPr>
          <w:rStyle w:val="lev"/>
        </w:rPr>
        <w:t xml:space="preserve">éalisation des </w:t>
      </w:r>
      <w:r w:rsidR="00060ECC" w:rsidRPr="001E0513">
        <w:rPr>
          <w:rStyle w:val="lev"/>
        </w:rPr>
        <w:t>études</w:t>
      </w:r>
    </w:p>
    <w:p w14:paraId="749CA330" w14:textId="61C7BCFA" w:rsidR="00731A03" w:rsidRPr="001E0513" w:rsidRDefault="00731A03" w:rsidP="00585821">
      <w:pPr>
        <w:jc w:val="both"/>
      </w:pPr>
      <w:r w:rsidRPr="001E0513">
        <w:t>Préalablement à l’établis</w:t>
      </w:r>
      <w:r w:rsidR="00202689">
        <w:t>sement d’une commande, le site</w:t>
      </w:r>
      <w:r w:rsidRPr="001E0513">
        <w:t xml:space="preserve"> pourra prendre rendez-vous avec le titulaire afin de déterminer la nature, la quantité, et les dispositions relatives aux équipements objets de la commande. </w:t>
      </w:r>
    </w:p>
    <w:p w14:paraId="382D5994" w14:textId="77777777" w:rsidR="00060ECC" w:rsidRPr="001E0513" w:rsidRDefault="00060ECC" w:rsidP="00585821">
      <w:pPr>
        <w:jc w:val="both"/>
      </w:pPr>
      <w:r w:rsidRPr="001E0513">
        <w:t xml:space="preserve">Le titulaire mettra à disposition de l’établissement un chef de projet ayant les compétences et le degré de responsabilité nécessaires pour valider les choix envisagés. </w:t>
      </w:r>
    </w:p>
    <w:p w14:paraId="3ED26765" w14:textId="61186B2B" w:rsidR="00491E04" w:rsidRPr="001E0513" w:rsidRDefault="00491E04" w:rsidP="00585821">
      <w:pPr>
        <w:jc w:val="both"/>
      </w:pPr>
      <w:r w:rsidRPr="001E0513">
        <w:t>Pendant la durée de l’exécution du marché, le titulaire du marché s’engage à proposer, sur d</w:t>
      </w:r>
      <w:r w:rsidR="00202689">
        <w:t>emande d’ACHAT</w:t>
      </w:r>
      <w:r w:rsidR="00060ECC" w:rsidRPr="001E0513">
        <w:t xml:space="preserve"> une étude de solution comprenant, non exhaustif :</w:t>
      </w:r>
    </w:p>
    <w:p w14:paraId="28D5655C" w14:textId="1E168C1F" w:rsidR="00060ECC" w:rsidRPr="001E0513" w:rsidRDefault="001C73EE" w:rsidP="0033646D">
      <w:pPr>
        <w:pStyle w:val="Paragraphedeliste"/>
        <w:numPr>
          <w:ilvl w:val="0"/>
          <w:numId w:val="29"/>
        </w:numPr>
        <w:autoSpaceDE w:val="0"/>
        <w:autoSpaceDN w:val="0"/>
        <w:adjustRightInd w:val="0"/>
        <w:spacing w:after="0" w:line="240" w:lineRule="auto"/>
        <w:jc w:val="both"/>
      </w:pPr>
      <w:r w:rsidRPr="001E0513">
        <w:t>Les</w:t>
      </w:r>
      <w:r w:rsidR="00060ECC" w:rsidRPr="001E0513">
        <w:t xml:space="preserve"> études d'exécution ;</w:t>
      </w:r>
    </w:p>
    <w:p w14:paraId="1D9E41D5" w14:textId="37865DD4" w:rsidR="00333F31" w:rsidRPr="001E0513" w:rsidRDefault="00162F6E" w:rsidP="0033646D">
      <w:pPr>
        <w:pStyle w:val="Paragraphedeliste"/>
        <w:numPr>
          <w:ilvl w:val="0"/>
          <w:numId w:val="29"/>
        </w:numPr>
        <w:autoSpaceDE w:val="0"/>
        <w:autoSpaceDN w:val="0"/>
        <w:adjustRightInd w:val="0"/>
        <w:spacing w:after="0" w:line="240" w:lineRule="auto"/>
        <w:jc w:val="both"/>
      </w:pPr>
      <w:r w:rsidRPr="001E0513">
        <w:t>L’accompagnement</w:t>
      </w:r>
      <w:r w:rsidR="00FE3657" w:rsidRPr="001E0513">
        <w:t>, l</w:t>
      </w:r>
      <w:r w:rsidR="00D54723" w:rsidRPr="001E0513">
        <w:t>a</w:t>
      </w:r>
      <w:r w:rsidR="00FE3657" w:rsidRPr="001E0513">
        <w:t xml:space="preserve"> formation et le transfert de compétences</w:t>
      </w:r>
      <w:r w:rsidR="00333F31" w:rsidRPr="001E0513">
        <w:t xml:space="preserve"> tel</w:t>
      </w:r>
      <w:r w:rsidR="00FE3657" w:rsidRPr="001E0513">
        <w:t>s</w:t>
      </w:r>
      <w:r w:rsidR="00333F31" w:rsidRPr="001E0513">
        <w:t xml:space="preserve"> que défini</w:t>
      </w:r>
      <w:r w:rsidR="00FE3657" w:rsidRPr="001E0513">
        <w:t>s</w:t>
      </w:r>
      <w:r w:rsidR="00333F31" w:rsidRPr="001E0513">
        <w:t xml:space="preserve"> Art. IV-4 du présent CCTP</w:t>
      </w:r>
    </w:p>
    <w:p w14:paraId="30AD6B61" w14:textId="33334B07" w:rsidR="00060ECC" w:rsidRPr="001E0513" w:rsidRDefault="001C73EE" w:rsidP="0033646D">
      <w:pPr>
        <w:pStyle w:val="Paragraphedeliste"/>
        <w:numPr>
          <w:ilvl w:val="0"/>
          <w:numId w:val="29"/>
        </w:numPr>
        <w:autoSpaceDE w:val="0"/>
        <w:autoSpaceDN w:val="0"/>
        <w:adjustRightInd w:val="0"/>
        <w:spacing w:after="0" w:line="240" w:lineRule="auto"/>
        <w:jc w:val="both"/>
      </w:pPr>
      <w:r w:rsidRPr="001E0513">
        <w:t>Le</w:t>
      </w:r>
      <w:r w:rsidR="00060ECC" w:rsidRPr="001E0513">
        <w:t xml:space="preserve"> dossier de définition et de validation de l’implantation de l’ensemble des composants du système ;</w:t>
      </w:r>
    </w:p>
    <w:p w14:paraId="07FD2708" w14:textId="51D20EFA" w:rsidR="00060ECC" w:rsidRPr="001E0513" w:rsidRDefault="001C73EE" w:rsidP="0033646D">
      <w:pPr>
        <w:pStyle w:val="Paragraphedeliste"/>
        <w:numPr>
          <w:ilvl w:val="0"/>
          <w:numId w:val="29"/>
        </w:numPr>
        <w:autoSpaceDE w:val="0"/>
        <w:autoSpaceDN w:val="0"/>
        <w:adjustRightInd w:val="0"/>
        <w:spacing w:after="0" w:line="240" w:lineRule="auto"/>
        <w:jc w:val="both"/>
      </w:pPr>
      <w:r w:rsidRPr="001E0513">
        <w:t>Les</w:t>
      </w:r>
      <w:r w:rsidR="00060ECC" w:rsidRPr="001E0513">
        <w:t xml:space="preserve"> éléments de sécurité et d’évacuation du site conformément aux textes ou bonnes</w:t>
      </w:r>
    </w:p>
    <w:p w14:paraId="15CF19A1" w14:textId="77777777" w:rsidR="00060ECC" w:rsidRPr="001E0513" w:rsidRDefault="00060ECC" w:rsidP="00333F31">
      <w:pPr>
        <w:autoSpaceDE w:val="0"/>
        <w:autoSpaceDN w:val="0"/>
        <w:adjustRightInd w:val="0"/>
        <w:spacing w:after="0" w:line="240" w:lineRule="auto"/>
        <w:ind w:firstLine="360"/>
        <w:jc w:val="both"/>
      </w:pPr>
      <w:r w:rsidRPr="001E0513">
        <w:t>pratiques en vigueur, ainsi qu'au plan de prévention ;</w:t>
      </w:r>
    </w:p>
    <w:p w14:paraId="4516E00C" w14:textId="77777777" w:rsidR="00060ECC" w:rsidRPr="001E0513" w:rsidRDefault="00060ECC" w:rsidP="0033646D">
      <w:pPr>
        <w:pStyle w:val="Paragraphedeliste"/>
        <w:numPr>
          <w:ilvl w:val="0"/>
          <w:numId w:val="29"/>
        </w:numPr>
        <w:autoSpaceDE w:val="0"/>
        <w:autoSpaceDN w:val="0"/>
        <w:adjustRightInd w:val="0"/>
        <w:spacing w:after="0" w:line="240" w:lineRule="auto"/>
        <w:jc w:val="both"/>
      </w:pPr>
      <w:r w:rsidRPr="001E0513">
        <w:t>Les plans de raccordements ;</w:t>
      </w:r>
    </w:p>
    <w:p w14:paraId="199E0CCB" w14:textId="77777777" w:rsidR="00060ECC" w:rsidRPr="001E0513" w:rsidRDefault="00060ECC" w:rsidP="0033646D">
      <w:pPr>
        <w:pStyle w:val="Paragraphedeliste"/>
        <w:numPr>
          <w:ilvl w:val="0"/>
          <w:numId w:val="29"/>
        </w:numPr>
        <w:autoSpaceDE w:val="0"/>
        <w:autoSpaceDN w:val="0"/>
        <w:adjustRightInd w:val="0"/>
        <w:spacing w:after="0" w:line="240" w:lineRule="auto"/>
        <w:jc w:val="both"/>
      </w:pPr>
      <w:r w:rsidRPr="001E0513">
        <w:t>La mise à jour des syno</w:t>
      </w:r>
      <w:r w:rsidR="00333F31" w:rsidRPr="001E0513">
        <w:t>ptiques des armoires concernées ;</w:t>
      </w:r>
    </w:p>
    <w:p w14:paraId="5F5D98D1" w14:textId="77777777" w:rsidR="00333F31" w:rsidRPr="001E0513" w:rsidRDefault="00333F31" w:rsidP="0033646D">
      <w:pPr>
        <w:pStyle w:val="Paragraphedeliste"/>
        <w:numPr>
          <w:ilvl w:val="0"/>
          <w:numId w:val="29"/>
        </w:numPr>
        <w:autoSpaceDE w:val="0"/>
        <w:autoSpaceDN w:val="0"/>
        <w:adjustRightInd w:val="0"/>
        <w:spacing w:after="0" w:line="240" w:lineRule="auto"/>
        <w:jc w:val="both"/>
      </w:pPr>
      <w:r w:rsidRPr="001E0513">
        <w:t>Les moyens de la recette et les livrables tels que définis ART IV-4 du présent CCTP ;</w:t>
      </w:r>
    </w:p>
    <w:p w14:paraId="24BC784C" w14:textId="77777777" w:rsidR="00060ECC" w:rsidRPr="001E0513" w:rsidRDefault="00060ECC" w:rsidP="0033646D">
      <w:pPr>
        <w:pStyle w:val="Paragraphedeliste"/>
        <w:numPr>
          <w:ilvl w:val="0"/>
          <w:numId w:val="29"/>
        </w:numPr>
        <w:autoSpaceDE w:val="0"/>
        <w:autoSpaceDN w:val="0"/>
        <w:adjustRightInd w:val="0"/>
        <w:spacing w:after="0" w:line="240" w:lineRule="auto"/>
        <w:jc w:val="both"/>
      </w:pPr>
      <w:r w:rsidRPr="001E0513">
        <w:t>Le titulaire devra prendre en compte le verrouillage actuel, le degré de sécurité exigé selon le type d’accès et les procédures en cas d’évacuation du site. Il se conformera à la réglementation en vigueur (ERP et code du travail).</w:t>
      </w:r>
    </w:p>
    <w:p w14:paraId="6D5FC470" w14:textId="77777777" w:rsidR="00060ECC" w:rsidRPr="001E0513" w:rsidRDefault="00060ECC" w:rsidP="00A32D7E">
      <w:pPr>
        <w:autoSpaceDE w:val="0"/>
        <w:autoSpaceDN w:val="0"/>
        <w:adjustRightInd w:val="0"/>
        <w:spacing w:after="0" w:line="240" w:lineRule="auto"/>
        <w:jc w:val="both"/>
        <w:rPr>
          <w:rFonts w:ascii="Times New Roman" w:hAnsi="Times New Roman"/>
        </w:rPr>
      </w:pPr>
    </w:p>
    <w:p w14:paraId="0DFFEBCF" w14:textId="77777777" w:rsidR="00491E04" w:rsidRPr="001E0513" w:rsidRDefault="00491E04" w:rsidP="00585821">
      <w:pPr>
        <w:jc w:val="both"/>
      </w:pPr>
      <w:r w:rsidRPr="001E0513">
        <w:t>Cette étude comprendra dans tous les cas un schéma d’implantation des équipements proposés.</w:t>
      </w:r>
    </w:p>
    <w:p w14:paraId="2E062610" w14:textId="77777777" w:rsidR="00491E04" w:rsidRPr="001E0513" w:rsidRDefault="00060ECC" w:rsidP="00585821">
      <w:pPr>
        <w:jc w:val="both"/>
      </w:pPr>
      <w:r w:rsidRPr="001E0513">
        <w:t>Le</w:t>
      </w:r>
      <w:r w:rsidR="00491E04" w:rsidRPr="001E0513">
        <w:t xml:space="preserve"> titulaire indiquera précisément le délai nécessaire à </w:t>
      </w:r>
      <w:r w:rsidRPr="001E0513">
        <w:t>l’</w:t>
      </w:r>
      <w:r w:rsidR="00491E04" w:rsidRPr="001E0513">
        <w:t>exécution</w:t>
      </w:r>
      <w:r w:rsidRPr="001E0513">
        <w:t xml:space="preserve"> de son étude</w:t>
      </w:r>
      <w:r w:rsidR="00491E04" w:rsidRPr="001E0513">
        <w:t>.</w:t>
      </w:r>
    </w:p>
    <w:p w14:paraId="3CEF00B0" w14:textId="77777777" w:rsidR="00E05B19" w:rsidRPr="001E0513" w:rsidRDefault="00E05B19" w:rsidP="00585821">
      <w:pPr>
        <w:jc w:val="both"/>
      </w:pPr>
      <w:r w:rsidRPr="001E0513">
        <w:t xml:space="preserve">Les projets de plans d’implantation seront réalisés en couleur afin d’en améliorer la lisibilité. </w:t>
      </w:r>
    </w:p>
    <w:p w14:paraId="37FA47B7" w14:textId="77777777" w:rsidR="00A32D7E" w:rsidRPr="001E0513" w:rsidRDefault="00E05B19" w:rsidP="00585821">
      <w:pPr>
        <w:jc w:val="both"/>
      </w:pPr>
      <w:r w:rsidRPr="001E0513">
        <w:t>Les erreurs éventuelles de cotation des plans d’implantation réalisés relèvent de la responsabilité du titulaire qui vérifiera sur place les côtes</w:t>
      </w:r>
      <w:r w:rsidR="00A32D7E" w:rsidRPr="001E0513">
        <w:t>.</w:t>
      </w:r>
    </w:p>
    <w:p w14:paraId="179E00EA" w14:textId="77777777" w:rsidR="00E917B6" w:rsidRPr="001E0513" w:rsidRDefault="00E917B6" w:rsidP="00585821">
      <w:pPr>
        <w:jc w:val="both"/>
      </w:pPr>
      <w:r w:rsidRPr="001E0513">
        <w:t xml:space="preserve">Remarque : la réalisation de plans d’implantation n’est pas soumise à un </w:t>
      </w:r>
      <w:r w:rsidR="009F3E88" w:rsidRPr="001E0513">
        <w:t>montant</w:t>
      </w:r>
      <w:r w:rsidRPr="001E0513">
        <w:t xml:space="preserve"> minimum de commande. </w:t>
      </w:r>
    </w:p>
    <w:p w14:paraId="2395C4C9" w14:textId="77777777" w:rsidR="00333F31" w:rsidRPr="001E0513" w:rsidRDefault="00333F31" w:rsidP="00333F31">
      <w:pPr>
        <w:jc w:val="both"/>
      </w:pPr>
      <w:r w:rsidRPr="001E0513">
        <w:lastRenderedPageBreak/>
        <w:t>Un exemple d’étude sera joint au dossier d’offre sous forme de mémoire technique.</w:t>
      </w:r>
    </w:p>
    <w:p w14:paraId="43AB1A34" w14:textId="029578F2" w:rsidR="00333F31" w:rsidRPr="001E0513" w:rsidRDefault="00333F31" w:rsidP="00333F31">
      <w:pPr>
        <w:tabs>
          <w:tab w:val="left" w:pos="0"/>
        </w:tabs>
        <w:ind w:right="-2"/>
        <w:jc w:val="both"/>
      </w:pPr>
      <w:r w:rsidRPr="001E0513">
        <w:t xml:space="preserve">Le mémoire technique proposé à titre d’exemple </w:t>
      </w:r>
      <w:r w:rsidR="00FE3657" w:rsidRPr="001E0513">
        <w:t xml:space="preserve">d’étude </w:t>
      </w:r>
      <w:r w:rsidRPr="001E0513">
        <w:t xml:space="preserve">contiendra au </w:t>
      </w:r>
      <w:r w:rsidR="001C73EE" w:rsidRPr="001E0513">
        <w:t>minimum :</w:t>
      </w:r>
    </w:p>
    <w:p w14:paraId="161905CC" w14:textId="3B4D9383" w:rsidR="00333F31" w:rsidRPr="001E0513" w:rsidRDefault="00333F31" w:rsidP="00333F31">
      <w:pPr>
        <w:numPr>
          <w:ilvl w:val="0"/>
          <w:numId w:val="45"/>
        </w:numPr>
        <w:tabs>
          <w:tab w:val="left" w:pos="0"/>
          <w:tab w:val="left" w:pos="993"/>
        </w:tabs>
        <w:spacing w:after="0"/>
        <w:ind w:right="-2"/>
        <w:contextualSpacing/>
        <w:jc w:val="both"/>
      </w:pPr>
      <w:r w:rsidRPr="001E0513">
        <w:t xml:space="preserve">Un descriptif type de projet </w:t>
      </w:r>
      <w:r w:rsidR="001C73EE" w:rsidRPr="001E0513">
        <w:t>d’établissement ;</w:t>
      </w:r>
    </w:p>
    <w:p w14:paraId="590032D5" w14:textId="77777777" w:rsidR="00333F31" w:rsidRPr="001E0513" w:rsidRDefault="00333F31" w:rsidP="00333F31">
      <w:pPr>
        <w:numPr>
          <w:ilvl w:val="0"/>
          <w:numId w:val="45"/>
        </w:numPr>
        <w:tabs>
          <w:tab w:val="left" w:pos="0"/>
          <w:tab w:val="left" w:pos="993"/>
        </w:tabs>
        <w:spacing w:after="0"/>
        <w:ind w:right="-2"/>
        <w:contextualSpacing/>
        <w:jc w:val="both"/>
      </w:pPr>
      <w:r w:rsidRPr="001E0513">
        <w:t>Les solutions proposées en liaison avec le BPU ;</w:t>
      </w:r>
    </w:p>
    <w:p w14:paraId="77AAF968" w14:textId="77777777" w:rsidR="00333F31" w:rsidRPr="001E0513" w:rsidRDefault="00333F31" w:rsidP="00333F31">
      <w:pPr>
        <w:numPr>
          <w:ilvl w:val="0"/>
          <w:numId w:val="45"/>
        </w:numPr>
        <w:tabs>
          <w:tab w:val="left" w:pos="0"/>
          <w:tab w:val="left" w:pos="993"/>
        </w:tabs>
        <w:spacing w:after="0"/>
        <w:ind w:right="-2"/>
        <w:contextualSpacing/>
        <w:jc w:val="both"/>
      </w:pPr>
      <w:r w:rsidRPr="001E0513">
        <w:t>Les plans d’exécution ;</w:t>
      </w:r>
    </w:p>
    <w:p w14:paraId="752EF76D" w14:textId="2A20D9E4" w:rsidR="00333F31" w:rsidRPr="001E0513" w:rsidRDefault="00333F31" w:rsidP="00333F31">
      <w:pPr>
        <w:numPr>
          <w:ilvl w:val="0"/>
          <w:numId w:val="45"/>
        </w:numPr>
        <w:tabs>
          <w:tab w:val="left" w:pos="0"/>
          <w:tab w:val="left" w:pos="993"/>
        </w:tabs>
        <w:spacing w:after="0"/>
        <w:ind w:right="-2"/>
        <w:contextualSpacing/>
        <w:jc w:val="both"/>
      </w:pPr>
      <w:r w:rsidRPr="001E0513">
        <w:t xml:space="preserve">Un planning prévisionnel </w:t>
      </w:r>
      <w:r w:rsidR="001C73EE" w:rsidRPr="001E0513">
        <w:t>d’installation ;</w:t>
      </w:r>
    </w:p>
    <w:p w14:paraId="25D6F920" w14:textId="77777777" w:rsidR="00333F31" w:rsidRPr="001E0513" w:rsidRDefault="00333F31" w:rsidP="00333F31">
      <w:pPr>
        <w:numPr>
          <w:ilvl w:val="0"/>
          <w:numId w:val="45"/>
        </w:numPr>
        <w:tabs>
          <w:tab w:val="left" w:pos="0"/>
          <w:tab w:val="left" w:pos="993"/>
        </w:tabs>
        <w:spacing w:after="0"/>
        <w:ind w:right="-2"/>
        <w:contextualSpacing/>
        <w:jc w:val="both"/>
      </w:pPr>
      <w:r w:rsidRPr="001E0513">
        <w:t xml:space="preserve">Un devis. </w:t>
      </w:r>
    </w:p>
    <w:p w14:paraId="43200316" w14:textId="77777777" w:rsidR="00333F31" w:rsidRPr="001E0513" w:rsidRDefault="00333F31" w:rsidP="00333F31">
      <w:pPr>
        <w:tabs>
          <w:tab w:val="left" w:pos="0"/>
          <w:tab w:val="left" w:pos="993"/>
        </w:tabs>
        <w:spacing w:after="0"/>
        <w:ind w:left="720" w:right="-2"/>
        <w:contextualSpacing/>
        <w:jc w:val="both"/>
      </w:pPr>
    </w:p>
    <w:p w14:paraId="3E234141" w14:textId="77777777" w:rsidR="00333F31" w:rsidRPr="00406BB2" w:rsidRDefault="00333F31" w:rsidP="00333F31">
      <w:pPr>
        <w:tabs>
          <w:tab w:val="left" w:pos="0"/>
          <w:tab w:val="left" w:pos="993"/>
        </w:tabs>
        <w:spacing w:after="0"/>
        <w:ind w:right="-2"/>
        <w:contextualSpacing/>
        <w:jc w:val="both"/>
        <w:rPr>
          <w:highlight w:val="green"/>
        </w:rPr>
      </w:pPr>
    </w:p>
    <w:p w14:paraId="698B216B" w14:textId="77777777" w:rsidR="00333F31" w:rsidRPr="00406BB2" w:rsidRDefault="00333F31" w:rsidP="00333F31">
      <w:pPr>
        <w:tabs>
          <w:tab w:val="left" w:pos="0"/>
          <w:tab w:val="left" w:pos="993"/>
        </w:tabs>
        <w:spacing w:after="0"/>
        <w:ind w:left="720" w:right="-2"/>
        <w:contextualSpacing/>
        <w:jc w:val="both"/>
        <w:rPr>
          <w:highlight w:val="green"/>
        </w:rPr>
      </w:pPr>
    </w:p>
    <w:p w14:paraId="198DF8AA" w14:textId="77777777" w:rsidR="00333F31" w:rsidRPr="001E0513" w:rsidRDefault="00333F31" w:rsidP="00333F31">
      <w:pPr>
        <w:jc w:val="center"/>
        <w:rPr>
          <w:rFonts w:ascii="Calibri" w:hAnsi="Calibri"/>
          <w:b/>
          <w:bCs/>
          <w:i/>
          <w:iCs/>
          <w:color w:val="622423"/>
          <w:sz w:val="24"/>
          <w:szCs w:val="24"/>
        </w:rPr>
      </w:pPr>
      <w:r w:rsidRPr="001E0513">
        <w:rPr>
          <w:rFonts w:ascii="Calibri" w:hAnsi="Calibri"/>
          <w:b/>
          <w:bCs/>
          <w:i/>
          <w:iCs/>
          <w:color w:val="622423"/>
          <w:sz w:val="24"/>
          <w:szCs w:val="24"/>
        </w:rPr>
        <w:t>L’attention des candidats est attirée sur cet exemple d’étude qui constitue un critère évalué et noté.</w:t>
      </w:r>
    </w:p>
    <w:p w14:paraId="76894FB8" w14:textId="77777777" w:rsidR="00333F31" w:rsidRPr="001E0513" w:rsidRDefault="00333F31" w:rsidP="00333F31">
      <w:pPr>
        <w:ind w:firstLine="567"/>
        <w:jc w:val="center"/>
        <w:rPr>
          <w:rFonts w:ascii="Calibri" w:hAnsi="Calibri"/>
          <w:b/>
          <w:bCs/>
          <w:i/>
          <w:iCs/>
          <w:color w:val="622423"/>
          <w:sz w:val="24"/>
          <w:szCs w:val="24"/>
        </w:rPr>
      </w:pPr>
      <w:r w:rsidRPr="001E0513">
        <w:rPr>
          <w:rFonts w:ascii="Calibri" w:hAnsi="Calibri"/>
          <w:b/>
          <w:bCs/>
          <w:i/>
          <w:iCs/>
          <w:color w:val="622423"/>
          <w:sz w:val="24"/>
          <w:szCs w:val="24"/>
        </w:rPr>
        <w:t>L’absence de présentation d’exemple d’étude rend l’offre non conforme.</w:t>
      </w:r>
    </w:p>
    <w:p w14:paraId="0CC44E5E" w14:textId="77777777" w:rsidR="00333F31" w:rsidRPr="00406BB2" w:rsidRDefault="00333F31" w:rsidP="00585821">
      <w:pPr>
        <w:jc w:val="both"/>
        <w:rPr>
          <w:highlight w:val="green"/>
        </w:rPr>
      </w:pPr>
    </w:p>
    <w:p w14:paraId="61FF1DD3" w14:textId="77777777" w:rsidR="00731A03" w:rsidRPr="001E0513" w:rsidRDefault="00731A03" w:rsidP="00585821">
      <w:pPr>
        <w:jc w:val="both"/>
        <w:rPr>
          <w:rStyle w:val="lev"/>
        </w:rPr>
      </w:pPr>
      <w:r w:rsidRPr="001E0513">
        <w:rPr>
          <w:rStyle w:val="lev"/>
        </w:rPr>
        <w:t>Modalités d’installation et de mise en service :</w:t>
      </w:r>
    </w:p>
    <w:p w14:paraId="132811E7" w14:textId="513DF022" w:rsidR="00731A03" w:rsidRPr="001E0513" w:rsidRDefault="00202689" w:rsidP="00585821">
      <w:pPr>
        <w:jc w:val="both"/>
      </w:pPr>
      <w:r>
        <w:t>A la demande du site</w:t>
      </w:r>
      <w:r w:rsidR="00731A03" w:rsidRPr="001E0513">
        <w:t>, le titulaire est tenu de participer à toute réunion ayant pour objet la fixation et le suivi du calendrier de livraison et de montage des matériels commandés.</w:t>
      </w:r>
    </w:p>
    <w:p w14:paraId="03439420" w14:textId="1A31F4EE" w:rsidR="00731A03" w:rsidRPr="001E0513" w:rsidRDefault="00731A03" w:rsidP="00585821">
      <w:pPr>
        <w:jc w:val="both"/>
      </w:pPr>
      <w:r w:rsidRPr="001E0513">
        <w:t xml:space="preserve">Dans les mêmes conditions, le titulaire est tenu de participer à toute réunion ayant pour objet la définition des limites de prestation entre les différents fournisseurs </w:t>
      </w:r>
      <w:r w:rsidR="00202689">
        <w:t>ou le</w:t>
      </w:r>
      <w:r w:rsidRPr="001E0513">
        <w:t xml:space="preserve"> service </w:t>
      </w:r>
      <w:r w:rsidR="00E917B6" w:rsidRPr="001E0513">
        <w:t>technique</w:t>
      </w:r>
      <w:r w:rsidR="00202689">
        <w:t>,</w:t>
      </w:r>
      <w:r w:rsidRPr="001E0513">
        <w:t xml:space="preserve"> et le suivi du calendrier de livraison et de montage des matériels commandés pour l’opération d’aménagement considéré.</w:t>
      </w:r>
    </w:p>
    <w:p w14:paraId="529654DC" w14:textId="77777777" w:rsidR="00AF2475" w:rsidRPr="001E0513" w:rsidRDefault="00AF2475" w:rsidP="00585821">
      <w:pPr>
        <w:jc w:val="both"/>
      </w:pPr>
      <w:r w:rsidRPr="001E0513">
        <w:t>Le titulaire devra proposer une date de rendez-vous au site concerné au maximum dans la semaine suivant la demande de celui-ci.</w:t>
      </w:r>
    </w:p>
    <w:p w14:paraId="6C424F78" w14:textId="77777777" w:rsidR="00731A03" w:rsidRPr="001E0513" w:rsidRDefault="00731A03" w:rsidP="00585821">
      <w:pPr>
        <w:jc w:val="both"/>
      </w:pPr>
      <w:r w:rsidRPr="001E0513">
        <w:t>Le titulaire doit assurer la remise en état de toutes les détériorations éventuelles causées lors de la mise en place et du raccordement des matériels, ainsi que le déballage et l’évacuation des emballages vi</w:t>
      </w:r>
      <w:r w:rsidR="00A9428F" w:rsidRPr="001E0513">
        <w:t>des et le nettoyage des locaux.</w:t>
      </w:r>
    </w:p>
    <w:p w14:paraId="46EF8D61" w14:textId="77777777" w:rsidR="00731A03" w:rsidRPr="001E0513" w:rsidRDefault="00E77FDD" w:rsidP="00585821">
      <w:pPr>
        <w:jc w:val="both"/>
      </w:pPr>
      <w:r w:rsidRPr="001E0513">
        <w:t>Le titulaire</w:t>
      </w:r>
      <w:r w:rsidR="00731A03" w:rsidRPr="001E0513">
        <w:t xml:space="preserve"> ne pourra pas exiger la prise en charge d’une prestation non prévue nécessaire à la bonne réalisation de sa prestation.</w:t>
      </w:r>
    </w:p>
    <w:p w14:paraId="6F0F9388" w14:textId="77777777" w:rsidR="0060690C" w:rsidRPr="001E0513" w:rsidRDefault="0060690C" w:rsidP="00585821">
      <w:pPr>
        <w:jc w:val="both"/>
        <w:rPr>
          <w:rStyle w:val="lev"/>
        </w:rPr>
      </w:pPr>
      <w:r w:rsidRPr="001E0513">
        <w:rPr>
          <w:rStyle w:val="lev"/>
        </w:rPr>
        <w:t>Dossier des ouvrages exécutés</w:t>
      </w:r>
    </w:p>
    <w:p w14:paraId="439BCBAE" w14:textId="77777777" w:rsidR="0060690C" w:rsidRPr="001E0513" w:rsidRDefault="0060690C" w:rsidP="00585821">
      <w:pPr>
        <w:autoSpaceDE w:val="0"/>
        <w:autoSpaceDN w:val="0"/>
        <w:adjustRightInd w:val="0"/>
        <w:spacing w:after="0" w:line="240" w:lineRule="auto"/>
        <w:jc w:val="both"/>
        <w:rPr>
          <w:szCs w:val="24"/>
        </w:rPr>
      </w:pPr>
      <w:r w:rsidRPr="001E0513">
        <w:rPr>
          <w:szCs w:val="24"/>
        </w:rPr>
        <w:t>L’opérateur remettra à la réception le dossier des ouvrages exécutés (DOE) sous format</w:t>
      </w:r>
      <w:r w:rsidR="00E655BA" w:rsidRPr="001E0513">
        <w:rPr>
          <w:szCs w:val="24"/>
        </w:rPr>
        <w:t xml:space="preserve"> p</w:t>
      </w:r>
      <w:r w:rsidRPr="001E0513">
        <w:rPr>
          <w:szCs w:val="24"/>
        </w:rPr>
        <w:t>apier ainsi qu'au format dématérialisé.</w:t>
      </w:r>
    </w:p>
    <w:p w14:paraId="4AE1B50A" w14:textId="77777777" w:rsidR="0060690C" w:rsidRPr="001E0513" w:rsidRDefault="0060690C" w:rsidP="00585821">
      <w:pPr>
        <w:autoSpaceDE w:val="0"/>
        <w:autoSpaceDN w:val="0"/>
        <w:adjustRightInd w:val="0"/>
        <w:spacing w:after="0" w:line="240" w:lineRule="auto"/>
        <w:jc w:val="both"/>
        <w:rPr>
          <w:szCs w:val="24"/>
        </w:rPr>
      </w:pPr>
    </w:p>
    <w:p w14:paraId="4FEB30E0" w14:textId="77777777" w:rsidR="0060690C" w:rsidRPr="001E0513" w:rsidRDefault="0060690C" w:rsidP="00585821">
      <w:pPr>
        <w:autoSpaceDE w:val="0"/>
        <w:autoSpaceDN w:val="0"/>
        <w:adjustRightInd w:val="0"/>
        <w:spacing w:after="0" w:line="240" w:lineRule="auto"/>
        <w:jc w:val="both"/>
        <w:rPr>
          <w:szCs w:val="24"/>
        </w:rPr>
      </w:pPr>
      <w:r w:rsidRPr="001E0513">
        <w:rPr>
          <w:szCs w:val="24"/>
        </w:rPr>
        <w:t>Il comprendra (non exhaustif):</w:t>
      </w:r>
    </w:p>
    <w:p w14:paraId="0CBEDEF7" w14:textId="77777777" w:rsidR="0060690C" w:rsidRPr="001E0513" w:rsidRDefault="0060690C" w:rsidP="00585821">
      <w:pPr>
        <w:autoSpaceDE w:val="0"/>
        <w:autoSpaceDN w:val="0"/>
        <w:adjustRightInd w:val="0"/>
        <w:spacing w:after="0" w:line="240" w:lineRule="auto"/>
        <w:jc w:val="both"/>
        <w:rPr>
          <w:rFonts w:ascii="Times New Roman" w:hAnsi="Times New Roman"/>
          <w:sz w:val="24"/>
          <w:szCs w:val="24"/>
        </w:rPr>
      </w:pPr>
    </w:p>
    <w:p w14:paraId="117C5830" w14:textId="4953CD61" w:rsidR="00A01AA4" w:rsidRPr="001E0513" w:rsidRDefault="001C73EE" w:rsidP="0033646D">
      <w:pPr>
        <w:pStyle w:val="Paragraphedeliste"/>
        <w:numPr>
          <w:ilvl w:val="0"/>
          <w:numId w:val="30"/>
        </w:numPr>
        <w:autoSpaceDE w:val="0"/>
        <w:autoSpaceDN w:val="0"/>
        <w:adjustRightInd w:val="0"/>
        <w:spacing w:after="0" w:line="240" w:lineRule="auto"/>
        <w:jc w:val="both"/>
        <w:rPr>
          <w:szCs w:val="24"/>
        </w:rPr>
      </w:pPr>
      <w:r w:rsidRPr="001E0513">
        <w:rPr>
          <w:szCs w:val="24"/>
        </w:rPr>
        <w:t>Les</w:t>
      </w:r>
      <w:r w:rsidR="00A01AA4" w:rsidRPr="001E0513">
        <w:rPr>
          <w:szCs w:val="24"/>
        </w:rPr>
        <w:t xml:space="preserve"> schémas de principe généraux</w:t>
      </w:r>
      <w:r w:rsidR="00CE6706" w:rsidRPr="001E0513">
        <w:rPr>
          <w:szCs w:val="24"/>
        </w:rPr>
        <w:t xml:space="preserve"> et détaillés des installations ;</w:t>
      </w:r>
    </w:p>
    <w:p w14:paraId="6A4FF497" w14:textId="2EFADC01" w:rsidR="00A01AA4" w:rsidRPr="001E0513" w:rsidRDefault="001C73EE" w:rsidP="0033646D">
      <w:pPr>
        <w:pStyle w:val="Paragraphedeliste"/>
        <w:numPr>
          <w:ilvl w:val="0"/>
          <w:numId w:val="30"/>
        </w:numPr>
        <w:autoSpaceDE w:val="0"/>
        <w:autoSpaceDN w:val="0"/>
        <w:adjustRightInd w:val="0"/>
        <w:spacing w:after="0" w:line="240" w:lineRule="auto"/>
        <w:jc w:val="both"/>
        <w:rPr>
          <w:szCs w:val="24"/>
        </w:rPr>
      </w:pPr>
      <w:r w:rsidRPr="001E0513">
        <w:rPr>
          <w:szCs w:val="24"/>
        </w:rPr>
        <w:t>Les</w:t>
      </w:r>
      <w:r w:rsidR="00A01AA4" w:rsidRPr="001E0513">
        <w:rPr>
          <w:szCs w:val="24"/>
        </w:rPr>
        <w:t xml:space="preserve"> schémas de câblage détaillés de l’ensemb</w:t>
      </w:r>
      <w:r w:rsidR="00CE6706" w:rsidRPr="001E0513">
        <w:rPr>
          <w:szCs w:val="24"/>
        </w:rPr>
        <w:t>le des dispositifs mis en œuvre ;</w:t>
      </w:r>
    </w:p>
    <w:p w14:paraId="186725D1" w14:textId="785BCDA8" w:rsidR="00A01AA4" w:rsidRPr="001E0513" w:rsidRDefault="001C73EE" w:rsidP="0033646D">
      <w:pPr>
        <w:pStyle w:val="Paragraphedeliste"/>
        <w:numPr>
          <w:ilvl w:val="0"/>
          <w:numId w:val="30"/>
        </w:numPr>
        <w:autoSpaceDE w:val="0"/>
        <w:autoSpaceDN w:val="0"/>
        <w:adjustRightInd w:val="0"/>
        <w:spacing w:after="0" w:line="240" w:lineRule="auto"/>
        <w:jc w:val="both"/>
        <w:rPr>
          <w:szCs w:val="24"/>
        </w:rPr>
      </w:pPr>
      <w:r w:rsidRPr="001E0513">
        <w:rPr>
          <w:szCs w:val="24"/>
        </w:rPr>
        <w:t>Les</w:t>
      </w:r>
      <w:r w:rsidR="00861D65" w:rsidRPr="001E0513">
        <w:rPr>
          <w:szCs w:val="24"/>
        </w:rPr>
        <w:t xml:space="preserve"> plans </w:t>
      </w:r>
      <w:r w:rsidRPr="001E0513">
        <w:rPr>
          <w:szCs w:val="24"/>
        </w:rPr>
        <w:t xml:space="preserve">d’implantation </w:t>
      </w:r>
      <w:r w:rsidR="00162F6E" w:rsidRPr="001E0513">
        <w:rPr>
          <w:szCs w:val="24"/>
        </w:rPr>
        <w:t xml:space="preserve">des </w:t>
      </w:r>
      <w:r w:rsidR="00202689" w:rsidRPr="001E0513">
        <w:rPr>
          <w:szCs w:val="24"/>
        </w:rPr>
        <w:t>équipements et de l’architecture du</w:t>
      </w:r>
      <w:r w:rsidR="00A01AA4" w:rsidRPr="001E0513">
        <w:rPr>
          <w:szCs w:val="24"/>
        </w:rPr>
        <w:t xml:space="preserve"> </w:t>
      </w:r>
      <w:r w:rsidR="00202689" w:rsidRPr="001E0513">
        <w:rPr>
          <w:szCs w:val="24"/>
        </w:rPr>
        <w:t>système (cheminement des câbles</w:t>
      </w:r>
      <w:r w:rsidR="00A01AA4" w:rsidRPr="001E0513">
        <w:rPr>
          <w:szCs w:val="24"/>
        </w:rPr>
        <w:t>, UTL, lecteur de badge, autres)</w:t>
      </w:r>
      <w:r w:rsidR="00CE6706" w:rsidRPr="001E0513">
        <w:rPr>
          <w:szCs w:val="24"/>
        </w:rPr>
        <w:t> ;</w:t>
      </w:r>
    </w:p>
    <w:p w14:paraId="4822780D" w14:textId="0E32D7CB" w:rsidR="00A01AA4" w:rsidRPr="001E0513" w:rsidRDefault="001C73EE" w:rsidP="0033646D">
      <w:pPr>
        <w:pStyle w:val="Paragraphedeliste"/>
        <w:numPr>
          <w:ilvl w:val="0"/>
          <w:numId w:val="30"/>
        </w:numPr>
        <w:autoSpaceDE w:val="0"/>
        <w:autoSpaceDN w:val="0"/>
        <w:adjustRightInd w:val="0"/>
        <w:spacing w:after="0" w:line="240" w:lineRule="auto"/>
        <w:jc w:val="both"/>
        <w:rPr>
          <w:szCs w:val="24"/>
        </w:rPr>
      </w:pPr>
      <w:r w:rsidRPr="001E0513">
        <w:rPr>
          <w:szCs w:val="24"/>
        </w:rPr>
        <w:t>La</w:t>
      </w:r>
      <w:r w:rsidR="00A01AA4" w:rsidRPr="001E0513">
        <w:rPr>
          <w:szCs w:val="24"/>
        </w:rPr>
        <w:t xml:space="preserve"> nomenclature précise (références produits, versions..</w:t>
      </w:r>
      <w:r w:rsidR="00CE6706" w:rsidRPr="001E0513">
        <w:rPr>
          <w:szCs w:val="24"/>
        </w:rPr>
        <w:t>.) du matériel et des logiciels ;</w:t>
      </w:r>
    </w:p>
    <w:p w14:paraId="6D645C3E" w14:textId="4F8D2FA8" w:rsidR="00A01AA4" w:rsidRPr="001E0513" w:rsidRDefault="001C73EE" w:rsidP="0033646D">
      <w:pPr>
        <w:pStyle w:val="Paragraphedeliste"/>
        <w:numPr>
          <w:ilvl w:val="0"/>
          <w:numId w:val="30"/>
        </w:numPr>
        <w:autoSpaceDE w:val="0"/>
        <w:autoSpaceDN w:val="0"/>
        <w:adjustRightInd w:val="0"/>
        <w:spacing w:after="0" w:line="240" w:lineRule="auto"/>
        <w:jc w:val="both"/>
        <w:rPr>
          <w:szCs w:val="24"/>
        </w:rPr>
      </w:pPr>
      <w:r w:rsidRPr="001E0513">
        <w:rPr>
          <w:szCs w:val="24"/>
        </w:rPr>
        <w:lastRenderedPageBreak/>
        <w:t>La</w:t>
      </w:r>
      <w:r w:rsidR="00A01AA4" w:rsidRPr="001E0513">
        <w:rPr>
          <w:szCs w:val="24"/>
        </w:rPr>
        <w:t xml:space="preserve"> documentation technique complète </w:t>
      </w:r>
      <w:r w:rsidR="00CE6706" w:rsidRPr="001E0513">
        <w:rPr>
          <w:szCs w:val="24"/>
        </w:rPr>
        <w:t>de tous les matériels installés ;</w:t>
      </w:r>
    </w:p>
    <w:p w14:paraId="3E33A857" w14:textId="766A209C" w:rsidR="00A01AA4" w:rsidRPr="001E0513" w:rsidRDefault="001C73EE" w:rsidP="0033646D">
      <w:pPr>
        <w:pStyle w:val="Paragraphedeliste"/>
        <w:numPr>
          <w:ilvl w:val="0"/>
          <w:numId w:val="30"/>
        </w:numPr>
        <w:autoSpaceDE w:val="0"/>
        <w:autoSpaceDN w:val="0"/>
        <w:adjustRightInd w:val="0"/>
        <w:spacing w:after="0" w:line="240" w:lineRule="auto"/>
        <w:jc w:val="both"/>
        <w:rPr>
          <w:szCs w:val="24"/>
        </w:rPr>
      </w:pPr>
      <w:r w:rsidRPr="001E0513">
        <w:rPr>
          <w:szCs w:val="24"/>
        </w:rPr>
        <w:t>Les</w:t>
      </w:r>
      <w:r w:rsidR="00A01AA4" w:rsidRPr="001E0513">
        <w:rPr>
          <w:szCs w:val="24"/>
        </w:rPr>
        <w:t xml:space="preserve"> fiches de test</w:t>
      </w:r>
      <w:r w:rsidR="00CE6706" w:rsidRPr="001E0513">
        <w:rPr>
          <w:szCs w:val="24"/>
        </w:rPr>
        <w:t>s des équipements ;</w:t>
      </w:r>
    </w:p>
    <w:p w14:paraId="5ECDE825" w14:textId="115EBA20" w:rsidR="00A01AA4" w:rsidRPr="001E0513" w:rsidRDefault="001C73EE" w:rsidP="0033646D">
      <w:pPr>
        <w:pStyle w:val="Paragraphedeliste"/>
        <w:numPr>
          <w:ilvl w:val="0"/>
          <w:numId w:val="30"/>
        </w:numPr>
        <w:autoSpaceDE w:val="0"/>
        <w:autoSpaceDN w:val="0"/>
        <w:adjustRightInd w:val="0"/>
        <w:spacing w:after="0" w:line="240" w:lineRule="auto"/>
        <w:jc w:val="both"/>
        <w:rPr>
          <w:szCs w:val="24"/>
        </w:rPr>
      </w:pPr>
      <w:r w:rsidRPr="001E0513">
        <w:rPr>
          <w:szCs w:val="24"/>
        </w:rPr>
        <w:t>Les</w:t>
      </w:r>
      <w:r w:rsidR="00A01AA4" w:rsidRPr="001E0513">
        <w:rPr>
          <w:szCs w:val="24"/>
        </w:rPr>
        <w:t xml:space="preserve">   recommandations   de   maintenance   à   effectuer   et   la   périodicité   prévisible   du   remplacement   des</w:t>
      </w:r>
      <w:r w:rsidR="00CE6706" w:rsidRPr="001E0513">
        <w:rPr>
          <w:szCs w:val="24"/>
        </w:rPr>
        <w:t xml:space="preserve"> consommables ;</w:t>
      </w:r>
    </w:p>
    <w:p w14:paraId="1C4FCBC7" w14:textId="7A172734" w:rsidR="00A01AA4" w:rsidRPr="001E0513" w:rsidRDefault="001C73EE" w:rsidP="0033646D">
      <w:pPr>
        <w:pStyle w:val="Paragraphedeliste"/>
        <w:numPr>
          <w:ilvl w:val="0"/>
          <w:numId w:val="30"/>
        </w:numPr>
        <w:autoSpaceDE w:val="0"/>
        <w:autoSpaceDN w:val="0"/>
        <w:adjustRightInd w:val="0"/>
        <w:spacing w:after="0" w:line="240" w:lineRule="auto"/>
        <w:jc w:val="both"/>
        <w:rPr>
          <w:szCs w:val="24"/>
        </w:rPr>
      </w:pPr>
      <w:r w:rsidRPr="001E0513">
        <w:rPr>
          <w:szCs w:val="24"/>
        </w:rPr>
        <w:t>Les</w:t>
      </w:r>
      <w:r w:rsidR="00A01AA4" w:rsidRPr="001E0513">
        <w:rPr>
          <w:szCs w:val="24"/>
        </w:rPr>
        <w:t xml:space="preserve"> notices d’utilisation des systèmes, et notamment</w:t>
      </w:r>
      <w:r w:rsidR="00CE6706" w:rsidRPr="001E0513">
        <w:rPr>
          <w:szCs w:val="24"/>
        </w:rPr>
        <w:t> :</w:t>
      </w:r>
    </w:p>
    <w:p w14:paraId="3C496031" w14:textId="69AF75B5" w:rsidR="00CE6706" w:rsidRPr="001E0513" w:rsidRDefault="001C73EE" w:rsidP="002B4C70">
      <w:pPr>
        <w:pStyle w:val="Paragraphedeliste"/>
        <w:numPr>
          <w:ilvl w:val="0"/>
          <w:numId w:val="46"/>
        </w:numPr>
        <w:autoSpaceDE w:val="0"/>
        <w:autoSpaceDN w:val="0"/>
        <w:adjustRightInd w:val="0"/>
        <w:spacing w:after="0" w:line="240" w:lineRule="auto"/>
        <w:jc w:val="both"/>
        <w:rPr>
          <w:szCs w:val="24"/>
        </w:rPr>
      </w:pPr>
      <w:r w:rsidRPr="001E0513">
        <w:rPr>
          <w:szCs w:val="24"/>
        </w:rPr>
        <w:t>Un</w:t>
      </w:r>
      <w:r w:rsidR="00CE6706" w:rsidRPr="001E0513">
        <w:rPr>
          <w:szCs w:val="24"/>
        </w:rPr>
        <w:t xml:space="preserve"> manuel d’administration système et des </w:t>
      </w:r>
      <w:r w:rsidR="00162F6E" w:rsidRPr="001E0513">
        <w:rPr>
          <w:szCs w:val="24"/>
        </w:rPr>
        <w:t>applications ;</w:t>
      </w:r>
    </w:p>
    <w:p w14:paraId="65FC1BE7" w14:textId="111B321D" w:rsidR="00CE6706" w:rsidRPr="001E0513" w:rsidRDefault="001C73EE" w:rsidP="002B4C70">
      <w:pPr>
        <w:pStyle w:val="Paragraphedeliste"/>
        <w:numPr>
          <w:ilvl w:val="0"/>
          <w:numId w:val="46"/>
        </w:numPr>
        <w:autoSpaceDE w:val="0"/>
        <w:autoSpaceDN w:val="0"/>
        <w:adjustRightInd w:val="0"/>
        <w:spacing w:after="0" w:line="240" w:lineRule="auto"/>
        <w:jc w:val="both"/>
        <w:rPr>
          <w:szCs w:val="24"/>
        </w:rPr>
      </w:pPr>
      <w:r w:rsidRPr="001E0513">
        <w:rPr>
          <w:szCs w:val="24"/>
        </w:rPr>
        <w:t>Un</w:t>
      </w:r>
      <w:r w:rsidR="00CE6706" w:rsidRPr="001E0513">
        <w:rPr>
          <w:szCs w:val="24"/>
        </w:rPr>
        <w:t xml:space="preserve"> manuel d’exploitation du système ;</w:t>
      </w:r>
    </w:p>
    <w:p w14:paraId="13C76089" w14:textId="5B5E2CCB" w:rsidR="00CE6706" w:rsidRPr="001E0513" w:rsidRDefault="001C73EE" w:rsidP="002B4C70">
      <w:pPr>
        <w:pStyle w:val="Paragraphedeliste"/>
        <w:numPr>
          <w:ilvl w:val="0"/>
          <w:numId w:val="46"/>
        </w:numPr>
        <w:autoSpaceDE w:val="0"/>
        <w:autoSpaceDN w:val="0"/>
        <w:adjustRightInd w:val="0"/>
        <w:spacing w:after="0" w:line="240" w:lineRule="auto"/>
        <w:jc w:val="both"/>
        <w:rPr>
          <w:szCs w:val="24"/>
        </w:rPr>
      </w:pPr>
      <w:r w:rsidRPr="001E0513">
        <w:rPr>
          <w:szCs w:val="24"/>
        </w:rPr>
        <w:t>Les</w:t>
      </w:r>
      <w:r w:rsidR="00CE6706" w:rsidRPr="001E0513">
        <w:rPr>
          <w:szCs w:val="24"/>
        </w:rPr>
        <w:t xml:space="preserve"> consignes de sécurité pour le bon usage de la solution ;</w:t>
      </w:r>
    </w:p>
    <w:p w14:paraId="62CF25A9" w14:textId="46E952AB" w:rsidR="00CE6706" w:rsidRPr="001E0513" w:rsidRDefault="001C73EE" w:rsidP="002B4C70">
      <w:pPr>
        <w:pStyle w:val="Paragraphedeliste"/>
        <w:numPr>
          <w:ilvl w:val="0"/>
          <w:numId w:val="46"/>
        </w:numPr>
        <w:autoSpaceDE w:val="0"/>
        <w:autoSpaceDN w:val="0"/>
        <w:adjustRightInd w:val="0"/>
        <w:spacing w:after="0" w:line="240" w:lineRule="auto"/>
        <w:jc w:val="both"/>
        <w:rPr>
          <w:szCs w:val="24"/>
        </w:rPr>
      </w:pPr>
      <w:r w:rsidRPr="001E0513">
        <w:rPr>
          <w:szCs w:val="24"/>
        </w:rPr>
        <w:t>La</w:t>
      </w:r>
      <w:r w:rsidR="00CE6706" w:rsidRPr="001E0513">
        <w:rPr>
          <w:szCs w:val="24"/>
        </w:rPr>
        <w:t xml:space="preserve"> procédure de sauvegarde journalière, hebdomadaire ;</w:t>
      </w:r>
    </w:p>
    <w:p w14:paraId="3FE49F95" w14:textId="00154BAF" w:rsidR="00CE6706" w:rsidRPr="001E0513" w:rsidRDefault="001C73EE" w:rsidP="002B4C70">
      <w:pPr>
        <w:pStyle w:val="Paragraphedeliste"/>
        <w:numPr>
          <w:ilvl w:val="0"/>
          <w:numId w:val="46"/>
        </w:numPr>
        <w:autoSpaceDE w:val="0"/>
        <w:autoSpaceDN w:val="0"/>
        <w:adjustRightInd w:val="0"/>
        <w:spacing w:after="0" w:line="240" w:lineRule="auto"/>
        <w:jc w:val="both"/>
        <w:rPr>
          <w:szCs w:val="24"/>
        </w:rPr>
      </w:pPr>
      <w:r w:rsidRPr="001E0513">
        <w:rPr>
          <w:szCs w:val="24"/>
        </w:rPr>
        <w:t>La</w:t>
      </w:r>
      <w:r w:rsidR="00CE6706" w:rsidRPr="001E0513">
        <w:rPr>
          <w:szCs w:val="24"/>
        </w:rPr>
        <w:t xml:space="preserve"> procédure de sauvegarde/restauration différentiel</w:t>
      </w:r>
      <w:r w:rsidR="002B4C70" w:rsidRPr="001E0513">
        <w:rPr>
          <w:szCs w:val="24"/>
        </w:rPr>
        <w:t>le, incrémentielle et complète.</w:t>
      </w:r>
    </w:p>
    <w:p w14:paraId="40CAF324" w14:textId="77777777" w:rsidR="0060690C" w:rsidRPr="00406BB2" w:rsidRDefault="0060690C" w:rsidP="00585821">
      <w:pPr>
        <w:jc w:val="both"/>
        <w:rPr>
          <w:rStyle w:val="lev"/>
          <w:highlight w:val="green"/>
        </w:rPr>
      </w:pPr>
    </w:p>
    <w:p w14:paraId="44DE8804" w14:textId="77777777" w:rsidR="00333F31" w:rsidRPr="00406BB2" w:rsidRDefault="00333F31" w:rsidP="00585821">
      <w:pPr>
        <w:jc w:val="both"/>
        <w:rPr>
          <w:rStyle w:val="lev"/>
          <w:highlight w:val="green"/>
        </w:rPr>
      </w:pPr>
    </w:p>
    <w:p w14:paraId="2814D66C" w14:textId="77777777" w:rsidR="004104A8" w:rsidRPr="001E0513" w:rsidRDefault="00585821" w:rsidP="008A5D21">
      <w:pPr>
        <w:jc w:val="both"/>
        <w:rPr>
          <w:rStyle w:val="lev"/>
        </w:rPr>
      </w:pPr>
      <w:r w:rsidRPr="001E0513">
        <w:rPr>
          <w:rStyle w:val="lev"/>
        </w:rPr>
        <w:t>F</w:t>
      </w:r>
      <w:r w:rsidR="004104A8" w:rsidRPr="001E0513">
        <w:rPr>
          <w:rStyle w:val="lev"/>
        </w:rPr>
        <w:t>ormation des personnels au bon usage des équipements</w:t>
      </w:r>
    </w:p>
    <w:p w14:paraId="4272C653" w14:textId="77777777" w:rsidR="00A9428F" w:rsidRPr="001E0513" w:rsidRDefault="00241373" w:rsidP="008A5D21">
      <w:pPr>
        <w:jc w:val="both"/>
      </w:pPr>
      <w:r w:rsidRPr="001E0513">
        <w:t>La</w:t>
      </w:r>
      <w:r w:rsidR="00A9428F" w:rsidRPr="001E0513">
        <w:t xml:space="preserve"> formation </w:t>
      </w:r>
      <w:r w:rsidR="000E65B6" w:rsidRPr="001E0513">
        <w:t xml:space="preserve">complète </w:t>
      </w:r>
      <w:r w:rsidR="00A9428F" w:rsidRPr="001E0513">
        <w:t>des personnels au bon usage des équipements est obligatoire.</w:t>
      </w:r>
      <w:r w:rsidR="003F60A2" w:rsidRPr="001E0513">
        <w:t xml:space="preserve"> Cette formation est réali</w:t>
      </w:r>
      <w:r w:rsidR="00E77FDD" w:rsidRPr="001E0513">
        <w:t>sée sur site</w:t>
      </w:r>
      <w:r w:rsidR="003F60A2" w:rsidRPr="001E0513">
        <w:t xml:space="preserve">. </w:t>
      </w:r>
    </w:p>
    <w:p w14:paraId="482F36DE" w14:textId="77777777" w:rsidR="004104A8" w:rsidRPr="001E0513" w:rsidRDefault="00A9428F" w:rsidP="008A5D21">
      <w:pPr>
        <w:jc w:val="both"/>
      </w:pPr>
      <w:r w:rsidRPr="001E0513">
        <w:t>Le titulaire doit une information aux utilisateurs relative aux recommandations et précautions d’entretien et de désinfection des matériels e</w:t>
      </w:r>
      <w:r w:rsidR="00DB21C7" w:rsidRPr="001E0513">
        <w:t>n regard des règles d’hygiène en</w:t>
      </w:r>
      <w:r w:rsidRPr="001E0513">
        <w:t xml:space="preserve"> vigueur.</w:t>
      </w:r>
    </w:p>
    <w:p w14:paraId="5658BEE2" w14:textId="54E165DA" w:rsidR="00912FC8" w:rsidRPr="001E0513" w:rsidRDefault="00912FC8" w:rsidP="008A5D21">
      <w:pPr>
        <w:jc w:val="both"/>
      </w:pPr>
      <w:r w:rsidRPr="001E0513">
        <w:t xml:space="preserve">Il sera également prévu une formation pour les équipes techniques sur le matériel, les technologies employées, l’administration et l’exploitation de la nouvelle solution. Les programmes </w:t>
      </w:r>
      <w:r w:rsidR="008A5D21" w:rsidRPr="001E0513">
        <w:t xml:space="preserve">de formation </w:t>
      </w:r>
      <w:r w:rsidRPr="001E0513">
        <w:t xml:space="preserve">seront </w:t>
      </w:r>
      <w:r w:rsidR="008A5D21" w:rsidRPr="001E0513">
        <w:t>détaillés</w:t>
      </w:r>
      <w:r w:rsidRPr="001E0513">
        <w:t xml:space="preserve"> par le prestataire dans son offre.</w:t>
      </w:r>
    </w:p>
    <w:p w14:paraId="259FD4F2" w14:textId="77777777" w:rsidR="007F34BC" w:rsidRPr="001E0513" w:rsidRDefault="004104A8" w:rsidP="008A5D21">
      <w:pPr>
        <w:jc w:val="both"/>
      </w:pPr>
      <w:r w:rsidRPr="001E0513">
        <w:t xml:space="preserve">En tout état de cause, </w:t>
      </w:r>
      <w:r w:rsidR="0051574C" w:rsidRPr="001E0513">
        <w:t>l’opérateur économique</w:t>
      </w:r>
      <w:r w:rsidRPr="001E0513">
        <w:t xml:space="preserve"> ne pourra pas exiger la prise en charge d’une prestation non prévue nécessaire à la bonne réalisation de sa prestation.</w:t>
      </w:r>
    </w:p>
    <w:p w14:paraId="7FB91084" w14:textId="77777777" w:rsidR="00A32D7E" w:rsidRPr="00406BB2" w:rsidRDefault="00A32D7E">
      <w:pPr>
        <w:spacing w:after="0" w:line="240" w:lineRule="auto"/>
        <w:rPr>
          <w:caps/>
          <w:color w:val="632423"/>
          <w:spacing w:val="20"/>
          <w:sz w:val="28"/>
          <w:szCs w:val="28"/>
          <w:highlight w:val="green"/>
        </w:rPr>
      </w:pPr>
      <w:bookmarkStart w:id="55" w:name="_Toc190670175"/>
      <w:bookmarkStart w:id="56" w:name="_Toc196885435"/>
      <w:r w:rsidRPr="00406BB2">
        <w:rPr>
          <w:highlight w:val="green"/>
        </w:rPr>
        <w:br w:type="page"/>
      </w:r>
    </w:p>
    <w:p w14:paraId="79BB9887" w14:textId="77777777" w:rsidR="007F34BC" w:rsidRPr="001E0513" w:rsidRDefault="00E46572" w:rsidP="003D75A7">
      <w:pPr>
        <w:pStyle w:val="Titre1"/>
        <w:jc w:val="left"/>
      </w:pPr>
      <w:bookmarkStart w:id="57" w:name="_Toc175128597"/>
      <w:r w:rsidRPr="001E0513">
        <w:lastRenderedPageBreak/>
        <w:t>V</w:t>
      </w:r>
      <w:r w:rsidR="003D75A7" w:rsidRPr="001E0513">
        <w:t>III</w:t>
      </w:r>
      <w:r w:rsidR="002E75FA" w:rsidRPr="001E0513">
        <w:t>-</w:t>
      </w:r>
      <w:r w:rsidR="007F34BC" w:rsidRPr="001E0513">
        <w:t xml:space="preserve"> </w:t>
      </w:r>
      <w:bookmarkEnd w:id="55"/>
      <w:bookmarkEnd w:id="56"/>
      <w:r w:rsidR="00971B33" w:rsidRPr="001E0513">
        <w:t>DUREE DE GARANTIE</w:t>
      </w:r>
      <w:bookmarkEnd w:id="57"/>
    </w:p>
    <w:p w14:paraId="2CD7678F" w14:textId="77777777" w:rsidR="004104A8" w:rsidRPr="001E0513" w:rsidRDefault="00CE6706" w:rsidP="00CE6706">
      <w:pPr>
        <w:jc w:val="both"/>
        <w:rPr>
          <w:rFonts w:cs="Arial"/>
        </w:rPr>
      </w:pPr>
      <w:r w:rsidRPr="001E0513">
        <w:rPr>
          <w:rFonts w:cs="Arial"/>
        </w:rPr>
        <w:t xml:space="preserve">La garantie concerne l’ensemble des équipements, matériels, logiciels et accessoires installés par le titulaire au titre du marché. </w:t>
      </w:r>
      <w:r w:rsidR="004104A8" w:rsidRPr="001E0513">
        <w:rPr>
          <w:rFonts w:cs="Arial"/>
        </w:rPr>
        <w:t xml:space="preserve">La garantie exigée de l'ensemble des matériels est de </w:t>
      </w:r>
      <w:proofErr w:type="gramStart"/>
      <w:r w:rsidR="004104A8" w:rsidRPr="001E0513">
        <w:rPr>
          <w:rFonts w:cs="Arial"/>
          <w:u w:val="single"/>
        </w:rPr>
        <w:t>vingt-quatre mois minimum</w:t>
      </w:r>
      <w:proofErr w:type="gramEnd"/>
      <w:r w:rsidR="004104A8" w:rsidRPr="001E0513">
        <w:rPr>
          <w:rFonts w:cs="Arial"/>
        </w:rPr>
        <w:t xml:space="preserve"> à compter de la réception du matériel.</w:t>
      </w:r>
    </w:p>
    <w:p w14:paraId="5EAC9DCF" w14:textId="77777777" w:rsidR="00664712" w:rsidRPr="001E0513" w:rsidRDefault="00571486" w:rsidP="00F0423C">
      <w:pPr>
        <w:jc w:val="both"/>
        <w:rPr>
          <w:rFonts w:cs="Arial"/>
        </w:rPr>
      </w:pPr>
      <w:r w:rsidRPr="001E0513">
        <w:rPr>
          <w:rFonts w:cs="Arial"/>
        </w:rPr>
        <w:t>La</w:t>
      </w:r>
      <w:r w:rsidR="00664712" w:rsidRPr="001E0513">
        <w:rPr>
          <w:rFonts w:cs="Arial"/>
        </w:rPr>
        <w:t xml:space="preserve"> garantie comprend pièces, main d'œuvre et déplacements pour les interventions préventives conformément aux préconisations du fabricant d’une part et pour les interventions curatives couvrant tout vice de fabrication et de fonctionnement d’autre part. La garantie porte sur tous les défauts visibles ou non des matériaux employés, sur tous les vices de construction ou de conception et sur le bon fonctionnement de l’installation, tant dans l’ensemble que dans les détails. </w:t>
      </w:r>
    </w:p>
    <w:p w14:paraId="1F2EE545" w14:textId="5F10412C" w:rsidR="00CE6706" w:rsidRPr="001E0513" w:rsidRDefault="00362CF3" w:rsidP="00F0423C">
      <w:pPr>
        <w:jc w:val="both"/>
        <w:rPr>
          <w:rFonts w:cs="Arial"/>
        </w:rPr>
      </w:pPr>
      <w:r w:rsidRPr="001E0513">
        <w:rPr>
          <w:rFonts w:cs="Arial"/>
        </w:rPr>
        <w:t xml:space="preserve">A cours de la période de la garantie ci-dessus </w:t>
      </w:r>
      <w:r w:rsidR="00202689" w:rsidRPr="001E0513">
        <w:rPr>
          <w:rFonts w:cs="Arial"/>
        </w:rPr>
        <w:t>définie, le</w:t>
      </w:r>
      <w:r w:rsidR="004104A8" w:rsidRPr="001E0513">
        <w:rPr>
          <w:rFonts w:cs="Arial"/>
        </w:rPr>
        <w:t xml:space="preserve"> titulaire s’engage à remplacer toute pièce défectueuse </w:t>
      </w:r>
      <w:r w:rsidR="00202689" w:rsidRPr="001E0513">
        <w:rPr>
          <w:rFonts w:cs="Arial"/>
        </w:rPr>
        <w:t>ou effectuer</w:t>
      </w:r>
      <w:r w:rsidR="004104A8" w:rsidRPr="001E0513">
        <w:rPr>
          <w:rFonts w:cs="Arial"/>
        </w:rPr>
        <w:t xml:space="preserve"> toute intervention nécessaire</w:t>
      </w:r>
      <w:r w:rsidR="00CE6706" w:rsidRPr="001E0513">
        <w:rPr>
          <w:rFonts w:cs="Arial"/>
        </w:rPr>
        <w:t xml:space="preserve"> y compris les corrections logicielles</w:t>
      </w:r>
      <w:r w:rsidR="004104A8" w:rsidRPr="001E0513">
        <w:rPr>
          <w:rFonts w:cs="Arial"/>
        </w:rPr>
        <w:t xml:space="preserve">, les frais occasionnés étant à </w:t>
      </w:r>
      <w:r w:rsidR="00E77FDD" w:rsidRPr="001E0513">
        <w:rPr>
          <w:rFonts w:cs="Arial"/>
        </w:rPr>
        <w:t>sa charge</w:t>
      </w:r>
      <w:r w:rsidR="004104A8" w:rsidRPr="001E0513">
        <w:rPr>
          <w:rFonts w:cs="Arial"/>
        </w:rPr>
        <w:t xml:space="preserve">. </w:t>
      </w:r>
    </w:p>
    <w:p w14:paraId="651E3E16" w14:textId="77777777" w:rsidR="00CE6706" w:rsidRPr="001E0513" w:rsidRDefault="00CE6706" w:rsidP="00F0423C">
      <w:pPr>
        <w:jc w:val="both"/>
        <w:rPr>
          <w:rFonts w:cs="Arial"/>
        </w:rPr>
      </w:pPr>
      <w:r w:rsidRPr="001E0513">
        <w:rPr>
          <w:rFonts w:cs="Arial"/>
          <w:b/>
        </w:rPr>
        <w:t>Les disques durs remplacés ne peuvent en aucun cas quitter le périmètre du site et sont remis à un représentant du client</w:t>
      </w:r>
      <w:r w:rsidRPr="001E0513">
        <w:rPr>
          <w:rFonts w:cs="Arial"/>
        </w:rPr>
        <w:t xml:space="preserve"> (contre décharge si besoin). Aucune donnée ne peut être dupliquée sur tout support hors du site.</w:t>
      </w:r>
    </w:p>
    <w:p w14:paraId="5440D0C5" w14:textId="0944040D" w:rsidR="000D7AAE" w:rsidRPr="001E0513" w:rsidRDefault="004104A8" w:rsidP="00F0423C">
      <w:pPr>
        <w:jc w:val="both"/>
      </w:pPr>
      <w:r w:rsidRPr="001E0513">
        <w:rPr>
          <w:rFonts w:cs="Arial"/>
        </w:rPr>
        <w:t xml:space="preserve">Les modalités de mise en œuvre du service après-vente devront être précisées en tenant compte du délai d’intervention fixé au maximum à 48 </w:t>
      </w:r>
      <w:r w:rsidR="00202689" w:rsidRPr="001E0513">
        <w:rPr>
          <w:rFonts w:cs="Arial"/>
        </w:rPr>
        <w:t>heures, à</w:t>
      </w:r>
      <w:r w:rsidRPr="001E0513">
        <w:rPr>
          <w:rFonts w:cs="Arial"/>
        </w:rPr>
        <w:t xml:space="preserve"> compter de la date de réception de la commande par le titulaire et du délai de remise en service n’excédant pas, dans les cas d’échange du matériel, le délai de livraison du matériel neuf (</w:t>
      </w:r>
      <w:r w:rsidR="0065041A" w:rsidRPr="001E0513">
        <w:rPr>
          <w:rFonts w:cs="Arial"/>
        </w:rPr>
        <w:t>délai à préciser dans le questionnaire en annexe</w:t>
      </w:r>
      <w:r w:rsidRPr="001E0513">
        <w:rPr>
          <w:rFonts w:cs="Arial"/>
        </w:rPr>
        <w:t>).</w:t>
      </w:r>
      <w:r w:rsidRPr="001E0513">
        <w:t xml:space="preserve"> </w:t>
      </w:r>
    </w:p>
    <w:p w14:paraId="5595FC4B" w14:textId="77777777" w:rsidR="00303E87" w:rsidRPr="001E0513" w:rsidRDefault="00303E87" w:rsidP="00303E87">
      <w:pPr>
        <w:rPr>
          <w:rFonts w:cs="Arial"/>
        </w:rPr>
      </w:pPr>
      <w:r w:rsidRPr="001E0513">
        <w:rPr>
          <w:rFonts w:cs="Arial"/>
        </w:rPr>
        <w:t>Le délai de livraison contractuel est celui indiqué dans les réponses au questionnaire tech</w:t>
      </w:r>
      <w:r w:rsidR="00F0423C" w:rsidRPr="001E0513">
        <w:rPr>
          <w:rFonts w:cs="Arial"/>
        </w:rPr>
        <w:t>nique et vaut engagement ferme.</w:t>
      </w:r>
    </w:p>
    <w:p w14:paraId="75FCA435" w14:textId="62EDA86E" w:rsidR="004104A8" w:rsidRPr="001E0513" w:rsidRDefault="004104A8" w:rsidP="004104A8">
      <w:pPr>
        <w:pageBreakBefore/>
        <w:pBdr>
          <w:bottom w:val="thinThickSmallGap" w:sz="12" w:space="1" w:color="943634"/>
        </w:pBdr>
        <w:shd w:val="clear" w:color="auto" w:fill="B3B3B3"/>
        <w:jc w:val="center"/>
        <w:outlineLvl w:val="0"/>
        <w:rPr>
          <w:rFonts w:eastAsia="Arial Unicode MS"/>
          <w:caps/>
          <w:color w:val="632423"/>
          <w:spacing w:val="20"/>
          <w:sz w:val="28"/>
          <w:szCs w:val="28"/>
        </w:rPr>
      </w:pPr>
      <w:bookmarkStart w:id="58" w:name="_Toc205787065"/>
      <w:bookmarkStart w:id="59" w:name="_Toc378164409"/>
      <w:bookmarkStart w:id="60" w:name="_Toc175128598"/>
      <w:r w:rsidRPr="001E0513">
        <w:rPr>
          <w:rFonts w:eastAsia="Arial Unicode MS"/>
          <w:caps/>
          <w:color w:val="632423"/>
          <w:spacing w:val="20"/>
          <w:sz w:val="28"/>
          <w:szCs w:val="28"/>
        </w:rPr>
        <w:lastRenderedPageBreak/>
        <w:t>Annexe 1 : Cadre de réponse technique</w:t>
      </w:r>
      <w:bookmarkEnd w:id="58"/>
      <w:bookmarkEnd w:id="59"/>
      <w:bookmarkEnd w:id="60"/>
    </w:p>
    <w:p w14:paraId="783472B9" w14:textId="77777777" w:rsidR="008D7AC3" w:rsidRPr="001E0513" w:rsidRDefault="008D7AC3" w:rsidP="008D7AC3">
      <w:pPr>
        <w:widowControl w:val="0"/>
        <w:autoSpaceDE w:val="0"/>
        <w:autoSpaceDN w:val="0"/>
        <w:adjustRightInd w:val="0"/>
        <w:jc w:val="center"/>
        <w:rPr>
          <w:rFonts w:eastAsia="Arial Unicode MS" w:cs="Arial"/>
          <w:b/>
          <w:bCs/>
          <w:iCs/>
        </w:rPr>
      </w:pPr>
      <w:r w:rsidRPr="001E0513">
        <w:rPr>
          <w:rFonts w:eastAsia="Arial Unicode MS" w:cs="Arial"/>
          <w:b/>
          <w:bCs/>
          <w:iCs/>
        </w:rPr>
        <w:t>Ce</w:t>
      </w:r>
      <w:r w:rsidR="00DE621E" w:rsidRPr="001E0513">
        <w:rPr>
          <w:rFonts w:eastAsia="Arial Unicode MS" w:cs="Arial"/>
          <w:b/>
          <w:bCs/>
          <w:iCs/>
        </w:rPr>
        <w:t>s</w:t>
      </w:r>
      <w:r w:rsidRPr="001E0513">
        <w:rPr>
          <w:rFonts w:eastAsia="Arial Unicode MS" w:cs="Arial"/>
          <w:b/>
          <w:bCs/>
          <w:iCs/>
        </w:rPr>
        <w:t xml:space="preserve"> </w:t>
      </w:r>
      <w:r w:rsidR="00DE621E" w:rsidRPr="001E0513">
        <w:rPr>
          <w:rFonts w:eastAsia="Arial Unicode MS" w:cs="Arial"/>
          <w:b/>
          <w:bCs/>
          <w:iCs/>
        </w:rPr>
        <w:t>questionnaires sont</w:t>
      </w:r>
      <w:r w:rsidRPr="001E0513">
        <w:rPr>
          <w:rFonts w:eastAsia="Arial Unicode MS" w:cs="Arial"/>
          <w:b/>
          <w:bCs/>
          <w:iCs/>
        </w:rPr>
        <w:t xml:space="preserve"> à remplir par le candidat</w:t>
      </w:r>
    </w:p>
    <w:p w14:paraId="0F220B96" w14:textId="77777777" w:rsidR="001A2B1E" w:rsidRPr="001E0513" w:rsidRDefault="001A2B1E" w:rsidP="006F5E5A">
      <w:pPr>
        <w:tabs>
          <w:tab w:val="left" w:pos="1701"/>
          <w:tab w:val="left" w:pos="6237"/>
        </w:tabs>
        <w:spacing w:after="0"/>
        <w:jc w:val="center"/>
        <w:rPr>
          <w:rFonts w:cs="Arial"/>
          <w:b/>
          <w:bCs/>
          <w:color w:val="943634"/>
          <w:spacing w:val="5"/>
          <w:u w:val="single"/>
        </w:rPr>
      </w:pPr>
      <w:r w:rsidRPr="001E0513">
        <w:rPr>
          <w:rFonts w:cs="Arial"/>
          <w:b/>
          <w:bCs/>
          <w:color w:val="943634"/>
          <w:spacing w:val="5"/>
          <w:u w:val="single"/>
        </w:rPr>
        <w:t xml:space="preserve">Les questions non notées renvoient aux exigences du </w:t>
      </w:r>
    </w:p>
    <w:p w14:paraId="28232E05" w14:textId="0081FFAF" w:rsidR="001A2B1E" w:rsidRPr="001E0513" w:rsidRDefault="001A2B1E" w:rsidP="001A2B1E">
      <w:pPr>
        <w:tabs>
          <w:tab w:val="left" w:pos="1701"/>
          <w:tab w:val="left" w:pos="6237"/>
        </w:tabs>
        <w:spacing w:after="0"/>
        <w:jc w:val="center"/>
        <w:rPr>
          <w:rFonts w:cs="Arial"/>
          <w:b/>
          <w:bCs/>
          <w:color w:val="943634"/>
          <w:spacing w:val="5"/>
          <w:u w:val="single"/>
        </w:rPr>
      </w:pPr>
      <w:r w:rsidRPr="001E0513">
        <w:rPr>
          <w:rFonts w:cs="Arial"/>
          <w:b/>
          <w:bCs/>
          <w:color w:val="943634"/>
          <w:spacing w:val="5"/>
          <w:u w:val="single"/>
        </w:rPr>
        <w:t xml:space="preserve">CCTP pour validation. Une non-conformité au CCTP entraîne l’élimination de </w:t>
      </w:r>
      <w:r w:rsidR="00162F6E" w:rsidRPr="001E0513">
        <w:rPr>
          <w:rFonts w:cs="Arial"/>
          <w:b/>
          <w:bCs/>
          <w:color w:val="943634"/>
          <w:spacing w:val="5"/>
          <w:u w:val="single"/>
        </w:rPr>
        <w:t>l’offre ;</w:t>
      </w:r>
    </w:p>
    <w:p w14:paraId="68A935F4" w14:textId="77777777" w:rsidR="001A2B1E" w:rsidRPr="001E0513" w:rsidRDefault="001A2B1E" w:rsidP="001A2B1E">
      <w:pPr>
        <w:tabs>
          <w:tab w:val="left" w:pos="1701"/>
          <w:tab w:val="left" w:pos="6237"/>
        </w:tabs>
        <w:spacing w:after="0"/>
        <w:jc w:val="center"/>
        <w:rPr>
          <w:rFonts w:cs="Arial"/>
          <w:b/>
          <w:bCs/>
          <w:color w:val="943634"/>
          <w:spacing w:val="5"/>
          <w:u w:val="single"/>
        </w:rPr>
      </w:pPr>
    </w:p>
    <w:p w14:paraId="14299440" w14:textId="77777777" w:rsidR="0065041A" w:rsidRPr="001E0513" w:rsidRDefault="0065041A" w:rsidP="0065041A">
      <w:pPr>
        <w:tabs>
          <w:tab w:val="left" w:pos="1701"/>
          <w:tab w:val="left" w:pos="6237"/>
        </w:tabs>
        <w:spacing w:after="0"/>
        <w:jc w:val="center"/>
        <w:rPr>
          <w:rFonts w:cs="Arial"/>
          <w:bCs/>
          <w:color w:val="943634"/>
          <w:spacing w:val="5"/>
        </w:rPr>
      </w:pPr>
      <w:r w:rsidRPr="001E0513">
        <w:rPr>
          <w:rFonts w:cs="Arial"/>
          <w:bCs/>
          <w:color w:val="943634"/>
          <w:spacing w:val="5"/>
        </w:rPr>
        <w:t>Toute case non renseignée aura la note « 0 ».</w:t>
      </w:r>
    </w:p>
    <w:p w14:paraId="1A291552" w14:textId="77777777" w:rsidR="0065041A" w:rsidRPr="001E0513" w:rsidRDefault="0065041A" w:rsidP="0065041A">
      <w:pPr>
        <w:tabs>
          <w:tab w:val="left" w:pos="1701"/>
          <w:tab w:val="left" w:pos="6237"/>
        </w:tabs>
        <w:spacing w:after="0"/>
        <w:ind w:right="-285"/>
        <w:jc w:val="center"/>
        <w:rPr>
          <w:rFonts w:cs="Arial"/>
          <w:bCs/>
          <w:color w:val="943634"/>
          <w:spacing w:val="5"/>
        </w:rPr>
      </w:pPr>
      <w:r w:rsidRPr="001E0513">
        <w:rPr>
          <w:rFonts w:cs="Arial"/>
          <w:bCs/>
          <w:color w:val="943634"/>
          <w:spacing w:val="5"/>
        </w:rPr>
        <w:t>Les renvois secs vers des fiches techniques sont interdits et auront la note « 0 » :</w:t>
      </w:r>
    </w:p>
    <w:p w14:paraId="3523BBDD" w14:textId="77777777" w:rsidR="0065041A" w:rsidRPr="001E0513" w:rsidRDefault="0065041A" w:rsidP="0065041A">
      <w:pPr>
        <w:tabs>
          <w:tab w:val="left" w:pos="284"/>
          <w:tab w:val="left" w:pos="6237"/>
        </w:tabs>
        <w:spacing w:after="0"/>
        <w:ind w:right="-285"/>
        <w:jc w:val="center"/>
        <w:rPr>
          <w:rFonts w:cs="Arial"/>
          <w:bCs/>
          <w:color w:val="943634"/>
          <w:spacing w:val="5"/>
        </w:rPr>
      </w:pPr>
      <w:r w:rsidRPr="001E0513">
        <w:rPr>
          <w:rFonts w:cs="Arial"/>
          <w:bCs/>
          <w:color w:val="943634"/>
          <w:spacing w:val="5"/>
        </w:rPr>
        <w:t>-</w:t>
      </w:r>
      <w:r w:rsidRPr="001E0513">
        <w:rPr>
          <w:rFonts w:cs="Arial"/>
          <w:bCs/>
          <w:color w:val="943634"/>
          <w:spacing w:val="5"/>
        </w:rPr>
        <w:tab/>
        <w:t>les principaux éléments de réponse doivent figurer dans la colonne « réponse du candidat »,</w:t>
      </w:r>
    </w:p>
    <w:p w14:paraId="36EAD54B" w14:textId="77777777" w:rsidR="0065041A" w:rsidRPr="001E0513" w:rsidRDefault="0065041A" w:rsidP="0065041A">
      <w:pPr>
        <w:tabs>
          <w:tab w:val="left" w:pos="284"/>
          <w:tab w:val="left" w:pos="6237"/>
        </w:tabs>
        <w:spacing w:after="0"/>
        <w:ind w:right="-285"/>
        <w:jc w:val="center"/>
        <w:rPr>
          <w:rFonts w:cs="Arial"/>
          <w:bCs/>
          <w:color w:val="943634"/>
          <w:spacing w:val="5"/>
        </w:rPr>
      </w:pPr>
      <w:r w:rsidRPr="001E0513">
        <w:rPr>
          <w:rFonts w:cs="Arial"/>
          <w:bCs/>
          <w:color w:val="943634"/>
          <w:spacing w:val="5"/>
        </w:rPr>
        <w:t>-</w:t>
      </w:r>
      <w:r w:rsidRPr="001E0513">
        <w:rPr>
          <w:rFonts w:cs="Arial"/>
          <w:bCs/>
          <w:color w:val="943634"/>
          <w:spacing w:val="5"/>
        </w:rPr>
        <w:tab/>
        <w:t>si un renvoi est nécessaire, la référence du document fourni, et le numéro de page doivent obligatoirement être mentionnés ;</w:t>
      </w:r>
    </w:p>
    <w:p w14:paraId="6A056713" w14:textId="77777777" w:rsidR="0065041A" w:rsidRPr="001E0513" w:rsidRDefault="0065041A" w:rsidP="0065041A">
      <w:pPr>
        <w:tabs>
          <w:tab w:val="left" w:pos="284"/>
          <w:tab w:val="left" w:pos="6237"/>
        </w:tabs>
        <w:spacing w:after="0"/>
        <w:ind w:right="-285"/>
        <w:jc w:val="center"/>
        <w:rPr>
          <w:rFonts w:cs="Arial"/>
          <w:bCs/>
          <w:color w:val="943634"/>
          <w:spacing w:val="5"/>
        </w:rPr>
      </w:pPr>
      <w:r w:rsidRPr="001E0513">
        <w:rPr>
          <w:rFonts w:cs="Arial"/>
          <w:bCs/>
          <w:color w:val="943634"/>
          <w:spacing w:val="5"/>
        </w:rPr>
        <w:t>-</w:t>
      </w:r>
      <w:r w:rsidRPr="001E0513">
        <w:rPr>
          <w:rFonts w:cs="Arial"/>
          <w:bCs/>
          <w:color w:val="943634"/>
          <w:spacing w:val="5"/>
        </w:rPr>
        <w:tab/>
        <w:t>Les questions non notées renvoient aux exigences du CCTP pour validation. Une non-conformité au CCTP entraîne l’élimination de l’offre ;</w:t>
      </w:r>
    </w:p>
    <w:p w14:paraId="6C503305" w14:textId="77777777" w:rsidR="0065041A" w:rsidRPr="001E0513" w:rsidRDefault="0065041A" w:rsidP="0065041A">
      <w:pPr>
        <w:tabs>
          <w:tab w:val="left" w:pos="1701"/>
          <w:tab w:val="left" w:pos="6237"/>
        </w:tabs>
        <w:spacing w:after="0"/>
        <w:ind w:right="-285"/>
        <w:jc w:val="center"/>
        <w:rPr>
          <w:rFonts w:cs="Arial"/>
          <w:bCs/>
          <w:color w:val="943634"/>
          <w:spacing w:val="5"/>
        </w:rPr>
      </w:pPr>
      <w:r w:rsidRPr="001E0513">
        <w:rPr>
          <w:rFonts w:cs="Arial"/>
          <w:bCs/>
          <w:color w:val="943634"/>
          <w:spacing w:val="5"/>
        </w:rPr>
        <w:t>La longueur du texte de réponse est libre, veiller à sa bonne visibilité.</w:t>
      </w:r>
    </w:p>
    <w:p w14:paraId="5CB42DC4" w14:textId="77777777" w:rsidR="008D7AC3" w:rsidRPr="00406BB2" w:rsidRDefault="008D7AC3" w:rsidP="008E27AD">
      <w:pPr>
        <w:tabs>
          <w:tab w:val="left" w:pos="1701"/>
          <w:tab w:val="left" w:pos="6237"/>
        </w:tabs>
        <w:spacing w:after="0"/>
        <w:ind w:right="-285"/>
        <w:rPr>
          <w:rFonts w:cs="Arial"/>
          <w:bCs/>
          <w:color w:val="943634"/>
          <w:spacing w:val="5"/>
          <w:highlight w:val="green"/>
        </w:rPr>
      </w:pPr>
    </w:p>
    <w:p w14:paraId="074C8FCC" w14:textId="77777777" w:rsidR="008D7AC3" w:rsidRPr="00406BB2" w:rsidRDefault="008D7AC3" w:rsidP="008D7AC3">
      <w:pPr>
        <w:tabs>
          <w:tab w:val="left" w:pos="1701"/>
          <w:tab w:val="left" w:pos="6237"/>
        </w:tabs>
        <w:spacing w:after="0"/>
        <w:jc w:val="center"/>
        <w:rPr>
          <w:rFonts w:cs="Arial"/>
          <w:bCs/>
          <w:color w:val="943634"/>
          <w:spacing w:val="5"/>
          <w:highlight w:val="green"/>
        </w:rPr>
      </w:pPr>
    </w:p>
    <w:p w14:paraId="1F35458D" w14:textId="77777777" w:rsidR="00215B58" w:rsidRPr="00406BB2" w:rsidRDefault="00215B58" w:rsidP="00215B58">
      <w:pPr>
        <w:tabs>
          <w:tab w:val="left" w:pos="1701"/>
          <w:tab w:val="left" w:pos="6237"/>
        </w:tabs>
        <w:spacing w:after="0"/>
        <w:jc w:val="center"/>
        <w:rPr>
          <w:rFonts w:cs="Arial"/>
          <w:bCs/>
          <w:color w:val="943634"/>
          <w:spacing w:val="5"/>
          <w:highlight w:val="green"/>
        </w:rPr>
      </w:pPr>
    </w:p>
    <w:p w14:paraId="59B9EDCA" w14:textId="77777777" w:rsidR="00215B58" w:rsidRPr="00406BB2" w:rsidRDefault="00215B58" w:rsidP="00215B58">
      <w:pPr>
        <w:tabs>
          <w:tab w:val="left" w:pos="1701"/>
          <w:tab w:val="left" w:pos="6237"/>
        </w:tabs>
        <w:spacing w:after="0"/>
        <w:jc w:val="center"/>
        <w:rPr>
          <w:rFonts w:cs="Arial"/>
          <w:bCs/>
          <w:color w:val="943634"/>
          <w:spacing w:val="5"/>
          <w:highlight w:val="green"/>
        </w:rPr>
      </w:pPr>
    </w:p>
    <w:tbl>
      <w:tblPr>
        <w:tblW w:w="9821"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992"/>
        <w:gridCol w:w="1418"/>
        <w:gridCol w:w="567"/>
        <w:gridCol w:w="3310"/>
      </w:tblGrid>
      <w:tr w:rsidR="00A81875" w:rsidRPr="001E0513" w14:paraId="10F349B1" w14:textId="77777777" w:rsidTr="005D737E">
        <w:trPr>
          <w:trHeight w:val="20"/>
          <w:tblHeader/>
        </w:trPr>
        <w:tc>
          <w:tcPr>
            <w:tcW w:w="4526" w:type="dxa"/>
            <w:gridSpan w:val="2"/>
            <w:tcBorders>
              <w:top w:val="single" w:sz="8" w:space="0" w:color="4F81BD"/>
              <w:left w:val="single" w:sz="8" w:space="0" w:color="4F81BD"/>
              <w:bottom w:val="single" w:sz="18" w:space="0" w:color="4F81BD"/>
              <w:right w:val="single" w:sz="8" w:space="0" w:color="4F81BD"/>
            </w:tcBorders>
            <w:shd w:val="clear" w:color="auto" w:fill="DBE5F1"/>
            <w:vAlign w:val="center"/>
          </w:tcPr>
          <w:p w14:paraId="4CE447BB" w14:textId="77777777" w:rsidR="00A81875" w:rsidRPr="001E0513" w:rsidRDefault="00A81875" w:rsidP="00A81875">
            <w:pPr>
              <w:spacing w:after="0" w:line="240" w:lineRule="auto"/>
              <w:jc w:val="center"/>
              <w:rPr>
                <w:b/>
                <w:bCs/>
              </w:rPr>
            </w:pPr>
            <w:r w:rsidRPr="001E0513">
              <w:rPr>
                <w:b/>
                <w:bCs/>
              </w:rPr>
              <w:t>Questions</w:t>
            </w:r>
          </w:p>
        </w:tc>
        <w:tc>
          <w:tcPr>
            <w:tcW w:w="1418"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6CA0B99B" w14:textId="77777777" w:rsidR="00A81875" w:rsidRPr="001E0513" w:rsidRDefault="00A81875" w:rsidP="00654EED">
            <w:pPr>
              <w:spacing w:after="0" w:line="240" w:lineRule="auto"/>
              <w:jc w:val="center"/>
              <w:rPr>
                <w:b/>
                <w:bCs/>
              </w:rPr>
            </w:pPr>
            <w:r w:rsidRPr="001E0513">
              <w:rPr>
                <w:b/>
                <w:bCs/>
              </w:rPr>
              <w:t>Mode de réponse attendue</w:t>
            </w:r>
          </w:p>
        </w:tc>
        <w:tc>
          <w:tcPr>
            <w:tcW w:w="567"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6CFD65FE" w14:textId="77777777" w:rsidR="00A81875" w:rsidRPr="001E0513" w:rsidRDefault="00A81875" w:rsidP="00A81875">
            <w:pPr>
              <w:spacing w:after="0" w:line="240" w:lineRule="auto"/>
              <w:ind w:left="-108" w:right="-108"/>
              <w:jc w:val="center"/>
              <w:rPr>
                <w:b/>
                <w:bCs/>
                <w:sz w:val="20"/>
                <w:szCs w:val="20"/>
              </w:rPr>
            </w:pPr>
            <w:r w:rsidRPr="001E0513">
              <w:rPr>
                <w:b/>
                <w:bCs/>
                <w:sz w:val="20"/>
                <w:szCs w:val="20"/>
              </w:rPr>
              <w:t>Question notée</w:t>
            </w:r>
          </w:p>
        </w:tc>
        <w:tc>
          <w:tcPr>
            <w:tcW w:w="3310"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503EB6AF" w14:textId="77777777" w:rsidR="00A81875" w:rsidRPr="001E0513" w:rsidRDefault="00A81875" w:rsidP="00A81875">
            <w:pPr>
              <w:spacing w:after="0" w:line="240" w:lineRule="auto"/>
              <w:jc w:val="center"/>
              <w:rPr>
                <w:b/>
                <w:bCs/>
              </w:rPr>
            </w:pPr>
            <w:r w:rsidRPr="001E0513">
              <w:rPr>
                <w:b/>
                <w:bCs/>
              </w:rPr>
              <w:t>Réponse du candidat</w:t>
            </w:r>
          </w:p>
        </w:tc>
      </w:tr>
      <w:tr w:rsidR="00A81875" w:rsidRPr="001E0513" w14:paraId="560E2DA4"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05ED747" w14:textId="77777777" w:rsidR="00A81875" w:rsidRPr="001E0513" w:rsidRDefault="00A81875" w:rsidP="00A81875">
            <w:pPr>
              <w:spacing w:after="0" w:line="240" w:lineRule="auto"/>
              <w:jc w:val="center"/>
              <w:rPr>
                <w:b/>
                <w:bCs/>
                <w:color w:val="000000"/>
              </w:rPr>
            </w:pPr>
            <w:r w:rsidRPr="001E0513">
              <w:rPr>
                <w:b/>
                <w:bCs/>
                <w:color w:val="000000"/>
              </w:rPr>
              <w:t>1</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759FAD" w14:textId="2D5FE0F3" w:rsidR="00A81875" w:rsidRPr="001E0513" w:rsidRDefault="00A81875" w:rsidP="00202689">
            <w:pPr>
              <w:spacing w:after="0" w:line="240" w:lineRule="auto"/>
              <w:rPr>
                <w:color w:val="000000"/>
                <w:sz w:val="20"/>
                <w:szCs w:val="20"/>
              </w:rPr>
            </w:pPr>
            <w:r w:rsidRPr="001E0513">
              <w:rPr>
                <w:color w:val="000000"/>
                <w:sz w:val="20"/>
                <w:szCs w:val="20"/>
              </w:rPr>
              <w:t xml:space="preserve">Le </w:t>
            </w:r>
            <w:r w:rsidR="00202689">
              <w:rPr>
                <w:color w:val="000000"/>
                <w:sz w:val="20"/>
                <w:szCs w:val="20"/>
              </w:rPr>
              <w:t>scénario</w:t>
            </w:r>
            <w:r w:rsidRPr="001E0513">
              <w:rPr>
                <w:color w:val="000000"/>
                <w:sz w:val="20"/>
                <w:szCs w:val="20"/>
              </w:rPr>
              <w:t xml:space="preserve"> personnalisé est fourni</w:t>
            </w:r>
            <w:r w:rsidR="006616FC" w:rsidRPr="001E0513">
              <w:rPr>
                <w:color w:val="000000"/>
                <w:sz w:val="20"/>
                <w:szCs w:val="20"/>
              </w:rPr>
              <w:t xml:space="preserve"> (ART. IV du présent CCTP)</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87B845F" w14:textId="77777777" w:rsidR="00A81875" w:rsidRPr="001E0513" w:rsidRDefault="00A81875" w:rsidP="00654EED">
            <w:pPr>
              <w:tabs>
                <w:tab w:val="left" w:pos="1701"/>
                <w:tab w:val="left" w:pos="6237"/>
              </w:tabs>
              <w:spacing w:after="0" w:line="240" w:lineRule="auto"/>
              <w:ind w:left="-108"/>
              <w:jc w:val="center"/>
              <w:rPr>
                <w:bCs/>
                <w:color w:val="000000"/>
                <w:spacing w:val="5"/>
                <w:sz w:val="20"/>
                <w:szCs w:val="20"/>
              </w:rPr>
            </w:pPr>
            <w:r w:rsidRPr="001E0513">
              <w:rPr>
                <w:bCs/>
                <w:color w:val="000000"/>
                <w:spacing w:val="5"/>
                <w:sz w:val="20"/>
                <w:szCs w:val="20"/>
              </w:rPr>
              <w:t>Oui-non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91DFCC" w14:textId="77777777" w:rsidR="00A81875" w:rsidRPr="001E0513" w:rsidRDefault="00A81875" w:rsidP="00A81875">
            <w:pPr>
              <w:tabs>
                <w:tab w:val="left" w:pos="1701"/>
                <w:tab w:val="left" w:pos="6237"/>
              </w:tabs>
              <w:spacing w:after="0" w:line="240" w:lineRule="auto"/>
              <w:jc w:val="center"/>
              <w:rPr>
                <w:bCs/>
                <w:color w:val="000000"/>
                <w:spacing w:val="5"/>
              </w:rPr>
            </w:pPr>
            <w:r w:rsidRPr="001E0513">
              <w:rPr>
                <w:bCs/>
                <w:color w:val="000000"/>
                <w:spacing w:val="5"/>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4339D3" w14:textId="77777777" w:rsidR="00A81875" w:rsidRPr="001E0513" w:rsidRDefault="009B2778" w:rsidP="00A81875">
            <w:pPr>
              <w:tabs>
                <w:tab w:val="left" w:pos="1701"/>
                <w:tab w:val="left" w:pos="6237"/>
              </w:tabs>
              <w:spacing w:after="0" w:line="240" w:lineRule="auto"/>
              <w:jc w:val="center"/>
              <w:rPr>
                <w:bCs/>
                <w:color w:val="000000"/>
                <w:spacing w:val="5"/>
                <w:sz w:val="20"/>
                <w:szCs w:val="20"/>
              </w:rPr>
            </w:pPr>
            <w:r w:rsidRPr="001E0513">
              <w:rPr>
                <w:color w:val="FF0000"/>
                <w:sz w:val="20"/>
              </w:rPr>
              <w:t>Obligatoire </w:t>
            </w:r>
            <w:r w:rsidRPr="001E0513">
              <w:rPr>
                <w:bCs/>
                <w:color w:val="000000"/>
                <w:spacing w:val="5"/>
              </w:rPr>
              <w:t>: Attention l’absence de projet catalogue entraîne l’élimination de l’offre</w:t>
            </w:r>
          </w:p>
        </w:tc>
      </w:tr>
      <w:tr w:rsidR="008266AD" w:rsidRPr="001E0513" w14:paraId="13CE5ABA" w14:textId="77777777" w:rsidTr="00202689">
        <w:trPr>
          <w:trHeight w:val="20"/>
        </w:trPr>
        <w:tc>
          <w:tcPr>
            <w:tcW w:w="534" w:type="dxa"/>
            <w:shd w:val="clear" w:color="auto" w:fill="auto"/>
            <w:vAlign w:val="center"/>
          </w:tcPr>
          <w:p w14:paraId="52E3FBF5" w14:textId="37963B5C" w:rsidR="008266AD" w:rsidRPr="001E0513" w:rsidRDefault="00DA7FB7" w:rsidP="008266AD">
            <w:pPr>
              <w:spacing w:after="0" w:line="240" w:lineRule="auto"/>
              <w:jc w:val="center"/>
              <w:rPr>
                <w:b/>
                <w:bCs/>
                <w:color w:val="000000"/>
              </w:rPr>
            </w:pPr>
            <w:r>
              <w:rPr>
                <w:b/>
                <w:bCs/>
                <w:color w:val="000000"/>
              </w:rPr>
              <w:t>2</w:t>
            </w:r>
          </w:p>
        </w:tc>
        <w:tc>
          <w:tcPr>
            <w:tcW w:w="3992" w:type="dxa"/>
            <w:shd w:val="clear" w:color="auto" w:fill="auto"/>
            <w:vAlign w:val="center"/>
          </w:tcPr>
          <w:p w14:paraId="0F45BF2C" w14:textId="77777777" w:rsidR="008266AD" w:rsidRPr="001E0513" w:rsidRDefault="008266AD" w:rsidP="008266AD">
            <w:pPr>
              <w:spacing w:after="0" w:line="240" w:lineRule="auto"/>
              <w:rPr>
                <w:rFonts w:cs="Arial"/>
                <w:color w:val="000000"/>
                <w:sz w:val="20"/>
                <w:szCs w:val="20"/>
              </w:rPr>
            </w:pPr>
            <w:r w:rsidRPr="001E0513">
              <w:rPr>
                <w:rFonts w:cs="Arial"/>
                <w:color w:val="000000"/>
                <w:sz w:val="20"/>
                <w:szCs w:val="20"/>
              </w:rPr>
              <w:t>Constructeur</w:t>
            </w:r>
          </w:p>
        </w:tc>
        <w:tc>
          <w:tcPr>
            <w:tcW w:w="1418" w:type="dxa"/>
            <w:shd w:val="clear" w:color="auto" w:fill="auto"/>
            <w:vAlign w:val="center"/>
          </w:tcPr>
          <w:p w14:paraId="01C3B44F" w14:textId="77777777" w:rsidR="008266AD" w:rsidRPr="001E0513" w:rsidRDefault="008266AD" w:rsidP="008266AD">
            <w:pPr>
              <w:tabs>
                <w:tab w:val="left" w:pos="1701"/>
                <w:tab w:val="left" w:pos="6237"/>
              </w:tabs>
              <w:spacing w:after="0" w:line="240" w:lineRule="auto"/>
              <w:ind w:left="-108"/>
              <w:jc w:val="center"/>
              <w:rPr>
                <w:bCs/>
                <w:color w:val="000000"/>
                <w:spacing w:val="5"/>
                <w:sz w:val="20"/>
                <w:szCs w:val="20"/>
              </w:rPr>
            </w:pPr>
            <w:r w:rsidRPr="001E0513">
              <w:rPr>
                <w:bCs/>
                <w:color w:val="000000"/>
                <w:spacing w:val="5"/>
                <w:sz w:val="20"/>
                <w:szCs w:val="20"/>
              </w:rPr>
              <w:t>Préciser</w:t>
            </w:r>
          </w:p>
        </w:tc>
        <w:tc>
          <w:tcPr>
            <w:tcW w:w="567" w:type="dxa"/>
            <w:shd w:val="clear" w:color="auto" w:fill="D9D9D9" w:themeFill="background1" w:themeFillShade="D9"/>
            <w:vAlign w:val="center"/>
          </w:tcPr>
          <w:p w14:paraId="4BE8EC74" w14:textId="77777777" w:rsidR="008266AD" w:rsidRPr="001E0513" w:rsidRDefault="008266AD" w:rsidP="008266AD">
            <w:pPr>
              <w:tabs>
                <w:tab w:val="left" w:pos="1701"/>
                <w:tab w:val="left" w:pos="6237"/>
              </w:tabs>
              <w:spacing w:after="0" w:line="240" w:lineRule="auto"/>
              <w:ind w:left="-108" w:right="-108"/>
              <w:jc w:val="center"/>
              <w:rPr>
                <w:bCs/>
                <w:color w:val="000000"/>
                <w:spacing w:val="5"/>
                <w:sz w:val="20"/>
              </w:rPr>
            </w:pPr>
            <w:r w:rsidRPr="001E0513">
              <w:rPr>
                <w:bCs/>
                <w:color w:val="000000"/>
                <w:spacing w:val="5"/>
                <w:sz w:val="20"/>
              </w:rPr>
              <w:t>Non</w:t>
            </w:r>
          </w:p>
        </w:tc>
        <w:tc>
          <w:tcPr>
            <w:tcW w:w="3310" w:type="dxa"/>
            <w:shd w:val="clear" w:color="auto" w:fill="auto"/>
            <w:vAlign w:val="center"/>
          </w:tcPr>
          <w:p w14:paraId="41C3E8FF" w14:textId="77777777" w:rsidR="008266AD" w:rsidRPr="001E0513" w:rsidRDefault="008266AD" w:rsidP="008266AD">
            <w:pPr>
              <w:tabs>
                <w:tab w:val="left" w:pos="1701"/>
                <w:tab w:val="left" w:pos="6237"/>
              </w:tabs>
              <w:spacing w:after="0" w:line="240" w:lineRule="auto"/>
              <w:jc w:val="center"/>
              <w:rPr>
                <w:bCs/>
                <w:color w:val="000000"/>
                <w:spacing w:val="5"/>
                <w:sz w:val="20"/>
                <w:szCs w:val="20"/>
              </w:rPr>
            </w:pPr>
          </w:p>
        </w:tc>
      </w:tr>
      <w:tr w:rsidR="008266AD" w:rsidRPr="001E0513" w14:paraId="61FF60BC" w14:textId="77777777" w:rsidTr="00202689">
        <w:trPr>
          <w:trHeight w:val="20"/>
        </w:trPr>
        <w:tc>
          <w:tcPr>
            <w:tcW w:w="534" w:type="dxa"/>
            <w:shd w:val="clear" w:color="auto" w:fill="auto"/>
            <w:vAlign w:val="center"/>
          </w:tcPr>
          <w:p w14:paraId="6E7B4E1C" w14:textId="1259429C" w:rsidR="008266AD" w:rsidRPr="001E0513" w:rsidRDefault="00DA7FB7" w:rsidP="008266AD">
            <w:pPr>
              <w:spacing w:after="0" w:line="240" w:lineRule="auto"/>
              <w:jc w:val="center"/>
              <w:rPr>
                <w:b/>
                <w:bCs/>
                <w:color w:val="000000"/>
              </w:rPr>
            </w:pPr>
            <w:r>
              <w:rPr>
                <w:b/>
                <w:bCs/>
                <w:color w:val="000000"/>
              </w:rPr>
              <w:t>3</w:t>
            </w:r>
          </w:p>
        </w:tc>
        <w:tc>
          <w:tcPr>
            <w:tcW w:w="3992" w:type="dxa"/>
            <w:shd w:val="clear" w:color="auto" w:fill="auto"/>
            <w:vAlign w:val="center"/>
          </w:tcPr>
          <w:p w14:paraId="0B707F63" w14:textId="77777777" w:rsidR="008266AD" w:rsidRPr="001E0513" w:rsidRDefault="008266AD" w:rsidP="008266AD">
            <w:pPr>
              <w:spacing w:after="0" w:line="240" w:lineRule="auto"/>
              <w:rPr>
                <w:rFonts w:cs="Arial"/>
                <w:color w:val="000000"/>
                <w:sz w:val="20"/>
                <w:szCs w:val="20"/>
              </w:rPr>
            </w:pPr>
            <w:r w:rsidRPr="001E0513">
              <w:rPr>
                <w:rFonts w:cs="Arial"/>
                <w:color w:val="000000"/>
                <w:sz w:val="20"/>
                <w:szCs w:val="20"/>
              </w:rPr>
              <w:t>Nationalité du constructeur</w:t>
            </w:r>
          </w:p>
        </w:tc>
        <w:tc>
          <w:tcPr>
            <w:tcW w:w="1418" w:type="dxa"/>
            <w:shd w:val="clear" w:color="auto" w:fill="auto"/>
            <w:vAlign w:val="center"/>
          </w:tcPr>
          <w:p w14:paraId="75D3AC23" w14:textId="77777777" w:rsidR="008266AD" w:rsidRPr="001E0513" w:rsidRDefault="008266AD" w:rsidP="008266AD">
            <w:pPr>
              <w:tabs>
                <w:tab w:val="left" w:pos="1701"/>
                <w:tab w:val="left" w:pos="6237"/>
              </w:tabs>
              <w:spacing w:after="0" w:line="240" w:lineRule="auto"/>
              <w:ind w:left="-108"/>
              <w:jc w:val="center"/>
              <w:rPr>
                <w:bCs/>
                <w:color w:val="000000"/>
                <w:spacing w:val="5"/>
                <w:sz w:val="20"/>
                <w:szCs w:val="20"/>
              </w:rPr>
            </w:pPr>
            <w:r w:rsidRPr="001E0513">
              <w:rPr>
                <w:bCs/>
                <w:color w:val="000000"/>
                <w:spacing w:val="5"/>
                <w:sz w:val="20"/>
                <w:szCs w:val="20"/>
              </w:rPr>
              <w:t>Préciser</w:t>
            </w:r>
          </w:p>
        </w:tc>
        <w:tc>
          <w:tcPr>
            <w:tcW w:w="567" w:type="dxa"/>
            <w:shd w:val="clear" w:color="auto" w:fill="D9D9D9" w:themeFill="background1" w:themeFillShade="D9"/>
            <w:vAlign w:val="center"/>
          </w:tcPr>
          <w:p w14:paraId="547FBD3D" w14:textId="77777777" w:rsidR="008266AD" w:rsidRPr="001E0513" w:rsidRDefault="008266AD" w:rsidP="008266AD">
            <w:pPr>
              <w:tabs>
                <w:tab w:val="left" w:pos="1701"/>
                <w:tab w:val="left" w:pos="6237"/>
              </w:tabs>
              <w:spacing w:after="0" w:line="240" w:lineRule="auto"/>
              <w:ind w:left="-108" w:right="-108"/>
              <w:jc w:val="center"/>
              <w:rPr>
                <w:bCs/>
                <w:color w:val="000000"/>
                <w:spacing w:val="5"/>
                <w:sz w:val="20"/>
              </w:rPr>
            </w:pPr>
            <w:r w:rsidRPr="001E0513">
              <w:rPr>
                <w:bCs/>
                <w:color w:val="000000"/>
                <w:spacing w:val="5"/>
                <w:sz w:val="20"/>
              </w:rPr>
              <w:t>Non</w:t>
            </w:r>
          </w:p>
        </w:tc>
        <w:tc>
          <w:tcPr>
            <w:tcW w:w="3310" w:type="dxa"/>
            <w:shd w:val="clear" w:color="auto" w:fill="auto"/>
            <w:vAlign w:val="center"/>
          </w:tcPr>
          <w:p w14:paraId="438BB72F" w14:textId="77777777" w:rsidR="008266AD" w:rsidRPr="001E0513" w:rsidRDefault="008266AD" w:rsidP="008266AD">
            <w:pPr>
              <w:tabs>
                <w:tab w:val="left" w:pos="1701"/>
                <w:tab w:val="left" w:pos="6237"/>
              </w:tabs>
              <w:spacing w:after="0" w:line="240" w:lineRule="auto"/>
              <w:jc w:val="center"/>
              <w:rPr>
                <w:bCs/>
                <w:color w:val="000000"/>
                <w:spacing w:val="5"/>
                <w:sz w:val="20"/>
                <w:szCs w:val="20"/>
              </w:rPr>
            </w:pPr>
          </w:p>
        </w:tc>
      </w:tr>
      <w:tr w:rsidR="008266AD" w:rsidRPr="001E0513" w14:paraId="522D8789" w14:textId="77777777" w:rsidTr="00202689">
        <w:trPr>
          <w:trHeight w:val="20"/>
        </w:trPr>
        <w:tc>
          <w:tcPr>
            <w:tcW w:w="534" w:type="dxa"/>
            <w:shd w:val="clear" w:color="auto" w:fill="auto"/>
            <w:vAlign w:val="center"/>
          </w:tcPr>
          <w:p w14:paraId="1D2F0442" w14:textId="47EA64F2" w:rsidR="008266AD" w:rsidRPr="001E0513" w:rsidRDefault="00DA7FB7" w:rsidP="008266AD">
            <w:pPr>
              <w:spacing w:after="0" w:line="240" w:lineRule="auto"/>
              <w:jc w:val="center"/>
              <w:rPr>
                <w:b/>
                <w:bCs/>
                <w:color w:val="000000"/>
              </w:rPr>
            </w:pPr>
            <w:r>
              <w:rPr>
                <w:b/>
                <w:bCs/>
                <w:color w:val="000000"/>
              </w:rPr>
              <w:t>4</w:t>
            </w:r>
          </w:p>
        </w:tc>
        <w:tc>
          <w:tcPr>
            <w:tcW w:w="3992" w:type="dxa"/>
            <w:shd w:val="clear" w:color="auto" w:fill="auto"/>
            <w:vAlign w:val="center"/>
          </w:tcPr>
          <w:p w14:paraId="2FC32A66" w14:textId="1485811A" w:rsidR="008266AD" w:rsidRPr="001E0513" w:rsidRDefault="008266AD" w:rsidP="00202689">
            <w:pPr>
              <w:spacing w:after="0" w:line="240" w:lineRule="auto"/>
              <w:rPr>
                <w:rFonts w:cs="Arial"/>
                <w:color w:val="000000"/>
                <w:sz w:val="20"/>
                <w:szCs w:val="20"/>
              </w:rPr>
            </w:pPr>
            <w:r w:rsidRPr="001E0513">
              <w:rPr>
                <w:rFonts w:cs="Arial"/>
                <w:color w:val="000000"/>
                <w:sz w:val="20"/>
                <w:szCs w:val="20"/>
              </w:rPr>
              <w:t>Les solutions proposées sont compatibles sans restriction avec le parc de carte CPX actuellement service au sein de l’APHP</w:t>
            </w:r>
          </w:p>
        </w:tc>
        <w:tc>
          <w:tcPr>
            <w:tcW w:w="1418" w:type="dxa"/>
            <w:shd w:val="clear" w:color="auto" w:fill="auto"/>
            <w:vAlign w:val="center"/>
          </w:tcPr>
          <w:p w14:paraId="6D3E5D66" w14:textId="77777777" w:rsidR="008266AD" w:rsidRPr="001E0513" w:rsidRDefault="008266AD" w:rsidP="008266AD">
            <w:pPr>
              <w:tabs>
                <w:tab w:val="left" w:pos="1701"/>
                <w:tab w:val="left" w:pos="6237"/>
              </w:tabs>
              <w:spacing w:after="0" w:line="240" w:lineRule="auto"/>
              <w:ind w:left="-108"/>
              <w:jc w:val="center"/>
              <w:rPr>
                <w:bCs/>
                <w:color w:val="000000"/>
                <w:spacing w:val="5"/>
                <w:sz w:val="20"/>
                <w:szCs w:val="20"/>
              </w:rPr>
            </w:pPr>
            <w:r w:rsidRPr="001E0513">
              <w:rPr>
                <w:bCs/>
                <w:color w:val="000000"/>
                <w:spacing w:val="5"/>
                <w:sz w:val="20"/>
                <w:szCs w:val="20"/>
              </w:rPr>
              <w:t>Oui - non</w:t>
            </w:r>
          </w:p>
        </w:tc>
        <w:tc>
          <w:tcPr>
            <w:tcW w:w="567" w:type="dxa"/>
            <w:shd w:val="clear" w:color="auto" w:fill="D9D9D9" w:themeFill="background1" w:themeFillShade="D9"/>
            <w:vAlign w:val="center"/>
          </w:tcPr>
          <w:p w14:paraId="0C9203CD" w14:textId="77777777" w:rsidR="008266AD" w:rsidRPr="001E0513" w:rsidRDefault="008266AD" w:rsidP="008266AD">
            <w:pPr>
              <w:tabs>
                <w:tab w:val="left" w:pos="1701"/>
                <w:tab w:val="left" w:pos="6237"/>
              </w:tabs>
              <w:spacing w:after="0" w:line="240" w:lineRule="auto"/>
              <w:ind w:left="-108" w:right="-108"/>
              <w:jc w:val="center"/>
              <w:rPr>
                <w:bCs/>
                <w:color w:val="000000"/>
                <w:spacing w:val="5"/>
                <w:sz w:val="20"/>
              </w:rPr>
            </w:pPr>
            <w:r w:rsidRPr="001E0513">
              <w:rPr>
                <w:bCs/>
                <w:color w:val="000000"/>
                <w:spacing w:val="5"/>
                <w:sz w:val="20"/>
              </w:rPr>
              <w:t>Non</w:t>
            </w:r>
          </w:p>
        </w:tc>
        <w:tc>
          <w:tcPr>
            <w:tcW w:w="3310" w:type="dxa"/>
            <w:shd w:val="clear" w:color="auto" w:fill="auto"/>
            <w:vAlign w:val="center"/>
          </w:tcPr>
          <w:p w14:paraId="58A878C2" w14:textId="77777777" w:rsidR="008266AD" w:rsidRPr="001E0513" w:rsidRDefault="008266AD" w:rsidP="008266AD">
            <w:pPr>
              <w:tabs>
                <w:tab w:val="left" w:pos="1701"/>
                <w:tab w:val="left" w:pos="6237"/>
              </w:tabs>
              <w:spacing w:after="0" w:line="240" w:lineRule="auto"/>
              <w:jc w:val="center"/>
              <w:rPr>
                <w:bCs/>
                <w:color w:val="000000"/>
                <w:spacing w:val="5"/>
                <w:sz w:val="20"/>
                <w:szCs w:val="20"/>
              </w:rPr>
            </w:pPr>
          </w:p>
        </w:tc>
      </w:tr>
      <w:tr w:rsidR="008266AD" w:rsidRPr="001E0513" w14:paraId="690491E6" w14:textId="77777777" w:rsidTr="00F246A1">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D5DCE4" w:themeFill="text2" w:themeFillTint="33"/>
            <w:vAlign w:val="center"/>
          </w:tcPr>
          <w:p w14:paraId="37B5838A" w14:textId="77777777" w:rsidR="008266AD" w:rsidRPr="001E0513" w:rsidRDefault="008266AD" w:rsidP="008266AD">
            <w:pPr>
              <w:spacing w:after="0" w:line="240" w:lineRule="auto"/>
              <w:jc w:val="center"/>
              <w:rPr>
                <w:b/>
                <w:bCs/>
                <w:color w:val="000000"/>
              </w:rPr>
            </w:pPr>
          </w:p>
        </w:tc>
        <w:tc>
          <w:tcPr>
            <w:tcW w:w="9287" w:type="dxa"/>
            <w:gridSpan w:val="4"/>
            <w:tcBorders>
              <w:top w:val="single" w:sz="8" w:space="0" w:color="4F81BD"/>
              <w:left w:val="single" w:sz="8" w:space="0" w:color="4F81BD"/>
              <w:bottom w:val="single" w:sz="8" w:space="0" w:color="4F81BD"/>
              <w:right w:val="single" w:sz="8" w:space="0" w:color="4F81BD"/>
            </w:tcBorders>
            <w:shd w:val="clear" w:color="auto" w:fill="D5DCE4" w:themeFill="text2" w:themeFillTint="33"/>
            <w:vAlign w:val="center"/>
          </w:tcPr>
          <w:p w14:paraId="498406C5" w14:textId="77777777" w:rsidR="008266AD" w:rsidRPr="001E0513" w:rsidRDefault="008266AD" w:rsidP="008266AD">
            <w:pPr>
              <w:tabs>
                <w:tab w:val="left" w:pos="1701"/>
                <w:tab w:val="left" w:pos="6237"/>
              </w:tabs>
              <w:spacing w:after="0" w:line="240" w:lineRule="auto"/>
              <w:jc w:val="center"/>
              <w:rPr>
                <w:b/>
                <w:bCs/>
                <w:color w:val="000000"/>
                <w:spacing w:val="5"/>
                <w:sz w:val="24"/>
                <w:szCs w:val="20"/>
              </w:rPr>
            </w:pPr>
            <w:r w:rsidRPr="001E0513">
              <w:rPr>
                <w:b/>
                <w:sz w:val="24"/>
                <w:szCs w:val="20"/>
              </w:rPr>
              <w:t>PLAQUES BEQUILLES  (BPU)</w:t>
            </w:r>
          </w:p>
        </w:tc>
      </w:tr>
      <w:tr w:rsidR="008266AD" w:rsidRPr="001E0513" w14:paraId="535AB0DF"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F5E18B1" w14:textId="79752EA0" w:rsidR="008266AD" w:rsidRPr="001E0513" w:rsidRDefault="00DA7FB7" w:rsidP="008266AD">
            <w:pPr>
              <w:spacing w:after="0" w:line="240" w:lineRule="auto"/>
              <w:jc w:val="center"/>
              <w:rPr>
                <w:b/>
                <w:bCs/>
                <w:color w:val="000000"/>
              </w:rPr>
            </w:pPr>
            <w:r>
              <w:rPr>
                <w:b/>
                <w:bCs/>
                <w:color w:val="000000"/>
              </w:rPr>
              <w:t>5</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E62CF9" w14:textId="77777777" w:rsidR="008266AD" w:rsidRPr="001E0513" w:rsidRDefault="008266AD" w:rsidP="008266AD">
            <w:pPr>
              <w:spacing w:after="0"/>
              <w:ind w:left="-85"/>
              <w:rPr>
                <w:sz w:val="20"/>
                <w:szCs w:val="20"/>
              </w:rPr>
            </w:pPr>
            <w:r w:rsidRPr="001E0513">
              <w:rPr>
                <w:sz w:val="20"/>
                <w:szCs w:val="20"/>
              </w:rPr>
              <w:t>Technologies RFID compatibles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4580AE0" w14:textId="77777777" w:rsidR="008266AD" w:rsidRPr="001E0513" w:rsidRDefault="008266AD" w:rsidP="008266AD">
            <w:pPr>
              <w:spacing w:after="0" w:line="240" w:lineRule="auto"/>
              <w:ind w:left="-108"/>
              <w:jc w:val="center"/>
              <w:rPr>
                <w:color w:val="000000"/>
                <w:sz w:val="20"/>
                <w:szCs w:val="20"/>
              </w:rPr>
            </w:pPr>
            <w:r w:rsidRPr="001E0513">
              <w:rPr>
                <w:color w:val="000000"/>
                <w:sz w:val="20"/>
                <w:szCs w:val="20"/>
              </w:rPr>
              <w:t>Préciser (</w:t>
            </w:r>
            <w:proofErr w:type="spellStart"/>
            <w:r w:rsidRPr="001E0513">
              <w:rPr>
                <w:color w:val="000000"/>
                <w:sz w:val="20"/>
                <w:szCs w:val="20"/>
              </w:rPr>
              <w:t>Mifare</w:t>
            </w:r>
            <w:proofErr w:type="spellEnd"/>
            <w:r w:rsidRPr="001E0513">
              <w:rPr>
                <w:color w:val="000000"/>
                <w:sz w:val="20"/>
                <w:szCs w:val="20"/>
              </w:rPr>
              <w:t xml:space="preserve">, </w:t>
            </w:r>
            <w:proofErr w:type="spellStart"/>
            <w:r w:rsidRPr="001E0513">
              <w:rPr>
                <w:color w:val="000000"/>
                <w:sz w:val="20"/>
                <w:szCs w:val="20"/>
              </w:rPr>
              <w:t>Desfire</w:t>
            </w:r>
            <w:proofErr w:type="spellEnd"/>
            <w:r w:rsidRPr="001E0513">
              <w:rPr>
                <w:color w:val="000000"/>
                <w:sz w:val="20"/>
                <w:szCs w:val="20"/>
              </w:rPr>
              <w:t>…)</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0A5F29D" w14:textId="77777777" w:rsidR="008266AD" w:rsidRPr="001E0513" w:rsidRDefault="008266AD" w:rsidP="008266A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9595690" w14:textId="77777777" w:rsidR="008266AD" w:rsidRPr="001E0513" w:rsidRDefault="008266AD" w:rsidP="008266AD">
            <w:pPr>
              <w:tabs>
                <w:tab w:val="left" w:pos="1701"/>
                <w:tab w:val="left" w:pos="6237"/>
              </w:tabs>
              <w:spacing w:after="0" w:line="240" w:lineRule="auto"/>
              <w:jc w:val="center"/>
              <w:rPr>
                <w:bCs/>
                <w:color w:val="000000"/>
                <w:spacing w:val="5"/>
                <w:sz w:val="20"/>
                <w:szCs w:val="20"/>
              </w:rPr>
            </w:pPr>
          </w:p>
        </w:tc>
      </w:tr>
      <w:tr w:rsidR="00BC6496" w:rsidRPr="001E0513" w14:paraId="49EBD1C9"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9403DB1" w14:textId="7A05FD7D" w:rsidR="00BC6496" w:rsidRPr="001E0513" w:rsidRDefault="00DA7FB7" w:rsidP="008266AD">
            <w:pPr>
              <w:spacing w:after="0" w:line="240" w:lineRule="auto"/>
              <w:jc w:val="center"/>
              <w:rPr>
                <w:b/>
                <w:bCs/>
                <w:color w:val="000000"/>
              </w:rPr>
            </w:pPr>
            <w:r>
              <w:rPr>
                <w:b/>
                <w:bCs/>
                <w:color w:val="000000"/>
              </w:rPr>
              <w:t>6</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8B919C" w14:textId="77777777" w:rsidR="00BC6496" w:rsidRPr="001E0513" w:rsidRDefault="00BC6496" w:rsidP="008266AD">
            <w:pPr>
              <w:spacing w:after="0"/>
              <w:ind w:left="-85"/>
              <w:rPr>
                <w:sz w:val="20"/>
                <w:szCs w:val="20"/>
              </w:rPr>
            </w:pPr>
            <w:r w:rsidRPr="001E0513">
              <w:rPr>
                <w:sz w:val="20"/>
                <w:szCs w:val="20"/>
              </w:rPr>
              <w:t>Distance maximale de lecture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5DCD23" w14:textId="77777777" w:rsidR="00BC6496" w:rsidRPr="001E0513" w:rsidRDefault="00BC6496" w:rsidP="008266AD">
            <w:pPr>
              <w:spacing w:after="0" w:line="240" w:lineRule="auto"/>
              <w:ind w:left="-108"/>
              <w:jc w:val="center"/>
              <w:rPr>
                <w:color w:val="000000"/>
                <w:sz w:val="20"/>
                <w:szCs w:val="20"/>
              </w:rPr>
            </w:pPr>
            <w:r w:rsidRPr="001E0513">
              <w:rPr>
                <w:color w:val="000000"/>
                <w:sz w:val="20"/>
                <w:szCs w:val="20"/>
              </w:rPr>
              <w:t>cm</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A938BCA" w14:textId="77777777" w:rsidR="00BC6496" w:rsidRPr="001E0513" w:rsidRDefault="00BC6496" w:rsidP="008266A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9667037" w14:textId="77777777" w:rsidR="00BC6496" w:rsidRPr="001E0513" w:rsidRDefault="00BC6496" w:rsidP="008266AD">
            <w:pPr>
              <w:tabs>
                <w:tab w:val="left" w:pos="1701"/>
                <w:tab w:val="left" w:pos="6237"/>
              </w:tabs>
              <w:spacing w:after="0" w:line="240" w:lineRule="auto"/>
              <w:jc w:val="center"/>
              <w:rPr>
                <w:bCs/>
                <w:color w:val="000000"/>
                <w:spacing w:val="5"/>
                <w:sz w:val="20"/>
                <w:szCs w:val="20"/>
              </w:rPr>
            </w:pPr>
          </w:p>
        </w:tc>
      </w:tr>
      <w:tr w:rsidR="00DD02CD" w:rsidRPr="001E0513" w14:paraId="04F50A99"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DBE3C2" w14:textId="5F725D73" w:rsidR="00DD02CD" w:rsidRPr="001E0513" w:rsidRDefault="00DA7FB7" w:rsidP="00DD02CD">
            <w:pPr>
              <w:spacing w:after="0" w:line="240" w:lineRule="auto"/>
              <w:jc w:val="center"/>
              <w:rPr>
                <w:b/>
                <w:bCs/>
                <w:color w:val="000000"/>
              </w:rPr>
            </w:pPr>
            <w:r>
              <w:rPr>
                <w:b/>
                <w:bCs/>
                <w:color w:val="000000"/>
              </w:rPr>
              <w:t>7</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CBD7E36" w14:textId="77777777" w:rsidR="00DD02CD" w:rsidRPr="001E0513" w:rsidRDefault="00DD02CD" w:rsidP="00DD02CD">
            <w:pPr>
              <w:spacing w:after="0"/>
              <w:ind w:left="-85"/>
              <w:rPr>
                <w:sz w:val="20"/>
                <w:szCs w:val="20"/>
              </w:rPr>
            </w:pPr>
            <w:r w:rsidRPr="001E0513">
              <w:rPr>
                <w:sz w:val="20"/>
                <w:szCs w:val="20"/>
              </w:rPr>
              <w:t>Capacité</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C9FDDD2" w14:textId="77777777" w:rsidR="00DD02CD" w:rsidRPr="001E0513" w:rsidRDefault="00DD02CD" w:rsidP="00DD02CD">
            <w:pPr>
              <w:tabs>
                <w:tab w:val="left" w:pos="1701"/>
                <w:tab w:val="left" w:pos="6237"/>
              </w:tabs>
              <w:spacing w:after="0" w:line="240" w:lineRule="auto"/>
              <w:ind w:left="-108"/>
              <w:jc w:val="center"/>
              <w:rPr>
                <w:bCs/>
                <w:color w:val="000000"/>
                <w:spacing w:val="5"/>
                <w:sz w:val="20"/>
                <w:szCs w:val="20"/>
              </w:rPr>
            </w:pPr>
            <w:r w:rsidRPr="001E0513">
              <w:rPr>
                <w:bCs/>
                <w:color w:val="000000"/>
                <w:spacing w:val="5"/>
                <w:sz w:val="20"/>
                <w:szCs w:val="20"/>
              </w:rPr>
              <w:t>Nombre d’utilisateurs ou badge par cylindre</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C0D9309" w14:textId="77777777" w:rsidR="00DD02CD" w:rsidRPr="001E0513" w:rsidRDefault="00DD02CD" w:rsidP="00DD02C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FCEA0A1"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757D0639"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7A43559" w14:textId="6BFCA75E" w:rsidR="00DD02CD" w:rsidRPr="001E0513" w:rsidRDefault="00DA7FB7" w:rsidP="00DD02CD">
            <w:pPr>
              <w:spacing w:after="0" w:line="240" w:lineRule="auto"/>
              <w:jc w:val="center"/>
              <w:rPr>
                <w:b/>
                <w:bCs/>
                <w:color w:val="000000"/>
              </w:rPr>
            </w:pPr>
            <w:r>
              <w:rPr>
                <w:b/>
                <w:bCs/>
                <w:color w:val="000000"/>
              </w:rPr>
              <w:t>8</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19F5FCB" w14:textId="77777777" w:rsidR="00DD02CD" w:rsidRPr="001E0513" w:rsidRDefault="00DD02CD" w:rsidP="00DD02CD">
            <w:pPr>
              <w:spacing w:after="0"/>
              <w:ind w:left="-85"/>
              <w:rPr>
                <w:sz w:val="20"/>
                <w:szCs w:val="20"/>
              </w:rPr>
            </w:pPr>
            <w:r w:rsidRPr="001E0513">
              <w:rPr>
                <w:sz w:val="20"/>
                <w:szCs w:val="20"/>
              </w:rPr>
              <w:t>Portée radio, environnement sans obstacles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A2A94A9" w14:textId="77777777" w:rsidR="00DD02CD" w:rsidRPr="001E0513" w:rsidRDefault="00DD02CD" w:rsidP="00DD02CD">
            <w:pPr>
              <w:spacing w:after="0" w:line="240" w:lineRule="auto"/>
              <w:ind w:left="-108"/>
              <w:jc w:val="center"/>
              <w:rPr>
                <w:color w:val="000000"/>
                <w:sz w:val="20"/>
                <w:szCs w:val="20"/>
              </w:rPr>
            </w:pPr>
            <w:r w:rsidRPr="001E0513">
              <w:rPr>
                <w:color w:val="000000"/>
                <w:sz w:val="20"/>
                <w:szCs w:val="20"/>
              </w:rPr>
              <w:t>m</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E95EDCA" w14:textId="77777777" w:rsidR="00DD02CD" w:rsidRPr="001E0513" w:rsidRDefault="00DD02CD" w:rsidP="00DD02C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D02DE2"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620C0110" w14:textId="77777777" w:rsidTr="00202689">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864B1B7" w14:textId="4A3C57C7" w:rsidR="00DD02CD" w:rsidRPr="001E0513" w:rsidRDefault="00DA7FB7" w:rsidP="00DD02CD">
            <w:pPr>
              <w:spacing w:after="0" w:line="240" w:lineRule="auto"/>
              <w:jc w:val="center"/>
              <w:rPr>
                <w:b/>
                <w:bCs/>
                <w:color w:val="000000"/>
              </w:rPr>
            </w:pPr>
            <w:r>
              <w:rPr>
                <w:b/>
                <w:bCs/>
                <w:color w:val="000000"/>
              </w:rPr>
              <w:t>9</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A02A0CF" w14:textId="77777777" w:rsidR="00DD02CD" w:rsidRPr="001E0513" w:rsidRDefault="00DD02CD" w:rsidP="00DD02CD">
            <w:pPr>
              <w:spacing w:after="0"/>
              <w:ind w:left="-85"/>
              <w:rPr>
                <w:sz w:val="20"/>
                <w:szCs w:val="20"/>
              </w:rPr>
            </w:pPr>
            <w:r w:rsidRPr="001E0513">
              <w:rPr>
                <w:sz w:val="20"/>
                <w:szCs w:val="20"/>
              </w:rPr>
              <w:t>Epaisseur des portes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DFEB2F" w14:textId="77777777" w:rsidR="00DD02CD" w:rsidRPr="001E0513" w:rsidRDefault="00DD02CD" w:rsidP="00DD02CD">
            <w:pPr>
              <w:spacing w:after="0" w:line="240" w:lineRule="auto"/>
              <w:ind w:left="-108"/>
              <w:jc w:val="center"/>
              <w:rPr>
                <w:color w:val="000000"/>
                <w:sz w:val="20"/>
                <w:szCs w:val="20"/>
              </w:rPr>
            </w:pPr>
            <w:r w:rsidRPr="001E0513">
              <w:rPr>
                <w:color w:val="000000"/>
                <w:sz w:val="20"/>
                <w:szCs w:val="20"/>
              </w:rPr>
              <w:t>Cm mini-maxi</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464E3693" w14:textId="232C443C" w:rsidR="00DD02CD" w:rsidRPr="001E0513" w:rsidRDefault="00202689" w:rsidP="00DD02CD">
            <w:pPr>
              <w:spacing w:after="0" w:line="240" w:lineRule="auto"/>
              <w:jc w:val="center"/>
              <w:rPr>
                <w:color w:val="000000"/>
              </w:rPr>
            </w:pPr>
            <w:r w:rsidRPr="00202689">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9090B3"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18686BD9"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1919B15" w14:textId="404D919A" w:rsidR="00DD02CD" w:rsidRPr="001E0513" w:rsidRDefault="00DA7FB7" w:rsidP="00DD02CD">
            <w:pPr>
              <w:spacing w:after="0" w:line="240" w:lineRule="auto"/>
              <w:jc w:val="center"/>
              <w:rPr>
                <w:b/>
                <w:bCs/>
                <w:color w:val="000000"/>
              </w:rPr>
            </w:pPr>
            <w:r>
              <w:rPr>
                <w:b/>
                <w:bCs/>
                <w:color w:val="000000"/>
              </w:rPr>
              <w:t>10</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F7270E" w14:textId="77777777" w:rsidR="00DD02CD" w:rsidRPr="001E0513" w:rsidRDefault="00DD02CD" w:rsidP="00DD02CD">
            <w:pPr>
              <w:spacing w:after="0"/>
              <w:ind w:left="-85"/>
              <w:rPr>
                <w:sz w:val="20"/>
                <w:szCs w:val="20"/>
              </w:rPr>
            </w:pPr>
            <w:r w:rsidRPr="001E0513">
              <w:rPr>
                <w:sz w:val="20"/>
                <w:szCs w:val="20"/>
              </w:rPr>
              <w:t>Montage sans perçage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9A2274B" w14:textId="77777777" w:rsidR="00DD02CD" w:rsidRPr="001E0513" w:rsidRDefault="00DD02CD" w:rsidP="00DD02CD">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CCA3A11" w14:textId="77777777" w:rsidR="00DD02CD" w:rsidRPr="001E0513" w:rsidRDefault="00DD02CD" w:rsidP="00DD02C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228581"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55D2D7F7"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8FE3055" w14:textId="014D2F60" w:rsidR="00DD02CD" w:rsidRPr="001E0513" w:rsidRDefault="00DA7FB7" w:rsidP="00DD02CD">
            <w:pPr>
              <w:spacing w:after="0" w:line="240" w:lineRule="auto"/>
              <w:jc w:val="center"/>
              <w:rPr>
                <w:b/>
                <w:bCs/>
                <w:color w:val="000000"/>
              </w:rPr>
            </w:pPr>
            <w:r>
              <w:rPr>
                <w:b/>
                <w:bCs/>
                <w:color w:val="000000"/>
              </w:rPr>
              <w:t>11</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A91182D" w14:textId="77777777" w:rsidR="00DD02CD" w:rsidRPr="001E0513" w:rsidRDefault="00DD02CD" w:rsidP="00DD02CD">
            <w:pPr>
              <w:spacing w:after="0"/>
              <w:ind w:left="-85"/>
              <w:rPr>
                <w:sz w:val="20"/>
                <w:szCs w:val="20"/>
              </w:rPr>
            </w:pPr>
            <w:r w:rsidRPr="001E0513">
              <w:rPr>
                <w:sz w:val="20"/>
                <w:szCs w:val="20"/>
              </w:rPr>
              <w:t>Autonomie avec un jeu de piles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595462" w14:textId="77777777" w:rsidR="00DD02CD" w:rsidRPr="001E0513" w:rsidRDefault="00DD02CD" w:rsidP="00DD02CD">
            <w:pPr>
              <w:spacing w:after="0" w:line="240" w:lineRule="auto"/>
              <w:ind w:left="-108"/>
              <w:jc w:val="center"/>
              <w:rPr>
                <w:color w:val="000000"/>
                <w:sz w:val="20"/>
                <w:szCs w:val="20"/>
              </w:rPr>
            </w:pPr>
            <w:r w:rsidRPr="001E0513">
              <w:rPr>
                <w:color w:val="000000"/>
                <w:sz w:val="20"/>
                <w:szCs w:val="20"/>
              </w:rPr>
              <w:t>Nombre d’ouvertures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D070BDD" w14:textId="77777777" w:rsidR="00DD02CD" w:rsidRPr="001E0513" w:rsidRDefault="00DD02CD" w:rsidP="00DD02C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25F1C70"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499076E5"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B4126C" w14:textId="6964E2F0" w:rsidR="00DD02CD" w:rsidRPr="001E0513" w:rsidRDefault="00DA7FB7" w:rsidP="00DD02CD">
            <w:pPr>
              <w:spacing w:after="0" w:line="240" w:lineRule="auto"/>
              <w:jc w:val="center"/>
              <w:rPr>
                <w:b/>
                <w:bCs/>
                <w:color w:val="000000"/>
              </w:rPr>
            </w:pPr>
            <w:r>
              <w:rPr>
                <w:b/>
                <w:bCs/>
                <w:color w:val="000000"/>
              </w:rPr>
              <w:t>12</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B337E18" w14:textId="77777777" w:rsidR="00DD02CD" w:rsidRPr="001E0513" w:rsidRDefault="00DD02CD" w:rsidP="00DD02CD">
            <w:pPr>
              <w:spacing w:after="0"/>
              <w:ind w:left="-85"/>
              <w:rPr>
                <w:sz w:val="20"/>
                <w:szCs w:val="20"/>
              </w:rPr>
            </w:pPr>
            <w:r w:rsidRPr="001E0513">
              <w:rPr>
                <w:sz w:val="20"/>
                <w:szCs w:val="20"/>
              </w:rPr>
              <w:t>Alarme d’usure des piles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7935C9" w14:textId="77777777" w:rsidR="00DD02CD" w:rsidRPr="001E0513" w:rsidRDefault="00DD02CD" w:rsidP="00DD02CD">
            <w:pPr>
              <w:spacing w:after="0" w:line="240" w:lineRule="auto"/>
              <w:ind w:left="-108"/>
              <w:jc w:val="center"/>
              <w:rPr>
                <w:color w:val="000000"/>
                <w:sz w:val="20"/>
                <w:szCs w:val="20"/>
              </w:rPr>
            </w:pPr>
            <w:r w:rsidRPr="001E0513">
              <w:rPr>
                <w:color w:val="000000"/>
                <w:sz w:val="20"/>
                <w:szCs w:val="20"/>
              </w:rPr>
              <w:t>Préciser le(s) type(s) d’alarme(s)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113C69" w14:textId="77777777" w:rsidR="00DD02CD" w:rsidRPr="001E0513" w:rsidRDefault="00DD02CD" w:rsidP="00DD02C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A473A32"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026FD2F4"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DBE2542" w14:textId="77777777" w:rsidR="00DD02CD" w:rsidRDefault="00DA7FB7" w:rsidP="00DD02CD">
            <w:pPr>
              <w:spacing w:after="0" w:line="240" w:lineRule="auto"/>
              <w:jc w:val="center"/>
              <w:rPr>
                <w:b/>
                <w:bCs/>
                <w:color w:val="000000"/>
              </w:rPr>
            </w:pPr>
            <w:r>
              <w:rPr>
                <w:b/>
                <w:bCs/>
                <w:color w:val="000000"/>
              </w:rPr>
              <w:t>1</w:t>
            </w:r>
          </w:p>
          <w:p w14:paraId="462DFACB" w14:textId="28A8C5EF" w:rsidR="00DA7FB7" w:rsidRPr="001E0513" w:rsidRDefault="00DA7FB7" w:rsidP="00DD02CD">
            <w:pPr>
              <w:spacing w:after="0" w:line="240" w:lineRule="auto"/>
              <w:jc w:val="center"/>
              <w:rPr>
                <w:b/>
                <w:bCs/>
                <w:color w:val="000000"/>
              </w:rPr>
            </w:pP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CFB2226" w14:textId="77777777" w:rsidR="00DD02CD" w:rsidRPr="001E0513" w:rsidRDefault="00DD02CD" w:rsidP="00DD02CD">
            <w:pPr>
              <w:spacing w:after="0"/>
              <w:ind w:left="-85"/>
              <w:rPr>
                <w:sz w:val="20"/>
                <w:szCs w:val="20"/>
              </w:rPr>
            </w:pPr>
            <w:r w:rsidRPr="001E0513">
              <w:rPr>
                <w:sz w:val="20"/>
                <w:szCs w:val="20"/>
              </w:rPr>
              <w:t>Signalisations couleur des têtes de lecture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59F4ED" w14:textId="77777777" w:rsidR="00DD02CD" w:rsidRPr="001E0513" w:rsidRDefault="00DD02CD" w:rsidP="00DD02CD">
            <w:pPr>
              <w:spacing w:after="0" w:line="240" w:lineRule="auto"/>
              <w:ind w:left="-108"/>
              <w:jc w:val="center"/>
              <w:rPr>
                <w:color w:val="000000"/>
                <w:sz w:val="20"/>
                <w:szCs w:val="20"/>
              </w:rPr>
            </w:pPr>
            <w:r w:rsidRPr="001E0513">
              <w:rPr>
                <w:color w:val="000000"/>
                <w:sz w:val="20"/>
                <w:szCs w:val="20"/>
              </w:rPr>
              <w:t>Préciser</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B16224F" w14:textId="77777777" w:rsidR="00DD02CD" w:rsidRPr="001E0513" w:rsidRDefault="00DD02CD" w:rsidP="00DD02C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B2EEE10"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2218A603"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6FC86ED" w14:textId="1694C4FB" w:rsidR="00DD02CD" w:rsidRPr="001E0513" w:rsidRDefault="00DA7FB7" w:rsidP="00DD02CD">
            <w:pPr>
              <w:spacing w:after="0" w:line="240" w:lineRule="auto"/>
              <w:jc w:val="center"/>
              <w:rPr>
                <w:b/>
                <w:bCs/>
                <w:color w:val="000000"/>
              </w:rPr>
            </w:pPr>
            <w:r>
              <w:rPr>
                <w:b/>
                <w:bCs/>
                <w:color w:val="000000"/>
              </w:rPr>
              <w:lastRenderedPageBreak/>
              <w:t>14</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0D0F2FC" w14:textId="77777777" w:rsidR="00DD02CD" w:rsidRPr="001E0513" w:rsidRDefault="00DD02CD" w:rsidP="00DD02CD">
            <w:pPr>
              <w:spacing w:after="0"/>
              <w:ind w:left="-85"/>
              <w:rPr>
                <w:sz w:val="20"/>
                <w:szCs w:val="20"/>
              </w:rPr>
            </w:pPr>
            <w:r w:rsidRPr="001E0513">
              <w:rPr>
                <w:sz w:val="20"/>
                <w:szCs w:val="20"/>
              </w:rPr>
              <w:t>Mode re-</w:t>
            </w:r>
            <w:proofErr w:type="spellStart"/>
            <w:r w:rsidRPr="001E0513">
              <w:rPr>
                <w:sz w:val="20"/>
                <w:szCs w:val="20"/>
              </w:rPr>
              <w:t>vérrouillage</w:t>
            </w:r>
            <w:proofErr w:type="spellEnd"/>
            <w:r w:rsidRPr="001E0513">
              <w:rPr>
                <w:sz w:val="20"/>
                <w:szCs w:val="20"/>
              </w:rPr>
              <w:t xml:space="preserve"> automatique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06A9EE" w14:textId="77777777" w:rsidR="00DD02CD" w:rsidRPr="001E0513" w:rsidRDefault="00DD02CD" w:rsidP="00DD02CD">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9B1D704" w14:textId="77777777" w:rsidR="00DD02CD" w:rsidRPr="001E0513" w:rsidRDefault="00DD02CD" w:rsidP="00DD02C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92A033"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3A044F0D"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A580A2" w14:textId="2B14616C" w:rsidR="00DD02CD" w:rsidRPr="001E0513" w:rsidRDefault="00DA7FB7" w:rsidP="00DD02CD">
            <w:pPr>
              <w:spacing w:after="0" w:line="240" w:lineRule="auto"/>
              <w:jc w:val="center"/>
              <w:rPr>
                <w:b/>
                <w:bCs/>
                <w:color w:val="000000"/>
              </w:rPr>
            </w:pPr>
            <w:r>
              <w:rPr>
                <w:b/>
                <w:bCs/>
                <w:color w:val="000000"/>
              </w:rPr>
              <w:t>15</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6447B87" w14:textId="77777777" w:rsidR="00DD02CD" w:rsidRPr="001E0513" w:rsidRDefault="00DD02CD" w:rsidP="00DD02CD">
            <w:pPr>
              <w:spacing w:after="0"/>
              <w:ind w:left="-85"/>
              <w:rPr>
                <w:sz w:val="20"/>
                <w:szCs w:val="20"/>
              </w:rPr>
            </w:pPr>
            <w:r w:rsidRPr="001E0513">
              <w:rPr>
                <w:sz w:val="20"/>
                <w:szCs w:val="20"/>
              </w:rPr>
              <w:t>Sauvegarde évènements en cas de défaillance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43B81D" w14:textId="77777777" w:rsidR="00DD02CD" w:rsidRPr="001E0513" w:rsidRDefault="00DD02CD" w:rsidP="00DD02CD">
            <w:pPr>
              <w:spacing w:after="0" w:line="240" w:lineRule="auto"/>
              <w:ind w:left="-108"/>
              <w:jc w:val="center"/>
              <w:rPr>
                <w:color w:val="000000"/>
                <w:sz w:val="20"/>
                <w:szCs w:val="20"/>
              </w:rPr>
            </w:pPr>
            <w:r w:rsidRPr="001E0513">
              <w:rPr>
                <w:color w:val="000000"/>
                <w:sz w:val="20"/>
                <w:szCs w:val="20"/>
              </w:rPr>
              <w:t>Préciser</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CFB3B14" w14:textId="77777777" w:rsidR="00DD02CD" w:rsidRPr="001E0513" w:rsidRDefault="00DD02CD" w:rsidP="00DD02C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D16428F"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0AFC7051"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2597D2A" w14:textId="66F2D3BA" w:rsidR="00DD02CD" w:rsidRPr="001E0513" w:rsidRDefault="00DA7FB7" w:rsidP="00DD02CD">
            <w:pPr>
              <w:spacing w:after="0" w:line="240" w:lineRule="auto"/>
              <w:jc w:val="center"/>
              <w:rPr>
                <w:b/>
                <w:bCs/>
                <w:color w:val="000000"/>
              </w:rPr>
            </w:pPr>
            <w:r>
              <w:rPr>
                <w:b/>
                <w:bCs/>
                <w:color w:val="000000"/>
              </w:rPr>
              <w:t>16</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238D1F" w14:textId="77777777" w:rsidR="00DD02CD" w:rsidRPr="001E0513" w:rsidRDefault="00DD02CD" w:rsidP="00DD02CD">
            <w:pPr>
              <w:spacing w:after="0"/>
              <w:ind w:left="-85"/>
              <w:rPr>
                <w:sz w:val="20"/>
                <w:szCs w:val="20"/>
              </w:rPr>
            </w:pPr>
            <w:r w:rsidRPr="001E0513">
              <w:rPr>
                <w:sz w:val="20"/>
                <w:szCs w:val="20"/>
              </w:rPr>
              <w:t>Possibilité de contrôle en entrée sortie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4E9C86F" w14:textId="77777777" w:rsidR="00DD02CD" w:rsidRPr="001E0513" w:rsidRDefault="00DD02CD" w:rsidP="00DD02CD">
            <w:pPr>
              <w:spacing w:after="0" w:line="240" w:lineRule="auto"/>
              <w:ind w:left="-108"/>
              <w:jc w:val="center"/>
              <w:rPr>
                <w:color w:val="000000"/>
                <w:sz w:val="20"/>
                <w:szCs w:val="20"/>
              </w:rPr>
            </w:pPr>
            <w:r w:rsidRPr="001E0513">
              <w:rPr>
                <w:color w:val="000000"/>
                <w:sz w:val="20"/>
                <w:szCs w:val="20"/>
              </w:rPr>
              <w:t>Préciser</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7BB32EC" w14:textId="77777777" w:rsidR="00DD02CD" w:rsidRPr="001E0513" w:rsidRDefault="00DD02CD" w:rsidP="00DD02C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9D7774"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695C88C0"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16D785E" w14:textId="352657AD" w:rsidR="00DD02CD" w:rsidRPr="001E0513" w:rsidRDefault="00DA7FB7" w:rsidP="00DD02CD">
            <w:pPr>
              <w:spacing w:after="0" w:line="240" w:lineRule="auto"/>
              <w:jc w:val="center"/>
              <w:rPr>
                <w:b/>
                <w:bCs/>
                <w:color w:val="000000"/>
              </w:rPr>
            </w:pPr>
            <w:r>
              <w:rPr>
                <w:b/>
                <w:bCs/>
                <w:color w:val="000000"/>
              </w:rPr>
              <w:t>17</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FAF76AE" w14:textId="77777777" w:rsidR="00DD02CD" w:rsidRPr="001E0513" w:rsidRDefault="00DD02CD" w:rsidP="00DD02CD">
            <w:pPr>
              <w:spacing w:after="0"/>
              <w:ind w:left="-85"/>
              <w:rPr>
                <w:sz w:val="20"/>
                <w:szCs w:val="20"/>
              </w:rPr>
            </w:pPr>
            <w:r w:rsidRPr="001E0513">
              <w:rPr>
                <w:sz w:val="20"/>
                <w:szCs w:val="20"/>
              </w:rPr>
              <w:t>Possibilité d’ouverture en cas d’urgence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68C474" w14:textId="77777777" w:rsidR="00DD02CD" w:rsidRPr="001E0513" w:rsidRDefault="00DD02CD" w:rsidP="00DD02CD">
            <w:pPr>
              <w:spacing w:after="0" w:line="240" w:lineRule="auto"/>
              <w:ind w:left="-108"/>
              <w:jc w:val="center"/>
              <w:rPr>
                <w:color w:val="000000"/>
                <w:sz w:val="20"/>
                <w:szCs w:val="20"/>
              </w:rPr>
            </w:pPr>
            <w:r w:rsidRPr="001E0513">
              <w:rPr>
                <w:color w:val="000000"/>
                <w:sz w:val="20"/>
                <w:szCs w:val="20"/>
              </w:rPr>
              <w:t>Oui – non préciser modalité</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458EC6" w14:textId="77777777" w:rsidR="00DD02CD" w:rsidRPr="001E0513" w:rsidRDefault="00DD02CD" w:rsidP="00DD02C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E832CDA"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59B94208"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F71AA0" w14:textId="35A77A80" w:rsidR="00DD02CD" w:rsidRPr="001E0513" w:rsidRDefault="00DA7FB7" w:rsidP="00DD02CD">
            <w:pPr>
              <w:spacing w:after="0" w:line="240" w:lineRule="auto"/>
              <w:jc w:val="center"/>
              <w:rPr>
                <w:b/>
                <w:bCs/>
                <w:color w:val="000000"/>
              </w:rPr>
            </w:pPr>
            <w:r>
              <w:rPr>
                <w:b/>
                <w:bCs/>
                <w:color w:val="000000"/>
              </w:rPr>
              <w:t>18</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C51CAE" w14:textId="77777777" w:rsidR="00DD02CD" w:rsidRPr="001E0513" w:rsidRDefault="00DD02CD" w:rsidP="00DD02CD">
            <w:pPr>
              <w:spacing w:after="0"/>
              <w:ind w:left="-85"/>
              <w:rPr>
                <w:sz w:val="20"/>
                <w:szCs w:val="20"/>
              </w:rPr>
            </w:pPr>
            <w:r w:rsidRPr="001E0513">
              <w:rPr>
                <w:sz w:val="20"/>
                <w:szCs w:val="20"/>
              </w:rPr>
              <w:t xml:space="preserve">Durabilité : préciser la durée prévisionnelle de disponibilité du produit ou des pièces détachées </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EA0DA9" w14:textId="77777777" w:rsidR="00DD02CD" w:rsidRPr="001E0513" w:rsidRDefault="00DD02CD" w:rsidP="00DD02CD">
            <w:pPr>
              <w:spacing w:after="0" w:line="240" w:lineRule="auto"/>
              <w:ind w:left="-108"/>
              <w:jc w:val="center"/>
              <w:rPr>
                <w:color w:val="000000"/>
                <w:sz w:val="20"/>
                <w:szCs w:val="20"/>
              </w:rPr>
            </w:pPr>
            <w:r w:rsidRPr="001E0513">
              <w:rPr>
                <w:color w:val="000000"/>
                <w:sz w:val="20"/>
                <w:szCs w:val="20"/>
              </w:rPr>
              <w:t>ans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1AED0E" w14:textId="77777777" w:rsidR="00DD02CD" w:rsidRPr="001E0513" w:rsidRDefault="00DD02CD" w:rsidP="00DD02CD">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504F1B2" w14:textId="77777777" w:rsidR="00DD02CD" w:rsidRPr="001E0513" w:rsidRDefault="00DD02CD" w:rsidP="00DD02CD">
            <w:pPr>
              <w:tabs>
                <w:tab w:val="left" w:pos="1701"/>
                <w:tab w:val="left" w:pos="6237"/>
              </w:tabs>
              <w:spacing w:after="0" w:line="240" w:lineRule="auto"/>
              <w:jc w:val="center"/>
              <w:rPr>
                <w:bCs/>
                <w:color w:val="000000"/>
                <w:spacing w:val="5"/>
                <w:sz w:val="20"/>
                <w:szCs w:val="20"/>
              </w:rPr>
            </w:pPr>
          </w:p>
        </w:tc>
      </w:tr>
      <w:tr w:rsidR="00DD02CD" w:rsidRPr="001E0513" w14:paraId="1CE35500" w14:textId="77777777" w:rsidTr="00F246A1">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D5DCE4" w:themeFill="text2" w:themeFillTint="33"/>
            <w:vAlign w:val="center"/>
          </w:tcPr>
          <w:p w14:paraId="7B90D81D" w14:textId="77777777" w:rsidR="00DD02CD" w:rsidRPr="001E0513" w:rsidRDefault="00DD02CD" w:rsidP="00DD02CD">
            <w:pPr>
              <w:spacing w:after="0" w:line="240" w:lineRule="auto"/>
              <w:jc w:val="center"/>
              <w:rPr>
                <w:b/>
                <w:bCs/>
                <w:color w:val="000000"/>
              </w:rPr>
            </w:pPr>
          </w:p>
        </w:tc>
        <w:tc>
          <w:tcPr>
            <w:tcW w:w="9287" w:type="dxa"/>
            <w:gridSpan w:val="4"/>
            <w:tcBorders>
              <w:top w:val="single" w:sz="8" w:space="0" w:color="4F81BD"/>
              <w:left w:val="single" w:sz="8" w:space="0" w:color="4F81BD"/>
              <w:bottom w:val="single" w:sz="8" w:space="0" w:color="4F81BD"/>
              <w:right w:val="single" w:sz="8" w:space="0" w:color="4F81BD"/>
            </w:tcBorders>
            <w:shd w:val="clear" w:color="auto" w:fill="D5DCE4" w:themeFill="text2" w:themeFillTint="33"/>
            <w:vAlign w:val="center"/>
          </w:tcPr>
          <w:p w14:paraId="7EBFBDDA" w14:textId="77777777" w:rsidR="00DD02CD" w:rsidRPr="001E0513" w:rsidRDefault="00DD02CD" w:rsidP="00DD02CD">
            <w:pPr>
              <w:tabs>
                <w:tab w:val="left" w:pos="1701"/>
                <w:tab w:val="left" w:pos="6237"/>
              </w:tabs>
              <w:spacing w:after="0" w:line="240" w:lineRule="auto"/>
              <w:jc w:val="center"/>
              <w:rPr>
                <w:b/>
                <w:bCs/>
                <w:color w:val="000000"/>
                <w:spacing w:val="5"/>
                <w:sz w:val="24"/>
                <w:szCs w:val="20"/>
              </w:rPr>
            </w:pPr>
            <w:r w:rsidRPr="001E0513">
              <w:rPr>
                <w:b/>
                <w:sz w:val="24"/>
                <w:szCs w:val="20"/>
              </w:rPr>
              <w:t>LECTEURS DE BADGES (BPU)</w:t>
            </w:r>
          </w:p>
        </w:tc>
      </w:tr>
      <w:tr w:rsidR="008B6AC3" w:rsidRPr="001E0513" w14:paraId="74A36A59" w14:textId="77777777" w:rsidTr="00DD02CD">
        <w:trPr>
          <w:trHeight w:val="69"/>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8409DC4" w14:textId="5A765FF7" w:rsidR="008B6AC3" w:rsidRPr="001E0513" w:rsidRDefault="00DA7FB7" w:rsidP="008B6AC3">
            <w:pPr>
              <w:spacing w:after="0" w:line="240" w:lineRule="auto"/>
              <w:jc w:val="center"/>
              <w:rPr>
                <w:b/>
                <w:bCs/>
                <w:color w:val="000000"/>
              </w:rPr>
            </w:pPr>
            <w:r>
              <w:rPr>
                <w:b/>
                <w:bCs/>
                <w:color w:val="000000"/>
              </w:rPr>
              <w:t>19</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F14DF5" w14:textId="77777777" w:rsidR="008B6AC3" w:rsidRPr="001E0513" w:rsidRDefault="008B6AC3" w:rsidP="008B6AC3">
            <w:pPr>
              <w:spacing w:after="0"/>
              <w:ind w:left="-85"/>
              <w:rPr>
                <w:sz w:val="20"/>
                <w:szCs w:val="20"/>
              </w:rPr>
            </w:pPr>
            <w:r w:rsidRPr="001E0513">
              <w:rPr>
                <w:sz w:val="20"/>
                <w:szCs w:val="20"/>
              </w:rPr>
              <w:t>Lecteur compatible ISO 14443 A</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487D1A"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Oui/non</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34F44B21" w14:textId="77777777" w:rsidR="008B6AC3" w:rsidRPr="001E0513" w:rsidRDefault="008B6AC3" w:rsidP="008B6AC3">
            <w:pPr>
              <w:spacing w:after="0" w:line="240" w:lineRule="auto"/>
              <w:jc w:val="center"/>
              <w:rPr>
                <w:color w:val="000000"/>
              </w:rPr>
            </w:pPr>
            <w:r w:rsidRPr="001E0513">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F2EE0F"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8B6AC3" w:rsidRPr="001E0513" w14:paraId="5D54F1B1" w14:textId="77777777" w:rsidTr="00DD02C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C33BB50" w14:textId="3024566B" w:rsidR="008B6AC3" w:rsidRPr="001E0513" w:rsidRDefault="00DA7FB7" w:rsidP="008B6AC3">
            <w:pPr>
              <w:spacing w:after="0" w:line="240" w:lineRule="auto"/>
              <w:jc w:val="center"/>
              <w:rPr>
                <w:b/>
                <w:bCs/>
                <w:color w:val="000000"/>
              </w:rPr>
            </w:pPr>
            <w:r>
              <w:rPr>
                <w:b/>
                <w:bCs/>
                <w:color w:val="000000"/>
              </w:rPr>
              <w:t>20</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7A5C3F5" w14:textId="77777777" w:rsidR="008B6AC3" w:rsidRPr="001E0513" w:rsidRDefault="008B6AC3" w:rsidP="008B6AC3">
            <w:pPr>
              <w:spacing w:after="0"/>
              <w:ind w:left="-85"/>
              <w:rPr>
                <w:sz w:val="20"/>
                <w:szCs w:val="20"/>
              </w:rPr>
            </w:pPr>
            <w:r w:rsidRPr="001E0513">
              <w:rPr>
                <w:sz w:val="20"/>
                <w:szCs w:val="20"/>
              </w:rPr>
              <w:t>Lecteur compatible ISO 14443 B</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5B43F4"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Oui/non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4AB916" w14:textId="77777777" w:rsidR="008B6AC3" w:rsidRPr="001E0513" w:rsidRDefault="008B6AC3" w:rsidP="008B6AC3">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AAB6BD7"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8B6AC3" w:rsidRPr="001E0513" w14:paraId="216CB16D"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C9044C" w14:textId="22DE08FE" w:rsidR="008B6AC3" w:rsidRPr="001E0513" w:rsidRDefault="00DA7FB7" w:rsidP="008B6AC3">
            <w:pPr>
              <w:spacing w:after="0" w:line="240" w:lineRule="auto"/>
              <w:jc w:val="center"/>
              <w:rPr>
                <w:b/>
                <w:bCs/>
                <w:color w:val="000000"/>
              </w:rPr>
            </w:pPr>
            <w:r>
              <w:rPr>
                <w:b/>
                <w:bCs/>
                <w:color w:val="000000"/>
              </w:rPr>
              <w:t>21</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0B687CA" w14:textId="77777777" w:rsidR="008B6AC3" w:rsidRPr="001E0513" w:rsidRDefault="008B6AC3" w:rsidP="008B6AC3">
            <w:pPr>
              <w:spacing w:after="0"/>
              <w:ind w:left="-85"/>
              <w:rPr>
                <w:sz w:val="20"/>
                <w:szCs w:val="20"/>
              </w:rPr>
            </w:pPr>
            <w:r w:rsidRPr="001E0513">
              <w:rPr>
                <w:sz w:val="20"/>
                <w:szCs w:val="20"/>
              </w:rPr>
              <w:t>Technologies RFID compatibles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584225B"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Préciser (</w:t>
            </w:r>
            <w:proofErr w:type="spellStart"/>
            <w:r w:rsidRPr="001E0513">
              <w:rPr>
                <w:color w:val="000000"/>
                <w:sz w:val="20"/>
                <w:szCs w:val="20"/>
              </w:rPr>
              <w:t>Mifare</w:t>
            </w:r>
            <w:proofErr w:type="spellEnd"/>
            <w:r w:rsidRPr="001E0513">
              <w:rPr>
                <w:color w:val="000000"/>
                <w:sz w:val="20"/>
                <w:szCs w:val="20"/>
              </w:rPr>
              <w:t xml:space="preserve">, </w:t>
            </w:r>
            <w:proofErr w:type="spellStart"/>
            <w:r w:rsidRPr="001E0513">
              <w:rPr>
                <w:color w:val="000000"/>
                <w:sz w:val="20"/>
                <w:szCs w:val="20"/>
              </w:rPr>
              <w:t>Desfire</w:t>
            </w:r>
            <w:proofErr w:type="spellEnd"/>
            <w:r w:rsidRPr="001E0513">
              <w:rPr>
                <w:color w:val="000000"/>
                <w:sz w:val="20"/>
                <w:szCs w:val="20"/>
              </w:rPr>
              <w:t>…)</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926CBF6" w14:textId="77777777" w:rsidR="008B6AC3" w:rsidRPr="001E0513" w:rsidRDefault="008B6AC3" w:rsidP="008B6AC3">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06B5A1C"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8B6AC3" w:rsidRPr="001E0513" w14:paraId="1FC4EC98"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DF607D" w14:textId="7B6AEB8D" w:rsidR="008B6AC3" w:rsidRPr="001E0513" w:rsidRDefault="00DA7FB7" w:rsidP="008B6AC3">
            <w:pPr>
              <w:spacing w:after="0" w:line="240" w:lineRule="auto"/>
              <w:jc w:val="center"/>
              <w:rPr>
                <w:b/>
                <w:bCs/>
                <w:color w:val="000000"/>
              </w:rPr>
            </w:pPr>
            <w:r>
              <w:rPr>
                <w:b/>
                <w:bCs/>
                <w:color w:val="000000"/>
              </w:rPr>
              <w:t>22</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857699" w14:textId="77777777" w:rsidR="008B6AC3" w:rsidRPr="001E0513" w:rsidRDefault="008B6AC3" w:rsidP="008B6AC3">
            <w:pPr>
              <w:spacing w:after="0"/>
              <w:ind w:left="-85"/>
              <w:rPr>
                <w:sz w:val="20"/>
                <w:szCs w:val="20"/>
              </w:rPr>
            </w:pPr>
            <w:r w:rsidRPr="001E0513">
              <w:rPr>
                <w:sz w:val="20"/>
                <w:szCs w:val="20"/>
              </w:rPr>
              <w:t>Distance maximale de lecture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823A799"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cm</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AE14E28" w14:textId="77777777" w:rsidR="008B6AC3" w:rsidRPr="001E0513" w:rsidRDefault="008B6AC3" w:rsidP="008B6AC3">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802981"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8B6AC3" w:rsidRPr="001E0513" w14:paraId="1A486433"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0B53592" w14:textId="31353765" w:rsidR="008B6AC3" w:rsidRPr="001E0513" w:rsidRDefault="00DA7FB7" w:rsidP="008B6AC3">
            <w:pPr>
              <w:spacing w:after="0" w:line="240" w:lineRule="auto"/>
              <w:jc w:val="center"/>
              <w:rPr>
                <w:b/>
                <w:bCs/>
                <w:color w:val="000000"/>
              </w:rPr>
            </w:pPr>
            <w:r>
              <w:rPr>
                <w:b/>
                <w:bCs/>
                <w:color w:val="000000"/>
              </w:rPr>
              <w:t>23</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2D4FE47" w14:textId="77777777" w:rsidR="008B6AC3" w:rsidRPr="001E0513" w:rsidRDefault="008B6AC3" w:rsidP="008B6AC3">
            <w:pPr>
              <w:spacing w:after="0"/>
              <w:ind w:left="-85"/>
              <w:rPr>
                <w:sz w:val="20"/>
                <w:szCs w:val="20"/>
              </w:rPr>
            </w:pPr>
            <w:r w:rsidRPr="001E0513">
              <w:rPr>
                <w:sz w:val="20"/>
                <w:szCs w:val="20"/>
              </w:rPr>
              <w:t>Lecture d’identifiants cryptés possible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02BB445"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AFAA0A" w14:textId="77777777" w:rsidR="008B6AC3" w:rsidRPr="001E0513" w:rsidRDefault="008B6AC3" w:rsidP="008B6AC3">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1AF57B"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8B6AC3" w:rsidRPr="001E0513" w14:paraId="647E9039"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38BD62" w14:textId="7D501F81" w:rsidR="008B6AC3" w:rsidRPr="001E0513" w:rsidRDefault="00DA7FB7" w:rsidP="008B6AC3">
            <w:pPr>
              <w:spacing w:after="0" w:line="240" w:lineRule="auto"/>
              <w:jc w:val="center"/>
              <w:rPr>
                <w:b/>
                <w:bCs/>
                <w:color w:val="000000"/>
              </w:rPr>
            </w:pPr>
            <w:r>
              <w:rPr>
                <w:b/>
                <w:bCs/>
                <w:color w:val="000000"/>
              </w:rPr>
              <w:t>24</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9C65608" w14:textId="77777777" w:rsidR="008B6AC3" w:rsidRPr="001E0513" w:rsidRDefault="008B6AC3" w:rsidP="008B6AC3">
            <w:pPr>
              <w:spacing w:after="0"/>
              <w:ind w:left="-85"/>
              <w:rPr>
                <w:sz w:val="20"/>
                <w:szCs w:val="20"/>
              </w:rPr>
            </w:pPr>
            <w:r w:rsidRPr="001E0513">
              <w:rPr>
                <w:sz w:val="20"/>
                <w:szCs w:val="20"/>
              </w:rPr>
              <w:t>Signalisations couleur des têtes de lecture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DF4D4B"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Préciser</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9A50EA9" w14:textId="77777777" w:rsidR="008B6AC3" w:rsidRPr="001E0513" w:rsidRDefault="008B6AC3" w:rsidP="008B6AC3">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30501E"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8B6AC3" w:rsidRPr="001E0513" w14:paraId="27F9E9EB"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6FC853" w14:textId="2BD701A0" w:rsidR="008B6AC3" w:rsidRPr="001E0513" w:rsidRDefault="00DA7FB7" w:rsidP="008B6AC3">
            <w:pPr>
              <w:spacing w:after="0" w:line="240" w:lineRule="auto"/>
              <w:jc w:val="center"/>
              <w:rPr>
                <w:b/>
                <w:bCs/>
                <w:color w:val="000000"/>
              </w:rPr>
            </w:pPr>
            <w:r>
              <w:rPr>
                <w:b/>
                <w:bCs/>
                <w:color w:val="000000"/>
              </w:rPr>
              <w:t>25</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9650E63" w14:textId="77777777" w:rsidR="008B6AC3" w:rsidRPr="001E0513" w:rsidRDefault="008B6AC3" w:rsidP="008B6AC3">
            <w:pPr>
              <w:spacing w:after="0"/>
              <w:ind w:left="-85"/>
              <w:rPr>
                <w:sz w:val="20"/>
                <w:szCs w:val="20"/>
              </w:rPr>
            </w:pPr>
            <w:r w:rsidRPr="001E0513">
              <w:rPr>
                <w:sz w:val="20"/>
                <w:szCs w:val="20"/>
              </w:rPr>
              <w:t>Indice IP XX</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4E5DDEE" w14:textId="77777777" w:rsidR="008B6AC3" w:rsidRPr="001E0513" w:rsidRDefault="008B6AC3" w:rsidP="008B6AC3">
            <w:pPr>
              <w:spacing w:after="0" w:line="240" w:lineRule="auto"/>
              <w:jc w:val="center"/>
              <w:rPr>
                <w:color w:val="000000"/>
                <w:sz w:val="20"/>
                <w:szCs w:val="20"/>
              </w:rPr>
            </w:pPr>
            <w:r w:rsidRPr="001E0513">
              <w:rPr>
                <w:color w:val="000000"/>
                <w:sz w:val="20"/>
                <w:szCs w:val="20"/>
              </w:rPr>
              <w:t>Préciser l’indice</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7FD7DD" w14:textId="77777777" w:rsidR="008B6AC3" w:rsidRPr="001E0513" w:rsidRDefault="008B6AC3" w:rsidP="008B6AC3">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89226A"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8B6AC3" w:rsidRPr="001E0513" w14:paraId="6A614654"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8F92B2" w14:textId="061342FC" w:rsidR="008B6AC3" w:rsidRPr="001E0513" w:rsidRDefault="00DA7FB7" w:rsidP="008B6AC3">
            <w:pPr>
              <w:spacing w:after="0" w:line="240" w:lineRule="auto"/>
              <w:jc w:val="center"/>
              <w:rPr>
                <w:b/>
                <w:bCs/>
                <w:color w:val="000000"/>
              </w:rPr>
            </w:pPr>
            <w:r>
              <w:rPr>
                <w:b/>
                <w:bCs/>
                <w:color w:val="000000"/>
              </w:rPr>
              <w:t>26</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FB9017" w14:textId="77777777" w:rsidR="008B6AC3" w:rsidRPr="001E0513" w:rsidRDefault="008B6AC3" w:rsidP="008B6AC3">
            <w:pPr>
              <w:spacing w:after="0"/>
              <w:ind w:left="-85"/>
              <w:rPr>
                <w:sz w:val="20"/>
                <w:szCs w:val="20"/>
              </w:rPr>
            </w:pPr>
            <w:r w:rsidRPr="001E0513">
              <w:rPr>
                <w:sz w:val="20"/>
                <w:szCs w:val="20"/>
              </w:rPr>
              <w:t xml:space="preserve">Durabilité : préciser la durée prévisionnelle de disponibilité du produit ou des pièces détachées </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4D3A735"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ans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C288D2" w14:textId="77777777" w:rsidR="008B6AC3" w:rsidRPr="001E0513" w:rsidRDefault="008B6AC3" w:rsidP="008B6AC3">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007E823"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8B6AC3" w:rsidRPr="001E0513" w14:paraId="38376768" w14:textId="77777777" w:rsidTr="000F7C1A">
        <w:trPr>
          <w:trHeight w:val="495"/>
        </w:trPr>
        <w:tc>
          <w:tcPr>
            <w:tcW w:w="534" w:type="dxa"/>
            <w:tcBorders>
              <w:top w:val="single" w:sz="8" w:space="0" w:color="4F81BD"/>
              <w:left w:val="single" w:sz="8" w:space="0" w:color="4F81BD"/>
              <w:bottom w:val="single" w:sz="8" w:space="0" w:color="4F81BD"/>
              <w:right w:val="single" w:sz="8" w:space="0" w:color="4F81BD"/>
            </w:tcBorders>
            <w:shd w:val="clear" w:color="auto" w:fill="D5DCE4" w:themeFill="text2" w:themeFillTint="33"/>
            <w:vAlign w:val="center"/>
          </w:tcPr>
          <w:p w14:paraId="30D3E686" w14:textId="77777777" w:rsidR="008B6AC3" w:rsidRPr="001E0513" w:rsidRDefault="008B6AC3" w:rsidP="008B6AC3">
            <w:pPr>
              <w:spacing w:after="0" w:line="240" w:lineRule="auto"/>
              <w:jc w:val="center"/>
              <w:rPr>
                <w:b/>
                <w:bCs/>
                <w:color w:val="000000"/>
              </w:rPr>
            </w:pPr>
          </w:p>
        </w:tc>
        <w:tc>
          <w:tcPr>
            <w:tcW w:w="9287" w:type="dxa"/>
            <w:gridSpan w:val="4"/>
            <w:tcBorders>
              <w:top w:val="single" w:sz="8" w:space="0" w:color="4F81BD"/>
              <w:left w:val="single" w:sz="8" w:space="0" w:color="4F81BD"/>
              <w:bottom w:val="single" w:sz="8" w:space="0" w:color="4F81BD"/>
              <w:right w:val="single" w:sz="8" w:space="0" w:color="4F81BD"/>
            </w:tcBorders>
            <w:shd w:val="clear" w:color="auto" w:fill="D5DCE4" w:themeFill="text2" w:themeFillTint="33"/>
            <w:vAlign w:val="center"/>
          </w:tcPr>
          <w:p w14:paraId="4C3F6CA2" w14:textId="77777777" w:rsidR="008B6AC3" w:rsidRPr="001E0513" w:rsidRDefault="008B6AC3" w:rsidP="008B6AC3">
            <w:pPr>
              <w:tabs>
                <w:tab w:val="left" w:pos="1701"/>
                <w:tab w:val="left" w:pos="6237"/>
              </w:tabs>
              <w:spacing w:after="0" w:line="240" w:lineRule="auto"/>
              <w:jc w:val="center"/>
              <w:rPr>
                <w:b/>
                <w:bCs/>
                <w:color w:val="000000"/>
                <w:spacing w:val="5"/>
                <w:sz w:val="24"/>
                <w:szCs w:val="20"/>
              </w:rPr>
            </w:pPr>
            <w:r w:rsidRPr="001E0513">
              <w:rPr>
                <w:b/>
                <w:sz w:val="24"/>
                <w:szCs w:val="20"/>
              </w:rPr>
              <w:t>LOGICIEL D’EXPLOITATION (BPU)</w:t>
            </w:r>
          </w:p>
        </w:tc>
      </w:tr>
      <w:tr w:rsidR="008B6AC3" w:rsidRPr="001E0513" w14:paraId="19173B9F" w14:textId="77777777" w:rsidTr="00DD02C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086D17B" w14:textId="6A9BE342" w:rsidR="008B6AC3" w:rsidRPr="001E0513" w:rsidRDefault="00DA7FB7" w:rsidP="008B6AC3">
            <w:pPr>
              <w:spacing w:after="0" w:line="240" w:lineRule="auto"/>
              <w:jc w:val="center"/>
              <w:rPr>
                <w:b/>
                <w:bCs/>
                <w:color w:val="000000"/>
              </w:rPr>
            </w:pPr>
            <w:r>
              <w:rPr>
                <w:b/>
                <w:bCs/>
                <w:color w:val="000000"/>
              </w:rPr>
              <w:t>27</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F1F2737" w14:textId="77777777" w:rsidR="008B6AC3" w:rsidRPr="001E0513" w:rsidRDefault="008B6AC3" w:rsidP="008B6AC3">
            <w:pPr>
              <w:spacing w:after="0"/>
              <w:ind w:left="-85"/>
              <w:rPr>
                <w:sz w:val="20"/>
                <w:szCs w:val="20"/>
              </w:rPr>
            </w:pPr>
            <w:r w:rsidRPr="001E0513">
              <w:rPr>
                <w:sz w:val="20"/>
                <w:szCs w:val="20"/>
              </w:rPr>
              <w:t>Le candidat garantit, sous peine de non-conformité, qu’à la date du dépôt de son offre, les logiciels et matériels, qu’il propose dans son offre, ne comportent aucune vulnérabilité qui permettrait de prendre leur contrôle à distance sans identification et authentification préalable.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30200E"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Oui – non Fournir un engagement écrit</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064A7FF9" w14:textId="77777777" w:rsidR="008B6AC3" w:rsidRPr="001E0513" w:rsidRDefault="008B6AC3" w:rsidP="008B6AC3">
            <w:pPr>
              <w:spacing w:after="0" w:line="240" w:lineRule="auto"/>
              <w:jc w:val="center"/>
              <w:rPr>
                <w:color w:val="000000"/>
              </w:rPr>
            </w:pPr>
            <w:r w:rsidRPr="001E0513">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1C207C"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r w:rsidRPr="001E0513">
              <w:rPr>
                <w:bCs/>
                <w:color w:val="000000"/>
                <w:spacing w:val="5"/>
                <w:sz w:val="20"/>
                <w:szCs w:val="20"/>
              </w:rPr>
              <w:t>Engagement écrit obligatoire</w:t>
            </w:r>
          </w:p>
        </w:tc>
      </w:tr>
      <w:tr w:rsidR="008B6AC3" w:rsidRPr="001E0513" w14:paraId="027F08B4" w14:textId="77777777" w:rsidTr="00DD02C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56FEEE" w14:textId="244A261F" w:rsidR="008B6AC3" w:rsidRPr="001E0513" w:rsidRDefault="00DA7FB7" w:rsidP="008B6AC3">
            <w:pPr>
              <w:spacing w:after="0" w:line="240" w:lineRule="auto"/>
              <w:jc w:val="center"/>
              <w:rPr>
                <w:b/>
                <w:bCs/>
                <w:color w:val="000000"/>
              </w:rPr>
            </w:pPr>
            <w:r>
              <w:rPr>
                <w:b/>
                <w:bCs/>
                <w:color w:val="000000"/>
              </w:rPr>
              <w:t>28</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7EC4D5" w14:textId="77777777" w:rsidR="008B6AC3" w:rsidRPr="001E0513" w:rsidRDefault="008B6AC3" w:rsidP="008B6AC3">
            <w:pPr>
              <w:spacing w:after="0"/>
              <w:ind w:left="-85"/>
              <w:rPr>
                <w:sz w:val="20"/>
                <w:szCs w:val="20"/>
              </w:rPr>
            </w:pPr>
            <w:proofErr w:type="spellStart"/>
            <w:r w:rsidRPr="001E0513">
              <w:rPr>
                <w:sz w:val="20"/>
                <w:szCs w:val="20"/>
              </w:rPr>
              <w:t>Multi-sites</w:t>
            </w:r>
            <w:proofErr w:type="spellEnd"/>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51E715"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6E1B0A4F" w14:textId="77777777" w:rsidR="008B6AC3" w:rsidRPr="001E0513" w:rsidRDefault="008B6AC3" w:rsidP="008B6AC3">
            <w:pPr>
              <w:spacing w:after="0" w:line="240" w:lineRule="auto"/>
              <w:jc w:val="center"/>
              <w:rPr>
                <w:color w:val="000000"/>
                <w:sz w:val="18"/>
              </w:rPr>
            </w:pPr>
            <w:r w:rsidRPr="001E0513">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67784E"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DA7FB7" w:rsidRPr="001E0513" w14:paraId="5057E860" w14:textId="77777777" w:rsidTr="00986764">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E7D95FD" w14:textId="193F5C11" w:rsidR="00DA7FB7" w:rsidRPr="001E0513" w:rsidRDefault="00DA7FB7" w:rsidP="00DA7FB7">
            <w:pPr>
              <w:spacing w:after="0" w:line="240" w:lineRule="auto"/>
              <w:jc w:val="center"/>
              <w:rPr>
                <w:b/>
                <w:bCs/>
                <w:color w:val="000000"/>
              </w:rPr>
            </w:pPr>
            <w:r>
              <w:rPr>
                <w:b/>
                <w:bCs/>
                <w:color w:val="000000"/>
              </w:rPr>
              <w:t>29</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2EFF863" w14:textId="77777777" w:rsidR="00DA7FB7" w:rsidRPr="001E0513" w:rsidRDefault="00DA7FB7" w:rsidP="00DA7FB7">
            <w:pPr>
              <w:spacing w:after="0"/>
              <w:ind w:left="-85"/>
              <w:rPr>
                <w:sz w:val="20"/>
                <w:szCs w:val="20"/>
              </w:rPr>
            </w:pPr>
            <w:r w:rsidRPr="001E0513">
              <w:rPr>
                <w:sz w:val="20"/>
                <w:szCs w:val="20"/>
              </w:rPr>
              <w:t>Administration technique multiniveau (AP-HP, GH, Site, Zone)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18A08B" w14:textId="77777777" w:rsidR="00DA7FB7" w:rsidRPr="001E0513" w:rsidRDefault="00DA7FB7" w:rsidP="00DA7FB7">
            <w:pPr>
              <w:spacing w:after="0" w:line="240" w:lineRule="auto"/>
              <w:ind w:left="-108"/>
              <w:jc w:val="center"/>
              <w:rPr>
                <w:color w:val="000000"/>
                <w:sz w:val="20"/>
                <w:szCs w:val="20"/>
              </w:rPr>
            </w:pPr>
            <w:r w:rsidRPr="001E0513">
              <w:rPr>
                <w:color w:val="000000"/>
                <w:sz w:val="20"/>
                <w:szCs w:val="20"/>
              </w:rPr>
              <w:t>Nombre</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tcPr>
          <w:p w14:paraId="1AD3BF47" w14:textId="4293FCC4" w:rsidR="00DA7FB7" w:rsidRPr="001E0513" w:rsidRDefault="00DA7FB7" w:rsidP="00DA7FB7">
            <w:pPr>
              <w:spacing w:after="0" w:line="240" w:lineRule="auto"/>
              <w:jc w:val="center"/>
              <w:rPr>
                <w:color w:val="000000"/>
              </w:rPr>
            </w:pPr>
            <w:r w:rsidRPr="002F5D57">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5DC4E9" w14:textId="77777777" w:rsidR="00DA7FB7" w:rsidRPr="001E0513" w:rsidRDefault="00DA7FB7" w:rsidP="00DA7FB7">
            <w:pPr>
              <w:tabs>
                <w:tab w:val="left" w:pos="1701"/>
                <w:tab w:val="left" w:pos="6237"/>
              </w:tabs>
              <w:spacing w:after="0" w:line="240" w:lineRule="auto"/>
              <w:jc w:val="center"/>
              <w:rPr>
                <w:bCs/>
                <w:color w:val="000000"/>
                <w:spacing w:val="5"/>
                <w:sz w:val="20"/>
                <w:szCs w:val="20"/>
              </w:rPr>
            </w:pPr>
          </w:p>
        </w:tc>
      </w:tr>
      <w:tr w:rsidR="00DA7FB7" w:rsidRPr="001E0513" w14:paraId="084DAB3A" w14:textId="77777777" w:rsidTr="00986764">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77A7A86" w14:textId="2D66D832" w:rsidR="00DA7FB7" w:rsidRPr="001E0513" w:rsidRDefault="00DA7FB7" w:rsidP="00DA7FB7">
            <w:pPr>
              <w:spacing w:after="0" w:line="240" w:lineRule="auto"/>
              <w:jc w:val="center"/>
              <w:rPr>
                <w:b/>
                <w:bCs/>
                <w:color w:val="000000"/>
              </w:rPr>
            </w:pPr>
            <w:r>
              <w:rPr>
                <w:b/>
                <w:bCs/>
                <w:color w:val="000000"/>
              </w:rPr>
              <w:t>30</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BB43BE" w14:textId="77777777" w:rsidR="00DA7FB7" w:rsidRPr="001E0513" w:rsidRDefault="00DA7FB7" w:rsidP="00DA7FB7">
            <w:pPr>
              <w:spacing w:after="0"/>
              <w:ind w:left="-85"/>
              <w:rPr>
                <w:sz w:val="20"/>
                <w:szCs w:val="20"/>
              </w:rPr>
            </w:pPr>
            <w:r w:rsidRPr="001E0513">
              <w:rPr>
                <w:sz w:val="20"/>
                <w:szCs w:val="20"/>
              </w:rPr>
              <w:t>Administration fonctionnelle multiniveau (AP-HP, GH, Site, Zone)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B229A6D" w14:textId="77777777" w:rsidR="00DA7FB7" w:rsidRPr="001E0513" w:rsidRDefault="00DA7FB7" w:rsidP="00DA7FB7">
            <w:pPr>
              <w:spacing w:after="0" w:line="240" w:lineRule="auto"/>
              <w:ind w:left="-108"/>
              <w:jc w:val="center"/>
              <w:rPr>
                <w:color w:val="000000"/>
                <w:sz w:val="20"/>
                <w:szCs w:val="20"/>
              </w:rPr>
            </w:pPr>
            <w:r w:rsidRPr="001E0513">
              <w:rPr>
                <w:color w:val="000000"/>
                <w:sz w:val="20"/>
                <w:szCs w:val="20"/>
              </w:rPr>
              <w:t>Nombre</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tcPr>
          <w:p w14:paraId="798B2F98" w14:textId="4254B109" w:rsidR="00DA7FB7" w:rsidRPr="001E0513" w:rsidRDefault="00DA7FB7" w:rsidP="00DA7FB7">
            <w:pPr>
              <w:spacing w:after="0" w:line="240" w:lineRule="auto"/>
              <w:jc w:val="center"/>
              <w:rPr>
                <w:color w:val="000000"/>
              </w:rPr>
            </w:pPr>
            <w:r w:rsidRPr="002F5D57">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BADDEEA" w14:textId="77777777" w:rsidR="00DA7FB7" w:rsidRPr="001E0513" w:rsidRDefault="00DA7FB7" w:rsidP="00DA7FB7">
            <w:pPr>
              <w:tabs>
                <w:tab w:val="left" w:pos="1701"/>
                <w:tab w:val="left" w:pos="6237"/>
              </w:tabs>
              <w:spacing w:after="0" w:line="240" w:lineRule="auto"/>
              <w:jc w:val="center"/>
              <w:rPr>
                <w:bCs/>
                <w:color w:val="000000"/>
                <w:spacing w:val="5"/>
                <w:sz w:val="20"/>
                <w:szCs w:val="20"/>
              </w:rPr>
            </w:pPr>
          </w:p>
        </w:tc>
      </w:tr>
      <w:tr w:rsidR="008B6AC3" w:rsidRPr="001E0513" w14:paraId="32C1F6B7" w14:textId="77777777" w:rsidTr="00DD02C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AE790F" w14:textId="1761A30B" w:rsidR="008B6AC3" w:rsidRPr="001E0513" w:rsidRDefault="00DA7FB7" w:rsidP="008B6AC3">
            <w:pPr>
              <w:spacing w:after="0" w:line="240" w:lineRule="auto"/>
              <w:jc w:val="center"/>
              <w:rPr>
                <w:b/>
                <w:bCs/>
                <w:color w:val="000000"/>
              </w:rPr>
            </w:pPr>
            <w:r>
              <w:rPr>
                <w:b/>
                <w:bCs/>
                <w:color w:val="000000"/>
              </w:rPr>
              <w:t>31</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E66F5A4" w14:textId="77777777" w:rsidR="008B6AC3" w:rsidRPr="001E0513" w:rsidRDefault="008B6AC3" w:rsidP="008B6AC3">
            <w:pPr>
              <w:spacing w:after="0"/>
              <w:ind w:left="-85"/>
              <w:rPr>
                <w:sz w:val="20"/>
                <w:szCs w:val="20"/>
              </w:rPr>
            </w:pPr>
            <w:proofErr w:type="spellStart"/>
            <w:r w:rsidRPr="001E0513">
              <w:rPr>
                <w:sz w:val="20"/>
                <w:szCs w:val="20"/>
              </w:rPr>
              <w:t>Multi-postes</w:t>
            </w:r>
            <w:proofErr w:type="spellEnd"/>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EA491B"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1D0350F3" w14:textId="77777777" w:rsidR="008B6AC3" w:rsidRPr="001E0513" w:rsidRDefault="008B6AC3" w:rsidP="008B6AC3">
            <w:pPr>
              <w:spacing w:after="0" w:line="240" w:lineRule="auto"/>
              <w:jc w:val="center"/>
              <w:rPr>
                <w:color w:val="000000"/>
                <w:sz w:val="18"/>
              </w:rPr>
            </w:pPr>
            <w:r w:rsidRPr="001E0513">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454056"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8B6AC3" w:rsidRPr="001E0513" w14:paraId="186B022C" w14:textId="77777777" w:rsidTr="00DD02C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6228B4B" w14:textId="65CA6660" w:rsidR="008B6AC3" w:rsidRPr="001E0513" w:rsidRDefault="00DA7FB7" w:rsidP="008B6AC3">
            <w:pPr>
              <w:spacing w:after="0" w:line="240" w:lineRule="auto"/>
              <w:jc w:val="center"/>
              <w:rPr>
                <w:b/>
                <w:bCs/>
                <w:color w:val="000000"/>
              </w:rPr>
            </w:pPr>
            <w:r>
              <w:rPr>
                <w:b/>
                <w:bCs/>
                <w:color w:val="000000"/>
              </w:rPr>
              <w:t>32</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6469AA9" w14:textId="064EA06B" w:rsidR="008B6AC3" w:rsidRPr="001E0513" w:rsidRDefault="008B6AC3" w:rsidP="008B6AC3">
            <w:pPr>
              <w:spacing w:after="0"/>
              <w:ind w:left="-85"/>
              <w:rPr>
                <w:sz w:val="20"/>
                <w:szCs w:val="20"/>
              </w:rPr>
            </w:pPr>
            <w:r w:rsidRPr="001E0513">
              <w:rPr>
                <w:sz w:val="20"/>
                <w:szCs w:val="20"/>
              </w:rPr>
              <w:t>Délégation de la gestion des badges temporaires (visiteurs, fournisseurs…)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DA7F3C6"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Oui/non</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0F3FDD7B" w14:textId="42A720A7" w:rsidR="008B6AC3" w:rsidRPr="001E0513" w:rsidRDefault="00DA7FB7" w:rsidP="008B6AC3">
            <w:pPr>
              <w:spacing w:after="0" w:line="240" w:lineRule="auto"/>
              <w:jc w:val="center"/>
              <w:rPr>
                <w:color w:val="000000"/>
                <w:sz w:val="18"/>
              </w:rPr>
            </w:pPr>
            <w:r w:rsidRPr="00DA7FB7">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0207667"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8B6AC3" w:rsidRPr="001E0513" w14:paraId="0CA05B21" w14:textId="77777777" w:rsidTr="00DD02C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C3F00AA" w14:textId="5B01C7DA" w:rsidR="008B6AC3" w:rsidRPr="001E0513" w:rsidRDefault="00DA7FB7" w:rsidP="008B6AC3">
            <w:pPr>
              <w:spacing w:after="0" w:line="240" w:lineRule="auto"/>
              <w:jc w:val="center"/>
              <w:rPr>
                <w:b/>
                <w:bCs/>
                <w:color w:val="000000"/>
              </w:rPr>
            </w:pPr>
            <w:r>
              <w:rPr>
                <w:b/>
                <w:bCs/>
                <w:color w:val="000000"/>
              </w:rPr>
              <w:t>33</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80959D0" w14:textId="77777777" w:rsidR="008B6AC3" w:rsidRPr="001E0513" w:rsidRDefault="008B6AC3" w:rsidP="008B6AC3">
            <w:pPr>
              <w:spacing w:after="0"/>
              <w:ind w:left="-85"/>
              <w:rPr>
                <w:sz w:val="20"/>
                <w:szCs w:val="20"/>
              </w:rPr>
            </w:pPr>
            <w:r w:rsidRPr="001E0513">
              <w:rPr>
                <w:sz w:val="20"/>
                <w:szCs w:val="20"/>
              </w:rPr>
              <w:t>Le système peut se synchroniser avec un référentiel de manière automatisée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9C77B86"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Oui – non Fréquence</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14DA7A01" w14:textId="77777777" w:rsidR="008B6AC3" w:rsidRPr="001E0513" w:rsidRDefault="008B6AC3" w:rsidP="008B6AC3">
            <w:pPr>
              <w:spacing w:after="0" w:line="240" w:lineRule="auto"/>
              <w:jc w:val="center"/>
              <w:rPr>
                <w:color w:val="000000"/>
                <w:sz w:val="18"/>
              </w:rPr>
            </w:pPr>
            <w:r w:rsidRPr="001E0513">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C87464B"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8B6AC3" w:rsidRPr="001E0513" w14:paraId="45F7E11A" w14:textId="77777777" w:rsidTr="00DD02C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ED4B715" w14:textId="3B17C74B" w:rsidR="008B6AC3" w:rsidRPr="001E0513" w:rsidRDefault="00DA7FB7" w:rsidP="008B6AC3">
            <w:pPr>
              <w:spacing w:after="0" w:line="240" w:lineRule="auto"/>
              <w:jc w:val="center"/>
              <w:rPr>
                <w:b/>
                <w:bCs/>
                <w:color w:val="000000"/>
              </w:rPr>
            </w:pPr>
            <w:r>
              <w:rPr>
                <w:b/>
                <w:bCs/>
                <w:color w:val="000000"/>
              </w:rPr>
              <w:t>34</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80A660" w14:textId="77777777" w:rsidR="008B6AC3" w:rsidRPr="001E0513" w:rsidRDefault="008B6AC3" w:rsidP="008B6AC3">
            <w:pPr>
              <w:spacing w:after="0"/>
              <w:ind w:left="-85"/>
              <w:rPr>
                <w:sz w:val="20"/>
                <w:szCs w:val="20"/>
              </w:rPr>
            </w:pPr>
            <w:r w:rsidRPr="001E0513">
              <w:rPr>
                <w:sz w:val="20"/>
                <w:szCs w:val="20"/>
              </w:rPr>
              <w:t>Un listing de mise à jour d’entrants et de sortants peut être poussé dans le système de manière automatisée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7B938D" w14:textId="77777777" w:rsidR="008B6AC3" w:rsidRPr="001E0513" w:rsidRDefault="008B6AC3" w:rsidP="008B6AC3">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42D890E4" w14:textId="77777777" w:rsidR="008B6AC3" w:rsidRPr="001E0513" w:rsidRDefault="008B6AC3" w:rsidP="008B6AC3">
            <w:pPr>
              <w:spacing w:after="0" w:line="240" w:lineRule="auto"/>
              <w:jc w:val="center"/>
              <w:rPr>
                <w:color w:val="000000"/>
                <w:sz w:val="18"/>
              </w:rPr>
            </w:pPr>
            <w:r w:rsidRPr="001E0513">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93B60A9" w14:textId="77777777" w:rsidR="008B6AC3" w:rsidRPr="001E0513" w:rsidRDefault="008B6AC3" w:rsidP="008B6AC3">
            <w:pPr>
              <w:tabs>
                <w:tab w:val="left" w:pos="1701"/>
                <w:tab w:val="left" w:pos="6237"/>
              </w:tabs>
              <w:spacing w:after="0" w:line="240" w:lineRule="auto"/>
              <w:jc w:val="center"/>
              <w:rPr>
                <w:bCs/>
                <w:color w:val="000000"/>
                <w:spacing w:val="5"/>
                <w:sz w:val="20"/>
                <w:szCs w:val="20"/>
              </w:rPr>
            </w:pPr>
          </w:p>
        </w:tc>
      </w:tr>
      <w:tr w:rsidR="00AA3038" w:rsidRPr="001E0513" w14:paraId="0D3AF822" w14:textId="77777777" w:rsidTr="00DD02C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8374A4" w14:textId="72E36D76" w:rsidR="00AA3038" w:rsidRPr="001E0513" w:rsidRDefault="00DA7FB7" w:rsidP="00AA3038">
            <w:pPr>
              <w:spacing w:after="0" w:line="240" w:lineRule="auto"/>
              <w:jc w:val="center"/>
              <w:rPr>
                <w:b/>
                <w:bCs/>
                <w:color w:val="000000"/>
              </w:rPr>
            </w:pPr>
            <w:r>
              <w:rPr>
                <w:b/>
                <w:bCs/>
                <w:color w:val="000000"/>
              </w:rPr>
              <w:lastRenderedPageBreak/>
              <w:t>35</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1E9B62" w14:textId="77777777" w:rsidR="00AA3038" w:rsidRPr="001E0513" w:rsidRDefault="00AA3038" w:rsidP="00AA3038">
            <w:pPr>
              <w:spacing w:after="0"/>
              <w:ind w:left="-85"/>
              <w:rPr>
                <w:sz w:val="20"/>
                <w:szCs w:val="20"/>
              </w:rPr>
            </w:pPr>
            <w:r w:rsidRPr="001E0513">
              <w:rPr>
                <w:sz w:val="20"/>
                <w:szCs w:val="20"/>
              </w:rPr>
              <w:t>Les droits d’accès peuvent être attribués par zone selon une cartographie définie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03BD658"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329ABC58" w14:textId="77777777" w:rsidR="00AA3038" w:rsidRPr="001E0513" w:rsidRDefault="00AA3038" w:rsidP="00AA3038">
            <w:pPr>
              <w:spacing w:after="0" w:line="240" w:lineRule="auto"/>
              <w:jc w:val="center"/>
              <w:rPr>
                <w:color w:val="000000"/>
                <w:sz w:val="18"/>
              </w:rPr>
            </w:pPr>
            <w:r w:rsidRPr="001E0513">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53855A8"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526ABE8A" w14:textId="77777777" w:rsidTr="00DD02C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A4DEB9F" w14:textId="6B29BDD2" w:rsidR="00AA3038" w:rsidRPr="001E0513" w:rsidRDefault="00DA7FB7" w:rsidP="00AA3038">
            <w:pPr>
              <w:spacing w:after="0" w:line="240" w:lineRule="auto"/>
              <w:jc w:val="center"/>
              <w:rPr>
                <w:b/>
                <w:bCs/>
                <w:color w:val="000000"/>
              </w:rPr>
            </w:pPr>
            <w:r>
              <w:rPr>
                <w:b/>
                <w:bCs/>
                <w:color w:val="000000"/>
              </w:rPr>
              <w:t>36</w:t>
            </w:r>
          </w:p>
        </w:tc>
        <w:tc>
          <w:tcPr>
            <w:tcW w:w="3992" w:type="dxa"/>
            <w:tcBorders>
              <w:top w:val="single" w:sz="8" w:space="0" w:color="4F81BD"/>
              <w:left w:val="single" w:sz="8" w:space="0" w:color="4F81BD"/>
              <w:bottom w:val="single" w:sz="8" w:space="0" w:color="4F81BD"/>
              <w:right w:val="single" w:sz="8" w:space="0" w:color="4F81BD"/>
            </w:tcBorders>
            <w:shd w:val="clear" w:color="auto" w:fill="auto"/>
          </w:tcPr>
          <w:p w14:paraId="0A55003E" w14:textId="77777777" w:rsidR="00AA3038" w:rsidRPr="001E0513" w:rsidRDefault="00AA3038" w:rsidP="00AA3038">
            <w:pPr>
              <w:spacing w:after="0"/>
              <w:ind w:left="-85"/>
            </w:pPr>
            <w:r w:rsidRPr="001E0513">
              <w:rPr>
                <w:sz w:val="20"/>
                <w:szCs w:val="20"/>
              </w:rPr>
              <w:t>Les droits d’accès peuvent être attribués par bâtiment selon une cartographie définie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F6F6F4"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126CE3D5" w14:textId="77777777" w:rsidR="00AA3038" w:rsidRPr="001E0513" w:rsidRDefault="00AA3038" w:rsidP="00AA3038">
            <w:pPr>
              <w:spacing w:after="0" w:line="240" w:lineRule="auto"/>
              <w:jc w:val="center"/>
              <w:rPr>
                <w:color w:val="000000"/>
                <w:sz w:val="18"/>
              </w:rPr>
            </w:pPr>
            <w:r w:rsidRPr="001E0513">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6D1926"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329FCBCD" w14:textId="77777777" w:rsidTr="00DD02C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41C9829" w14:textId="5AFCF6DD" w:rsidR="00AA3038" w:rsidRPr="001E0513" w:rsidRDefault="00DA7FB7" w:rsidP="00AA3038">
            <w:pPr>
              <w:spacing w:after="0" w:line="240" w:lineRule="auto"/>
              <w:jc w:val="center"/>
              <w:rPr>
                <w:b/>
                <w:bCs/>
                <w:color w:val="000000"/>
              </w:rPr>
            </w:pPr>
            <w:r>
              <w:rPr>
                <w:b/>
                <w:bCs/>
                <w:color w:val="000000"/>
              </w:rPr>
              <w:t>37</w:t>
            </w:r>
          </w:p>
        </w:tc>
        <w:tc>
          <w:tcPr>
            <w:tcW w:w="3992" w:type="dxa"/>
            <w:tcBorders>
              <w:top w:val="single" w:sz="8" w:space="0" w:color="4F81BD"/>
              <w:left w:val="single" w:sz="8" w:space="0" w:color="4F81BD"/>
              <w:bottom w:val="single" w:sz="8" w:space="0" w:color="4F81BD"/>
              <w:right w:val="single" w:sz="8" w:space="0" w:color="4F81BD"/>
            </w:tcBorders>
            <w:shd w:val="clear" w:color="auto" w:fill="auto"/>
          </w:tcPr>
          <w:p w14:paraId="3806498B" w14:textId="77777777" w:rsidR="00AA3038" w:rsidRPr="001E0513" w:rsidRDefault="00AA3038" w:rsidP="00AA3038">
            <w:pPr>
              <w:spacing w:after="0"/>
              <w:ind w:left="-85"/>
            </w:pPr>
            <w:r w:rsidRPr="001E0513">
              <w:rPr>
                <w:sz w:val="20"/>
                <w:szCs w:val="20"/>
              </w:rPr>
              <w:t>Les droits d’accès peuvent être attribués par activité selon une cartographie définie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4401B82"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vAlign w:val="center"/>
          </w:tcPr>
          <w:p w14:paraId="0A6C250B" w14:textId="77777777" w:rsidR="00AA3038" w:rsidRPr="001E0513" w:rsidRDefault="00AA3038" w:rsidP="00AA3038">
            <w:pPr>
              <w:spacing w:after="0" w:line="240" w:lineRule="auto"/>
              <w:jc w:val="center"/>
              <w:rPr>
                <w:color w:val="000000"/>
                <w:sz w:val="18"/>
              </w:rPr>
            </w:pPr>
            <w:r w:rsidRPr="001E0513">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D5D02A"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20E8FC4D"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75A4AB8" w14:textId="5FC3167B" w:rsidR="00AA3038" w:rsidRPr="001E0513" w:rsidRDefault="00DA7FB7" w:rsidP="00AA3038">
            <w:pPr>
              <w:spacing w:after="0" w:line="240" w:lineRule="auto"/>
              <w:jc w:val="center"/>
              <w:rPr>
                <w:b/>
                <w:bCs/>
                <w:color w:val="000000"/>
              </w:rPr>
            </w:pPr>
            <w:r>
              <w:rPr>
                <w:b/>
                <w:bCs/>
                <w:color w:val="000000"/>
              </w:rPr>
              <w:t>38</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F1471E" w14:textId="77777777" w:rsidR="00AA3038" w:rsidRPr="001E0513" w:rsidRDefault="00AA3038" w:rsidP="00AA3038">
            <w:pPr>
              <w:spacing w:after="0"/>
              <w:ind w:left="-85"/>
              <w:rPr>
                <w:sz w:val="20"/>
                <w:szCs w:val="20"/>
              </w:rPr>
            </w:pPr>
            <w:r w:rsidRPr="001E0513">
              <w:rPr>
                <w:sz w:val="20"/>
                <w:szCs w:val="20"/>
              </w:rPr>
              <w:t>Les profils utilisateurs sont sécurisés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C420E4F"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Préciser modalités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2BC052"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27DD88A"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7A38F9E2"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523EB78" w14:textId="7A12A364" w:rsidR="00AA3038" w:rsidRPr="001E0513" w:rsidRDefault="00DA7FB7" w:rsidP="00AA3038">
            <w:pPr>
              <w:spacing w:after="0" w:line="240" w:lineRule="auto"/>
              <w:jc w:val="center"/>
              <w:rPr>
                <w:b/>
                <w:bCs/>
                <w:color w:val="000000"/>
              </w:rPr>
            </w:pPr>
            <w:r>
              <w:rPr>
                <w:b/>
                <w:bCs/>
                <w:color w:val="000000"/>
              </w:rPr>
              <w:t>39</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E0D17BC" w14:textId="77777777" w:rsidR="00AA3038" w:rsidRPr="001E0513" w:rsidRDefault="00AA3038" w:rsidP="00AA3038">
            <w:pPr>
              <w:spacing w:after="0"/>
              <w:ind w:left="-85"/>
              <w:rPr>
                <w:sz w:val="20"/>
                <w:szCs w:val="20"/>
              </w:rPr>
            </w:pPr>
            <w:r w:rsidRPr="001E0513">
              <w:rPr>
                <w:sz w:val="20"/>
                <w:szCs w:val="20"/>
              </w:rPr>
              <w:t>Nombre maximal de profils utilisateurs sur une même base de données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546988"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Nombre</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C613EFA"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B9DBFB"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7997F5D3"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D73ACD" w14:textId="7483D4E4" w:rsidR="00AA3038" w:rsidRPr="001E0513" w:rsidRDefault="00DA7FB7" w:rsidP="00AA3038">
            <w:pPr>
              <w:spacing w:after="0" w:line="240" w:lineRule="auto"/>
              <w:jc w:val="center"/>
              <w:rPr>
                <w:b/>
                <w:bCs/>
                <w:color w:val="000000"/>
              </w:rPr>
            </w:pPr>
            <w:r>
              <w:rPr>
                <w:b/>
                <w:bCs/>
                <w:color w:val="000000"/>
              </w:rPr>
              <w:t>40</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F7B34C" w14:textId="77777777" w:rsidR="00AA3038" w:rsidRPr="001E0513" w:rsidRDefault="00AA3038" w:rsidP="00AA3038">
            <w:pPr>
              <w:spacing w:after="0"/>
              <w:ind w:left="-85"/>
              <w:rPr>
                <w:sz w:val="20"/>
                <w:szCs w:val="20"/>
              </w:rPr>
            </w:pPr>
            <w:r w:rsidRPr="001E0513">
              <w:rPr>
                <w:sz w:val="20"/>
                <w:szCs w:val="20"/>
              </w:rPr>
              <w:t>Nombre maximal de portes sur une même base de données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EA648F1"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Nombre</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4939B0"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03703C2"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561CBE17"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BEA360" w14:textId="2DA0D028" w:rsidR="00AA3038" w:rsidRPr="001E0513" w:rsidRDefault="00DA7FB7" w:rsidP="00AA3038">
            <w:pPr>
              <w:spacing w:after="0" w:line="240" w:lineRule="auto"/>
              <w:jc w:val="center"/>
              <w:rPr>
                <w:b/>
                <w:bCs/>
                <w:color w:val="000000"/>
              </w:rPr>
            </w:pPr>
            <w:r>
              <w:rPr>
                <w:b/>
                <w:bCs/>
                <w:color w:val="000000"/>
              </w:rPr>
              <w:t>41</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8E804E" w14:textId="77777777" w:rsidR="00AA3038" w:rsidRPr="001E0513" w:rsidRDefault="00AA3038" w:rsidP="00AA3038">
            <w:pPr>
              <w:spacing w:after="0"/>
              <w:ind w:left="-85"/>
              <w:rPr>
                <w:sz w:val="20"/>
                <w:szCs w:val="20"/>
              </w:rPr>
            </w:pPr>
            <w:r w:rsidRPr="001E0513">
              <w:rPr>
                <w:sz w:val="20"/>
                <w:szCs w:val="20"/>
              </w:rPr>
              <w:t xml:space="preserve">Gestion en temps réel de l’ensemble des matériels installés </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EDCEF6D"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CDA0030"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46183E"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446A8F19"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7B561B5" w14:textId="0D667948" w:rsidR="00AA3038" w:rsidRPr="001E0513" w:rsidRDefault="00DA7FB7" w:rsidP="00AA3038">
            <w:pPr>
              <w:spacing w:after="0" w:line="240" w:lineRule="auto"/>
              <w:jc w:val="center"/>
              <w:rPr>
                <w:b/>
                <w:bCs/>
                <w:color w:val="000000"/>
              </w:rPr>
            </w:pPr>
            <w:r>
              <w:rPr>
                <w:b/>
                <w:bCs/>
                <w:color w:val="000000"/>
              </w:rPr>
              <w:t>42</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4723611" w14:textId="77777777" w:rsidR="00AA3038" w:rsidRPr="001E0513" w:rsidRDefault="00AA3038" w:rsidP="00AA3038">
            <w:pPr>
              <w:spacing w:after="0"/>
              <w:ind w:left="-85"/>
              <w:rPr>
                <w:sz w:val="20"/>
                <w:szCs w:val="20"/>
              </w:rPr>
            </w:pPr>
            <w:r w:rsidRPr="001E0513">
              <w:rPr>
                <w:sz w:val="20"/>
                <w:szCs w:val="20"/>
              </w:rPr>
              <w:t>Préciser les éléments de sécurisation de l’architecture informatique mis en œuvre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C9117CB"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Préciser  (réseaux, échanges, base de données)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54ABD0F"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F43BB05"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7E1041B7"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7009B95" w14:textId="0E913036" w:rsidR="00AA3038" w:rsidRPr="001E0513" w:rsidRDefault="00DA7FB7" w:rsidP="00AA3038">
            <w:pPr>
              <w:spacing w:after="0" w:line="240" w:lineRule="auto"/>
              <w:jc w:val="center"/>
              <w:rPr>
                <w:b/>
                <w:bCs/>
                <w:color w:val="000000"/>
              </w:rPr>
            </w:pPr>
            <w:r>
              <w:rPr>
                <w:b/>
                <w:bCs/>
                <w:color w:val="000000"/>
              </w:rPr>
              <w:t>43</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D5D7360" w14:textId="77777777" w:rsidR="00AA3038" w:rsidRPr="001E0513" w:rsidRDefault="00AA3038" w:rsidP="00AA3038">
            <w:pPr>
              <w:spacing w:after="0"/>
              <w:ind w:left="-85"/>
              <w:rPr>
                <w:sz w:val="20"/>
                <w:szCs w:val="20"/>
              </w:rPr>
            </w:pPr>
            <w:r w:rsidRPr="001E0513">
              <w:rPr>
                <w:sz w:val="20"/>
                <w:szCs w:val="20"/>
              </w:rPr>
              <w:t>Délai de la prise de décision d’ouverture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201853"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secondes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51D1BD"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CE8123B"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74751325"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B5F2FB" w14:textId="73742168" w:rsidR="00AA3038" w:rsidRPr="001E0513" w:rsidRDefault="00DA7FB7" w:rsidP="00AA3038">
            <w:pPr>
              <w:spacing w:after="0" w:line="240" w:lineRule="auto"/>
              <w:jc w:val="center"/>
              <w:rPr>
                <w:b/>
                <w:bCs/>
                <w:color w:val="000000"/>
              </w:rPr>
            </w:pPr>
            <w:r>
              <w:rPr>
                <w:b/>
                <w:bCs/>
                <w:color w:val="000000"/>
              </w:rPr>
              <w:t>44</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F37576E" w14:textId="77777777" w:rsidR="00AA3038" w:rsidRPr="001E0513" w:rsidRDefault="00AA3038" w:rsidP="00AA3038">
            <w:pPr>
              <w:spacing w:after="0"/>
              <w:ind w:left="-85"/>
              <w:rPr>
                <w:sz w:val="20"/>
                <w:szCs w:val="20"/>
              </w:rPr>
            </w:pPr>
            <w:r w:rsidRPr="001E0513">
              <w:rPr>
                <w:sz w:val="20"/>
                <w:szCs w:val="20"/>
              </w:rPr>
              <w:t>Décrire la stratégie de communication de la solution proposée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220568"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 xml:space="preserve">Système d’exploitation, type de </w:t>
            </w:r>
            <w:r w:rsidRPr="001E0513">
              <w:rPr>
                <w:color w:val="000000"/>
                <w:sz w:val="18"/>
                <w:szCs w:val="18"/>
              </w:rPr>
              <w:t>communication</w:t>
            </w:r>
            <w:r w:rsidRPr="001E0513">
              <w:rPr>
                <w:color w:val="000000"/>
                <w:sz w:val="20"/>
                <w:szCs w:val="20"/>
              </w:rPr>
              <w:t xml:space="preserve"> </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93636BA"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FDE7681"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0810131C"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A6C5BF1" w14:textId="3F9C9F81" w:rsidR="00AA3038" w:rsidRPr="001E0513" w:rsidRDefault="00DA7FB7" w:rsidP="00AA3038">
            <w:pPr>
              <w:spacing w:after="0" w:line="240" w:lineRule="auto"/>
              <w:jc w:val="center"/>
              <w:rPr>
                <w:b/>
                <w:bCs/>
                <w:color w:val="000000"/>
              </w:rPr>
            </w:pPr>
            <w:r>
              <w:rPr>
                <w:b/>
                <w:bCs/>
                <w:color w:val="000000"/>
              </w:rPr>
              <w:t>45</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A0FFCCD" w14:textId="77777777" w:rsidR="00AA3038" w:rsidRPr="001E0513" w:rsidRDefault="00AA3038" w:rsidP="00AA3038">
            <w:pPr>
              <w:spacing w:after="0"/>
              <w:ind w:left="-85"/>
              <w:rPr>
                <w:sz w:val="20"/>
                <w:szCs w:val="20"/>
              </w:rPr>
            </w:pPr>
            <w:r w:rsidRPr="001E0513">
              <w:rPr>
                <w:sz w:val="20"/>
                <w:szCs w:val="20"/>
              </w:rPr>
              <w:t>Décrire les conséquences d’une rupture de communication sur le système de contrôle d’accès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2620C8F"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Préciser</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6887362"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BBF6199"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1446A546"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BB9DB8E" w14:textId="47179B10" w:rsidR="00AA3038" w:rsidRPr="001E0513" w:rsidRDefault="00DA7FB7" w:rsidP="00AA3038">
            <w:pPr>
              <w:spacing w:after="0" w:line="240" w:lineRule="auto"/>
              <w:jc w:val="center"/>
              <w:rPr>
                <w:b/>
                <w:bCs/>
                <w:color w:val="000000"/>
              </w:rPr>
            </w:pPr>
            <w:r>
              <w:rPr>
                <w:b/>
                <w:bCs/>
                <w:color w:val="000000"/>
              </w:rPr>
              <w:t>46</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428D43D" w14:textId="77777777" w:rsidR="00AA3038" w:rsidRPr="001E0513" w:rsidRDefault="00AA3038" w:rsidP="00AA3038">
            <w:pPr>
              <w:spacing w:after="0"/>
              <w:ind w:left="-85"/>
              <w:rPr>
                <w:sz w:val="20"/>
                <w:szCs w:val="20"/>
              </w:rPr>
            </w:pPr>
            <w:r w:rsidRPr="001E0513">
              <w:rPr>
                <w:sz w:val="20"/>
                <w:szCs w:val="20"/>
              </w:rPr>
              <w:t>Est-il possible d’intégrer des solutions tiers ou d’autres systèmes de sécurité (intrusion, vidéosurveillance, GTC,…)</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631987"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D72311"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69008A"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023F1BF6" w14:textId="77777777" w:rsidTr="00D52961">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53F1A8F" w14:textId="591A5074" w:rsidR="00AA3038" w:rsidRPr="001E0513" w:rsidRDefault="00DA7FB7" w:rsidP="00AA3038">
            <w:pPr>
              <w:spacing w:after="0" w:line="240" w:lineRule="auto"/>
              <w:jc w:val="center"/>
              <w:rPr>
                <w:b/>
                <w:bCs/>
                <w:color w:val="000000"/>
              </w:rPr>
            </w:pPr>
            <w:r>
              <w:rPr>
                <w:b/>
                <w:bCs/>
                <w:color w:val="000000"/>
              </w:rPr>
              <w:t>47</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EADFA1" w14:textId="77777777" w:rsidR="00AA3038" w:rsidRPr="001E0513" w:rsidRDefault="00AA3038" w:rsidP="00AA3038">
            <w:pPr>
              <w:spacing w:after="0"/>
              <w:ind w:left="-85"/>
              <w:rPr>
                <w:sz w:val="20"/>
                <w:szCs w:val="20"/>
              </w:rPr>
            </w:pPr>
            <w:r w:rsidRPr="001E0513">
              <w:rPr>
                <w:sz w:val="20"/>
                <w:szCs w:val="20"/>
              </w:rPr>
              <w:t>Le système permet de révoquer des partants de manière automatisée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91EABF"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EAAAA" w:themeFill="background2" w:themeFillShade="BF"/>
            <w:vAlign w:val="center"/>
          </w:tcPr>
          <w:p w14:paraId="01E77144" w14:textId="77777777" w:rsidR="00AA3038" w:rsidRPr="001E0513" w:rsidRDefault="00AA3038" w:rsidP="00AA3038">
            <w:pPr>
              <w:spacing w:after="0" w:line="240" w:lineRule="auto"/>
              <w:jc w:val="center"/>
              <w:rPr>
                <w:color w:val="000000"/>
                <w:sz w:val="18"/>
              </w:rPr>
            </w:pPr>
            <w:r w:rsidRPr="001E0513">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F0E2F2"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6CA53B50" w14:textId="77777777" w:rsidTr="00D52961">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A205FC5" w14:textId="6678D857" w:rsidR="00AA3038" w:rsidRPr="001E0513" w:rsidRDefault="00DA7FB7" w:rsidP="00AA3038">
            <w:pPr>
              <w:spacing w:after="0" w:line="240" w:lineRule="auto"/>
              <w:jc w:val="center"/>
              <w:rPr>
                <w:b/>
                <w:bCs/>
                <w:color w:val="000000"/>
              </w:rPr>
            </w:pPr>
            <w:r>
              <w:rPr>
                <w:b/>
                <w:bCs/>
                <w:color w:val="000000"/>
              </w:rPr>
              <w:t>48</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706D345" w14:textId="320DBA56" w:rsidR="00AA3038" w:rsidRPr="001E0513" w:rsidRDefault="00AA3038" w:rsidP="00AA3038">
            <w:pPr>
              <w:spacing w:after="0"/>
              <w:ind w:left="-85"/>
              <w:rPr>
                <w:sz w:val="20"/>
                <w:szCs w:val="20"/>
              </w:rPr>
            </w:pPr>
            <w:r w:rsidRPr="001E0513">
              <w:rPr>
                <w:sz w:val="20"/>
                <w:szCs w:val="20"/>
              </w:rPr>
              <w:t>Le système renvoi</w:t>
            </w:r>
            <w:r w:rsidR="007E24C8" w:rsidRPr="001E0513">
              <w:rPr>
                <w:sz w:val="20"/>
                <w:szCs w:val="20"/>
              </w:rPr>
              <w:t>e-</w:t>
            </w:r>
            <w:r w:rsidRPr="001E0513">
              <w:rPr>
                <w:sz w:val="20"/>
                <w:szCs w:val="20"/>
              </w:rPr>
              <w:t xml:space="preserve">t-il une confirmation de révocation </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E3F295"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2DE02EA"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A229B1C"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0F347A3C" w14:textId="77777777" w:rsidTr="00D52961">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9E16A78" w14:textId="7AB3261F" w:rsidR="00AA3038" w:rsidRPr="001E0513" w:rsidRDefault="00DA7FB7" w:rsidP="00AA3038">
            <w:pPr>
              <w:spacing w:after="0" w:line="240" w:lineRule="auto"/>
              <w:jc w:val="center"/>
              <w:rPr>
                <w:b/>
                <w:bCs/>
                <w:color w:val="000000"/>
              </w:rPr>
            </w:pPr>
            <w:r>
              <w:rPr>
                <w:b/>
                <w:bCs/>
                <w:color w:val="000000"/>
              </w:rPr>
              <w:t>49</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7BE418D" w14:textId="77777777" w:rsidR="00AA3038" w:rsidRPr="001E0513" w:rsidRDefault="00AA3038" w:rsidP="00AA3038">
            <w:pPr>
              <w:spacing w:after="0"/>
              <w:ind w:left="-85"/>
              <w:rPr>
                <w:sz w:val="20"/>
                <w:szCs w:val="20"/>
              </w:rPr>
            </w:pPr>
            <w:r w:rsidRPr="001E0513">
              <w:rPr>
                <w:sz w:val="20"/>
                <w:szCs w:val="20"/>
              </w:rPr>
              <w:t>Les données peuvent-elles être transférées sur un poste de surveillance central déporté</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8E5B4C2"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Oui – non</w:t>
            </w:r>
          </w:p>
          <w:p w14:paraId="7F545E19"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Mode de transmission des données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2AAED4D"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25E8581"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3A0BF611" w14:textId="77777777" w:rsidTr="00FF7EB9">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331C3A9" w14:textId="67F53F50" w:rsidR="00AA3038" w:rsidRPr="001E0513" w:rsidRDefault="00DA7FB7" w:rsidP="00AA3038">
            <w:pPr>
              <w:spacing w:after="0" w:line="240" w:lineRule="auto"/>
              <w:jc w:val="center"/>
              <w:rPr>
                <w:b/>
                <w:bCs/>
                <w:color w:val="000000"/>
              </w:rPr>
            </w:pPr>
            <w:r>
              <w:rPr>
                <w:b/>
                <w:bCs/>
                <w:color w:val="000000"/>
              </w:rPr>
              <w:t>50</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72BD746" w14:textId="77777777" w:rsidR="00AA3038" w:rsidRPr="001E0513" w:rsidRDefault="00AA3038" w:rsidP="00AA3038">
            <w:pPr>
              <w:spacing w:after="0"/>
              <w:ind w:left="-85"/>
              <w:rPr>
                <w:sz w:val="20"/>
                <w:szCs w:val="20"/>
              </w:rPr>
            </w:pPr>
            <w:r w:rsidRPr="001E0513">
              <w:rPr>
                <w:sz w:val="20"/>
                <w:szCs w:val="20"/>
              </w:rPr>
              <w:t>Est-il possible de programmer des ouvertures/fermetures automatiques horodatées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7EE9110"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Oui – non préciser</w:t>
            </w:r>
          </w:p>
        </w:tc>
        <w:tc>
          <w:tcPr>
            <w:tcW w:w="567" w:type="dxa"/>
            <w:tcBorders>
              <w:top w:val="single" w:sz="8" w:space="0" w:color="4F81BD"/>
              <w:left w:val="single" w:sz="8" w:space="0" w:color="4F81BD"/>
              <w:bottom w:val="single" w:sz="8" w:space="0" w:color="4F81BD"/>
              <w:right w:val="single" w:sz="8" w:space="0" w:color="4F81BD"/>
            </w:tcBorders>
            <w:shd w:val="clear" w:color="auto" w:fill="AEAAAA" w:themeFill="background2" w:themeFillShade="BF"/>
            <w:vAlign w:val="center"/>
          </w:tcPr>
          <w:p w14:paraId="463FFDBC" w14:textId="77777777" w:rsidR="00AA3038" w:rsidRPr="001E0513" w:rsidRDefault="00AA3038" w:rsidP="00AA3038">
            <w:pPr>
              <w:spacing w:after="0" w:line="240" w:lineRule="auto"/>
              <w:jc w:val="center"/>
              <w:rPr>
                <w:color w:val="000000"/>
                <w:sz w:val="18"/>
              </w:rPr>
            </w:pPr>
            <w:r w:rsidRPr="001E0513">
              <w:rPr>
                <w:color w:val="000000"/>
                <w:sz w:val="18"/>
              </w:rPr>
              <w:t>Non</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FF5F6DB"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41037B8F" w14:textId="77777777" w:rsidTr="00D52961">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7EBC117" w14:textId="27E8E8EB" w:rsidR="00AA3038" w:rsidRPr="001E0513" w:rsidRDefault="00DA7FB7" w:rsidP="00AA3038">
            <w:pPr>
              <w:spacing w:after="0" w:line="240" w:lineRule="auto"/>
              <w:jc w:val="center"/>
              <w:rPr>
                <w:b/>
                <w:bCs/>
                <w:color w:val="000000"/>
              </w:rPr>
            </w:pPr>
            <w:r>
              <w:rPr>
                <w:b/>
                <w:bCs/>
                <w:color w:val="000000"/>
              </w:rPr>
              <w:t>51</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A5B842C" w14:textId="77777777" w:rsidR="00AA3038" w:rsidRPr="001E0513" w:rsidRDefault="00AA3038" w:rsidP="00AA3038">
            <w:pPr>
              <w:spacing w:after="0"/>
              <w:ind w:left="-85"/>
              <w:rPr>
                <w:sz w:val="20"/>
                <w:szCs w:val="20"/>
              </w:rPr>
            </w:pPr>
            <w:r w:rsidRPr="001E0513">
              <w:rPr>
                <w:sz w:val="20"/>
                <w:szCs w:val="20"/>
              </w:rPr>
              <w:t>En cas d’urgence les ouvertures peuvent être réalisées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3EA465B"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Oui – non Préciser modalités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99D7A5"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F28C77"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49EE0228" w14:textId="77777777" w:rsidTr="00D52961">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96171F7" w14:textId="27694E8B" w:rsidR="00AA3038" w:rsidRPr="001E0513" w:rsidRDefault="00DA7FB7" w:rsidP="00AA3038">
            <w:pPr>
              <w:spacing w:after="0" w:line="240" w:lineRule="auto"/>
              <w:jc w:val="center"/>
              <w:rPr>
                <w:b/>
                <w:bCs/>
                <w:color w:val="000000"/>
              </w:rPr>
            </w:pPr>
            <w:r>
              <w:rPr>
                <w:b/>
                <w:bCs/>
                <w:color w:val="000000"/>
              </w:rPr>
              <w:t>52</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5DD8F7" w14:textId="77777777" w:rsidR="00AA3038" w:rsidRPr="001E0513" w:rsidRDefault="00AA3038" w:rsidP="00AA3038">
            <w:pPr>
              <w:spacing w:after="0"/>
              <w:ind w:left="-85"/>
              <w:rPr>
                <w:sz w:val="20"/>
                <w:szCs w:val="20"/>
              </w:rPr>
            </w:pPr>
            <w:r w:rsidRPr="001E0513">
              <w:rPr>
                <w:sz w:val="20"/>
                <w:szCs w:val="20"/>
              </w:rPr>
              <w:t>En cas d’urgence tous les accès à l’ensemble des locaux d’un bâtiment peuvent-ils être bloqués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59331B"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 xml:space="preserve">Oui-Non </w:t>
            </w:r>
          </w:p>
          <w:p w14:paraId="020A4F34"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Préciser modalités et le délai en secondes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08D40CD"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5FBDA2F"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39CE170E" w14:textId="77777777" w:rsidTr="00D52961">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AD5A481" w14:textId="10BA8EAC" w:rsidR="00AA3038" w:rsidRPr="001E0513" w:rsidRDefault="00DA7FB7" w:rsidP="00AA3038">
            <w:pPr>
              <w:spacing w:after="0" w:line="240" w:lineRule="auto"/>
              <w:jc w:val="center"/>
              <w:rPr>
                <w:b/>
                <w:bCs/>
                <w:color w:val="000000"/>
              </w:rPr>
            </w:pPr>
            <w:r>
              <w:rPr>
                <w:b/>
                <w:bCs/>
                <w:color w:val="000000"/>
              </w:rPr>
              <w:lastRenderedPageBreak/>
              <w:t>53</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114B8E4" w14:textId="496EDDF9" w:rsidR="00AA3038" w:rsidRPr="001E0513" w:rsidRDefault="00AA3038" w:rsidP="00DA7FB7">
            <w:pPr>
              <w:spacing w:after="0"/>
              <w:ind w:left="-85"/>
              <w:rPr>
                <w:sz w:val="20"/>
                <w:szCs w:val="20"/>
              </w:rPr>
            </w:pPr>
            <w:r w:rsidRPr="001E0513">
              <w:rPr>
                <w:sz w:val="20"/>
                <w:szCs w:val="20"/>
              </w:rPr>
              <w:t xml:space="preserve">En cas d’urgence tous les accès à l’ensemble des locaux </w:t>
            </w:r>
            <w:r w:rsidR="00DA7FB7">
              <w:rPr>
                <w:sz w:val="20"/>
                <w:szCs w:val="20"/>
              </w:rPr>
              <w:t>d’ACHAT</w:t>
            </w:r>
            <w:r w:rsidRPr="001E0513">
              <w:rPr>
                <w:sz w:val="20"/>
                <w:szCs w:val="20"/>
              </w:rPr>
              <w:t xml:space="preserve"> peuvent-ils être bloqués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305B602"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 xml:space="preserve">Oui-Non </w:t>
            </w:r>
          </w:p>
          <w:p w14:paraId="5D242086"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Préciser modalités et le délai en secondes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00AA0E"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A88B681"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7641A57B" w14:textId="77777777" w:rsidTr="00D52961">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C422A62" w14:textId="178478B9" w:rsidR="00AA3038" w:rsidRPr="001E0513" w:rsidRDefault="00DA7FB7" w:rsidP="00AA3038">
            <w:pPr>
              <w:spacing w:after="0" w:line="240" w:lineRule="auto"/>
              <w:jc w:val="center"/>
              <w:rPr>
                <w:b/>
                <w:bCs/>
                <w:color w:val="000000"/>
              </w:rPr>
            </w:pPr>
            <w:r>
              <w:rPr>
                <w:b/>
                <w:bCs/>
                <w:color w:val="000000"/>
              </w:rPr>
              <w:t>54</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160C440" w14:textId="77777777" w:rsidR="00AA3038" w:rsidRPr="001E0513" w:rsidRDefault="00AA3038" w:rsidP="00AA3038">
            <w:pPr>
              <w:spacing w:after="0"/>
              <w:ind w:left="-85"/>
              <w:rPr>
                <w:sz w:val="20"/>
                <w:szCs w:val="20"/>
              </w:rPr>
            </w:pPr>
            <w:r w:rsidRPr="001E0513">
              <w:rPr>
                <w:sz w:val="20"/>
                <w:szCs w:val="20"/>
              </w:rPr>
              <w:t>Type de déclencheurs prévus pour les blocages d’urgence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8558C23"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Préciser et détailler (bouton physique, bouton logiciel, autre)</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4EE0019"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8674F5"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2668290D" w14:textId="77777777" w:rsidTr="00667B96">
        <w:trPr>
          <w:trHeight w:val="93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F764EA7" w14:textId="04421677" w:rsidR="00AA3038" w:rsidRPr="001E0513" w:rsidRDefault="00DA7FB7" w:rsidP="00AA3038">
            <w:pPr>
              <w:spacing w:after="0" w:line="240" w:lineRule="auto"/>
              <w:jc w:val="center"/>
              <w:rPr>
                <w:b/>
                <w:bCs/>
                <w:color w:val="000000"/>
              </w:rPr>
            </w:pPr>
            <w:r>
              <w:rPr>
                <w:b/>
                <w:bCs/>
                <w:color w:val="000000"/>
              </w:rPr>
              <w:t>55</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8B436F6" w14:textId="77777777" w:rsidR="00AA3038" w:rsidRPr="001E0513" w:rsidRDefault="00AA3038" w:rsidP="00AA3038">
            <w:pPr>
              <w:spacing w:after="0"/>
              <w:ind w:left="-85"/>
              <w:rPr>
                <w:sz w:val="20"/>
                <w:szCs w:val="20"/>
              </w:rPr>
            </w:pPr>
            <w:r w:rsidRPr="001E0513">
              <w:rPr>
                <w:sz w:val="20"/>
                <w:szCs w:val="20"/>
              </w:rPr>
              <w:t>Les déclencheurs prévus pour les blocages d’urgence sont personnalisables paramétrables selon profils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4AD2A20"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 xml:space="preserve">Oui – non Préciser </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35CE4B"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537BD5B"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07515E7A" w14:textId="77777777" w:rsidTr="000F7C1A">
        <w:trPr>
          <w:trHeight w:val="444"/>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4FB8BCD" w14:textId="6645DC52" w:rsidR="00AA3038" w:rsidRPr="001E0513" w:rsidRDefault="00DA7FB7" w:rsidP="00AA3038">
            <w:pPr>
              <w:spacing w:after="0" w:line="240" w:lineRule="auto"/>
              <w:jc w:val="center"/>
              <w:rPr>
                <w:b/>
                <w:bCs/>
                <w:color w:val="000000"/>
              </w:rPr>
            </w:pPr>
            <w:r>
              <w:rPr>
                <w:b/>
                <w:bCs/>
                <w:color w:val="000000"/>
              </w:rPr>
              <w:t>56</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2EF42A" w14:textId="77777777" w:rsidR="00AA3038" w:rsidRPr="001E0513" w:rsidRDefault="00AA3038" w:rsidP="00AA3038">
            <w:pPr>
              <w:spacing w:after="0"/>
              <w:ind w:left="-85"/>
              <w:rPr>
                <w:sz w:val="20"/>
                <w:szCs w:val="20"/>
              </w:rPr>
            </w:pPr>
            <w:r w:rsidRPr="001E0513">
              <w:rPr>
                <w:sz w:val="20"/>
                <w:szCs w:val="20"/>
              </w:rPr>
              <w:t>Mode d’affichage des alarmes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59CE0B" w14:textId="77777777" w:rsidR="00AA3038" w:rsidRPr="001E0513" w:rsidRDefault="00AA3038" w:rsidP="00AA3038">
            <w:pPr>
              <w:spacing w:after="0" w:line="240" w:lineRule="auto"/>
              <w:ind w:left="-108"/>
              <w:jc w:val="center"/>
              <w:rPr>
                <w:color w:val="000000"/>
                <w:sz w:val="20"/>
                <w:szCs w:val="20"/>
              </w:rPr>
            </w:pPr>
            <w:r w:rsidRPr="001E0513">
              <w:rPr>
                <w:color w:val="000000"/>
                <w:sz w:val="20"/>
                <w:szCs w:val="20"/>
              </w:rPr>
              <w:t>Préciser</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D424D38" w14:textId="77777777" w:rsidR="00AA3038" w:rsidRPr="001E0513" w:rsidRDefault="00AA3038" w:rsidP="00AA3038">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3993349" w14:textId="77777777" w:rsidR="00AA3038" w:rsidRPr="001E0513" w:rsidRDefault="00AA3038" w:rsidP="00AA3038">
            <w:pPr>
              <w:tabs>
                <w:tab w:val="left" w:pos="1701"/>
                <w:tab w:val="left" w:pos="6237"/>
              </w:tabs>
              <w:spacing w:after="0" w:line="240" w:lineRule="auto"/>
              <w:jc w:val="center"/>
              <w:rPr>
                <w:bCs/>
                <w:color w:val="000000"/>
                <w:spacing w:val="5"/>
                <w:sz w:val="20"/>
                <w:szCs w:val="20"/>
              </w:rPr>
            </w:pPr>
          </w:p>
        </w:tc>
      </w:tr>
      <w:tr w:rsidR="00AA3038" w:rsidRPr="001E0513" w14:paraId="7F84BCF8" w14:textId="77777777" w:rsidTr="00F246A1">
        <w:trPr>
          <w:trHeight w:val="20"/>
        </w:trPr>
        <w:tc>
          <w:tcPr>
            <w:tcW w:w="9821" w:type="dxa"/>
            <w:gridSpan w:val="5"/>
            <w:tcBorders>
              <w:top w:val="single" w:sz="8" w:space="0" w:color="4F81BD"/>
              <w:left w:val="single" w:sz="8" w:space="0" w:color="4F81BD"/>
              <w:bottom w:val="single" w:sz="8" w:space="0" w:color="4F81BD"/>
              <w:right w:val="single" w:sz="8" w:space="0" w:color="4F81BD"/>
            </w:tcBorders>
            <w:shd w:val="clear" w:color="auto" w:fill="D5DCE4" w:themeFill="text2" w:themeFillTint="33"/>
            <w:vAlign w:val="center"/>
          </w:tcPr>
          <w:p w14:paraId="57A21176" w14:textId="77777777" w:rsidR="00AA3038" w:rsidRPr="001E0513" w:rsidRDefault="00AA3038" w:rsidP="00AA3038">
            <w:pPr>
              <w:tabs>
                <w:tab w:val="left" w:pos="1701"/>
                <w:tab w:val="left" w:pos="6237"/>
              </w:tabs>
              <w:spacing w:after="0" w:line="240" w:lineRule="auto"/>
              <w:jc w:val="center"/>
              <w:rPr>
                <w:bCs/>
                <w:color w:val="000000"/>
                <w:spacing w:val="5"/>
              </w:rPr>
            </w:pPr>
            <w:r w:rsidRPr="001E0513">
              <w:rPr>
                <w:bCs/>
                <w:color w:val="000000"/>
                <w:spacing w:val="5"/>
                <w:sz w:val="28"/>
              </w:rPr>
              <w:t xml:space="preserve">Garanties et services – Accompagnement </w:t>
            </w:r>
          </w:p>
        </w:tc>
      </w:tr>
      <w:tr w:rsidR="009D55EE" w:rsidRPr="001E0513" w14:paraId="3FF29447"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25285E2" w14:textId="0998FA45" w:rsidR="009D55EE" w:rsidRPr="001E0513" w:rsidRDefault="00DA7FB7" w:rsidP="009D55EE">
            <w:pPr>
              <w:spacing w:after="0" w:line="240" w:lineRule="auto"/>
              <w:jc w:val="center"/>
              <w:rPr>
                <w:b/>
                <w:bCs/>
                <w:color w:val="000000"/>
              </w:rPr>
            </w:pPr>
            <w:r>
              <w:rPr>
                <w:b/>
                <w:bCs/>
                <w:color w:val="000000"/>
              </w:rPr>
              <w:t>57</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2E6F875" w14:textId="61833E03" w:rsidR="009D55EE" w:rsidRPr="001E0513" w:rsidRDefault="009D55EE" w:rsidP="001E0513">
            <w:pPr>
              <w:spacing w:after="0"/>
              <w:ind w:hanging="85"/>
              <w:rPr>
                <w:sz w:val="20"/>
              </w:rPr>
            </w:pPr>
            <w:r w:rsidRPr="001E0513">
              <w:rPr>
                <w:sz w:val="20"/>
              </w:rPr>
              <w:t>Un chef de projet est mis à disposition pour valider les choix envisagés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1D673AE" w14:textId="77777777" w:rsidR="009D55EE" w:rsidRPr="001E0513" w:rsidRDefault="009D55EE" w:rsidP="009D55EE">
            <w:pPr>
              <w:ind w:left="-108" w:right="-108" w:firstLine="34"/>
              <w:jc w:val="center"/>
              <w:rPr>
                <w:sz w:val="20"/>
              </w:rPr>
            </w:pPr>
            <w:r w:rsidRPr="001E0513">
              <w:rPr>
                <w:sz w:val="20"/>
              </w:rPr>
              <w:t xml:space="preserve">Oui – Non préciser </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207F27" w14:textId="77777777" w:rsidR="009D55EE" w:rsidRPr="001E0513" w:rsidRDefault="009D55EE" w:rsidP="009D55EE">
            <w:pPr>
              <w:ind w:firstLine="72"/>
              <w:jc w:val="center"/>
              <w:rPr>
                <w:rFonts w:cs="Arial"/>
              </w:rPr>
            </w:pP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BAC3B3"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2AC26A7F"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82F30FF" w14:textId="75A3EA57" w:rsidR="009D55EE" w:rsidRPr="001E0513" w:rsidRDefault="00DA7FB7" w:rsidP="009D55EE">
            <w:pPr>
              <w:spacing w:after="0" w:line="240" w:lineRule="auto"/>
              <w:jc w:val="center"/>
              <w:rPr>
                <w:b/>
                <w:bCs/>
                <w:color w:val="000000"/>
              </w:rPr>
            </w:pPr>
            <w:r>
              <w:rPr>
                <w:b/>
                <w:bCs/>
                <w:color w:val="000000"/>
              </w:rPr>
              <w:t>58</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577923C" w14:textId="77777777" w:rsidR="009D55EE" w:rsidRPr="001E0513" w:rsidRDefault="009D55EE" w:rsidP="009D55EE">
            <w:pPr>
              <w:spacing w:after="0"/>
              <w:ind w:hanging="85"/>
              <w:rPr>
                <w:b/>
                <w:sz w:val="20"/>
              </w:rPr>
            </w:pPr>
            <w:r w:rsidRPr="001E0513">
              <w:rPr>
                <w:sz w:val="20"/>
              </w:rPr>
              <w:t>Le SAV est-il assuré par le candidat</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731DB57" w14:textId="77777777" w:rsidR="009D55EE" w:rsidRPr="001E0513" w:rsidRDefault="009D55EE" w:rsidP="009D55EE">
            <w:pPr>
              <w:ind w:left="-108" w:right="-108" w:firstLine="34"/>
              <w:jc w:val="center"/>
              <w:rPr>
                <w:b/>
                <w:sz w:val="20"/>
              </w:rPr>
            </w:pPr>
            <w:r w:rsidRPr="001E0513">
              <w:rPr>
                <w:sz w:val="20"/>
              </w:rPr>
              <w:t>Oui / non, si non indiquer les coordonnées du prestataire</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B886C0" w14:textId="77777777" w:rsidR="009D55EE" w:rsidRPr="001E0513" w:rsidRDefault="009D55EE" w:rsidP="009D55EE">
            <w:pPr>
              <w:ind w:firstLine="72"/>
              <w:jc w:val="center"/>
              <w:rPr>
                <w:rFonts w:cs="Arial"/>
                <w:b/>
              </w:rPr>
            </w:pPr>
            <w:r w:rsidRPr="001E0513">
              <w:rPr>
                <w:rFonts w:cs="Arial"/>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8164E31"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08B38B2E"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7C428E" w14:textId="7AAB669F" w:rsidR="009D55EE" w:rsidRPr="001E0513" w:rsidRDefault="00DA7FB7" w:rsidP="009D55EE">
            <w:pPr>
              <w:spacing w:after="0" w:line="240" w:lineRule="auto"/>
              <w:jc w:val="center"/>
              <w:rPr>
                <w:b/>
                <w:bCs/>
                <w:color w:val="000000"/>
              </w:rPr>
            </w:pPr>
            <w:r>
              <w:rPr>
                <w:b/>
                <w:bCs/>
                <w:color w:val="000000"/>
              </w:rPr>
              <w:t>59</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D12392C" w14:textId="77777777" w:rsidR="009D55EE" w:rsidRPr="001E0513" w:rsidRDefault="009D55EE" w:rsidP="009D55EE">
            <w:pPr>
              <w:spacing w:after="0"/>
              <w:ind w:hanging="85"/>
              <w:rPr>
                <w:sz w:val="20"/>
              </w:rPr>
            </w:pPr>
            <w:r w:rsidRPr="001E0513">
              <w:rPr>
                <w:sz w:val="20"/>
              </w:rPr>
              <w:t>Effectif affecté aux interventions techniques pour l’AP-HP</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F2822EE" w14:textId="77777777" w:rsidR="009D55EE" w:rsidRPr="001E0513" w:rsidRDefault="009D55EE" w:rsidP="009D55EE">
            <w:pPr>
              <w:spacing w:after="0" w:line="240" w:lineRule="auto"/>
              <w:jc w:val="center"/>
              <w:rPr>
                <w:color w:val="000000"/>
                <w:sz w:val="20"/>
                <w:szCs w:val="20"/>
              </w:rPr>
            </w:pPr>
            <w:proofErr w:type="gramStart"/>
            <w:r w:rsidRPr="001E0513">
              <w:rPr>
                <w:color w:val="000000"/>
                <w:sz w:val="20"/>
                <w:szCs w:val="20"/>
              </w:rPr>
              <w:t>Effectif  -</w:t>
            </w:r>
            <w:proofErr w:type="gramEnd"/>
            <w:r w:rsidRPr="001E0513">
              <w:rPr>
                <w:color w:val="000000"/>
                <w:sz w:val="20"/>
                <w:szCs w:val="20"/>
              </w:rPr>
              <w:t xml:space="preserve"> fonction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D0C50C" w14:textId="77777777" w:rsidR="009D55EE" w:rsidRPr="001E0513" w:rsidRDefault="009D55EE" w:rsidP="009D55EE">
            <w:pPr>
              <w:spacing w:after="0" w:line="240" w:lineRule="auto"/>
              <w:jc w:val="center"/>
              <w:rPr>
                <w:color w:val="000000"/>
                <w:sz w:val="20"/>
              </w:rPr>
            </w:pPr>
            <w:r w:rsidRPr="001E0513">
              <w:rPr>
                <w:color w:val="000000"/>
                <w:sz w:val="2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1244D3B"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2C511348" w14:textId="77777777" w:rsidTr="000435CF">
        <w:trPr>
          <w:trHeight w:val="1135"/>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AEF26C5" w14:textId="2D8C9523" w:rsidR="009D55EE" w:rsidRPr="001E0513" w:rsidRDefault="00DA7FB7" w:rsidP="009D55EE">
            <w:pPr>
              <w:spacing w:after="0" w:line="240" w:lineRule="auto"/>
              <w:jc w:val="center"/>
              <w:rPr>
                <w:b/>
                <w:bCs/>
                <w:color w:val="000000"/>
                <w:sz w:val="20"/>
              </w:rPr>
            </w:pPr>
            <w:r>
              <w:rPr>
                <w:b/>
                <w:bCs/>
                <w:color w:val="000000"/>
                <w:sz w:val="20"/>
              </w:rPr>
              <w:t>60</w:t>
            </w:r>
          </w:p>
        </w:tc>
        <w:tc>
          <w:tcPr>
            <w:tcW w:w="3992" w:type="dxa"/>
            <w:shd w:val="clear" w:color="auto" w:fill="auto"/>
            <w:vAlign w:val="center"/>
          </w:tcPr>
          <w:p w14:paraId="73AF4335" w14:textId="77777777" w:rsidR="009D55EE" w:rsidRPr="001E0513" w:rsidRDefault="009D55EE" w:rsidP="009D55EE">
            <w:pPr>
              <w:spacing w:after="0"/>
              <w:ind w:left="-108" w:right="-108"/>
              <w:rPr>
                <w:rFonts w:cs="Arial"/>
                <w:b/>
                <w:sz w:val="20"/>
              </w:rPr>
            </w:pPr>
            <w:r w:rsidRPr="001E0513">
              <w:rPr>
                <w:rFonts w:cs="Arial"/>
                <w:sz w:val="20"/>
              </w:rPr>
              <w:t>Préalablement à la validation de la commande, préciser la méthodologie mise en place afin d’accompagner le client dans la formalisation de son besoin </w:t>
            </w:r>
          </w:p>
        </w:tc>
        <w:tc>
          <w:tcPr>
            <w:tcW w:w="1418" w:type="dxa"/>
            <w:shd w:val="clear" w:color="auto" w:fill="auto"/>
            <w:vAlign w:val="center"/>
          </w:tcPr>
          <w:p w14:paraId="25B23AF9" w14:textId="77777777" w:rsidR="009D55EE" w:rsidRPr="001E0513" w:rsidRDefault="009D55EE" w:rsidP="009D55EE">
            <w:pPr>
              <w:spacing w:after="0"/>
              <w:jc w:val="center"/>
              <w:rPr>
                <w:rFonts w:cs="Arial"/>
                <w:sz w:val="20"/>
              </w:rPr>
            </w:pPr>
            <w:r w:rsidRPr="001E0513">
              <w:rPr>
                <w:rFonts w:cs="Arial"/>
                <w:sz w:val="20"/>
              </w:rPr>
              <w:t>Décrire</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8D1988" w14:textId="77777777" w:rsidR="009D55EE" w:rsidRPr="001E0513" w:rsidRDefault="009D55EE" w:rsidP="009D55EE">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D193D49"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54C94E07"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5D6B00" w14:textId="67E5E695" w:rsidR="009D55EE" w:rsidRPr="001E0513" w:rsidRDefault="00DA7FB7" w:rsidP="009D55EE">
            <w:pPr>
              <w:spacing w:after="0" w:line="240" w:lineRule="auto"/>
              <w:jc w:val="center"/>
              <w:rPr>
                <w:b/>
                <w:bCs/>
                <w:color w:val="000000"/>
                <w:sz w:val="20"/>
              </w:rPr>
            </w:pPr>
            <w:r>
              <w:rPr>
                <w:b/>
                <w:bCs/>
                <w:color w:val="000000"/>
                <w:sz w:val="20"/>
              </w:rPr>
              <w:t>61</w:t>
            </w:r>
          </w:p>
        </w:tc>
        <w:tc>
          <w:tcPr>
            <w:tcW w:w="3992" w:type="dxa"/>
            <w:shd w:val="clear" w:color="auto" w:fill="auto"/>
            <w:vAlign w:val="center"/>
          </w:tcPr>
          <w:p w14:paraId="43DEC188" w14:textId="77777777" w:rsidR="009D55EE" w:rsidRPr="001E0513" w:rsidRDefault="009D55EE" w:rsidP="009D55EE">
            <w:pPr>
              <w:spacing w:after="0"/>
              <w:ind w:left="-30" w:right="-108"/>
              <w:rPr>
                <w:b/>
                <w:sz w:val="20"/>
              </w:rPr>
            </w:pPr>
            <w:r w:rsidRPr="001E0513">
              <w:rPr>
                <w:sz w:val="20"/>
              </w:rPr>
              <w:t>Décrire l’organisation logistique mise en œuvre à compter de la réception de la commande jusqu’à l’acheminement chez l’utilisateur final.</w:t>
            </w:r>
          </w:p>
        </w:tc>
        <w:tc>
          <w:tcPr>
            <w:tcW w:w="1418" w:type="dxa"/>
            <w:shd w:val="clear" w:color="auto" w:fill="auto"/>
            <w:vAlign w:val="center"/>
          </w:tcPr>
          <w:p w14:paraId="53B352C6" w14:textId="77777777" w:rsidR="009D55EE" w:rsidRPr="001E0513" w:rsidRDefault="009D55EE" w:rsidP="009D55EE">
            <w:pPr>
              <w:spacing w:after="0"/>
              <w:ind w:left="-108"/>
              <w:jc w:val="center"/>
              <w:rPr>
                <w:sz w:val="20"/>
              </w:rPr>
            </w:pPr>
            <w:r w:rsidRPr="001E0513">
              <w:rPr>
                <w:sz w:val="20"/>
              </w:rPr>
              <w:t>Préciser la sécurisation et la traçabilité mises en œuvre</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17B6400" w14:textId="77777777" w:rsidR="009D55EE" w:rsidRPr="001E0513" w:rsidRDefault="009D55EE" w:rsidP="009D55EE">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5B82753"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505D84BB"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C34932" w14:textId="4DC67603" w:rsidR="009D55EE" w:rsidRPr="001E0513" w:rsidRDefault="00DA7FB7" w:rsidP="009D55EE">
            <w:pPr>
              <w:spacing w:after="0" w:line="240" w:lineRule="auto"/>
              <w:jc w:val="center"/>
              <w:rPr>
                <w:b/>
                <w:bCs/>
                <w:color w:val="000000"/>
                <w:sz w:val="20"/>
              </w:rPr>
            </w:pPr>
            <w:r>
              <w:rPr>
                <w:b/>
                <w:bCs/>
                <w:color w:val="000000"/>
                <w:sz w:val="20"/>
              </w:rPr>
              <w:t>62</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3DBD728" w14:textId="77777777" w:rsidR="009D55EE" w:rsidRPr="001E0513" w:rsidRDefault="009D55EE" w:rsidP="009D55EE">
            <w:pPr>
              <w:spacing w:after="0"/>
              <w:ind w:left="-85"/>
              <w:rPr>
                <w:sz w:val="20"/>
                <w:szCs w:val="20"/>
              </w:rPr>
            </w:pPr>
            <w:r w:rsidRPr="001E0513">
              <w:rPr>
                <w:sz w:val="20"/>
                <w:szCs w:val="20"/>
              </w:rPr>
              <w:t>Formation du personnel utilisateur</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DA0B20" w14:textId="77777777" w:rsidR="009D55EE" w:rsidRPr="001E0513" w:rsidRDefault="009D55EE" w:rsidP="009D55EE">
            <w:pPr>
              <w:spacing w:after="0" w:line="240" w:lineRule="auto"/>
              <w:jc w:val="center"/>
              <w:rPr>
                <w:color w:val="000000"/>
                <w:sz w:val="20"/>
                <w:szCs w:val="20"/>
              </w:rPr>
            </w:pPr>
            <w:r w:rsidRPr="001E0513">
              <w:rPr>
                <w:color w:val="000000"/>
                <w:sz w:val="20"/>
                <w:szCs w:val="20"/>
              </w:rPr>
              <w:t>Durée h</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EE98C30" w14:textId="77777777" w:rsidR="009D55EE" w:rsidRPr="001E0513" w:rsidRDefault="009D55EE" w:rsidP="009D55EE">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0B3E4CE"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028BC4C6"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EB9E83B" w14:textId="61FD42C7" w:rsidR="009D55EE" w:rsidRPr="001E0513" w:rsidRDefault="00DA7FB7" w:rsidP="009D55EE">
            <w:pPr>
              <w:spacing w:after="0" w:line="240" w:lineRule="auto"/>
              <w:jc w:val="center"/>
              <w:rPr>
                <w:b/>
                <w:bCs/>
                <w:color w:val="000000"/>
                <w:sz w:val="20"/>
              </w:rPr>
            </w:pPr>
            <w:r>
              <w:rPr>
                <w:b/>
                <w:bCs/>
                <w:color w:val="000000"/>
                <w:sz w:val="20"/>
              </w:rPr>
              <w:t>63</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D0EE14C" w14:textId="77777777" w:rsidR="009D55EE" w:rsidRPr="001E0513" w:rsidRDefault="009D55EE" w:rsidP="009D55EE">
            <w:pPr>
              <w:spacing w:after="0"/>
              <w:ind w:left="-85"/>
              <w:rPr>
                <w:sz w:val="20"/>
                <w:szCs w:val="20"/>
              </w:rPr>
            </w:pPr>
            <w:r w:rsidRPr="001E0513">
              <w:rPr>
                <w:sz w:val="20"/>
                <w:szCs w:val="20"/>
              </w:rPr>
              <w:t>Programme de formation</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EE5ED7D" w14:textId="77777777" w:rsidR="009D55EE" w:rsidRPr="001E0513" w:rsidRDefault="009D55EE" w:rsidP="009D55EE">
            <w:pPr>
              <w:spacing w:after="0" w:line="240" w:lineRule="auto"/>
              <w:jc w:val="center"/>
              <w:rPr>
                <w:color w:val="000000"/>
                <w:sz w:val="20"/>
                <w:szCs w:val="20"/>
              </w:rPr>
            </w:pPr>
            <w:r w:rsidRPr="001E0513">
              <w:rPr>
                <w:color w:val="000000"/>
                <w:sz w:val="20"/>
                <w:szCs w:val="20"/>
              </w:rPr>
              <w:t>Détailler</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5D495D3" w14:textId="77777777" w:rsidR="009D55EE" w:rsidRPr="001E0513" w:rsidRDefault="009D55EE" w:rsidP="009D55EE">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848916"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0E49E6D6"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70880C0" w14:textId="644F2768" w:rsidR="009D55EE" w:rsidRPr="001E0513" w:rsidRDefault="00DA7FB7" w:rsidP="009D55EE">
            <w:pPr>
              <w:spacing w:after="0" w:line="240" w:lineRule="auto"/>
              <w:jc w:val="center"/>
              <w:rPr>
                <w:b/>
                <w:bCs/>
                <w:color w:val="000000"/>
                <w:sz w:val="20"/>
              </w:rPr>
            </w:pPr>
            <w:r>
              <w:rPr>
                <w:b/>
                <w:bCs/>
                <w:color w:val="000000"/>
                <w:sz w:val="20"/>
              </w:rPr>
              <w:t>64</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C400EA9" w14:textId="77777777" w:rsidR="009D55EE" w:rsidRPr="001E0513" w:rsidRDefault="009D55EE" w:rsidP="009D55EE">
            <w:pPr>
              <w:spacing w:after="0"/>
              <w:ind w:left="-85"/>
              <w:rPr>
                <w:sz w:val="20"/>
                <w:szCs w:val="20"/>
              </w:rPr>
            </w:pPr>
            <w:r w:rsidRPr="001E0513">
              <w:rPr>
                <w:sz w:val="20"/>
                <w:szCs w:val="20"/>
              </w:rPr>
              <w:t xml:space="preserve">Durée de la garantie </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07F29C2" w14:textId="77777777" w:rsidR="009D55EE" w:rsidRPr="001E0513" w:rsidRDefault="009D55EE" w:rsidP="009D55EE">
            <w:pPr>
              <w:spacing w:after="0" w:line="240" w:lineRule="auto"/>
              <w:jc w:val="center"/>
              <w:rPr>
                <w:color w:val="000000"/>
                <w:sz w:val="20"/>
                <w:szCs w:val="20"/>
              </w:rPr>
            </w:pPr>
            <w:r w:rsidRPr="001E0513">
              <w:rPr>
                <w:color w:val="000000"/>
                <w:sz w:val="20"/>
                <w:szCs w:val="20"/>
              </w:rPr>
              <w:t>Ans</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971D271" w14:textId="77777777" w:rsidR="009D55EE" w:rsidRPr="001E0513" w:rsidRDefault="009D55EE" w:rsidP="009D55EE">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EA30028"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671CA139"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4294D39" w14:textId="656D39E6" w:rsidR="009D55EE" w:rsidRPr="001E0513" w:rsidRDefault="00DA7FB7" w:rsidP="009D55EE">
            <w:pPr>
              <w:spacing w:after="0" w:line="240" w:lineRule="auto"/>
              <w:jc w:val="center"/>
              <w:rPr>
                <w:b/>
                <w:bCs/>
                <w:color w:val="000000"/>
                <w:sz w:val="20"/>
              </w:rPr>
            </w:pPr>
            <w:r>
              <w:rPr>
                <w:b/>
                <w:bCs/>
                <w:color w:val="000000"/>
                <w:sz w:val="20"/>
              </w:rPr>
              <w:t>65</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84675C" w14:textId="77777777" w:rsidR="009D55EE" w:rsidRPr="001E0513" w:rsidRDefault="009D55EE" w:rsidP="009D55EE">
            <w:pPr>
              <w:spacing w:after="0"/>
              <w:ind w:left="-85"/>
              <w:rPr>
                <w:sz w:val="20"/>
                <w:szCs w:val="20"/>
              </w:rPr>
            </w:pPr>
            <w:r w:rsidRPr="001E0513">
              <w:rPr>
                <w:sz w:val="20"/>
                <w:szCs w:val="20"/>
              </w:rPr>
              <w:t>La garantie couvre les réparations.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57E2498" w14:textId="77777777" w:rsidR="009D55EE" w:rsidRPr="001E0513" w:rsidRDefault="009D55EE" w:rsidP="009D55EE">
            <w:pPr>
              <w:spacing w:after="0" w:line="240" w:lineRule="auto"/>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4E8B8D" w14:textId="77777777" w:rsidR="009D55EE" w:rsidRPr="001E0513" w:rsidRDefault="009D55EE" w:rsidP="009D55EE">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4C59C5"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157CFEDD"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61EC8F" w14:textId="5E09D472" w:rsidR="009D55EE" w:rsidRPr="001E0513" w:rsidRDefault="00DA7FB7" w:rsidP="009D55EE">
            <w:pPr>
              <w:spacing w:after="0" w:line="240" w:lineRule="auto"/>
              <w:jc w:val="center"/>
              <w:rPr>
                <w:b/>
                <w:bCs/>
                <w:color w:val="000000"/>
                <w:sz w:val="20"/>
              </w:rPr>
            </w:pPr>
            <w:r>
              <w:rPr>
                <w:b/>
                <w:bCs/>
                <w:color w:val="000000"/>
                <w:sz w:val="20"/>
              </w:rPr>
              <w:t>66</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7BD1685" w14:textId="77777777" w:rsidR="009D55EE" w:rsidRPr="001E0513" w:rsidRDefault="009D55EE" w:rsidP="009D55EE">
            <w:pPr>
              <w:spacing w:after="0"/>
              <w:ind w:left="-85"/>
              <w:rPr>
                <w:sz w:val="20"/>
                <w:szCs w:val="20"/>
              </w:rPr>
            </w:pPr>
            <w:r w:rsidRPr="001E0513">
              <w:rPr>
                <w:sz w:val="20"/>
                <w:szCs w:val="20"/>
              </w:rPr>
              <w:t>La garantie couvre le remplacement des pièces défectueuses.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C15CDBA" w14:textId="77777777" w:rsidR="009D55EE" w:rsidRPr="001E0513" w:rsidRDefault="009D55EE" w:rsidP="009D55EE">
            <w:pPr>
              <w:spacing w:after="0" w:line="240" w:lineRule="auto"/>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821124" w14:textId="77777777" w:rsidR="009D55EE" w:rsidRPr="001E0513" w:rsidRDefault="009D55EE" w:rsidP="009D55EE">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D8713E"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236D1C31"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74A259F" w14:textId="06720E93" w:rsidR="009D55EE" w:rsidRPr="001E0513" w:rsidRDefault="00DA7FB7" w:rsidP="009D55EE">
            <w:pPr>
              <w:spacing w:after="0" w:line="240" w:lineRule="auto"/>
              <w:jc w:val="center"/>
              <w:rPr>
                <w:b/>
                <w:bCs/>
                <w:color w:val="000000"/>
                <w:sz w:val="20"/>
              </w:rPr>
            </w:pPr>
            <w:r>
              <w:rPr>
                <w:b/>
                <w:bCs/>
                <w:color w:val="000000"/>
                <w:sz w:val="20"/>
              </w:rPr>
              <w:t>67</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2922D95" w14:textId="77777777" w:rsidR="009D55EE" w:rsidRPr="001E0513" w:rsidRDefault="009D55EE" w:rsidP="009D55EE">
            <w:pPr>
              <w:spacing w:after="0"/>
              <w:ind w:left="-85"/>
              <w:rPr>
                <w:sz w:val="20"/>
                <w:szCs w:val="20"/>
              </w:rPr>
            </w:pPr>
            <w:r w:rsidRPr="001E0513">
              <w:rPr>
                <w:sz w:val="20"/>
                <w:szCs w:val="20"/>
              </w:rPr>
              <w:t>Les pièces remplacées sont elles-mêmes garanties.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CEBB1D3" w14:textId="77777777" w:rsidR="009D55EE" w:rsidRPr="001E0513" w:rsidRDefault="009D55EE" w:rsidP="009D55EE">
            <w:pPr>
              <w:spacing w:after="0" w:line="240" w:lineRule="auto"/>
              <w:jc w:val="center"/>
              <w:rPr>
                <w:color w:val="000000"/>
                <w:sz w:val="20"/>
                <w:szCs w:val="20"/>
              </w:rPr>
            </w:pPr>
            <w:r w:rsidRPr="001E0513">
              <w:rPr>
                <w:color w:val="000000"/>
                <w:sz w:val="20"/>
                <w:szCs w:val="20"/>
              </w:rPr>
              <w:t>durée</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911DFDE" w14:textId="77777777" w:rsidR="009D55EE" w:rsidRPr="001E0513" w:rsidRDefault="009D55EE" w:rsidP="009D55EE">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DC61700"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7673EE6C"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DF3854" w14:textId="369151DD" w:rsidR="009D55EE" w:rsidRPr="001E0513" w:rsidRDefault="00DA7FB7" w:rsidP="009D55EE">
            <w:pPr>
              <w:spacing w:after="0" w:line="240" w:lineRule="auto"/>
              <w:jc w:val="center"/>
              <w:rPr>
                <w:b/>
                <w:bCs/>
                <w:color w:val="000000"/>
              </w:rPr>
            </w:pPr>
            <w:r>
              <w:rPr>
                <w:b/>
                <w:bCs/>
                <w:color w:val="000000"/>
              </w:rPr>
              <w:t>68</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D80AEA8" w14:textId="77777777" w:rsidR="009D55EE" w:rsidRPr="001E0513" w:rsidRDefault="009D55EE" w:rsidP="009D55EE">
            <w:pPr>
              <w:spacing w:after="0"/>
              <w:ind w:left="-85"/>
              <w:rPr>
                <w:sz w:val="20"/>
                <w:szCs w:val="20"/>
              </w:rPr>
            </w:pPr>
            <w:r w:rsidRPr="001E0513">
              <w:rPr>
                <w:sz w:val="20"/>
                <w:szCs w:val="20"/>
              </w:rPr>
              <w:t>La garantie couvre la main d’œuvre.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CB92917" w14:textId="77777777" w:rsidR="009D55EE" w:rsidRPr="001E0513" w:rsidRDefault="009D55EE" w:rsidP="009D55EE">
            <w:pPr>
              <w:spacing w:after="0" w:line="240" w:lineRule="auto"/>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6A2AD4" w14:textId="77777777" w:rsidR="009D55EE" w:rsidRPr="001E0513" w:rsidRDefault="009D55EE" w:rsidP="009D55EE">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F9C7D4"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250D5A36"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88EA057" w14:textId="5B74156A" w:rsidR="009D55EE" w:rsidRPr="001E0513" w:rsidRDefault="00DA7FB7" w:rsidP="00DA7FB7">
            <w:pPr>
              <w:spacing w:after="0" w:line="240" w:lineRule="auto"/>
              <w:rPr>
                <w:b/>
                <w:bCs/>
                <w:color w:val="000000"/>
              </w:rPr>
            </w:pPr>
            <w:r>
              <w:rPr>
                <w:b/>
                <w:bCs/>
                <w:color w:val="000000"/>
              </w:rPr>
              <w:t xml:space="preserve"> 69</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2AA143A" w14:textId="77777777" w:rsidR="009D55EE" w:rsidRPr="001E0513" w:rsidRDefault="009D55EE" w:rsidP="009D55EE">
            <w:pPr>
              <w:spacing w:after="0"/>
              <w:ind w:left="-85"/>
              <w:rPr>
                <w:sz w:val="20"/>
                <w:szCs w:val="20"/>
              </w:rPr>
            </w:pPr>
            <w:r w:rsidRPr="001E0513">
              <w:rPr>
                <w:sz w:val="20"/>
                <w:szCs w:val="20"/>
              </w:rPr>
              <w:t>La garantie couvre les déplacements.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1D6E11F" w14:textId="77777777" w:rsidR="009D55EE" w:rsidRPr="001E0513" w:rsidRDefault="009D55EE" w:rsidP="009D55EE">
            <w:pPr>
              <w:spacing w:after="0" w:line="240" w:lineRule="auto"/>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87130B" w14:textId="77777777" w:rsidR="009D55EE" w:rsidRPr="001E0513" w:rsidRDefault="009D55EE" w:rsidP="009D55EE">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7F249FD"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66DE06FB"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C4A814B" w14:textId="37BD5B3C" w:rsidR="009D55EE" w:rsidRPr="001E0513" w:rsidRDefault="00DA7FB7" w:rsidP="009D55EE">
            <w:pPr>
              <w:spacing w:after="0" w:line="240" w:lineRule="auto"/>
              <w:jc w:val="center"/>
              <w:rPr>
                <w:b/>
                <w:bCs/>
                <w:color w:val="000000"/>
              </w:rPr>
            </w:pPr>
            <w:r>
              <w:rPr>
                <w:b/>
                <w:bCs/>
                <w:color w:val="000000"/>
              </w:rPr>
              <w:t>70</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14ECC27" w14:textId="77777777" w:rsidR="009D55EE" w:rsidRPr="001E0513" w:rsidRDefault="009D55EE" w:rsidP="009D55EE">
            <w:pPr>
              <w:spacing w:after="0"/>
              <w:ind w:left="-85"/>
              <w:rPr>
                <w:sz w:val="20"/>
                <w:szCs w:val="20"/>
              </w:rPr>
            </w:pPr>
            <w:r w:rsidRPr="001E0513">
              <w:rPr>
                <w:sz w:val="20"/>
                <w:szCs w:val="20"/>
              </w:rPr>
              <w:t>La garantie couvre le transport des pièces.</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FAA698" w14:textId="77777777" w:rsidR="009D55EE" w:rsidRPr="001E0513" w:rsidRDefault="009D55EE" w:rsidP="009D55EE">
            <w:pPr>
              <w:spacing w:after="0" w:line="240" w:lineRule="auto"/>
              <w:jc w:val="center"/>
              <w:rPr>
                <w:color w:val="000000"/>
                <w:sz w:val="20"/>
                <w:szCs w:val="20"/>
              </w:rPr>
            </w:pPr>
            <w:r w:rsidRPr="001E0513">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D5F86D" w14:textId="77777777" w:rsidR="009D55EE" w:rsidRPr="001E0513" w:rsidRDefault="009D55EE" w:rsidP="009D55EE">
            <w:pPr>
              <w:spacing w:after="0" w:line="240" w:lineRule="auto"/>
              <w:jc w:val="center"/>
              <w:rPr>
                <w:color w:val="000000"/>
              </w:rPr>
            </w:pPr>
            <w:r w:rsidRPr="001E0513">
              <w:rPr>
                <w:color w:val="00000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A833F6"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00DDF997"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EBEC83D" w14:textId="6A104C6B" w:rsidR="009D55EE" w:rsidRPr="001E0513" w:rsidRDefault="00DA7FB7" w:rsidP="009D55EE">
            <w:pPr>
              <w:spacing w:after="0" w:line="240" w:lineRule="auto"/>
              <w:jc w:val="center"/>
              <w:rPr>
                <w:b/>
                <w:bCs/>
                <w:color w:val="000000"/>
                <w:sz w:val="20"/>
              </w:rPr>
            </w:pPr>
            <w:r>
              <w:rPr>
                <w:b/>
                <w:bCs/>
                <w:color w:val="000000"/>
                <w:sz w:val="20"/>
              </w:rPr>
              <w:lastRenderedPageBreak/>
              <w:t>71</w:t>
            </w:r>
          </w:p>
        </w:tc>
        <w:tc>
          <w:tcPr>
            <w:tcW w:w="3992" w:type="dxa"/>
            <w:shd w:val="clear" w:color="auto" w:fill="auto"/>
            <w:vAlign w:val="center"/>
          </w:tcPr>
          <w:p w14:paraId="2814AC12" w14:textId="77777777" w:rsidR="009D55EE" w:rsidRPr="001E0513" w:rsidRDefault="009D55EE" w:rsidP="009D55EE">
            <w:pPr>
              <w:spacing w:after="0"/>
              <w:ind w:left="-85" w:firstLine="33"/>
              <w:rPr>
                <w:sz w:val="20"/>
                <w:szCs w:val="20"/>
              </w:rPr>
            </w:pPr>
            <w:r w:rsidRPr="001E0513">
              <w:rPr>
                <w:sz w:val="20"/>
                <w:szCs w:val="20"/>
              </w:rPr>
              <w:t>Délai de remplacement des produits en cas de défectuosité à la livraison ou en période de garantie</w:t>
            </w:r>
          </w:p>
        </w:tc>
        <w:tc>
          <w:tcPr>
            <w:tcW w:w="1418" w:type="dxa"/>
            <w:shd w:val="clear" w:color="auto" w:fill="auto"/>
            <w:vAlign w:val="center"/>
          </w:tcPr>
          <w:p w14:paraId="3C19F532" w14:textId="77777777" w:rsidR="009D55EE" w:rsidRPr="001E0513" w:rsidRDefault="009D55EE" w:rsidP="009D55EE">
            <w:pPr>
              <w:ind w:firstLine="72"/>
              <w:jc w:val="center"/>
            </w:pPr>
            <w:r w:rsidRPr="001E0513">
              <w:t>heures</w:t>
            </w:r>
          </w:p>
        </w:tc>
        <w:tc>
          <w:tcPr>
            <w:tcW w:w="567" w:type="dxa"/>
            <w:shd w:val="clear" w:color="auto" w:fill="auto"/>
            <w:vAlign w:val="center"/>
          </w:tcPr>
          <w:p w14:paraId="4AE06404" w14:textId="77777777" w:rsidR="009D55EE" w:rsidRPr="001E0513" w:rsidRDefault="009D55EE" w:rsidP="009D55EE">
            <w:pPr>
              <w:ind w:firstLine="72"/>
              <w:jc w:val="center"/>
              <w:rPr>
                <w:rFonts w:cs="Arial"/>
                <w:bCs/>
              </w:rPr>
            </w:pPr>
            <w:r w:rsidRPr="001E0513">
              <w:rPr>
                <w:rFonts w:cs="Arial"/>
                <w:bCs/>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69DA07" w14:textId="77777777" w:rsidR="009D55EE" w:rsidRPr="001E0513" w:rsidRDefault="009D55EE" w:rsidP="009D55EE">
            <w:pPr>
              <w:tabs>
                <w:tab w:val="left" w:pos="1701"/>
                <w:tab w:val="left" w:pos="6237"/>
              </w:tabs>
              <w:spacing w:after="0" w:line="240" w:lineRule="auto"/>
              <w:jc w:val="center"/>
              <w:rPr>
                <w:bCs/>
                <w:color w:val="000000"/>
                <w:spacing w:val="5"/>
              </w:rPr>
            </w:pPr>
          </w:p>
        </w:tc>
      </w:tr>
      <w:tr w:rsidR="009D55EE" w:rsidRPr="001E0513" w14:paraId="5688795B"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EBCCE6D" w14:textId="38EEBA0D" w:rsidR="009D55EE" w:rsidRPr="001E0513" w:rsidRDefault="00DA7FB7" w:rsidP="009D55EE">
            <w:pPr>
              <w:spacing w:after="0" w:line="240" w:lineRule="auto"/>
              <w:jc w:val="center"/>
              <w:rPr>
                <w:b/>
                <w:bCs/>
                <w:color w:val="000000"/>
                <w:sz w:val="20"/>
              </w:rPr>
            </w:pPr>
            <w:r>
              <w:rPr>
                <w:b/>
                <w:bCs/>
                <w:color w:val="000000"/>
                <w:sz w:val="20"/>
              </w:rPr>
              <w:t>72</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C480AC3" w14:textId="77777777" w:rsidR="009D55EE" w:rsidRPr="001E0513" w:rsidRDefault="009D55EE" w:rsidP="009D55EE">
            <w:pPr>
              <w:spacing w:after="0"/>
              <w:ind w:left="-85"/>
              <w:rPr>
                <w:sz w:val="20"/>
                <w:szCs w:val="20"/>
              </w:rPr>
            </w:pPr>
            <w:r w:rsidRPr="001E0513">
              <w:rPr>
                <w:sz w:val="20"/>
              </w:rPr>
              <w:t>En cas d’impossibilité de réparation reconnue par le fournisseur et le constructeur dans le cadre d’un défaut pris en charge sous garantie,  le remplacement ou le remboursement de l’équipement est prévu.</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2D18DA4" w14:textId="77777777" w:rsidR="009D55EE" w:rsidRPr="00DA7FB7" w:rsidRDefault="009D55EE" w:rsidP="009D55EE">
            <w:pPr>
              <w:spacing w:after="0" w:line="240" w:lineRule="auto"/>
              <w:jc w:val="center"/>
              <w:rPr>
                <w:color w:val="000000"/>
                <w:sz w:val="20"/>
                <w:szCs w:val="20"/>
              </w:rPr>
            </w:pPr>
            <w:r w:rsidRPr="00DA7FB7">
              <w:rPr>
                <w:color w:val="000000"/>
                <w:sz w:val="20"/>
                <w:szCs w:val="20"/>
              </w:rPr>
              <w:t>Oui - non</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33AC42" w14:textId="77777777" w:rsidR="009D55EE" w:rsidRPr="001E0513" w:rsidRDefault="009D55EE" w:rsidP="009D55EE">
            <w:pPr>
              <w:spacing w:after="0" w:line="240" w:lineRule="auto"/>
              <w:jc w:val="center"/>
              <w:rPr>
                <w:color w:val="000000"/>
                <w:sz w:val="20"/>
              </w:rPr>
            </w:pPr>
            <w:r w:rsidRPr="001E0513">
              <w:rPr>
                <w:color w:val="000000"/>
                <w:sz w:val="2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5645E74" w14:textId="77777777" w:rsidR="009D55EE" w:rsidRPr="001E0513" w:rsidRDefault="009D55EE" w:rsidP="009D55EE">
            <w:pPr>
              <w:tabs>
                <w:tab w:val="left" w:pos="1701"/>
                <w:tab w:val="left" w:pos="6237"/>
              </w:tabs>
              <w:spacing w:after="0" w:line="240" w:lineRule="auto"/>
              <w:jc w:val="center"/>
              <w:rPr>
                <w:bCs/>
                <w:color w:val="000000"/>
                <w:spacing w:val="5"/>
                <w:sz w:val="20"/>
              </w:rPr>
            </w:pPr>
          </w:p>
        </w:tc>
      </w:tr>
      <w:tr w:rsidR="009D55EE" w:rsidRPr="001E0513" w14:paraId="5B71BA19"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CA48381" w14:textId="5A6304CA" w:rsidR="009D55EE" w:rsidRPr="001E0513" w:rsidRDefault="00DA7FB7" w:rsidP="009D55EE">
            <w:pPr>
              <w:spacing w:after="0" w:line="240" w:lineRule="auto"/>
              <w:jc w:val="center"/>
              <w:rPr>
                <w:b/>
                <w:bCs/>
                <w:color w:val="000000"/>
                <w:sz w:val="20"/>
              </w:rPr>
            </w:pPr>
            <w:r>
              <w:rPr>
                <w:b/>
                <w:bCs/>
                <w:color w:val="000000"/>
                <w:sz w:val="20"/>
              </w:rPr>
              <w:t>73</w:t>
            </w:r>
          </w:p>
        </w:tc>
        <w:tc>
          <w:tcPr>
            <w:tcW w:w="3992" w:type="dxa"/>
            <w:shd w:val="clear" w:color="auto" w:fill="auto"/>
            <w:vAlign w:val="center"/>
          </w:tcPr>
          <w:p w14:paraId="5E55D7D5" w14:textId="77777777" w:rsidR="009D55EE" w:rsidRPr="001E0513" w:rsidRDefault="009D55EE" w:rsidP="009D55EE">
            <w:pPr>
              <w:spacing w:after="0"/>
              <w:ind w:hanging="85"/>
              <w:rPr>
                <w:rFonts w:cs="Arial"/>
                <w:bCs/>
                <w:sz w:val="20"/>
                <w:szCs w:val="20"/>
              </w:rPr>
            </w:pPr>
            <w:r w:rsidRPr="001E0513">
              <w:rPr>
                <w:rFonts w:cs="Arial"/>
                <w:bCs/>
                <w:sz w:val="20"/>
                <w:szCs w:val="20"/>
              </w:rPr>
              <w:t>Délais d’intervention maximal du service Après-Vente en période de garantie</w:t>
            </w:r>
          </w:p>
        </w:tc>
        <w:tc>
          <w:tcPr>
            <w:tcW w:w="1418" w:type="dxa"/>
            <w:shd w:val="clear" w:color="auto" w:fill="auto"/>
            <w:vAlign w:val="center"/>
          </w:tcPr>
          <w:p w14:paraId="1E45FCC5" w14:textId="77777777" w:rsidR="009D55EE" w:rsidRPr="00DA7FB7" w:rsidRDefault="009D55EE" w:rsidP="009D55EE">
            <w:pPr>
              <w:spacing w:after="0"/>
              <w:jc w:val="center"/>
              <w:rPr>
                <w:rFonts w:cs="Arial"/>
                <w:sz w:val="20"/>
                <w:szCs w:val="20"/>
              </w:rPr>
            </w:pPr>
            <w:r w:rsidRPr="00DA7FB7">
              <w:rPr>
                <w:rFonts w:cs="Arial"/>
                <w:sz w:val="20"/>
                <w:szCs w:val="20"/>
              </w:rPr>
              <w:t>Heures</w:t>
            </w:r>
          </w:p>
        </w:tc>
        <w:tc>
          <w:tcPr>
            <w:tcW w:w="567" w:type="dxa"/>
            <w:shd w:val="clear" w:color="auto" w:fill="auto"/>
            <w:vAlign w:val="center"/>
          </w:tcPr>
          <w:p w14:paraId="7DFEC4BD" w14:textId="77777777" w:rsidR="009D55EE" w:rsidRPr="001E0513" w:rsidRDefault="009D55EE" w:rsidP="009D55EE">
            <w:pPr>
              <w:spacing w:after="0"/>
              <w:jc w:val="center"/>
            </w:pPr>
            <w:r w:rsidRPr="001E0513">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CE8930" w14:textId="77777777" w:rsidR="009D55EE" w:rsidRPr="001E0513" w:rsidRDefault="009D55EE" w:rsidP="009D55EE">
            <w:pPr>
              <w:tabs>
                <w:tab w:val="left" w:pos="1701"/>
                <w:tab w:val="left" w:pos="6237"/>
              </w:tabs>
              <w:spacing w:after="0" w:line="240" w:lineRule="auto"/>
              <w:jc w:val="center"/>
              <w:rPr>
                <w:bCs/>
                <w:color w:val="000000"/>
                <w:spacing w:val="5"/>
                <w:sz w:val="20"/>
              </w:rPr>
            </w:pPr>
          </w:p>
        </w:tc>
      </w:tr>
      <w:tr w:rsidR="009D55EE" w:rsidRPr="001E0513" w14:paraId="0C0EE177"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4FD2BBF" w14:textId="7E613B62" w:rsidR="009D55EE" w:rsidRPr="001E0513" w:rsidRDefault="00DA7FB7" w:rsidP="009D55EE">
            <w:pPr>
              <w:spacing w:after="0" w:line="240" w:lineRule="auto"/>
              <w:jc w:val="center"/>
              <w:rPr>
                <w:b/>
                <w:bCs/>
                <w:color w:val="000000"/>
                <w:sz w:val="20"/>
              </w:rPr>
            </w:pPr>
            <w:r>
              <w:rPr>
                <w:b/>
                <w:bCs/>
                <w:color w:val="000000"/>
                <w:sz w:val="20"/>
              </w:rPr>
              <w:t>74</w:t>
            </w:r>
          </w:p>
        </w:tc>
        <w:tc>
          <w:tcPr>
            <w:tcW w:w="3992" w:type="dxa"/>
            <w:shd w:val="clear" w:color="auto" w:fill="auto"/>
            <w:vAlign w:val="center"/>
          </w:tcPr>
          <w:p w14:paraId="6F840FFB" w14:textId="77777777" w:rsidR="009D55EE" w:rsidRPr="001E0513" w:rsidRDefault="009D55EE" w:rsidP="009D55EE">
            <w:pPr>
              <w:spacing w:after="0"/>
              <w:ind w:hanging="85"/>
              <w:rPr>
                <w:rFonts w:cs="Arial"/>
                <w:bCs/>
                <w:sz w:val="20"/>
                <w:szCs w:val="20"/>
              </w:rPr>
            </w:pPr>
            <w:r w:rsidRPr="001E0513">
              <w:rPr>
                <w:rFonts w:cs="Arial"/>
                <w:bCs/>
                <w:sz w:val="20"/>
                <w:szCs w:val="20"/>
              </w:rPr>
              <w:t>Délais d’intervention maximal du service Après-Vente hors période de garantie</w:t>
            </w:r>
          </w:p>
        </w:tc>
        <w:tc>
          <w:tcPr>
            <w:tcW w:w="1418" w:type="dxa"/>
            <w:shd w:val="clear" w:color="auto" w:fill="auto"/>
            <w:vAlign w:val="center"/>
          </w:tcPr>
          <w:p w14:paraId="386608F8" w14:textId="77777777" w:rsidR="009D55EE" w:rsidRPr="00DA7FB7" w:rsidRDefault="009D55EE" w:rsidP="009D55EE">
            <w:pPr>
              <w:spacing w:after="0"/>
              <w:jc w:val="center"/>
              <w:rPr>
                <w:rFonts w:cs="Arial"/>
                <w:sz w:val="20"/>
                <w:szCs w:val="20"/>
              </w:rPr>
            </w:pPr>
            <w:r w:rsidRPr="00DA7FB7">
              <w:rPr>
                <w:rFonts w:cs="Arial"/>
                <w:sz w:val="20"/>
                <w:szCs w:val="20"/>
              </w:rPr>
              <w:t>Heures</w:t>
            </w:r>
          </w:p>
        </w:tc>
        <w:tc>
          <w:tcPr>
            <w:tcW w:w="567" w:type="dxa"/>
            <w:shd w:val="clear" w:color="auto" w:fill="auto"/>
            <w:vAlign w:val="center"/>
          </w:tcPr>
          <w:p w14:paraId="3D72E471" w14:textId="77777777" w:rsidR="009D55EE" w:rsidRPr="001E0513" w:rsidRDefault="009D55EE" w:rsidP="009D55EE">
            <w:pPr>
              <w:spacing w:after="0"/>
              <w:jc w:val="center"/>
            </w:pPr>
            <w:r w:rsidRPr="001E0513">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BB28E6D" w14:textId="77777777" w:rsidR="009D55EE" w:rsidRPr="001E0513" w:rsidRDefault="009D55EE" w:rsidP="009D55EE">
            <w:pPr>
              <w:tabs>
                <w:tab w:val="left" w:pos="1701"/>
                <w:tab w:val="left" w:pos="6237"/>
              </w:tabs>
              <w:spacing w:after="0" w:line="240" w:lineRule="auto"/>
              <w:jc w:val="center"/>
              <w:rPr>
                <w:bCs/>
                <w:color w:val="000000"/>
                <w:spacing w:val="5"/>
                <w:sz w:val="20"/>
              </w:rPr>
            </w:pPr>
          </w:p>
        </w:tc>
      </w:tr>
      <w:tr w:rsidR="009D55EE" w:rsidRPr="001E0513" w14:paraId="45964CDC"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EC3B11" w14:textId="7D0BAA77" w:rsidR="009D55EE" w:rsidRPr="001E0513" w:rsidRDefault="00DA7FB7" w:rsidP="009D55EE">
            <w:pPr>
              <w:spacing w:after="0" w:line="240" w:lineRule="auto"/>
              <w:jc w:val="center"/>
              <w:rPr>
                <w:b/>
                <w:bCs/>
                <w:color w:val="000000"/>
                <w:sz w:val="20"/>
              </w:rPr>
            </w:pPr>
            <w:r>
              <w:rPr>
                <w:b/>
                <w:bCs/>
                <w:color w:val="000000"/>
                <w:sz w:val="20"/>
              </w:rPr>
              <w:t>75</w:t>
            </w:r>
          </w:p>
        </w:tc>
        <w:tc>
          <w:tcPr>
            <w:tcW w:w="3992" w:type="dxa"/>
            <w:shd w:val="clear" w:color="auto" w:fill="auto"/>
            <w:vAlign w:val="center"/>
          </w:tcPr>
          <w:p w14:paraId="4EA2D4CA" w14:textId="77777777" w:rsidR="009D55EE" w:rsidRPr="001E0513" w:rsidRDefault="009D55EE" w:rsidP="009D55EE">
            <w:pPr>
              <w:spacing w:after="0"/>
              <w:ind w:hanging="85"/>
              <w:rPr>
                <w:rFonts w:cs="Arial"/>
                <w:bCs/>
                <w:sz w:val="20"/>
                <w:szCs w:val="20"/>
              </w:rPr>
            </w:pPr>
            <w:r w:rsidRPr="001E0513">
              <w:rPr>
                <w:rFonts w:cs="Arial"/>
                <w:bCs/>
                <w:sz w:val="20"/>
                <w:szCs w:val="20"/>
              </w:rPr>
              <w:t>Interventions possibles le weekend</w:t>
            </w:r>
          </w:p>
        </w:tc>
        <w:tc>
          <w:tcPr>
            <w:tcW w:w="1418" w:type="dxa"/>
            <w:shd w:val="clear" w:color="auto" w:fill="auto"/>
            <w:vAlign w:val="center"/>
          </w:tcPr>
          <w:p w14:paraId="57CA2C83" w14:textId="77777777" w:rsidR="009D55EE" w:rsidRPr="00DA7FB7" w:rsidRDefault="009D55EE" w:rsidP="009D55EE">
            <w:pPr>
              <w:spacing w:after="0"/>
              <w:jc w:val="center"/>
              <w:rPr>
                <w:rFonts w:cs="Arial"/>
                <w:sz w:val="20"/>
                <w:szCs w:val="20"/>
              </w:rPr>
            </w:pPr>
            <w:r w:rsidRPr="00DA7FB7">
              <w:rPr>
                <w:rFonts w:cs="Arial"/>
                <w:sz w:val="20"/>
                <w:szCs w:val="20"/>
              </w:rPr>
              <w:t>Oui-non</w:t>
            </w:r>
          </w:p>
        </w:tc>
        <w:tc>
          <w:tcPr>
            <w:tcW w:w="567" w:type="dxa"/>
            <w:shd w:val="clear" w:color="auto" w:fill="auto"/>
            <w:vAlign w:val="center"/>
          </w:tcPr>
          <w:p w14:paraId="021A8359" w14:textId="77777777" w:rsidR="009D55EE" w:rsidRPr="001E0513" w:rsidRDefault="009D55EE" w:rsidP="009D55EE">
            <w:pPr>
              <w:spacing w:after="0"/>
              <w:jc w:val="center"/>
            </w:pPr>
            <w:r w:rsidRPr="001E0513">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2D9412" w14:textId="77777777" w:rsidR="009D55EE" w:rsidRPr="001E0513" w:rsidRDefault="009D55EE" w:rsidP="009D55EE">
            <w:pPr>
              <w:tabs>
                <w:tab w:val="left" w:pos="1701"/>
                <w:tab w:val="left" w:pos="6237"/>
              </w:tabs>
              <w:spacing w:after="0" w:line="240" w:lineRule="auto"/>
              <w:jc w:val="center"/>
              <w:rPr>
                <w:bCs/>
                <w:color w:val="000000"/>
                <w:spacing w:val="5"/>
                <w:sz w:val="20"/>
              </w:rPr>
            </w:pPr>
          </w:p>
        </w:tc>
      </w:tr>
      <w:tr w:rsidR="009D55EE" w:rsidRPr="001E0513" w14:paraId="6107A6E2"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20F67FE" w14:textId="7ABA14CB" w:rsidR="009D55EE" w:rsidRPr="001E0513" w:rsidRDefault="00DA7FB7" w:rsidP="009D55EE">
            <w:pPr>
              <w:spacing w:after="0" w:line="240" w:lineRule="auto"/>
              <w:jc w:val="center"/>
              <w:rPr>
                <w:b/>
                <w:bCs/>
                <w:color w:val="000000"/>
                <w:sz w:val="20"/>
              </w:rPr>
            </w:pPr>
            <w:r>
              <w:rPr>
                <w:b/>
                <w:bCs/>
                <w:color w:val="000000"/>
                <w:sz w:val="20"/>
              </w:rPr>
              <w:t>76</w:t>
            </w:r>
          </w:p>
        </w:tc>
        <w:tc>
          <w:tcPr>
            <w:tcW w:w="3992"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154D79" w14:textId="77777777" w:rsidR="009D55EE" w:rsidRPr="001E0513" w:rsidRDefault="009D55EE" w:rsidP="009D55EE">
            <w:pPr>
              <w:spacing w:after="0"/>
              <w:ind w:hanging="85"/>
              <w:rPr>
                <w:sz w:val="20"/>
                <w:szCs w:val="20"/>
              </w:rPr>
            </w:pPr>
            <w:r w:rsidRPr="001E0513">
              <w:rPr>
                <w:sz w:val="20"/>
                <w:szCs w:val="20"/>
              </w:rPr>
              <w:t>Une astreinte téléphonique est-elle assurée</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49D867" w14:textId="77777777" w:rsidR="009D55EE" w:rsidRPr="00DA7FB7" w:rsidRDefault="009D55EE" w:rsidP="009D55EE">
            <w:pPr>
              <w:spacing w:after="0" w:line="240" w:lineRule="auto"/>
              <w:ind w:left="-108" w:right="-108"/>
              <w:jc w:val="center"/>
              <w:rPr>
                <w:color w:val="000000"/>
                <w:sz w:val="20"/>
                <w:szCs w:val="20"/>
              </w:rPr>
            </w:pPr>
            <w:r w:rsidRPr="00DA7FB7">
              <w:rPr>
                <w:color w:val="000000"/>
                <w:sz w:val="20"/>
                <w:szCs w:val="20"/>
              </w:rPr>
              <w:t>Oui – non Préciser les horaires de fonctionnement</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BFF98CB" w14:textId="77777777" w:rsidR="009D55EE" w:rsidRPr="001E0513" w:rsidRDefault="009D55EE" w:rsidP="009D55EE">
            <w:pPr>
              <w:spacing w:after="0" w:line="240" w:lineRule="auto"/>
              <w:jc w:val="center"/>
              <w:rPr>
                <w:color w:val="000000"/>
                <w:sz w:val="20"/>
              </w:rPr>
            </w:pPr>
            <w:r w:rsidRPr="001E0513">
              <w:rPr>
                <w:color w:val="000000"/>
                <w:sz w:val="2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95987D" w14:textId="77777777" w:rsidR="009D55EE" w:rsidRPr="001E0513" w:rsidRDefault="009D55EE" w:rsidP="009D55EE">
            <w:pPr>
              <w:tabs>
                <w:tab w:val="left" w:pos="1701"/>
                <w:tab w:val="left" w:pos="6237"/>
              </w:tabs>
              <w:spacing w:after="0" w:line="240" w:lineRule="auto"/>
              <w:jc w:val="center"/>
              <w:rPr>
                <w:bCs/>
                <w:color w:val="000000"/>
                <w:spacing w:val="5"/>
                <w:sz w:val="20"/>
              </w:rPr>
            </w:pPr>
          </w:p>
        </w:tc>
      </w:tr>
      <w:tr w:rsidR="009D55EE" w:rsidRPr="001E0513" w14:paraId="7866149D"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D9A2422" w14:textId="78A1049C" w:rsidR="009D55EE" w:rsidRPr="001E0513" w:rsidRDefault="00DA7FB7" w:rsidP="009D55EE">
            <w:pPr>
              <w:spacing w:after="0" w:line="240" w:lineRule="auto"/>
              <w:jc w:val="center"/>
              <w:rPr>
                <w:b/>
                <w:bCs/>
                <w:color w:val="000000"/>
                <w:sz w:val="20"/>
              </w:rPr>
            </w:pPr>
            <w:r>
              <w:rPr>
                <w:b/>
                <w:bCs/>
                <w:color w:val="000000"/>
                <w:sz w:val="20"/>
              </w:rPr>
              <w:t>77</w:t>
            </w:r>
          </w:p>
        </w:tc>
        <w:tc>
          <w:tcPr>
            <w:tcW w:w="3992" w:type="dxa"/>
            <w:shd w:val="clear" w:color="auto" w:fill="auto"/>
            <w:vAlign w:val="center"/>
          </w:tcPr>
          <w:p w14:paraId="1D692C1B" w14:textId="77777777" w:rsidR="009D55EE" w:rsidRPr="001E0513" w:rsidRDefault="009D55EE" w:rsidP="009D55EE">
            <w:pPr>
              <w:ind w:left="-108" w:right="-108" w:firstLine="23"/>
              <w:rPr>
                <w:rFonts w:cs="Arial"/>
                <w:b/>
                <w:sz w:val="20"/>
                <w:szCs w:val="20"/>
              </w:rPr>
            </w:pPr>
            <w:r w:rsidRPr="001E0513">
              <w:rPr>
                <w:rFonts w:cs="Arial"/>
                <w:sz w:val="20"/>
                <w:szCs w:val="20"/>
              </w:rPr>
              <w:t>Hot line pour assistance technique 24h/24 – 7j/7.</w:t>
            </w:r>
          </w:p>
        </w:tc>
        <w:tc>
          <w:tcPr>
            <w:tcW w:w="141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CDD61B" w14:textId="77777777" w:rsidR="009D55EE" w:rsidRPr="00DA7FB7" w:rsidRDefault="009D55EE" w:rsidP="009D55EE">
            <w:pPr>
              <w:spacing w:after="0" w:line="240" w:lineRule="auto"/>
              <w:jc w:val="center"/>
              <w:rPr>
                <w:color w:val="000000"/>
                <w:sz w:val="20"/>
                <w:szCs w:val="20"/>
              </w:rPr>
            </w:pPr>
            <w:r w:rsidRPr="00DA7FB7">
              <w:rPr>
                <w:color w:val="000000"/>
                <w:sz w:val="20"/>
                <w:szCs w:val="20"/>
              </w:rPr>
              <w:t>Oui – non Préciser</w:t>
            </w:r>
          </w:p>
        </w:tc>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19BC2E6" w14:textId="77777777" w:rsidR="009D55EE" w:rsidRPr="001E0513" w:rsidRDefault="009D55EE" w:rsidP="009D55EE">
            <w:pPr>
              <w:spacing w:after="0" w:line="240" w:lineRule="auto"/>
              <w:jc w:val="center"/>
              <w:rPr>
                <w:color w:val="000000"/>
                <w:sz w:val="20"/>
              </w:rPr>
            </w:pPr>
            <w:r w:rsidRPr="001E0513">
              <w:rPr>
                <w:color w:val="000000"/>
                <w:sz w:val="20"/>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F90930C" w14:textId="77777777" w:rsidR="009D55EE" w:rsidRPr="001E0513" w:rsidRDefault="009D55EE" w:rsidP="009D55EE">
            <w:pPr>
              <w:tabs>
                <w:tab w:val="left" w:pos="1701"/>
                <w:tab w:val="left" w:pos="6237"/>
              </w:tabs>
              <w:spacing w:after="0" w:line="240" w:lineRule="auto"/>
              <w:jc w:val="center"/>
              <w:rPr>
                <w:bCs/>
                <w:color w:val="000000"/>
                <w:spacing w:val="5"/>
                <w:sz w:val="20"/>
              </w:rPr>
            </w:pPr>
          </w:p>
        </w:tc>
      </w:tr>
      <w:tr w:rsidR="009D55EE" w:rsidRPr="001E0513" w14:paraId="60F392B6" w14:textId="77777777" w:rsidTr="00654EED">
        <w:trPr>
          <w:trHeight w:val="20"/>
        </w:trPr>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31CDDB" w14:textId="4EAEE8BD" w:rsidR="009D55EE" w:rsidRPr="001E0513" w:rsidRDefault="00DA7FB7" w:rsidP="009D55EE">
            <w:pPr>
              <w:spacing w:after="0" w:line="240" w:lineRule="auto"/>
              <w:jc w:val="center"/>
              <w:rPr>
                <w:b/>
                <w:bCs/>
                <w:color w:val="000000"/>
                <w:sz w:val="20"/>
              </w:rPr>
            </w:pPr>
            <w:r>
              <w:rPr>
                <w:b/>
                <w:bCs/>
                <w:color w:val="000000"/>
                <w:sz w:val="20"/>
              </w:rPr>
              <w:t>78</w:t>
            </w:r>
          </w:p>
        </w:tc>
        <w:tc>
          <w:tcPr>
            <w:tcW w:w="3992" w:type="dxa"/>
            <w:shd w:val="clear" w:color="auto" w:fill="auto"/>
            <w:vAlign w:val="center"/>
          </w:tcPr>
          <w:p w14:paraId="34B35075" w14:textId="77777777" w:rsidR="009D55EE" w:rsidRPr="001E0513" w:rsidRDefault="009D55EE" w:rsidP="009D55EE">
            <w:pPr>
              <w:ind w:left="-108" w:right="-108" w:firstLine="23"/>
              <w:rPr>
                <w:rFonts w:cs="Arial"/>
                <w:b/>
                <w:sz w:val="20"/>
                <w:szCs w:val="20"/>
              </w:rPr>
            </w:pPr>
            <w:r w:rsidRPr="001E0513">
              <w:rPr>
                <w:rFonts w:cs="Arial"/>
                <w:sz w:val="20"/>
                <w:szCs w:val="20"/>
              </w:rPr>
              <w:t>Remplacement d’un équipement défectueux indiquer :</w:t>
            </w:r>
          </w:p>
          <w:p w14:paraId="5E2262C2" w14:textId="77777777" w:rsidR="009D55EE" w:rsidRPr="001E0513" w:rsidRDefault="009D55EE" w:rsidP="009D55EE">
            <w:pPr>
              <w:numPr>
                <w:ilvl w:val="0"/>
                <w:numId w:val="10"/>
              </w:numPr>
              <w:tabs>
                <w:tab w:val="num" w:pos="420"/>
              </w:tabs>
              <w:spacing w:after="0" w:line="240" w:lineRule="auto"/>
              <w:ind w:left="-108" w:right="-108" w:firstLine="23"/>
              <w:rPr>
                <w:rFonts w:cs="Arial"/>
                <w:b/>
                <w:sz w:val="20"/>
                <w:szCs w:val="20"/>
              </w:rPr>
            </w:pPr>
            <w:r w:rsidRPr="001E0513">
              <w:rPr>
                <w:rFonts w:cs="Arial"/>
                <w:sz w:val="20"/>
                <w:szCs w:val="20"/>
              </w:rPr>
              <w:t>Délai</w:t>
            </w:r>
          </w:p>
          <w:p w14:paraId="6833868A" w14:textId="77777777" w:rsidR="009D55EE" w:rsidRPr="001E0513" w:rsidRDefault="009D55EE" w:rsidP="009D55EE">
            <w:pPr>
              <w:numPr>
                <w:ilvl w:val="0"/>
                <w:numId w:val="10"/>
              </w:numPr>
              <w:tabs>
                <w:tab w:val="num" w:pos="420"/>
              </w:tabs>
              <w:spacing w:after="0" w:line="240" w:lineRule="auto"/>
              <w:ind w:left="-108" w:right="-108" w:firstLine="23"/>
              <w:rPr>
                <w:rFonts w:cs="Arial"/>
                <w:b/>
                <w:sz w:val="20"/>
                <w:szCs w:val="20"/>
              </w:rPr>
            </w:pPr>
            <w:r w:rsidRPr="001E0513">
              <w:rPr>
                <w:rFonts w:cs="Arial"/>
                <w:sz w:val="20"/>
                <w:szCs w:val="20"/>
              </w:rPr>
              <w:t>Conditions</w:t>
            </w:r>
          </w:p>
          <w:p w14:paraId="1BBD42B6" w14:textId="77777777" w:rsidR="009D55EE" w:rsidRPr="001E0513" w:rsidRDefault="009D55EE" w:rsidP="009D55EE">
            <w:pPr>
              <w:numPr>
                <w:ilvl w:val="0"/>
                <w:numId w:val="10"/>
              </w:numPr>
              <w:tabs>
                <w:tab w:val="num" w:pos="420"/>
              </w:tabs>
              <w:spacing w:after="0" w:line="240" w:lineRule="auto"/>
              <w:ind w:left="-108" w:right="-108" w:firstLine="23"/>
              <w:rPr>
                <w:rFonts w:cs="Arial"/>
                <w:b/>
                <w:sz w:val="20"/>
                <w:szCs w:val="20"/>
              </w:rPr>
            </w:pPr>
            <w:r w:rsidRPr="001E0513">
              <w:rPr>
                <w:rFonts w:cs="Arial"/>
                <w:sz w:val="20"/>
                <w:szCs w:val="20"/>
              </w:rPr>
              <w:t>Modalités</w:t>
            </w:r>
          </w:p>
        </w:tc>
        <w:tc>
          <w:tcPr>
            <w:tcW w:w="1418" w:type="dxa"/>
            <w:shd w:val="clear" w:color="auto" w:fill="auto"/>
            <w:vAlign w:val="center"/>
          </w:tcPr>
          <w:p w14:paraId="46B50D25" w14:textId="77777777" w:rsidR="009D55EE" w:rsidRPr="00DA7FB7" w:rsidRDefault="009D55EE" w:rsidP="009D55EE">
            <w:pPr>
              <w:jc w:val="center"/>
              <w:rPr>
                <w:rFonts w:cs="Arial"/>
                <w:sz w:val="20"/>
                <w:szCs w:val="20"/>
              </w:rPr>
            </w:pPr>
            <w:r w:rsidRPr="00DA7FB7">
              <w:rPr>
                <w:rFonts w:cs="Arial"/>
                <w:sz w:val="20"/>
                <w:szCs w:val="20"/>
              </w:rPr>
              <w:t>Préciser</w:t>
            </w:r>
          </w:p>
        </w:tc>
        <w:tc>
          <w:tcPr>
            <w:tcW w:w="567" w:type="dxa"/>
            <w:shd w:val="clear" w:color="auto" w:fill="auto"/>
            <w:vAlign w:val="center"/>
          </w:tcPr>
          <w:p w14:paraId="2AC613CB" w14:textId="77777777" w:rsidR="009D55EE" w:rsidRPr="001E0513" w:rsidRDefault="009D55EE" w:rsidP="009D55EE">
            <w:pPr>
              <w:tabs>
                <w:tab w:val="left" w:pos="1701"/>
                <w:tab w:val="left" w:pos="6237"/>
              </w:tabs>
              <w:jc w:val="center"/>
              <w:rPr>
                <w:rStyle w:val="lev"/>
                <w:b w:val="0"/>
                <w:color w:val="000000" w:themeColor="text1"/>
              </w:rPr>
            </w:pPr>
            <w:r w:rsidRPr="001E0513">
              <w:rPr>
                <w:rStyle w:val="lev"/>
                <w:b w:val="0"/>
                <w:color w:val="000000" w:themeColor="text1"/>
              </w:rPr>
              <w:t>X</w:t>
            </w:r>
          </w:p>
        </w:tc>
        <w:tc>
          <w:tcPr>
            <w:tcW w:w="3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BF213F0" w14:textId="77777777" w:rsidR="009D55EE" w:rsidRPr="001E0513" w:rsidRDefault="009D55EE" w:rsidP="009D55EE">
            <w:pPr>
              <w:tabs>
                <w:tab w:val="left" w:pos="1701"/>
                <w:tab w:val="left" w:pos="6237"/>
              </w:tabs>
              <w:spacing w:after="0" w:line="240" w:lineRule="auto"/>
              <w:jc w:val="center"/>
              <w:rPr>
                <w:bCs/>
                <w:color w:val="000000"/>
                <w:spacing w:val="5"/>
                <w:sz w:val="20"/>
              </w:rPr>
            </w:pPr>
          </w:p>
        </w:tc>
      </w:tr>
    </w:tbl>
    <w:p w14:paraId="7B50369E" w14:textId="77777777" w:rsidR="00215B58" w:rsidRPr="00406BB2" w:rsidRDefault="00215B58" w:rsidP="00215B58">
      <w:pPr>
        <w:rPr>
          <w:highlight w:val="green"/>
        </w:rPr>
      </w:pPr>
    </w:p>
    <w:p w14:paraId="4F4C37D2" w14:textId="77777777" w:rsidR="00215B58" w:rsidRPr="00406BB2" w:rsidRDefault="00215B58" w:rsidP="00215B58">
      <w:pPr>
        <w:rPr>
          <w:highlight w:val="green"/>
        </w:rPr>
      </w:pPr>
    </w:p>
    <w:p w14:paraId="3A0646D6" w14:textId="77777777" w:rsidR="00293B04" w:rsidRPr="00406BB2" w:rsidRDefault="00293B04" w:rsidP="00215B58">
      <w:pPr>
        <w:rPr>
          <w:highlight w:val="green"/>
        </w:rPr>
      </w:pPr>
    </w:p>
    <w:p w14:paraId="1DD84787" w14:textId="77777777" w:rsidR="00215B58" w:rsidRPr="001E0513" w:rsidRDefault="00215B58" w:rsidP="00215B58">
      <w:pPr>
        <w:tabs>
          <w:tab w:val="left" w:pos="1701"/>
          <w:tab w:val="left" w:pos="6237"/>
        </w:tabs>
        <w:jc w:val="right"/>
        <w:rPr>
          <w:rFonts w:ascii="Calibri" w:hAnsi="Calibri"/>
          <w:i/>
          <w:iCs/>
          <w:color w:val="622423"/>
        </w:rPr>
      </w:pPr>
      <w:r w:rsidRPr="001E0513">
        <w:rPr>
          <w:rFonts w:ascii="Calibri" w:hAnsi="Calibri"/>
          <w:i/>
          <w:iCs/>
          <w:color w:val="622423"/>
        </w:rPr>
        <w:t xml:space="preserve">Date, cachet, </w:t>
      </w:r>
      <w:proofErr w:type="gramStart"/>
      <w:r w:rsidRPr="001E0513">
        <w:rPr>
          <w:rFonts w:ascii="Calibri" w:hAnsi="Calibri"/>
          <w:i/>
          <w:iCs/>
          <w:color w:val="622423"/>
        </w:rPr>
        <w:t>signature précédés</w:t>
      </w:r>
      <w:proofErr w:type="gramEnd"/>
      <w:r w:rsidRPr="001E0513">
        <w:rPr>
          <w:rFonts w:ascii="Calibri" w:hAnsi="Calibri"/>
          <w:i/>
          <w:iCs/>
          <w:color w:val="622423"/>
        </w:rPr>
        <w:t xml:space="preserve"> du nom du signataire</w:t>
      </w:r>
    </w:p>
    <w:p w14:paraId="3198C220" w14:textId="77777777" w:rsidR="00491E04" w:rsidRPr="00406BB2" w:rsidRDefault="00491E04" w:rsidP="00491E04">
      <w:pPr>
        <w:jc w:val="center"/>
        <w:rPr>
          <w:rFonts w:ascii="Times New Roman" w:eastAsia="Arial Unicode MS" w:hAnsi="Times New Roman"/>
          <w:sz w:val="24"/>
          <w:szCs w:val="24"/>
          <w:highlight w:val="green"/>
        </w:rPr>
      </w:pPr>
    </w:p>
    <w:p w14:paraId="63FFEFC1" w14:textId="77777777" w:rsidR="00707BCC" w:rsidRPr="00406BB2" w:rsidRDefault="00707BCC" w:rsidP="00707BCC">
      <w:pPr>
        <w:spacing w:after="0" w:line="276" w:lineRule="auto"/>
        <w:jc w:val="both"/>
        <w:rPr>
          <w:rFonts w:cs="Arial"/>
          <w:highlight w:val="green"/>
        </w:rPr>
      </w:pPr>
    </w:p>
    <w:p w14:paraId="4C5C05D7" w14:textId="3BCDD3D5" w:rsidR="006C6201" w:rsidRPr="001E0513" w:rsidRDefault="006C6201" w:rsidP="00954806">
      <w:pPr>
        <w:pageBreakBefore/>
        <w:pBdr>
          <w:bottom w:val="thinThickSmallGap" w:sz="12" w:space="1" w:color="943634"/>
        </w:pBdr>
        <w:spacing w:before="400"/>
        <w:jc w:val="center"/>
        <w:outlineLvl w:val="0"/>
        <w:rPr>
          <w:rFonts w:eastAsia="Arial Unicode MS"/>
          <w:caps/>
          <w:spacing w:val="20"/>
          <w:sz w:val="28"/>
          <w:szCs w:val="28"/>
        </w:rPr>
      </w:pPr>
      <w:bookmarkStart w:id="61" w:name="_Toc175128599"/>
      <w:r w:rsidRPr="001E0513">
        <w:rPr>
          <w:rFonts w:eastAsia="Arial Unicode MS"/>
          <w:caps/>
          <w:spacing w:val="20"/>
          <w:sz w:val="28"/>
          <w:szCs w:val="28"/>
        </w:rPr>
        <w:lastRenderedPageBreak/>
        <w:t xml:space="preserve">Annexe </w:t>
      </w:r>
      <w:r w:rsidR="00E43ED1" w:rsidRPr="001E0513">
        <w:rPr>
          <w:rFonts w:eastAsia="Arial Unicode MS"/>
          <w:caps/>
          <w:spacing w:val="20"/>
          <w:sz w:val="28"/>
          <w:szCs w:val="28"/>
        </w:rPr>
        <w:t>2</w:t>
      </w:r>
      <w:r w:rsidRPr="001E0513">
        <w:rPr>
          <w:rFonts w:eastAsia="Arial Unicode MS"/>
          <w:caps/>
          <w:spacing w:val="20"/>
          <w:sz w:val="28"/>
          <w:szCs w:val="28"/>
        </w:rPr>
        <w:t xml:space="preserve"> : </w:t>
      </w:r>
      <w:r w:rsidR="00707BCC" w:rsidRPr="001E0513">
        <w:rPr>
          <w:rFonts w:eastAsia="Arial Unicode MS"/>
          <w:caps/>
          <w:spacing w:val="20"/>
          <w:sz w:val="28"/>
          <w:szCs w:val="28"/>
        </w:rPr>
        <w:t>G</w:t>
      </w:r>
      <w:r w:rsidRPr="001E0513">
        <w:rPr>
          <w:rFonts w:eastAsia="Arial Unicode MS"/>
          <w:caps/>
          <w:spacing w:val="20"/>
          <w:sz w:val="28"/>
          <w:szCs w:val="28"/>
        </w:rPr>
        <w:t xml:space="preserve">uide securite des technologies sans-contact pour le contrôle des acces physiques </w:t>
      </w:r>
      <w:r w:rsidR="004C7EF9" w:rsidRPr="001E0513">
        <w:rPr>
          <w:rFonts w:eastAsia="Arial Unicode MS"/>
          <w:caps/>
          <w:spacing w:val="20"/>
          <w:sz w:val="28"/>
          <w:szCs w:val="28"/>
        </w:rPr>
        <w:t>de l’ANSSI.</w:t>
      </w:r>
      <w:bookmarkEnd w:id="61"/>
    </w:p>
    <w:p w14:paraId="0158D623" w14:textId="77777777" w:rsidR="006C6201" w:rsidRPr="001E0513" w:rsidRDefault="006C6201" w:rsidP="000F6DAC">
      <w:pPr>
        <w:tabs>
          <w:tab w:val="left" w:pos="1701"/>
          <w:tab w:val="left" w:pos="6237"/>
        </w:tabs>
        <w:rPr>
          <w:rFonts w:ascii="Calibri" w:hAnsi="Calibri"/>
          <w:iCs/>
          <w:color w:val="622423"/>
        </w:rPr>
      </w:pPr>
    </w:p>
    <w:p w14:paraId="481BA5B3" w14:textId="7D457AB2" w:rsidR="006B28DA" w:rsidRDefault="006C6201" w:rsidP="004E4E84">
      <w:pPr>
        <w:ind w:right="425"/>
        <w:jc w:val="center"/>
        <w:rPr>
          <w:rFonts w:eastAsia="Arial Unicode MS"/>
          <w:sz w:val="24"/>
          <w:szCs w:val="24"/>
        </w:rPr>
      </w:pPr>
      <w:r w:rsidRPr="001E0513">
        <w:rPr>
          <w:rFonts w:eastAsia="Arial Unicode MS"/>
          <w:sz w:val="24"/>
          <w:szCs w:val="24"/>
        </w:rPr>
        <w:t>Document annexe joint.</w:t>
      </w:r>
    </w:p>
    <w:p w14:paraId="452A34F7" w14:textId="77777777" w:rsidR="006B28DA" w:rsidRPr="006B28DA" w:rsidRDefault="006B28DA" w:rsidP="006B28DA">
      <w:pPr>
        <w:rPr>
          <w:rFonts w:eastAsia="Arial Unicode MS"/>
          <w:sz w:val="24"/>
          <w:szCs w:val="24"/>
        </w:rPr>
      </w:pPr>
    </w:p>
    <w:p w14:paraId="24F6B6D3" w14:textId="77777777" w:rsidR="006B28DA" w:rsidRPr="006B28DA" w:rsidRDefault="006B28DA" w:rsidP="006B28DA">
      <w:pPr>
        <w:rPr>
          <w:rFonts w:eastAsia="Arial Unicode MS"/>
          <w:sz w:val="24"/>
          <w:szCs w:val="24"/>
        </w:rPr>
      </w:pPr>
    </w:p>
    <w:p w14:paraId="0794B82D" w14:textId="77777777" w:rsidR="006B28DA" w:rsidRPr="006B28DA" w:rsidRDefault="006B28DA" w:rsidP="006B28DA">
      <w:pPr>
        <w:rPr>
          <w:rFonts w:eastAsia="Arial Unicode MS"/>
          <w:sz w:val="24"/>
          <w:szCs w:val="24"/>
        </w:rPr>
      </w:pPr>
    </w:p>
    <w:p w14:paraId="6D80F81F" w14:textId="29B8DA67" w:rsidR="006B28DA" w:rsidRDefault="006B28DA" w:rsidP="006B28DA">
      <w:pPr>
        <w:rPr>
          <w:rFonts w:eastAsia="Arial Unicode MS"/>
          <w:sz w:val="24"/>
          <w:szCs w:val="24"/>
        </w:rPr>
      </w:pPr>
    </w:p>
    <w:p w14:paraId="339F6070" w14:textId="6D1C1D71" w:rsidR="006C6201" w:rsidRPr="006B28DA" w:rsidRDefault="006B28DA" w:rsidP="006B28DA">
      <w:pPr>
        <w:tabs>
          <w:tab w:val="left" w:pos="3360"/>
        </w:tabs>
        <w:rPr>
          <w:rFonts w:eastAsia="Arial Unicode MS"/>
          <w:sz w:val="24"/>
          <w:szCs w:val="24"/>
        </w:rPr>
      </w:pPr>
      <w:r>
        <w:rPr>
          <w:rFonts w:eastAsia="Arial Unicode MS"/>
          <w:sz w:val="24"/>
          <w:szCs w:val="24"/>
        </w:rPr>
        <w:tab/>
      </w:r>
    </w:p>
    <w:p w14:paraId="67B0AB94" w14:textId="051492EA" w:rsidR="006C6201" w:rsidRPr="001E0513" w:rsidRDefault="00D0062E" w:rsidP="006B28DA">
      <w:pPr>
        <w:pageBreakBefore/>
        <w:pBdr>
          <w:bottom w:val="thinThickSmallGap" w:sz="12" w:space="1" w:color="943634"/>
        </w:pBdr>
        <w:spacing w:before="400"/>
        <w:jc w:val="center"/>
        <w:outlineLvl w:val="0"/>
        <w:rPr>
          <w:rFonts w:eastAsia="Arial Unicode MS"/>
          <w:caps/>
          <w:spacing w:val="20"/>
          <w:sz w:val="28"/>
          <w:szCs w:val="28"/>
        </w:rPr>
      </w:pPr>
      <w:bookmarkStart w:id="62" w:name="_Toc175128600"/>
      <w:r w:rsidRPr="001E0513">
        <w:rPr>
          <w:rFonts w:eastAsia="Arial Unicode MS"/>
          <w:caps/>
          <w:spacing w:val="20"/>
          <w:sz w:val="28"/>
          <w:szCs w:val="28"/>
        </w:rPr>
        <w:lastRenderedPageBreak/>
        <w:t>Annexe 3</w:t>
      </w:r>
      <w:r w:rsidR="006C6201" w:rsidRPr="001E0513">
        <w:rPr>
          <w:rFonts w:eastAsia="Arial Unicode MS"/>
          <w:caps/>
          <w:spacing w:val="20"/>
          <w:sz w:val="28"/>
          <w:szCs w:val="28"/>
        </w:rPr>
        <w:t xml:space="preserve"> : </w:t>
      </w:r>
      <w:r w:rsidR="00707BCC" w:rsidRPr="001E0513">
        <w:rPr>
          <w:rFonts w:eastAsia="Arial Unicode MS"/>
          <w:caps/>
          <w:spacing w:val="20"/>
          <w:sz w:val="28"/>
          <w:szCs w:val="28"/>
        </w:rPr>
        <w:t>G</w:t>
      </w:r>
      <w:r w:rsidR="006C6201" w:rsidRPr="001E0513">
        <w:rPr>
          <w:rFonts w:eastAsia="Arial Unicode MS"/>
          <w:caps/>
          <w:spacing w:val="20"/>
          <w:sz w:val="28"/>
          <w:szCs w:val="28"/>
        </w:rPr>
        <w:t>uide de la mise en œuvre de la partie sans-contact des cartes cpx – ASIp sante</w:t>
      </w:r>
      <w:bookmarkEnd w:id="62"/>
    </w:p>
    <w:p w14:paraId="7FB3331D" w14:textId="77777777" w:rsidR="006C6201" w:rsidRPr="001E0513" w:rsidRDefault="006C6201" w:rsidP="000F6DAC">
      <w:pPr>
        <w:tabs>
          <w:tab w:val="left" w:pos="1701"/>
          <w:tab w:val="left" w:pos="6237"/>
        </w:tabs>
        <w:rPr>
          <w:rFonts w:ascii="Calibri" w:hAnsi="Calibri"/>
          <w:iCs/>
          <w:color w:val="622423"/>
        </w:rPr>
      </w:pPr>
    </w:p>
    <w:p w14:paraId="18BCE463" w14:textId="77777777" w:rsidR="006C6201" w:rsidRPr="001E0513" w:rsidRDefault="006C6201" w:rsidP="004E4E84">
      <w:pPr>
        <w:ind w:right="425"/>
        <w:jc w:val="center"/>
        <w:rPr>
          <w:rFonts w:eastAsia="Arial Unicode MS"/>
          <w:sz w:val="24"/>
        </w:rPr>
      </w:pPr>
      <w:r w:rsidRPr="001E0513">
        <w:rPr>
          <w:rFonts w:eastAsia="Arial Unicode MS"/>
          <w:sz w:val="24"/>
        </w:rPr>
        <w:t>Document annexe joint.</w:t>
      </w:r>
    </w:p>
    <w:p w14:paraId="21925F64" w14:textId="77777777" w:rsidR="006C6201" w:rsidRPr="00406BB2" w:rsidRDefault="006C6201" w:rsidP="000F6DAC">
      <w:pPr>
        <w:tabs>
          <w:tab w:val="left" w:pos="1701"/>
          <w:tab w:val="left" w:pos="6237"/>
        </w:tabs>
        <w:rPr>
          <w:rFonts w:ascii="Calibri" w:hAnsi="Calibri"/>
          <w:iCs/>
          <w:color w:val="622423"/>
          <w:highlight w:val="green"/>
        </w:rPr>
      </w:pPr>
    </w:p>
    <w:p w14:paraId="0762465D" w14:textId="77777777" w:rsidR="00855169" w:rsidRPr="00406BB2" w:rsidRDefault="00855169" w:rsidP="000F6DAC">
      <w:pPr>
        <w:tabs>
          <w:tab w:val="left" w:pos="1701"/>
          <w:tab w:val="left" w:pos="6237"/>
        </w:tabs>
        <w:rPr>
          <w:rFonts w:ascii="Calibri" w:hAnsi="Calibri"/>
          <w:iCs/>
          <w:color w:val="622423"/>
          <w:highlight w:val="green"/>
        </w:rPr>
      </w:pPr>
    </w:p>
    <w:p w14:paraId="603218C1" w14:textId="77777777" w:rsidR="00855169" w:rsidRPr="00406BB2" w:rsidRDefault="00855169" w:rsidP="000F6DAC">
      <w:pPr>
        <w:tabs>
          <w:tab w:val="left" w:pos="1701"/>
          <w:tab w:val="left" w:pos="6237"/>
        </w:tabs>
        <w:rPr>
          <w:rFonts w:ascii="Calibri" w:hAnsi="Calibri"/>
          <w:iCs/>
          <w:color w:val="622423"/>
          <w:highlight w:val="green"/>
        </w:rPr>
      </w:pPr>
    </w:p>
    <w:p w14:paraId="7CEC7C13" w14:textId="77777777" w:rsidR="00855169" w:rsidRPr="00406BB2" w:rsidRDefault="00855169" w:rsidP="000F6DAC">
      <w:pPr>
        <w:tabs>
          <w:tab w:val="left" w:pos="1701"/>
          <w:tab w:val="left" w:pos="6237"/>
        </w:tabs>
        <w:rPr>
          <w:rFonts w:ascii="Calibri" w:hAnsi="Calibri"/>
          <w:iCs/>
          <w:color w:val="622423"/>
          <w:highlight w:val="green"/>
        </w:rPr>
      </w:pPr>
    </w:p>
    <w:p w14:paraId="1760EE8C" w14:textId="77777777" w:rsidR="00855169" w:rsidRPr="00406BB2" w:rsidRDefault="00855169" w:rsidP="000F6DAC">
      <w:pPr>
        <w:tabs>
          <w:tab w:val="left" w:pos="1701"/>
          <w:tab w:val="left" w:pos="6237"/>
        </w:tabs>
        <w:rPr>
          <w:rFonts w:ascii="Calibri" w:hAnsi="Calibri"/>
          <w:iCs/>
          <w:color w:val="622423"/>
          <w:highlight w:val="green"/>
        </w:rPr>
      </w:pPr>
    </w:p>
    <w:p w14:paraId="7CAC3E42" w14:textId="77777777" w:rsidR="00855169" w:rsidRPr="00406BB2" w:rsidRDefault="00855169" w:rsidP="000F6DAC">
      <w:pPr>
        <w:tabs>
          <w:tab w:val="left" w:pos="1701"/>
          <w:tab w:val="left" w:pos="6237"/>
        </w:tabs>
        <w:rPr>
          <w:rFonts w:ascii="Calibri" w:hAnsi="Calibri"/>
          <w:iCs/>
          <w:color w:val="622423"/>
          <w:highlight w:val="green"/>
        </w:rPr>
      </w:pPr>
    </w:p>
    <w:p w14:paraId="76DD5C2A" w14:textId="77777777" w:rsidR="00855169" w:rsidRPr="00406BB2" w:rsidRDefault="00855169" w:rsidP="000F6DAC">
      <w:pPr>
        <w:tabs>
          <w:tab w:val="left" w:pos="1701"/>
          <w:tab w:val="left" w:pos="6237"/>
        </w:tabs>
        <w:rPr>
          <w:rFonts w:ascii="Calibri" w:hAnsi="Calibri"/>
          <w:iCs/>
          <w:color w:val="622423"/>
          <w:highlight w:val="green"/>
        </w:rPr>
      </w:pPr>
    </w:p>
    <w:p w14:paraId="2525B092" w14:textId="77777777" w:rsidR="00855169" w:rsidRPr="00406BB2" w:rsidRDefault="00855169" w:rsidP="000F6DAC">
      <w:pPr>
        <w:tabs>
          <w:tab w:val="left" w:pos="1701"/>
          <w:tab w:val="left" w:pos="6237"/>
        </w:tabs>
        <w:rPr>
          <w:rFonts w:ascii="Calibri" w:hAnsi="Calibri"/>
          <w:iCs/>
          <w:color w:val="622423"/>
          <w:highlight w:val="green"/>
        </w:rPr>
      </w:pPr>
    </w:p>
    <w:p w14:paraId="31F38783" w14:textId="77777777" w:rsidR="00855169" w:rsidRPr="00406BB2" w:rsidRDefault="00855169" w:rsidP="000F6DAC">
      <w:pPr>
        <w:tabs>
          <w:tab w:val="left" w:pos="1701"/>
          <w:tab w:val="left" w:pos="6237"/>
        </w:tabs>
        <w:rPr>
          <w:rFonts w:ascii="Calibri" w:hAnsi="Calibri"/>
          <w:iCs/>
          <w:color w:val="622423"/>
          <w:highlight w:val="green"/>
        </w:rPr>
      </w:pPr>
    </w:p>
    <w:p w14:paraId="66A28873" w14:textId="77777777" w:rsidR="005F0A60" w:rsidRPr="00406BB2" w:rsidRDefault="005F0A60" w:rsidP="000F6DAC">
      <w:pPr>
        <w:tabs>
          <w:tab w:val="left" w:pos="1701"/>
          <w:tab w:val="left" w:pos="6237"/>
        </w:tabs>
        <w:rPr>
          <w:rFonts w:ascii="Calibri" w:hAnsi="Calibri"/>
          <w:iCs/>
          <w:color w:val="622423"/>
          <w:highlight w:val="green"/>
        </w:rPr>
      </w:pPr>
    </w:p>
    <w:p w14:paraId="04599825" w14:textId="77777777" w:rsidR="005F0A60" w:rsidRPr="00406BB2" w:rsidRDefault="005F0A60" w:rsidP="000F6DAC">
      <w:pPr>
        <w:tabs>
          <w:tab w:val="left" w:pos="1701"/>
          <w:tab w:val="left" w:pos="6237"/>
        </w:tabs>
        <w:rPr>
          <w:rFonts w:ascii="Calibri" w:hAnsi="Calibri"/>
          <w:iCs/>
          <w:color w:val="622423"/>
          <w:highlight w:val="green"/>
        </w:rPr>
      </w:pPr>
    </w:p>
    <w:p w14:paraId="7C2E7A49" w14:textId="77777777" w:rsidR="005F0A60" w:rsidRPr="00406BB2" w:rsidRDefault="005F0A60" w:rsidP="000F6DAC">
      <w:pPr>
        <w:tabs>
          <w:tab w:val="left" w:pos="1701"/>
          <w:tab w:val="left" w:pos="6237"/>
        </w:tabs>
        <w:rPr>
          <w:rFonts w:ascii="Calibri" w:hAnsi="Calibri"/>
          <w:iCs/>
          <w:color w:val="622423"/>
          <w:highlight w:val="green"/>
        </w:rPr>
      </w:pPr>
    </w:p>
    <w:p w14:paraId="1E16413A" w14:textId="77777777" w:rsidR="005F0A60" w:rsidRPr="00406BB2" w:rsidRDefault="005F0A60" w:rsidP="000F6DAC">
      <w:pPr>
        <w:tabs>
          <w:tab w:val="left" w:pos="1701"/>
          <w:tab w:val="left" w:pos="6237"/>
        </w:tabs>
        <w:rPr>
          <w:rFonts w:ascii="Calibri" w:hAnsi="Calibri"/>
          <w:iCs/>
          <w:color w:val="622423"/>
          <w:highlight w:val="green"/>
        </w:rPr>
      </w:pPr>
    </w:p>
    <w:p w14:paraId="56D1078A" w14:textId="77777777" w:rsidR="005F0A60" w:rsidRPr="00406BB2" w:rsidRDefault="005F0A60" w:rsidP="000F6DAC">
      <w:pPr>
        <w:tabs>
          <w:tab w:val="left" w:pos="1701"/>
          <w:tab w:val="left" w:pos="6237"/>
        </w:tabs>
        <w:rPr>
          <w:rFonts w:ascii="Calibri" w:hAnsi="Calibri"/>
          <w:iCs/>
          <w:color w:val="622423"/>
          <w:highlight w:val="green"/>
        </w:rPr>
      </w:pPr>
    </w:p>
    <w:p w14:paraId="2C1B1F30" w14:textId="77777777" w:rsidR="005F0A60" w:rsidRPr="00406BB2" w:rsidRDefault="005F0A60" w:rsidP="000F6DAC">
      <w:pPr>
        <w:tabs>
          <w:tab w:val="left" w:pos="1701"/>
          <w:tab w:val="left" w:pos="6237"/>
        </w:tabs>
        <w:rPr>
          <w:rFonts w:ascii="Calibri" w:hAnsi="Calibri"/>
          <w:iCs/>
          <w:color w:val="622423"/>
          <w:highlight w:val="green"/>
        </w:rPr>
      </w:pPr>
    </w:p>
    <w:p w14:paraId="2788370D" w14:textId="77777777" w:rsidR="00855169" w:rsidRPr="00406BB2" w:rsidRDefault="00855169" w:rsidP="000F6DAC">
      <w:pPr>
        <w:tabs>
          <w:tab w:val="left" w:pos="1701"/>
          <w:tab w:val="left" w:pos="6237"/>
        </w:tabs>
        <w:rPr>
          <w:rFonts w:ascii="Calibri" w:hAnsi="Calibri"/>
          <w:iCs/>
          <w:color w:val="622423"/>
          <w:highlight w:val="green"/>
        </w:rPr>
      </w:pPr>
    </w:p>
    <w:p w14:paraId="2FB4B38F" w14:textId="77777777" w:rsidR="00855169" w:rsidRPr="00406BB2" w:rsidRDefault="00855169" w:rsidP="000F6DAC">
      <w:pPr>
        <w:tabs>
          <w:tab w:val="left" w:pos="1701"/>
          <w:tab w:val="left" w:pos="6237"/>
        </w:tabs>
        <w:rPr>
          <w:rFonts w:ascii="Calibri" w:hAnsi="Calibri"/>
          <w:iCs/>
          <w:color w:val="622423"/>
          <w:highlight w:val="green"/>
        </w:rPr>
      </w:pPr>
    </w:p>
    <w:p w14:paraId="42593384" w14:textId="77777777" w:rsidR="00855169" w:rsidRPr="00406BB2" w:rsidRDefault="00855169" w:rsidP="000F6DAC">
      <w:pPr>
        <w:tabs>
          <w:tab w:val="left" w:pos="1701"/>
          <w:tab w:val="left" w:pos="6237"/>
        </w:tabs>
        <w:rPr>
          <w:rFonts w:ascii="Calibri" w:hAnsi="Calibri"/>
          <w:iCs/>
          <w:color w:val="622423"/>
          <w:highlight w:val="green"/>
        </w:rPr>
      </w:pPr>
    </w:p>
    <w:p w14:paraId="731A1C20" w14:textId="77777777" w:rsidR="00855169" w:rsidRPr="00406BB2" w:rsidRDefault="00855169" w:rsidP="000F6DAC">
      <w:pPr>
        <w:tabs>
          <w:tab w:val="left" w:pos="1701"/>
          <w:tab w:val="left" w:pos="6237"/>
        </w:tabs>
        <w:rPr>
          <w:rFonts w:ascii="Calibri" w:hAnsi="Calibri"/>
          <w:iCs/>
          <w:color w:val="622423"/>
          <w:highlight w:val="green"/>
        </w:rPr>
      </w:pPr>
    </w:p>
    <w:p w14:paraId="4BB5FB46" w14:textId="77777777" w:rsidR="00855169" w:rsidRPr="00406BB2" w:rsidRDefault="00855169" w:rsidP="000F6DAC">
      <w:pPr>
        <w:tabs>
          <w:tab w:val="left" w:pos="1701"/>
          <w:tab w:val="left" w:pos="6237"/>
        </w:tabs>
        <w:rPr>
          <w:rFonts w:ascii="Calibri" w:hAnsi="Calibri"/>
          <w:iCs/>
          <w:color w:val="622423"/>
          <w:highlight w:val="green"/>
        </w:rPr>
      </w:pPr>
    </w:p>
    <w:p w14:paraId="1F758BD1" w14:textId="77777777" w:rsidR="00855169" w:rsidRPr="00406BB2" w:rsidRDefault="00855169" w:rsidP="000F6DAC">
      <w:pPr>
        <w:tabs>
          <w:tab w:val="left" w:pos="1701"/>
          <w:tab w:val="left" w:pos="6237"/>
        </w:tabs>
        <w:rPr>
          <w:rFonts w:ascii="Calibri" w:hAnsi="Calibri"/>
          <w:iCs/>
          <w:color w:val="622423"/>
          <w:highlight w:val="green"/>
        </w:rPr>
      </w:pPr>
    </w:p>
    <w:p w14:paraId="7B818D2A" w14:textId="77777777" w:rsidR="00855169" w:rsidRPr="00406BB2" w:rsidRDefault="00855169" w:rsidP="000F6DAC">
      <w:pPr>
        <w:tabs>
          <w:tab w:val="left" w:pos="1701"/>
          <w:tab w:val="left" w:pos="6237"/>
        </w:tabs>
        <w:rPr>
          <w:rFonts w:ascii="Calibri" w:hAnsi="Calibri"/>
          <w:iCs/>
          <w:color w:val="622423"/>
          <w:highlight w:val="green"/>
        </w:rPr>
      </w:pPr>
    </w:p>
    <w:p w14:paraId="341185F6" w14:textId="77777777" w:rsidR="00855169" w:rsidRPr="00406BB2" w:rsidRDefault="00855169" w:rsidP="000F6DAC">
      <w:pPr>
        <w:tabs>
          <w:tab w:val="left" w:pos="1701"/>
          <w:tab w:val="left" w:pos="6237"/>
        </w:tabs>
        <w:rPr>
          <w:rFonts w:ascii="Calibri" w:hAnsi="Calibri"/>
          <w:iCs/>
          <w:color w:val="622423"/>
          <w:highlight w:val="green"/>
        </w:rPr>
      </w:pPr>
    </w:p>
    <w:p w14:paraId="1F4CF208" w14:textId="267BF1BA" w:rsidR="005F0A60" w:rsidRPr="001E0513" w:rsidRDefault="005F0A60" w:rsidP="005F0A60">
      <w:pPr>
        <w:pageBreakBefore/>
        <w:pBdr>
          <w:bottom w:val="thinThickSmallGap" w:sz="12" w:space="1" w:color="943634"/>
        </w:pBdr>
        <w:spacing w:before="400"/>
        <w:jc w:val="center"/>
        <w:outlineLvl w:val="0"/>
        <w:rPr>
          <w:rFonts w:eastAsia="Arial Unicode MS"/>
          <w:caps/>
          <w:spacing w:val="20"/>
          <w:sz w:val="28"/>
          <w:szCs w:val="28"/>
        </w:rPr>
      </w:pPr>
      <w:bookmarkStart w:id="63" w:name="_Toc175128601"/>
      <w:r w:rsidRPr="001E0513">
        <w:rPr>
          <w:rFonts w:eastAsia="Arial Unicode MS"/>
          <w:caps/>
          <w:spacing w:val="20"/>
          <w:sz w:val="28"/>
          <w:szCs w:val="28"/>
        </w:rPr>
        <w:lastRenderedPageBreak/>
        <w:t xml:space="preserve">Annexe </w:t>
      </w:r>
      <w:r w:rsidR="00D0062E" w:rsidRPr="001E0513">
        <w:rPr>
          <w:rFonts w:eastAsia="Arial Unicode MS"/>
          <w:caps/>
          <w:spacing w:val="20"/>
          <w:sz w:val="28"/>
          <w:szCs w:val="28"/>
        </w:rPr>
        <w:t>4</w:t>
      </w:r>
      <w:r w:rsidRPr="001E0513">
        <w:rPr>
          <w:rFonts w:eastAsia="Arial Unicode MS"/>
          <w:caps/>
          <w:spacing w:val="20"/>
          <w:sz w:val="28"/>
          <w:szCs w:val="28"/>
        </w:rPr>
        <w:t xml:space="preserve"> : </w:t>
      </w:r>
      <w:bookmarkEnd w:id="63"/>
      <w:r w:rsidR="00986764" w:rsidRPr="001E0513">
        <w:rPr>
          <w:rFonts w:eastAsia="Arial Unicode MS"/>
          <w:caps/>
          <w:spacing w:val="20"/>
          <w:sz w:val="28"/>
          <w:szCs w:val="28"/>
        </w:rPr>
        <w:t>politique générale de securité du système d’information de l’Assistance Publique – Hôpitaux de Paris</w:t>
      </w:r>
    </w:p>
    <w:p w14:paraId="65EDD134" w14:textId="77777777" w:rsidR="005F0A60" w:rsidRPr="001E0513" w:rsidRDefault="005F0A60" w:rsidP="005F0A60">
      <w:pPr>
        <w:tabs>
          <w:tab w:val="left" w:pos="1701"/>
          <w:tab w:val="left" w:pos="6237"/>
        </w:tabs>
        <w:rPr>
          <w:rFonts w:ascii="Calibri" w:hAnsi="Calibri"/>
          <w:iCs/>
          <w:color w:val="622423"/>
        </w:rPr>
      </w:pPr>
    </w:p>
    <w:p w14:paraId="6F7FAFD9" w14:textId="77777777" w:rsidR="005F0A60" w:rsidRPr="001E0513" w:rsidRDefault="005F0A60" w:rsidP="005F0A60">
      <w:pPr>
        <w:ind w:right="425"/>
        <w:jc w:val="center"/>
        <w:rPr>
          <w:rFonts w:eastAsia="Arial Unicode MS"/>
          <w:sz w:val="24"/>
        </w:rPr>
      </w:pPr>
      <w:r w:rsidRPr="001E0513">
        <w:rPr>
          <w:rFonts w:eastAsia="Arial Unicode MS"/>
          <w:sz w:val="24"/>
        </w:rPr>
        <w:t>Document annexe joint.</w:t>
      </w:r>
    </w:p>
    <w:p w14:paraId="108A109F" w14:textId="77777777" w:rsidR="005F0A60" w:rsidRPr="001E0513" w:rsidRDefault="005F0A60" w:rsidP="005F0A60">
      <w:pPr>
        <w:tabs>
          <w:tab w:val="left" w:pos="1701"/>
          <w:tab w:val="left" w:pos="6237"/>
        </w:tabs>
        <w:rPr>
          <w:rFonts w:ascii="Calibri" w:hAnsi="Calibri"/>
          <w:iCs/>
          <w:color w:val="622423"/>
        </w:rPr>
      </w:pPr>
    </w:p>
    <w:p w14:paraId="1BAC4FBF" w14:textId="77777777" w:rsidR="00855169" w:rsidRPr="001E0513" w:rsidRDefault="00855169" w:rsidP="000F6DAC">
      <w:pPr>
        <w:tabs>
          <w:tab w:val="left" w:pos="1701"/>
          <w:tab w:val="left" w:pos="6237"/>
        </w:tabs>
        <w:rPr>
          <w:rFonts w:ascii="Calibri" w:hAnsi="Calibri"/>
          <w:iCs/>
          <w:color w:val="622423"/>
        </w:rPr>
      </w:pPr>
    </w:p>
    <w:p w14:paraId="3C7C1DC4" w14:textId="77777777" w:rsidR="00855169" w:rsidRPr="00406BB2" w:rsidRDefault="00855169" w:rsidP="000F6DAC">
      <w:pPr>
        <w:tabs>
          <w:tab w:val="left" w:pos="1701"/>
          <w:tab w:val="left" w:pos="6237"/>
        </w:tabs>
        <w:rPr>
          <w:rFonts w:ascii="Calibri" w:hAnsi="Calibri"/>
          <w:iCs/>
          <w:color w:val="622423"/>
          <w:highlight w:val="green"/>
        </w:rPr>
      </w:pPr>
    </w:p>
    <w:p w14:paraId="008EB7B5" w14:textId="77777777" w:rsidR="00855169" w:rsidRPr="00406BB2" w:rsidRDefault="00855169" w:rsidP="000F6DAC">
      <w:pPr>
        <w:tabs>
          <w:tab w:val="left" w:pos="1701"/>
          <w:tab w:val="left" w:pos="6237"/>
        </w:tabs>
        <w:rPr>
          <w:rFonts w:ascii="Calibri" w:hAnsi="Calibri"/>
          <w:iCs/>
          <w:color w:val="622423"/>
          <w:highlight w:val="green"/>
        </w:rPr>
      </w:pPr>
    </w:p>
    <w:p w14:paraId="7E2A4383" w14:textId="77777777" w:rsidR="00855169" w:rsidRPr="00406BB2" w:rsidRDefault="00855169" w:rsidP="000F6DAC">
      <w:pPr>
        <w:tabs>
          <w:tab w:val="left" w:pos="1701"/>
          <w:tab w:val="left" w:pos="6237"/>
        </w:tabs>
        <w:rPr>
          <w:rFonts w:ascii="Calibri" w:hAnsi="Calibri"/>
          <w:iCs/>
          <w:color w:val="622423"/>
          <w:highlight w:val="green"/>
        </w:rPr>
      </w:pPr>
    </w:p>
    <w:p w14:paraId="366CF19A" w14:textId="77777777" w:rsidR="00855169" w:rsidRPr="00406BB2" w:rsidRDefault="00855169" w:rsidP="000F6DAC">
      <w:pPr>
        <w:tabs>
          <w:tab w:val="left" w:pos="1701"/>
          <w:tab w:val="left" w:pos="6237"/>
        </w:tabs>
        <w:rPr>
          <w:rFonts w:ascii="Calibri" w:hAnsi="Calibri"/>
          <w:iCs/>
          <w:color w:val="622423"/>
          <w:highlight w:val="green"/>
        </w:rPr>
      </w:pPr>
    </w:p>
    <w:p w14:paraId="0C7D6D73" w14:textId="65010AF6" w:rsidR="00855169" w:rsidRPr="001E0513" w:rsidRDefault="00855169" w:rsidP="00855169">
      <w:pPr>
        <w:pageBreakBefore/>
        <w:pBdr>
          <w:bottom w:val="thinThickSmallGap" w:sz="12" w:space="1" w:color="943634"/>
        </w:pBdr>
        <w:spacing w:before="400"/>
        <w:jc w:val="center"/>
        <w:outlineLvl w:val="0"/>
        <w:rPr>
          <w:rFonts w:eastAsia="Arial Unicode MS"/>
          <w:caps/>
          <w:spacing w:val="20"/>
          <w:sz w:val="28"/>
          <w:szCs w:val="28"/>
        </w:rPr>
      </w:pPr>
      <w:bookmarkStart w:id="64" w:name="_Toc175128602"/>
      <w:r w:rsidRPr="001E0513">
        <w:rPr>
          <w:rFonts w:eastAsia="Arial Unicode MS"/>
          <w:caps/>
          <w:spacing w:val="20"/>
          <w:sz w:val="28"/>
          <w:szCs w:val="28"/>
        </w:rPr>
        <w:lastRenderedPageBreak/>
        <w:t xml:space="preserve">Annexe </w:t>
      </w:r>
      <w:r w:rsidR="00D0062E" w:rsidRPr="001E0513">
        <w:rPr>
          <w:rFonts w:eastAsia="Arial Unicode MS"/>
          <w:caps/>
          <w:spacing w:val="20"/>
          <w:sz w:val="28"/>
          <w:szCs w:val="28"/>
        </w:rPr>
        <w:t>5</w:t>
      </w:r>
      <w:r w:rsidRPr="001E0513">
        <w:rPr>
          <w:rFonts w:eastAsia="Arial Unicode MS"/>
          <w:caps/>
          <w:spacing w:val="20"/>
          <w:sz w:val="28"/>
          <w:szCs w:val="28"/>
        </w:rPr>
        <w:t xml:space="preserve"> : </w:t>
      </w:r>
      <w:r w:rsidR="00707BCC" w:rsidRPr="001E0513">
        <w:rPr>
          <w:rFonts w:eastAsia="Arial Unicode MS"/>
          <w:caps/>
          <w:spacing w:val="20"/>
          <w:sz w:val="28"/>
          <w:szCs w:val="28"/>
        </w:rPr>
        <w:t>Cadre de cohérence technique</w:t>
      </w:r>
      <w:r w:rsidRPr="001E0513">
        <w:rPr>
          <w:rFonts w:eastAsia="Arial Unicode MS"/>
          <w:caps/>
          <w:spacing w:val="20"/>
          <w:sz w:val="28"/>
          <w:szCs w:val="28"/>
        </w:rPr>
        <w:t xml:space="preserve"> </w:t>
      </w:r>
      <w:r w:rsidR="00707BCC" w:rsidRPr="001E0513">
        <w:rPr>
          <w:rFonts w:eastAsia="Arial Unicode MS"/>
          <w:caps/>
          <w:spacing w:val="20"/>
          <w:sz w:val="28"/>
          <w:szCs w:val="28"/>
        </w:rPr>
        <w:t>de l’Assistance Oublique – Hôpitaux de Paris</w:t>
      </w:r>
      <w:bookmarkEnd w:id="64"/>
      <w:r w:rsidRPr="001E0513">
        <w:rPr>
          <w:rFonts w:eastAsia="Arial Unicode MS"/>
          <w:caps/>
          <w:spacing w:val="20"/>
          <w:sz w:val="28"/>
          <w:szCs w:val="28"/>
        </w:rPr>
        <w:t xml:space="preserve"> </w:t>
      </w:r>
    </w:p>
    <w:p w14:paraId="42DC99B6" w14:textId="77777777" w:rsidR="00855169" w:rsidRPr="001E0513" w:rsidRDefault="00855169" w:rsidP="00855169">
      <w:pPr>
        <w:tabs>
          <w:tab w:val="left" w:pos="1701"/>
          <w:tab w:val="left" w:pos="6237"/>
        </w:tabs>
        <w:rPr>
          <w:rFonts w:ascii="Calibri" w:hAnsi="Calibri"/>
          <w:iCs/>
          <w:color w:val="622423"/>
        </w:rPr>
      </w:pPr>
    </w:p>
    <w:p w14:paraId="2401B927" w14:textId="77777777" w:rsidR="00855169" w:rsidRPr="001E0513" w:rsidRDefault="00855169" w:rsidP="00855169">
      <w:pPr>
        <w:ind w:right="425"/>
        <w:jc w:val="center"/>
        <w:rPr>
          <w:rFonts w:eastAsia="Arial Unicode MS"/>
          <w:sz w:val="24"/>
        </w:rPr>
      </w:pPr>
      <w:r w:rsidRPr="001E0513">
        <w:rPr>
          <w:rFonts w:eastAsia="Arial Unicode MS"/>
          <w:sz w:val="24"/>
        </w:rPr>
        <w:t>Document annexe joint.</w:t>
      </w:r>
    </w:p>
    <w:p w14:paraId="7128E56E" w14:textId="77777777" w:rsidR="00855169" w:rsidRPr="001E0513" w:rsidRDefault="00855169" w:rsidP="00855169">
      <w:pPr>
        <w:tabs>
          <w:tab w:val="left" w:pos="1701"/>
          <w:tab w:val="left" w:pos="6237"/>
        </w:tabs>
        <w:rPr>
          <w:rFonts w:ascii="Calibri" w:hAnsi="Calibri"/>
          <w:iCs/>
          <w:color w:val="622423"/>
        </w:rPr>
      </w:pPr>
    </w:p>
    <w:p w14:paraId="48F6AC1D" w14:textId="77777777" w:rsidR="00855169" w:rsidRPr="001E0513" w:rsidRDefault="00855169" w:rsidP="000F6DAC">
      <w:pPr>
        <w:tabs>
          <w:tab w:val="left" w:pos="1701"/>
          <w:tab w:val="left" w:pos="6237"/>
        </w:tabs>
        <w:rPr>
          <w:rFonts w:ascii="Calibri" w:hAnsi="Calibri"/>
          <w:iCs/>
          <w:color w:val="622423"/>
        </w:rPr>
      </w:pPr>
    </w:p>
    <w:p w14:paraId="3A35B7D1" w14:textId="77777777" w:rsidR="00855169" w:rsidRPr="00406BB2" w:rsidRDefault="00855169" w:rsidP="000F6DAC">
      <w:pPr>
        <w:tabs>
          <w:tab w:val="left" w:pos="1701"/>
          <w:tab w:val="left" w:pos="6237"/>
        </w:tabs>
        <w:rPr>
          <w:rFonts w:ascii="Calibri" w:hAnsi="Calibri"/>
          <w:iCs/>
          <w:color w:val="622423"/>
          <w:highlight w:val="green"/>
        </w:rPr>
      </w:pPr>
    </w:p>
    <w:p w14:paraId="39D99A41" w14:textId="77777777" w:rsidR="00EF23CC" w:rsidRPr="00406BB2" w:rsidRDefault="00EF23CC" w:rsidP="000F6DAC">
      <w:pPr>
        <w:tabs>
          <w:tab w:val="left" w:pos="1701"/>
          <w:tab w:val="left" w:pos="6237"/>
        </w:tabs>
        <w:rPr>
          <w:rFonts w:ascii="Calibri" w:hAnsi="Calibri"/>
          <w:iCs/>
          <w:color w:val="622423"/>
          <w:highlight w:val="green"/>
        </w:rPr>
      </w:pPr>
    </w:p>
    <w:p w14:paraId="6BFF7478" w14:textId="77777777" w:rsidR="00EF23CC" w:rsidRPr="00406BB2" w:rsidRDefault="00EF23CC" w:rsidP="000F6DAC">
      <w:pPr>
        <w:tabs>
          <w:tab w:val="left" w:pos="1701"/>
          <w:tab w:val="left" w:pos="6237"/>
        </w:tabs>
        <w:rPr>
          <w:rFonts w:ascii="Calibri" w:hAnsi="Calibri"/>
          <w:iCs/>
          <w:color w:val="622423"/>
          <w:highlight w:val="green"/>
        </w:rPr>
      </w:pPr>
    </w:p>
    <w:p w14:paraId="42241D06" w14:textId="77777777" w:rsidR="00EF23CC" w:rsidRPr="00406BB2" w:rsidRDefault="00EF23CC" w:rsidP="000F6DAC">
      <w:pPr>
        <w:tabs>
          <w:tab w:val="left" w:pos="1701"/>
          <w:tab w:val="left" w:pos="6237"/>
        </w:tabs>
        <w:rPr>
          <w:rFonts w:ascii="Calibri" w:hAnsi="Calibri"/>
          <w:iCs/>
          <w:color w:val="622423"/>
          <w:highlight w:val="green"/>
        </w:rPr>
      </w:pPr>
    </w:p>
    <w:p w14:paraId="7E7A4BB6" w14:textId="77777777" w:rsidR="00EF23CC" w:rsidRPr="00406BB2" w:rsidRDefault="00EF23CC" w:rsidP="000F6DAC">
      <w:pPr>
        <w:tabs>
          <w:tab w:val="left" w:pos="1701"/>
          <w:tab w:val="left" w:pos="6237"/>
        </w:tabs>
        <w:rPr>
          <w:rFonts w:ascii="Calibri" w:hAnsi="Calibri"/>
          <w:iCs/>
          <w:color w:val="622423"/>
          <w:highlight w:val="green"/>
        </w:rPr>
      </w:pPr>
    </w:p>
    <w:p w14:paraId="34B791D5" w14:textId="77777777" w:rsidR="00EF23CC" w:rsidRPr="00406BB2" w:rsidRDefault="00EF23CC" w:rsidP="000F6DAC">
      <w:pPr>
        <w:tabs>
          <w:tab w:val="left" w:pos="1701"/>
          <w:tab w:val="left" w:pos="6237"/>
        </w:tabs>
        <w:rPr>
          <w:rFonts w:ascii="Calibri" w:hAnsi="Calibri"/>
          <w:iCs/>
          <w:color w:val="622423"/>
          <w:highlight w:val="green"/>
        </w:rPr>
      </w:pPr>
    </w:p>
    <w:p w14:paraId="01627704" w14:textId="77777777" w:rsidR="00EF23CC" w:rsidRPr="00406BB2" w:rsidRDefault="00EF23CC" w:rsidP="000F6DAC">
      <w:pPr>
        <w:tabs>
          <w:tab w:val="left" w:pos="1701"/>
          <w:tab w:val="left" w:pos="6237"/>
        </w:tabs>
        <w:rPr>
          <w:rFonts w:ascii="Calibri" w:hAnsi="Calibri"/>
          <w:iCs/>
          <w:color w:val="622423"/>
          <w:highlight w:val="green"/>
        </w:rPr>
      </w:pPr>
    </w:p>
    <w:p w14:paraId="397C97BD" w14:textId="77777777" w:rsidR="00EF23CC" w:rsidRPr="00406BB2" w:rsidRDefault="00EF23CC" w:rsidP="000F6DAC">
      <w:pPr>
        <w:tabs>
          <w:tab w:val="left" w:pos="1701"/>
          <w:tab w:val="left" w:pos="6237"/>
        </w:tabs>
        <w:rPr>
          <w:rFonts w:ascii="Calibri" w:hAnsi="Calibri"/>
          <w:iCs/>
          <w:color w:val="622423"/>
          <w:highlight w:val="green"/>
        </w:rPr>
      </w:pPr>
    </w:p>
    <w:p w14:paraId="7BD60BD8" w14:textId="77777777" w:rsidR="00EF23CC" w:rsidRPr="00406BB2" w:rsidRDefault="00EF23CC" w:rsidP="000F6DAC">
      <w:pPr>
        <w:tabs>
          <w:tab w:val="left" w:pos="1701"/>
          <w:tab w:val="left" w:pos="6237"/>
        </w:tabs>
        <w:rPr>
          <w:rFonts w:ascii="Calibri" w:hAnsi="Calibri"/>
          <w:iCs/>
          <w:color w:val="622423"/>
          <w:highlight w:val="green"/>
        </w:rPr>
      </w:pPr>
    </w:p>
    <w:p w14:paraId="5D914F22" w14:textId="77777777" w:rsidR="00EF23CC" w:rsidRPr="00406BB2" w:rsidRDefault="00EF23CC" w:rsidP="000F6DAC">
      <w:pPr>
        <w:tabs>
          <w:tab w:val="left" w:pos="1701"/>
          <w:tab w:val="left" w:pos="6237"/>
        </w:tabs>
        <w:rPr>
          <w:rFonts w:ascii="Calibri" w:hAnsi="Calibri"/>
          <w:iCs/>
          <w:color w:val="622423"/>
          <w:highlight w:val="green"/>
        </w:rPr>
      </w:pPr>
    </w:p>
    <w:p w14:paraId="2A95BA52" w14:textId="77777777" w:rsidR="00EF23CC" w:rsidRPr="00406BB2" w:rsidRDefault="00EF23CC" w:rsidP="000F6DAC">
      <w:pPr>
        <w:tabs>
          <w:tab w:val="left" w:pos="1701"/>
          <w:tab w:val="left" w:pos="6237"/>
        </w:tabs>
        <w:rPr>
          <w:rFonts w:ascii="Calibri" w:hAnsi="Calibri"/>
          <w:iCs/>
          <w:color w:val="622423"/>
          <w:highlight w:val="green"/>
        </w:rPr>
      </w:pPr>
    </w:p>
    <w:p w14:paraId="4D19B601" w14:textId="77777777" w:rsidR="00EF23CC" w:rsidRPr="00406BB2" w:rsidRDefault="00EF23CC" w:rsidP="000F6DAC">
      <w:pPr>
        <w:tabs>
          <w:tab w:val="left" w:pos="1701"/>
          <w:tab w:val="left" w:pos="6237"/>
        </w:tabs>
        <w:rPr>
          <w:rFonts w:ascii="Calibri" w:hAnsi="Calibri"/>
          <w:iCs/>
          <w:color w:val="622423"/>
          <w:highlight w:val="green"/>
        </w:rPr>
      </w:pPr>
    </w:p>
    <w:p w14:paraId="6E681283" w14:textId="77777777" w:rsidR="00EF23CC" w:rsidRPr="00406BB2" w:rsidRDefault="00EF23CC" w:rsidP="000F6DAC">
      <w:pPr>
        <w:tabs>
          <w:tab w:val="left" w:pos="1701"/>
          <w:tab w:val="left" w:pos="6237"/>
        </w:tabs>
        <w:rPr>
          <w:rFonts w:ascii="Calibri" w:hAnsi="Calibri"/>
          <w:iCs/>
          <w:color w:val="622423"/>
          <w:highlight w:val="green"/>
        </w:rPr>
      </w:pPr>
    </w:p>
    <w:p w14:paraId="299B16BD" w14:textId="77777777" w:rsidR="00EF23CC" w:rsidRPr="00406BB2" w:rsidRDefault="00EF23CC" w:rsidP="000F6DAC">
      <w:pPr>
        <w:tabs>
          <w:tab w:val="left" w:pos="1701"/>
          <w:tab w:val="left" w:pos="6237"/>
        </w:tabs>
        <w:rPr>
          <w:rFonts w:ascii="Calibri" w:hAnsi="Calibri"/>
          <w:iCs/>
          <w:color w:val="622423"/>
          <w:highlight w:val="green"/>
        </w:rPr>
      </w:pPr>
    </w:p>
    <w:p w14:paraId="3DC420E9" w14:textId="77777777" w:rsidR="00EF23CC" w:rsidRPr="00406BB2" w:rsidRDefault="00EF23CC" w:rsidP="000F6DAC">
      <w:pPr>
        <w:tabs>
          <w:tab w:val="left" w:pos="1701"/>
          <w:tab w:val="left" w:pos="6237"/>
        </w:tabs>
        <w:rPr>
          <w:rFonts w:ascii="Calibri" w:hAnsi="Calibri"/>
          <w:iCs/>
          <w:color w:val="622423"/>
          <w:highlight w:val="green"/>
        </w:rPr>
      </w:pPr>
    </w:p>
    <w:p w14:paraId="282F52BA" w14:textId="77777777" w:rsidR="00EF23CC" w:rsidRPr="00406BB2" w:rsidRDefault="00EF23CC" w:rsidP="000F6DAC">
      <w:pPr>
        <w:tabs>
          <w:tab w:val="left" w:pos="1701"/>
          <w:tab w:val="left" w:pos="6237"/>
        </w:tabs>
        <w:rPr>
          <w:rFonts w:ascii="Calibri" w:hAnsi="Calibri"/>
          <w:iCs/>
          <w:color w:val="622423"/>
          <w:highlight w:val="green"/>
        </w:rPr>
      </w:pPr>
    </w:p>
    <w:p w14:paraId="3A85795F" w14:textId="77777777" w:rsidR="00EF23CC" w:rsidRPr="00406BB2" w:rsidRDefault="00EF23CC" w:rsidP="000F6DAC">
      <w:pPr>
        <w:tabs>
          <w:tab w:val="left" w:pos="1701"/>
          <w:tab w:val="left" w:pos="6237"/>
        </w:tabs>
        <w:rPr>
          <w:rFonts w:ascii="Calibri" w:hAnsi="Calibri"/>
          <w:iCs/>
          <w:color w:val="622423"/>
          <w:highlight w:val="green"/>
        </w:rPr>
      </w:pPr>
    </w:p>
    <w:p w14:paraId="2D8DF626" w14:textId="77777777" w:rsidR="00EF23CC" w:rsidRPr="00406BB2" w:rsidRDefault="00EF23CC" w:rsidP="000F6DAC">
      <w:pPr>
        <w:tabs>
          <w:tab w:val="left" w:pos="1701"/>
          <w:tab w:val="left" w:pos="6237"/>
        </w:tabs>
        <w:rPr>
          <w:rFonts w:ascii="Calibri" w:hAnsi="Calibri"/>
          <w:iCs/>
          <w:color w:val="622423"/>
          <w:highlight w:val="green"/>
        </w:rPr>
      </w:pPr>
    </w:p>
    <w:p w14:paraId="3A28D1F8" w14:textId="77777777" w:rsidR="00EF23CC" w:rsidRPr="00406BB2" w:rsidRDefault="00EF23CC" w:rsidP="000F6DAC">
      <w:pPr>
        <w:tabs>
          <w:tab w:val="left" w:pos="1701"/>
          <w:tab w:val="left" w:pos="6237"/>
        </w:tabs>
        <w:rPr>
          <w:rFonts w:ascii="Calibri" w:hAnsi="Calibri"/>
          <w:iCs/>
          <w:color w:val="622423"/>
          <w:highlight w:val="green"/>
        </w:rPr>
      </w:pPr>
    </w:p>
    <w:p w14:paraId="4B0BD97B" w14:textId="77777777" w:rsidR="00EF23CC" w:rsidRPr="00406BB2" w:rsidRDefault="00EF23CC" w:rsidP="000F6DAC">
      <w:pPr>
        <w:tabs>
          <w:tab w:val="left" w:pos="1701"/>
          <w:tab w:val="left" w:pos="6237"/>
        </w:tabs>
        <w:rPr>
          <w:rFonts w:ascii="Calibri" w:hAnsi="Calibri"/>
          <w:iCs/>
          <w:color w:val="622423"/>
          <w:highlight w:val="green"/>
        </w:rPr>
      </w:pPr>
    </w:p>
    <w:p w14:paraId="578BCF3D" w14:textId="1EA2A16E" w:rsidR="00EF23CC" w:rsidRDefault="00EF23CC" w:rsidP="00EF23CC">
      <w:pPr>
        <w:tabs>
          <w:tab w:val="left" w:pos="1701"/>
          <w:tab w:val="left" w:pos="6237"/>
        </w:tabs>
        <w:rPr>
          <w:rFonts w:ascii="Calibri" w:hAnsi="Calibri"/>
          <w:iCs/>
          <w:color w:val="622423"/>
        </w:rPr>
      </w:pPr>
    </w:p>
    <w:p w14:paraId="6F4A77BE" w14:textId="57539839" w:rsidR="00F417ED" w:rsidRPr="001E0513" w:rsidRDefault="00F417ED" w:rsidP="00F417ED">
      <w:pPr>
        <w:pageBreakBefore/>
        <w:pBdr>
          <w:bottom w:val="thinThickSmallGap" w:sz="12" w:space="1" w:color="943634"/>
        </w:pBdr>
        <w:spacing w:before="400"/>
        <w:jc w:val="center"/>
        <w:outlineLvl w:val="0"/>
        <w:rPr>
          <w:rFonts w:eastAsia="Arial Unicode MS"/>
          <w:caps/>
          <w:spacing w:val="20"/>
          <w:sz w:val="28"/>
          <w:szCs w:val="28"/>
        </w:rPr>
      </w:pPr>
      <w:r w:rsidRPr="001E0513">
        <w:rPr>
          <w:rFonts w:eastAsia="Arial Unicode MS"/>
          <w:caps/>
          <w:spacing w:val="20"/>
          <w:sz w:val="28"/>
          <w:szCs w:val="28"/>
        </w:rPr>
        <w:lastRenderedPageBreak/>
        <w:t xml:space="preserve">Annexe </w:t>
      </w:r>
      <w:r w:rsidR="00986764">
        <w:rPr>
          <w:rFonts w:eastAsia="Arial Unicode MS"/>
          <w:caps/>
          <w:spacing w:val="20"/>
          <w:sz w:val="28"/>
          <w:szCs w:val="28"/>
        </w:rPr>
        <w:t>6</w:t>
      </w:r>
      <w:r w:rsidRPr="001E0513">
        <w:rPr>
          <w:rFonts w:eastAsia="Arial Unicode MS"/>
          <w:caps/>
          <w:spacing w:val="20"/>
          <w:sz w:val="28"/>
          <w:szCs w:val="28"/>
        </w:rPr>
        <w:t xml:space="preserve"> : </w:t>
      </w:r>
      <w:r>
        <w:rPr>
          <w:rFonts w:eastAsia="Arial Unicode MS"/>
          <w:caps/>
          <w:spacing w:val="20"/>
          <w:sz w:val="28"/>
          <w:szCs w:val="28"/>
        </w:rPr>
        <w:t>ANS Impacts-Mifare-Classic Mifare-Desfire</w:t>
      </w:r>
    </w:p>
    <w:p w14:paraId="16E09FC6" w14:textId="77777777" w:rsidR="00F417ED" w:rsidRPr="001E0513" w:rsidRDefault="00F417ED" w:rsidP="00F417ED">
      <w:pPr>
        <w:tabs>
          <w:tab w:val="left" w:pos="1701"/>
          <w:tab w:val="left" w:pos="6237"/>
        </w:tabs>
        <w:rPr>
          <w:rFonts w:ascii="Calibri" w:hAnsi="Calibri"/>
          <w:iCs/>
          <w:color w:val="622423"/>
        </w:rPr>
      </w:pPr>
    </w:p>
    <w:p w14:paraId="2C0E4CB1" w14:textId="17C4B7C7" w:rsidR="00F417ED" w:rsidRPr="00CF0BF5" w:rsidRDefault="00F417ED" w:rsidP="00CF0BF5">
      <w:pPr>
        <w:ind w:right="425"/>
        <w:jc w:val="center"/>
        <w:rPr>
          <w:rFonts w:eastAsia="Arial Unicode MS"/>
          <w:sz w:val="24"/>
        </w:rPr>
      </w:pPr>
      <w:r w:rsidRPr="001E0513">
        <w:rPr>
          <w:rFonts w:eastAsia="Arial Unicode MS"/>
          <w:sz w:val="24"/>
        </w:rPr>
        <w:t>Document annexe joint.</w:t>
      </w:r>
    </w:p>
    <w:p w14:paraId="2FFDC400" w14:textId="5A5FD4E6" w:rsidR="003E0692" w:rsidRDefault="003E0692" w:rsidP="000F6DAC">
      <w:pPr>
        <w:tabs>
          <w:tab w:val="left" w:pos="1701"/>
          <w:tab w:val="left" w:pos="6237"/>
        </w:tabs>
        <w:rPr>
          <w:rFonts w:ascii="Calibri" w:hAnsi="Calibri"/>
          <w:iCs/>
          <w:color w:val="622423"/>
        </w:rPr>
      </w:pPr>
    </w:p>
    <w:p w14:paraId="4CA6C5C6" w14:textId="45527EFE" w:rsidR="003E0692" w:rsidRPr="001E0513" w:rsidRDefault="003E0692" w:rsidP="00CF0BF5">
      <w:pPr>
        <w:pageBreakBefore/>
        <w:pBdr>
          <w:bottom w:val="thinThickSmallGap" w:sz="12" w:space="1" w:color="943634"/>
        </w:pBdr>
        <w:spacing w:before="400"/>
        <w:jc w:val="center"/>
        <w:outlineLvl w:val="0"/>
        <w:rPr>
          <w:rFonts w:eastAsia="Arial Unicode MS"/>
          <w:caps/>
          <w:spacing w:val="20"/>
          <w:sz w:val="28"/>
          <w:szCs w:val="28"/>
        </w:rPr>
      </w:pPr>
      <w:r>
        <w:rPr>
          <w:rFonts w:eastAsia="Arial Unicode MS"/>
          <w:caps/>
          <w:spacing w:val="20"/>
          <w:sz w:val="28"/>
          <w:szCs w:val="28"/>
        </w:rPr>
        <w:lastRenderedPageBreak/>
        <w:t>ACHAT - Plans des locaux</w:t>
      </w:r>
    </w:p>
    <w:p w14:paraId="34FE2A40" w14:textId="77777777" w:rsidR="003E0692" w:rsidRPr="001E0513" w:rsidRDefault="003E0692" w:rsidP="003E0692">
      <w:pPr>
        <w:tabs>
          <w:tab w:val="left" w:pos="1701"/>
          <w:tab w:val="left" w:pos="6237"/>
        </w:tabs>
        <w:rPr>
          <w:rFonts w:ascii="Calibri" w:hAnsi="Calibri"/>
          <w:iCs/>
          <w:color w:val="622423"/>
        </w:rPr>
      </w:pPr>
    </w:p>
    <w:p w14:paraId="15A7B39E" w14:textId="77777777" w:rsidR="003E0692" w:rsidRPr="004E4E84" w:rsidRDefault="003E0692" w:rsidP="003E0692">
      <w:pPr>
        <w:ind w:right="425"/>
        <w:jc w:val="center"/>
        <w:rPr>
          <w:rFonts w:eastAsia="Arial Unicode MS"/>
          <w:sz w:val="24"/>
        </w:rPr>
      </w:pPr>
      <w:r w:rsidRPr="001E0513">
        <w:rPr>
          <w:rFonts w:eastAsia="Arial Unicode MS"/>
          <w:sz w:val="24"/>
        </w:rPr>
        <w:t>Document annexe joint.</w:t>
      </w:r>
    </w:p>
    <w:p w14:paraId="5DA26A1F" w14:textId="77777777" w:rsidR="003E0692" w:rsidRPr="00DE4465" w:rsidRDefault="003E0692" w:rsidP="003E0692">
      <w:pPr>
        <w:tabs>
          <w:tab w:val="left" w:pos="1701"/>
          <w:tab w:val="left" w:pos="6237"/>
        </w:tabs>
        <w:rPr>
          <w:rFonts w:ascii="Calibri" w:hAnsi="Calibri"/>
          <w:iCs/>
          <w:color w:val="622423"/>
        </w:rPr>
      </w:pPr>
    </w:p>
    <w:p w14:paraId="3ACE0A2B" w14:textId="77777777" w:rsidR="003E0692" w:rsidRDefault="003E0692" w:rsidP="003E0692">
      <w:pPr>
        <w:tabs>
          <w:tab w:val="left" w:pos="1701"/>
          <w:tab w:val="left" w:pos="6237"/>
        </w:tabs>
        <w:rPr>
          <w:rFonts w:ascii="Calibri" w:hAnsi="Calibri"/>
          <w:iCs/>
          <w:color w:val="622423"/>
        </w:rPr>
      </w:pPr>
    </w:p>
    <w:p w14:paraId="0B7DEFBE" w14:textId="1E0796FA" w:rsidR="003E0692" w:rsidRDefault="003E0692" w:rsidP="000F6DAC">
      <w:pPr>
        <w:tabs>
          <w:tab w:val="left" w:pos="1701"/>
          <w:tab w:val="left" w:pos="6237"/>
        </w:tabs>
        <w:rPr>
          <w:rFonts w:ascii="Calibri" w:hAnsi="Calibri"/>
          <w:iCs/>
          <w:color w:val="622423"/>
        </w:rPr>
      </w:pPr>
    </w:p>
    <w:p w14:paraId="2437C00D" w14:textId="77777777" w:rsidR="003E0692" w:rsidRDefault="003E0692" w:rsidP="000F6DAC">
      <w:pPr>
        <w:tabs>
          <w:tab w:val="left" w:pos="1701"/>
          <w:tab w:val="left" w:pos="6237"/>
        </w:tabs>
        <w:rPr>
          <w:rFonts w:ascii="Calibri" w:hAnsi="Calibri"/>
          <w:iCs/>
          <w:color w:val="622423"/>
        </w:rPr>
      </w:pPr>
    </w:p>
    <w:p w14:paraId="160DD31B" w14:textId="4EC6C496" w:rsidR="00F417ED" w:rsidRDefault="00F417ED" w:rsidP="000F6DAC">
      <w:pPr>
        <w:tabs>
          <w:tab w:val="left" w:pos="1701"/>
          <w:tab w:val="left" w:pos="6237"/>
        </w:tabs>
        <w:rPr>
          <w:rFonts w:ascii="Calibri" w:hAnsi="Calibri"/>
          <w:iCs/>
          <w:color w:val="622423"/>
        </w:rPr>
      </w:pPr>
    </w:p>
    <w:p w14:paraId="3A70894F" w14:textId="775BE590" w:rsidR="00F417ED" w:rsidRDefault="00F417ED" w:rsidP="000F6DAC">
      <w:pPr>
        <w:tabs>
          <w:tab w:val="left" w:pos="1701"/>
          <w:tab w:val="left" w:pos="6237"/>
        </w:tabs>
        <w:rPr>
          <w:rFonts w:ascii="Calibri" w:hAnsi="Calibri"/>
          <w:iCs/>
          <w:color w:val="622423"/>
        </w:rPr>
      </w:pPr>
    </w:p>
    <w:p w14:paraId="1B82B1BC" w14:textId="70584AD4" w:rsidR="00F417ED" w:rsidRDefault="00F417ED" w:rsidP="000F6DAC">
      <w:pPr>
        <w:tabs>
          <w:tab w:val="left" w:pos="1701"/>
          <w:tab w:val="left" w:pos="6237"/>
        </w:tabs>
        <w:rPr>
          <w:rFonts w:ascii="Calibri" w:hAnsi="Calibri"/>
          <w:iCs/>
          <w:color w:val="622423"/>
        </w:rPr>
      </w:pPr>
    </w:p>
    <w:p w14:paraId="063B9085" w14:textId="0DD324A8" w:rsidR="00F417ED" w:rsidRDefault="00F417ED" w:rsidP="000F6DAC">
      <w:pPr>
        <w:tabs>
          <w:tab w:val="left" w:pos="1701"/>
          <w:tab w:val="left" w:pos="6237"/>
        </w:tabs>
        <w:rPr>
          <w:rFonts w:ascii="Calibri" w:hAnsi="Calibri"/>
          <w:iCs/>
          <w:color w:val="622423"/>
        </w:rPr>
      </w:pPr>
    </w:p>
    <w:p w14:paraId="7831E6F1" w14:textId="3D419B30" w:rsidR="00F417ED" w:rsidRDefault="00F417ED" w:rsidP="000F6DAC">
      <w:pPr>
        <w:tabs>
          <w:tab w:val="left" w:pos="1701"/>
          <w:tab w:val="left" w:pos="6237"/>
        </w:tabs>
        <w:rPr>
          <w:rFonts w:ascii="Calibri" w:hAnsi="Calibri"/>
          <w:iCs/>
          <w:color w:val="622423"/>
        </w:rPr>
      </w:pPr>
    </w:p>
    <w:p w14:paraId="18EB54F6" w14:textId="1EC8D82F" w:rsidR="00F417ED" w:rsidRDefault="00F417ED" w:rsidP="000F6DAC">
      <w:pPr>
        <w:tabs>
          <w:tab w:val="left" w:pos="1701"/>
          <w:tab w:val="left" w:pos="6237"/>
        </w:tabs>
        <w:rPr>
          <w:rFonts w:ascii="Calibri" w:hAnsi="Calibri"/>
          <w:iCs/>
          <w:color w:val="622423"/>
        </w:rPr>
      </w:pPr>
    </w:p>
    <w:p w14:paraId="1A1A495C" w14:textId="110A207C" w:rsidR="00F417ED" w:rsidRDefault="00F417ED" w:rsidP="000F6DAC">
      <w:pPr>
        <w:tabs>
          <w:tab w:val="left" w:pos="1701"/>
          <w:tab w:val="left" w:pos="6237"/>
        </w:tabs>
        <w:rPr>
          <w:rFonts w:ascii="Calibri" w:hAnsi="Calibri"/>
          <w:iCs/>
          <w:color w:val="622423"/>
        </w:rPr>
      </w:pPr>
    </w:p>
    <w:p w14:paraId="4C8CF1AA" w14:textId="102A1829" w:rsidR="00F417ED" w:rsidRDefault="00F417ED" w:rsidP="000F6DAC">
      <w:pPr>
        <w:tabs>
          <w:tab w:val="left" w:pos="1701"/>
          <w:tab w:val="left" w:pos="6237"/>
        </w:tabs>
        <w:rPr>
          <w:rFonts w:ascii="Calibri" w:hAnsi="Calibri"/>
          <w:iCs/>
          <w:color w:val="622423"/>
        </w:rPr>
      </w:pPr>
    </w:p>
    <w:p w14:paraId="39ED9265" w14:textId="384330B8" w:rsidR="00F417ED" w:rsidRDefault="00F417ED" w:rsidP="000F6DAC">
      <w:pPr>
        <w:tabs>
          <w:tab w:val="left" w:pos="1701"/>
          <w:tab w:val="left" w:pos="6237"/>
        </w:tabs>
        <w:rPr>
          <w:rFonts w:ascii="Calibri" w:hAnsi="Calibri"/>
          <w:iCs/>
          <w:color w:val="622423"/>
        </w:rPr>
      </w:pPr>
    </w:p>
    <w:p w14:paraId="04B0DA97" w14:textId="7EBD724A" w:rsidR="00F417ED" w:rsidRDefault="00F417ED" w:rsidP="000F6DAC">
      <w:pPr>
        <w:tabs>
          <w:tab w:val="left" w:pos="1701"/>
          <w:tab w:val="left" w:pos="6237"/>
        </w:tabs>
        <w:rPr>
          <w:rFonts w:ascii="Calibri" w:hAnsi="Calibri"/>
          <w:iCs/>
          <w:color w:val="622423"/>
        </w:rPr>
      </w:pPr>
    </w:p>
    <w:p w14:paraId="44D673D3" w14:textId="225C0185" w:rsidR="00F417ED" w:rsidRDefault="00F417ED" w:rsidP="000F6DAC">
      <w:pPr>
        <w:tabs>
          <w:tab w:val="left" w:pos="1701"/>
          <w:tab w:val="left" w:pos="6237"/>
        </w:tabs>
        <w:rPr>
          <w:rFonts w:ascii="Calibri" w:hAnsi="Calibri"/>
          <w:iCs/>
          <w:color w:val="622423"/>
        </w:rPr>
      </w:pPr>
    </w:p>
    <w:p w14:paraId="3EB31AAA" w14:textId="47CA5B34" w:rsidR="00F417ED" w:rsidRDefault="00F417ED" w:rsidP="000F6DAC">
      <w:pPr>
        <w:tabs>
          <w:tab w:val="left" w:pos="1701"/>
          <w:tab w:val="left" w:pos="6237"/>
        </w:tabs>
        <w:rPr>
          <w:rFonts w:ascii="Calibri" w:hAnsi="Calibri"/>
          <w:iCs/>
          <w:color w:val="622423"/>
        </w:rPr>
      </w:pPr>
    </w:p>
    <w:p w14:paraId="3919B42E" w14:textId="77777777" w:rsidR="00F417ED" w:rsidRPr="00DE4465" w:rsidRDefault="00F417ED" w:rsidP="000F6DAC">
      <w:pPr>
        <w:tabs>
          <w:tab w:val="left" w:pos="1701"/>
          <w:tab w:val="left" w:pos="6237"/>
        </w:tabs>
        <w:rPr>
          <w:rFonts w:ascii="Calibri" w:hAnsi="Calibri"/>
          <w:iCs/>
          <w:color w:val="622423"/>
        </w:rPr>
      </w:pPr>
    </w:p>
    <w:sectPr w:rsidR="00F417ED" w:rsidRPr="00DE4465" w:rsidSect="0035131F">
      <w:footerReference w:type="default" r:id="rId17"/>
      <w:pgSz w:w="11907" w:h="16840" w:code="9"/>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A4D2F" w14:textId="77777777" w:rsidR="0069143F" w:rsidRDefault="0069143F">
      <w:r>
        <w:separator/>
      </w:r>
    </w:p>
  </w:endnote>
  <w:endnote w:type="continuationSeparator" w:id="0">
    <w:p w14:paraId="7ADD69C1" w14:textId="77777777" w:rsidR="0069143F" w:rsidRDefault="0069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E276" w14:textId="77777777" w:rsidR="00986764" w:rsidRDefault="00986764" w:rsidP="00437607">
    <w:pPr>
      <w:pStyle w:val="Pieddepage"/>
    </w:pPr>
  </w:p>
  <w:tbl>
    <w:tblPr>
      <w:tblStyle w:val="Maslection1"/>
      <w:tblW w:w="10491" w:type="dxa"/>
      <w:tblInd w:w="-723" w:type="dxa"/>
      <w:tblLook w:val="04A0" w:firstRow="1" w:lastRow="0" w:firstColumn="1" w:lastColumn="0" w:noHBand="0" w:noVBand="1"/>
    </w:tblPr>
    <w:tblGrid>
      <w:gridCol w:w="3261"/>
      <w:gridCol w:w="4111"/>
      <w:gridCol w:w="3119"/>
    </w:tblGrid>
    <w:tr w:rsidR="00986764" w:rsidRPr="00293B04" w14:paraId="6EA2E53A" w14:textId="77777777" w:rsidTr="00293B04">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7E06C1DF" w14:textId="77777777" w:rsidR="00986764" w:rsidRPr="00293B04" w:rsidRDefault="00986764" w:rsidP="00293B04">
          <w:pPr>
            <w:spacing w:after="0"/>
          </w:pPr>
          <w:r w:rsidRPr="00293B04">
            <w:t>A.P.-H.P.</w:t>
          </w:r>
        </w:p>
      </w:tc>
      <w:tc>
        <w:tcPr>
          <w:tcW w:w="4111" w:type="dxa"/>
          <w:shd w:val="clear" w:color="auto" w:fill="auto"/>
        </w:tcPr>
        <w:p w14:paraId="644895A0" w14:textId="1DBB8626" w:rsidR="00986764" w:rsidRPr="00293B04" w:rsidRDefault="00986764" w:rsidP="00406BB2">
          <w:pPr>
            <w:spacing w:after="0"/>
            <w:cnfStyle w:val="100000000000" w:firstRow="1" w:lastRow="0" w:firstColumn="0" w:lastColumn="0" w:oddVBand="0" w:evenVBand="0" w:oddHBand="0" w:evenHBand="0" w:firstRowFirstColumn="0" w:firstRowLastColumn="0" w:lastRowFirstColumn="0" w:lastRowLastColumn="0"/>
          </w:pPr>
          <w:r w:rsidRPr="00293B04">
            <w:t>Consultation n</w:t>
          </w:r>
          <w:r w:rsidRPr="000262D8">
            <w:t xml:space="preserve">° </w:t>
          </w:r>
          <w:r>
            <w:t>24-110</w:t>
          </w:r>
        </w:p>
      </w:tc>
      <w:tc>
        <w:tcPr>
          <w:tcW w:w="3119" w:type="dxa"/>
          <w:shd w:val="clear" w:color="auto" w:fill="auto"/>
        </w:tcPr>
        <w:p w14:paraId="4FA100A7" w14:textId="77777777" w:rsidR="00986764" w:rsidRPr="00293B04" w:rsidRDefault="00986764" w:rsidP="00293B04">
          <w:pPr>
            <w:spacing w:after="0"/>
            <w:jc w:val="right"/>
            <w:cnfStyle w:val="100000000000" w:firstRow="1" w:lastRow="0" w:firstColumn="0" w:lastColumn="0" w:oddVBand="0" w:evenVBand="0" w:oddHBand="0" w:evenHBand="0" w:firstRowFirstColumn="0" w:firstRowLastColumn="0" w:lastRowFirstColumn="0" w:lastRowLastColumn="0"/>
          </w:pPr>
          <w:r w:rsidRPr="00293B04">
            <w:t>A.C.H.A.T.</w:t>
          </w:r>
        </w:p>
      </w:tc>
    </w:tr>
    <w:tr w:rsidR="00986764" w:rsidRPr="00293B04" w14:paraId="441E768E" w14:textId="77777777" w:rsidTr="00293B04">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7A40C4BF" w14:textId="77777777" w:rsidR="00986764" w:rsidRPr="00293B04" w:rsidRDefault="00986764" w:rsidP="007602C8">
          <w:pPr>
            <w:spacing w:after="0"/>
          </w:pPr>
          <w:r w:rsidRPr="00293B04">
            <w:t>CCTP.</w:t>
          </w:r>
          <w:proofErr w:type="gramStart"/>
          <w:r w:rsidRPr="00293B04">
            <w:t xml:space="preserve">2  </w:t>
          </w:r>
          <w:r>
            <w:t>03</w:t>
          </w:r>
          <w:proofErr w:type="gramEnd"/>
          <w:r>
            <w:t>/03/2021</w:t>
          </w:r>
        </w:p>
      </w:tc>
      <w:tc>
        <w:tcPr>
          <w:tcW w:w="4111" w:type="dxa"/>
          <w:shd w:val="clear" w:color="auto" w:fill="auto"/>
        </w:tcPr>
        <w:p w14:paraId="21C8DC22" w14:textId="350B98C5" w:rsidR="00986764" w:rsidRPr="00293B04" w:rsidRDefault="00986764" w:rsidP="00293B04">
          <w:pPr>
            <w:spacing w:after="0"/>
            <w:cnfStyle w:val="000000000000" w:firstRow="0" w:lastRow="0" w:firstColumn="0" w:lastColumn="0" w:oddVBand="0" w:evenVBand="0" w:oddHBand="0" w:evenHBand="0" w:firstRowFirstColumn="0" w:firstRowLastColumn="0" w:lastRowFirstColumn="0" w:lastRowLastColumn="0"/>
          </w:pPr>
          <w:r w:rsidRPr="00293B04">
            <w:t xml:space="preserve">Dernière mise à jour du : </w:t>
          </w:r>
          <w:r w:rsidRPr="00293B04">
            <w:fldChar w:fldCharType="begin"/>
          </w:r>
          <w:r w:rsidRPr="00293B04">
            <w:instrText xml:space="preserve"> TIME \@ "dd/MM/yyyy" </w:instrText>
          </w:r>
          <w:r w:rsidRPr="00293B04">
            <w:fldChar w:fldCharType="separate"/>
          </w:r>
          <w:r w:rsidR="005B0EB7">
            <w:rPr>
              <w:noProof/>
            </w:rPr>
            <w:t>17/09/2024</w:t>
          </w:r>
          <w:r w:rsidRPr="00293B04">
            <w:fldChar w:fldCharType="end"/>
          </w:r>
        </w:p>
      </w:tc>
      <w:tc>
        <w:tcPr>
          <w:tcW w:w="3119" w:type="dxa"/>
          <w:shd w:val="clear" w:color="auto" w:fill="auto"/>
        </w:tcPr>
        <w:sdt>
          <w:sdtPr>
            <w:id w:val="705221310"/>
            <w:docPartObj>
              <w:docPartGallery w:val="Page Numbers (Bottom of Page)"/>
              <w:docPartUnique/>
            </w:docPartObj>
          </w:sdtPr>
          <w:sdtEndPr/>
          <w:sdtContent>
            <w:sdt>
              <w:sdtPr>
                <w:id w:val="432561644"/>
                <w:docPartObj>
                  <w:docPartGallery w:val="Page Numbers (Top of Page)"/>
                  <w:docPartUnique/>
                </w:docPartObj>
              </w:sdtPr>
              <w:sdtEndPr/>
              <w:sdtContent>
                <w:p w14:paraId="31B1CADC" w14:textId="590FE127" w:rsidR="00986764" w:rsidRPr="00293B04" w:rsidRDefault="00986764" w:rsidP="00293B04">
                  <w:pPr>
                    <w:spacing w:after="0"/>
                    <w:jc w:val="right"/>
                    <w:cnfStyle w:val="000000000000" w:firstRow="0" w:lastRow="0" w:firstColumn="0" w:lastColumn="0" w:oddVBand="0" w:evenVBand="0" w:oddHBand="0" w:evenHBand="0" w:firstRowFirstColumn="0" w:firstRowLastColumn="0" w:lastRowFirstColumn="0" w:lastRowLastColumn="0"/>
                  </w:pPr>
                  <w:r w:rsidRPr="00293B04">
                    <w:t xml:space="preserve">Page </w:t>
                  </w:r>
                  <w:r w:rsidRPr="00293B04">
                    <w:rPr>
                      <w:bCs/>
                      <w:sz w:val="24"/>
                      <w:szCs w:val="24"/>
                    </w:rPr>
                    <w:fldChar w:fldCharType="begin"/>
                  </w:r>
                  <w:r w:rsidRPr="00293B04">
                    <w:rPr>
                      <w:bCs/>
                    </w:rPr>
                    <w:instrText>PAGE</w:instrText>
                  </w:r>
                  <w:r w:rsidRPr="00293B04">
                    <w:rPr>
                      <w:bCs/>
                      <w:sz w:val="24"/>
                      <w:szCs w:val="24"/>
                    </w:rPr>
                    <w:fldChar w:fldCharType="separate"/>
                  </w:r>
                  <w:r w:rsidR="008927C1">
                    <w:rPr>
                      <w:bCs/>
                      <w:noProof/>
                    </w:rPr>
                    <w:t>21</w:t>
                  </w:r>
                  <w:r w:rsidRPr="00293B04">
                    <w:rPr>
                      <w:bCs/>
                      <w:sz w:val="24"/>
                      <w:szCs w:val="24"/>
                    </w:rPr>
                    <w:fldChar w:fldCharType="end"/>
                  </w:r>
                  <w:r w:rsidRPr="00293B04">
                    <w:t xml:space="preserve"> sur </w:t>
                  </w:r>
                  <w:r w:rsidRPr="00293B04">
                    <w:rPr>
                      <w:bCs/>
                      <w:sz w:val="24"/>
                      <w:szCs w:val="24"/>
                    </w:rPr>
                    <w:fldChar w:fldCharType="begin"/>
                  </w:r>
                  <w:r w:rsidRPr="00293B04">
                    <w:rPr>
                      <w:bCs/>
                    </w:rPr>
                    <w:instrText>NUMPAGES</w:instrText>
                  </w:r>
                  <w:r w:rsidRPr="00293B04">
                    <w:rPr>
                      <w:bCs/>
                      <w:sz w:val="24"/>
                      <w:szCs w:val="24"/>
                    </w:rPr>
                    <w:fldChar w:fldCharType="separate"/>
                  </w:r>
                  <w:r w:rsidR="008927C1">
                    <w:rPr>
                      <w:bCs/>
                      <w:noProof/>
                    </w:rPr>
                    <w:t>39</w:t>
                  </w:r>
                  <w:r w:rsidRPr="00293B04">
                    <w:rPr>
                      <w:bCs/>
                      <w:sz w:val="24"/>
                      <w:szCs w:val="24"/>
                    </w:rPr>
                    <w:fldChar w:fldCharType="end"/>
                  </w:r>
                </w:p>
              </w:sdtContent>
            </w:sdt>
          </w:sdtContent>
        </w:sdt>
        <w:p w14:paraId="0CC030D8" w14:textId="77777777" w:rsidR="00986764" w:rsidRPr="00293B04" w:rsidRDefault="00986764" w:rsidP="00293B04">
          <w:pPr>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5FB7063E" w14:textId="77777777" w:rsidR="00986764" w:rsidRDefault="00986764" w:rsidP="005B2ECE">
    <w:pPr>
      <w:pStyle w:val="Pieddepage"/>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98874" w14:textId="77777777" w:rsidR="0069143F" w:rsidRDefault="0069143F">
      <w:r>
        <w:separator/>
      </w:r>
    </w:p>
  </w:footnote>
  <w:footnote w:type="continuationSeparator" w:id="0">
    <w:p w14:paraId="0364223D" w14:textId="77777777" w:rsidR="0069143F" w:rsidRDefault="0069143F">
      <w:r>
        <w:continuationSeparator/>
      </w:r>
    </w:p>
  </w:footnote>
  <w:footnote w:id="1">
    <w:p w14:paraId="7B44E32D" w14:textId="77777777" w:rsidR="00986764" w:rsidRDefault="00986764">
      <w:pPr>
        <w:pStyle w:val="Notedebasdepage"/>
      </w:pPr>
      <w:r>
        <w:rPr>
          <w:rStyle w:val="Appelnotedebasdep"/>
        </w:rPr>
        <w:footnoteRef/>
      </w:r>
      <w:r>
        <w:t xml:space="preserve"> Cf. glossaire</w:t>
      </w:r>
    </w:p>
  </w:footnote>
  <w:footnote w:id="2">
    <w:p w14:paraId="1CCC4058" w14:textId="77777777" w:rsidR="00986764" w:rsidRDefault="00986764" w:rsidP="00DE0208">
      <w:pPr>
        <w:pStyle w:val="Notedebasdepage"/>
      </w:pPr>
      <w:r>
        <w:rPr>
          <w:rStyle w:val="Appelnotedebasdep"/>
        </w:rPr>
        <w:footnoteRef/>
      </w:r>
      <w:r>
        <w:t xml:space="preserve"> GAIAP : Cf. glossaire</w:t>
      </w:r>
    </w:p>
  </w:footnote>
  <w:footnote w:id="3">
    <w:p w14:paraId="62CD2158" w14:textId="77777777" w:rsidR="00986764" w:rsidRDefault="00986764">
      <w:pPr>
        <w:pStyle w:val="Notedebasdepage"/>
      </w:pPr>
      <w:r>
        <w:rPr>
          <w:rStyle w:val="Appelnotedebasdep"/>
        </w:rPr>
        <w:footnoteRef/>
      </w:r>
      <w:r>
        <w:t xml:space="preserve"> ANNSI : </w:t>
      </w:r>
      <w:r w:rsidRPr="003B4D14">
        <w:t>Agence Nationale de Sécurité des Systèmes d’Information</w:t>
      </w:r>
    </w:p>
  </w:footnote>
  <w:footnote w:id="4">
    <w:p w14:paraId="728521B4" w14:textId="77777777" w:rsidR="00986764" w:rsidRDefault="00986764" w:rsidP="00DE0208">
      <w:pPr>
        <w:pStyle w:val="Notedebasdepage"/>
      </w:pPr>
      <w:r>
        <w:rPr>
          <w:rStyle w:val="Appelnotedebasdep"/>
        </w:rPr>
        <w:footnoteRef/>
      </w:r>
      <w:r>
        <w:t xml:space="preserve"> DSI : Direction des Systèmes d’Information</w:t>
      </w:r>
    </w:p>
  </w:footnote>
  <w:footnote w:id="5">
    <w:p w14:paraId="786AF671" w14:textId="77777777" w:rsidR="00986764" w:rsidRDefault="00986764">
      <w:pPr>
        <w:pStyle w:val="Notedebasdepage"/>
      </w:pPr>
      <w:r>
        <w:rPr>
          <w:rStyle w:val="Appelnotedebasdep"/>
        </w:rPr>
        <w:footnoteRef/>
      </w:r>
      <w:r>
        <w:t xml:space="preserve"> ASIP Santé recommandations : Cf. annexe 4</w:t>
      </w:r>
    </w:p>
  </w:footnote>
  <w:footnote w:id="6">
    <w:p w14:paraId="3A7D373A" w14:textId="77777777" w:rsidR="00986764" w:rsidRDefault="00986764">
      <w:pPr>
        <w:pStyle w:val="Notedebasdepage"/>
      </w:pPr>
      <w:r>
        <w:rPr>
          <w:rStyle w:val="Appelnotedebasdep"/>
        </w:rPr>
        <w:footnoteRef/>
      </w:r>
      <w:r>
        <w:t xml:space="preserve"> Certains hôpitaux de l’AP-HP accueille jusqu’à 12 000 agents.</w:t>
      </w:r>
    </w:p>
  </w:footnote>
  <w:footnote w:id="7">
    <w:p w14:paraId="07E375EE" w14:textId="77777777" w:rsidR="00986764" w:rsidRDefault="00986764">
      <w:pPr>
        <w:pStyle w:val="Notedebasdepage"/>
      </w:pPr>
      <w:r>
        <w:rPr>
          <w:rStyle w:val="Appelnotedebasdep"/>
        </w:rPr>
        <w:footnoteRef/>
      </w:r>
      <w:r>
        <w:t xml:space="preserve"> RFID : Cf. glossaire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F243C"/>
    <w:multiLevelType w:val="hybridMultilevel"/>
    <w:tmpl w:val="B8729528"/>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65803A7"/>
    <w:multiLevelType w:val="hybridMultilevel"/>
    <w:tmpl w:val="A4C6ECD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8030158"/>
    <w:multiLevelType w:val="hybridMultilevel"/>
    <w:tmpl w:val="5AA625F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82644BE"/>
    <w:multiLevelType w:val="hybridMultilevel"/>
    <w:tmpl w:val="E98AFAB0"/>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4C20B92"/>
    <w:multiLevelType w:val="hybridMultilevel"/>
    <w:tmpl w:val="182813F8"/>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AAB50E9"/>
    <w:multiLevelType w:val="hybridMultilevel"/>
    <w:tmpl w:val="82347C76"/>
    <w:lvl w:ilvl="0" w:tplc="040C0001">
      <w:start w:val="1"/>
      <w:numFmt w:val="bullet"/>
      <w:lvlText w:val=""/>
      <w:lvlJc w:val="left"/>
      <w:pPr>
        <w:ind w:left="720" w:hanging="360"/>
      </w:pPr>
      <w:rPr>
        <w:rFonts w:ascii="Symbol" w:hAnsi="Symbol"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023560"/>
    <w:multiLevelType w:val="hybridMultilevel"/>
    <w:tmpl w:val="AA2CDC12"/>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A36178"/>
    <w:multiLevelType w:val="hybridMultilevel"/>
    <w:tmpl w:val="EFCC121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17C3EE6"/>
    <w:multiLevelType w:val="hybridMultilevel"/>
    <w:tmpl w:val="48EE4B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31B7C0B"/>
    <w:multiLevelType w:val="hybridMultilevel"/>
    <w:tmpl w:val="FEC0C4DA"/>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3C45C89"/>
    <w:multiLevelType w:val="hybridMultilevel"/>
    <w:tmpl w:val="9EF6AD4A"/>
    <w:lvl w:ilvl="0" w:tplc="040C0001">
      <w:start w:val="1"/>
      <w:numFmt w:val="bullet"/>
      <w:lvlText w:val=""/>
      <w:lvlJc w:val="left"/>
      <w:pPr>
        <w:ind w:left="360" w:hanging="360"/>
      </w:pPr>
      <w:rPr>
        <w:rFonts w:ascii="Symbol" w:hAnsi="Symbol" w:hint="default"/>
        <w:color w:val="C0000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3D611A8"/>
    <w:multiLevelType w:val="hybridMultilevel"/>
    <w:tmpl w:val="9DE85206"/>
    <w:lvl w:ilvl="0" w:tplc="040C0001">
      <w:start w:val="1"/>
      <w:numFmt w:val="bullet"/>
      <w:lvlText w:val=""/>
      <w:lvlJc w:val="left"/>
      <w:pPr>
        <w:ind w:left="720" w:hanging="360"/>
      </w:pPr>
      <w:rPr>
        <w:rFonts w:ascii="Symbol" w:hAnsi="Symbol"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52542D"/>
    <w:multiLevelType w:val="hybridMultilevel"/>
    <w:tmpl w:val="CCD46C26"/>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287F4877"/>
    <w:multiLevelType w:val="hybridMultilevel"/>
    <w:tmpl w:val="89C23F2C"/>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D001911"/>
    <w:multiLevelType w:val="multilevel"/>
    <w:tmpl w:val="040C0001"/>
    <w:styleLink w:val="Style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2F34AA9"/>
    <w:multiLevelType w:val="hybridMultilevel"/>
    <w:tmpl w:val="E4ECF164"/>
    <w:lvl w:ilvl="0" w:tplc="EA58DDF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FF49A3"/>
    <w:multiLevelType w:val="hybridMultilevel"/>
    <w:tmpl w:val="6CF46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51691D"/>
    <w:multiLevelType w:val="hybridMultilevel"/>
    <w:tmpl w:val="B122EF8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7B26EE3"/>
    <w:multiLevelType w:val="hybridMultilevel"/>
    <w:tmpl w:val="AFA245A4"/>
    <w:lvl w:ilvl="0" w:tplc="040C0001">
      <w:start w:val="1"/>
      <w:numFmt w:val="bullet"/>
      <w:lvlText w:val=""/>
      <w:lvlJc w:val="left"/>
      <w:pPr>
        <w:ind w:left="720" w:hanging="360"/>
      </w:pPr>
      <w:rPr>
        <w:rFonts w:ascii="Symbol" w:hAnsi="Symbol"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665EE1"/>
    <w:multiLevelType w:val="hybridMultilevel"/>
    <w:tmpl w:val="510E16E8"/>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2450C38"/>
    <w:multiLevelType w:val="hybridMultilevel"/>
    <w:tmpl w:val="F5F8F18E"/>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271326F"/>
    <w:multiLevelType w:val="hybridMultilevel"/>
    <w:tmpl w:val="01A8D81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27F4059"/>
    <w:multiLevelType w:val="hybridMultilevel"/>
    <w:tmpl w:val="061CB11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4DD0DF1"/>
    <w:multiLevelType w:val="hybridMultilevel"/>
    <w:tmpl w:val="14A429E6"/>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5743191"/>
    <w:multiLevelType w:val="hybridMultilevel"/>
    <w:tmpl w:val="A2C61440"/>
    <w:lvl w:ilvl="0" w:tplc="040C0001">
      <w:start w:val="1"/>
      <w:numFmt w:val="bullet"/>
      <w:lvlText w:val=""/>
      <w:lvlJc w:val="left"/>
      <w:pPr>
        <w:ind w:left="720" w:hanging="360"/>
      </w:pPr>
      <w:rPr>
        <w:rFonts w:ascii="Symbol" w:hAnsi="Symbol"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89493D"/>
    <w:multiLevelType w:val="hybridMultilevel"/>
    <w:tmpl w:val="262CBD4C"/>
    <w:lvl w:ilvl="0" w:tplc="040C0001">
      <w:start w:val="1"/>
      <w:numFmt w:val="bullet"/>
      <w:lvlText w:val=""/>
      <w:lvlJc w:val="left"/>
      <w:pPr>
        <w:ind w:left="720" w:hanging="360"/>
      </w:pPr>
      <w:rPr>
        <w:rFonts w:ascii="Symbol" w:hAnsi="Symbol"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EF36EA"/>
    <w:multiLevelType w:val="hybridMultilevel"/>
    <w:tmpl w:val="CF58EAEC"/>
    <w:lvl w:ilvl="0" w:tplc="EA58DDF4">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BD69B1"/>
    <w:multiLevelType w:val="hybridMultilevel"/>
    <w:tmpl w:val="0B0E884E"/>
    <w:lvl w:ilvl="0" w:tplc="040C0001">
      <w:start w:val="1"/>
      <w:numFmt w:val="bullet"/>
      <w:lvlText w:val=""/>
      <w:lvlJc w:val="left"/>
      <w:pPr>
        <w:ind w:left="720" w:hanging="360"/>
      </w:pPr>
      <w:rPr>
        <w:rFonts w:ascii="Symbol" w:hAnsi="Symbol" w:hint="default"/>
        <w:color w:val="C00000"/>
      </w:rPr>
    </w:lvl>
    <w:lvl w:ilvl="1" w:tplc="040C0001">
      <w:start w:val="1"/>
      <w:numFmt w:val="bullet"/>
      <w:lvlText w:val=""/>
      <w:lvlJc w:val="left"/>
      <w:pPr>
        <w:ind w:left="1440" w:hanging="360"/>
      </w:pPr>
      <w:rPr>
        <w:rFonts w:ascii="Symbol" w:hAnsi="Symbol" w:hint="default"/>
        <w:color w:val="C00000"/>
        <w:sz w:val="1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E65190"/>
    <w:multiLevelType w:val="hybridMultilevel"/>
    <w:tmpl w:val="A82C4CE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4D027B96"/>
    <w:multiLevelType w:val="hybridMultilevel"/>
    <w:tmpl w:val="0388B65E"/>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DD76BA8"/>
    <w:multiLevelType w:val="singleLevel"/>
    <w:tmpl w:val="9162C670"/>
    <w:lvl w:ilvl="0">
      <w:numFmt w:val="bullet"/>
      <w:lvlText w:val="-"/>
      <w:lvlJc w:val="left"/>
      <w:pPr>
        <w:tabs>
          <w:tab w:val="num" w:pos="927"/>
        </w:tabs>
        <w:ind w:left="927" w:hanging="360"/>
      </w:pPr>
    </w:lvl>
  </w:abstractNum>
  <w:abstractNum w:abstractNumId="32" w15:restartNumberingAfterBreak="0">
    <w:nsid w:val="4E70696B"/>
    <w:multiLevelType w:val="hybridMultilevel"/>
    <w:tmpl w:val="F6AE34E6"/>
    <w:lvl w:ilvl="0" w:tplc="4ACAB960">
      <w:start w:val="1"/>
      <w:numFmt w:val="decimal"/>
      <w:lvlText w:val="%1."/>
      <w:lvlJc w:val="left"/>
      <w:pPr>
        <w:ind w:left="720" w:hanging="360"/>
      </w:pPr>
      <w:rPr>
        <w:rFonts w:hint="default"/>
        <w:color w:val="C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6B518D0"/>
    <w:multiLevelType w:val="hybridMultilevel"/>
    <w:tmpl w:val="458469A8"/>
    <w:lvl w:ilvl="0" w:tplc="E4201FEA">
      <w:numFmt w:val="bullet"/>
      <w:lvlText w:val="-"/>
      <w:lvlJc w:val="left"/>
      <w:pPr>
        <w:ind w:left="1440" w:hanging="360"/>
      </w:pPr>
      <w:rPr>
        <w:rFonts w:ascii="Times New Roman" w:hAnsi="Times New Roman" w:hint="default"/>
        <w:color w:val="C00000"/>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9067FB7"/>
    <w:multiLevelType w:val="hybridMultilevel"/>
    <w:tmpl w:val="A3F46D60"/>
    <w:lvl w:ilvl="0" w:tplc="040C0001">
      <w:start w:val="1"/>
      <w:numFmt w:val="bullet"/>
      <w:lvlText w:val=""/>
      <w:lvlJc w:val="left"/>
      <w:pPr>
        <w:ind w:left="786" w:hanging="360"/>
      </w:pPr>
      <w:rPr>
        <w:rFonts w:ascii="Symbol" w:hAnsi="Symbol" w:hint="default"/>
        <w:color w:val="auto"/>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5" w15:restartNumberingAfterBreak="0">
    <w:nsid w:val="59FE3862"/>
    <w:multiLevelType w:val="hybridMultilevel"/>
    <w:tmpl w:val="EBEA0E7C"/>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5E1750B3"/>
    <w:multiLevelType w:val="hybridMultilevel"/>
    <w:tmpl w:val="4BD2239E"/>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5E825CCD"/>
    <w:multiLevelType w:val="hybridMultilevel"/>
    <w:tmpl w:val="E49CF6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63DD6EF0"/>
    <w:multiLevelType w:val="hybridMultilevel"/>
    <w:tmpl w:val="97B2F8D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54E36A0"/>
    <w:multiLevelType w:val="hybridMultilevel"/>
    <w:tmpl w:val="98823D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679752F"/>
    <w:multiLevelType w:val="hybridMultilevel"/>
    <w:tmpl w:val="90080C64"/>
    <w:lvl w:ilvl="0" w:tplc="4ACAB960">
      <w:start w:val="1"/>
      <w:numFmt w:val="decimal"/>
      <w:lvlText w:val="%1."/>
      <w:lvlJc w:val="left"/>
      <w:pPr>
        <w:ind w:left="720" w:hanging="360"/>
      </w:pPr>
      <w:rPr>
        <w:rFonts w:hint="default"/>
        <w:color w:val="C00000"/>
        <w:u w:color="FFFFFF" w:themeColor="background1"/>
      </w:rPr>
    </w:lvl>
    <w:lvl w:ilvl="1" w:tplc="4BEC0BE4">
      <w:start w:val="1"/>
      <w:numFmt w:val="lowerLetter"/>
      <w:lvlText w:val="%2."/>
      <w:lvlJc w:val="left"/>
      <w:pPr>
        <w:ind w:left="1440" w:hanging="360"/>
      </w:pPr>
      <w:rPr>
        <w:rFonts w:hint="default"/>
        <w:color w:val="C0000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B894534"/>
    <w:multiLevelType w:val="singleLevel"/>
    <w:tmpl w:val="4C805BF2"/>
    <w:lvl w:ilvl="0">
      <w:numFmt w:val="bullet"/>
      <w:lvlText w:val="-"/>
      <w:lvlJc w:val="left"/>
      <w:pPr>
        <w:tabs>
          <w:tab w:val="num" w:pos="360"/>
        </w:tabs>
        <w:ind w:left="360" w:hanging="360"/>
      </w:pPr>
      <w:rPr>
        <w:rFonts w:hint="default"/>
      </w:rPr>
    </w:lvl>
  </w:abstractNum>
  <w:abstractNum w:abstractNumId="42" w15:restartNumberingAfterBreak="0">
    <w:nsid w:val="6B8E6949"/>
    <w:multiLevelType w:val="hybridMultilevel"/>
    <w:tmpl w:val="C0BC7790"/>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E3E20D5"/>
    <w:multiLevelType w:val="hybridMultilevel"/>
    <w:tmpl w:val="81088C5E"/>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61A0F37"/>
    <w:multiLevelType w:val="hybridMultilevel"/>
    <w:tmpl w:val="CDB41E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76241C4F"/>
    <w:multiLevelType w:val="hybridMultilevel"/>
    <w:tmpl w:val="916C4EB2"/>
    <w:lvl w:ilvl="0" w:tplc="E4201FEA">
      <w:numFmt w:val="bullet"/>
      <w:lvlText w:val="-"/>
      <w:lvlJc w:val="left"/>
      <w:pPr>
        <w:ind w:left="720" w:hanging="360"/>
      </w:pPr>
      <w:rPr>
        <w:rFonts w:ascii="Times New Roman" w:hAnsi="Times New Roman" w:hint="default"/>
        <w:color w:val="C00000"/>
      </w:rPr>
    </w:lvl>
    <w:lvl w:ilvl="1" w:tplc="040C0001">
      <w:start w:val="1"/>
      <w:numFmt w:val="bullet"/>
      <w:lvlText w:val=""/>
      <w:lvlJc w:val="left"/>
      <w:pPr>
        <w:ind w:left="1440" w:hanging="360"/>
      </w:pPr>
      <w:rPr>
        <w:rFonts w:ascii="Symbol" w:hAnsi="Symbol" w:hint="default"/>
        <w:color w:val="C00000"/>
        <w:sz w:val="1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8982E28"/>
    <w:multiLevelType w:val="hybridMultilevel"/>
    <w:tmpl w:val="FD30AEB4"/>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78B45707"/>
    <w:multiLevelType w:val="hybridMultilevel"/>
    <w:tmpl w:val="C66E073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8" w15:restartNumberingAfterBreak="0">
    <w:nsid w:val="7BF53E43"/>
    <w:multiLevelType w:val="hybridMultilevel"/>
    <w:tmpl w:val="81D8ACEE"/>
    <w:lvl w:ilvl="0" w:tplc="040C0001">
      <w:start w:val="1"/>
      <w:numFmt w:val="bullet"/>
      <w:lvlText w:val=""/>
      <w:lvlJc w:val="left"/>
      <w:pPr>
        <w:ind w:left="360" w:hanging="360"/>
      </w:pPr>
      <w:rPr>
        <w:rFonts w:ascii="Symbol" w:hAnsi="Symbol"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7D296003"/>
    <w:multiLevelType w:val="hybridMultilevel"/>
    <w:tmpl w:val="46160D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8"/>
  </w:num>
  <w:num w:numId="4">
    <w:abstractNumId w:val="26"/>
  </w:num>
  <w:num w:numId="5">
    <w:abstractNumId w:val="5"/>
  </w:num>
  <w:num w:numId="6">
    <w:abstractNumId w:val="32"/>
  </w:num>
  <w:num w:numId="7">
    <w:abstractNumId w:val="41"/>
  </w:num>
  <w:num w:numId="8">
    <w:abstractNumId w:val="11"/>
  </w:num>
  <w:num w:numId="9">
    <w:abstractNumId w:val="35"/>
  </w:num>
  <w:num w:numId="10">
    <w:abstractNumId w:val="31"/>
  </w:num>
  <w:num w:numId="11">
    <w:abstractNumId w:val="33"/>
  </w:num>
  <w:num w:numId="12">
    <w:abstractNumId w:val="47"/>
  </w:num>
  <w:num w:numId="13">
    <w:abstractNumId w:val="36"/>
  </w:num>
  <w:num w:numId="14">
    <w:abstractNumId w:val="43"/>
  </w:num>
  <w:num w:numId="15">
    <w:abstractNumId w:val="24"/>
  </w:num>
  <w:num w:numId="16">
    <w:abstractNumId w:val="18"/>
  </w:num>
  <w:num w:numId="17">
    <w:abstractNumId w:val="21"/>
  </w:num>
  <w:num w:numId="18">
    <w:abstractNumId w:val="6"/>
  </w:num>
  <w:num w:numId="19">
    <w:abstractNumId w:val="0"/>
  </w:num>
  <w:num w:numId="20">
    <w:abstractNumId w:val="13"/>
  </w:num>
  <w:num w:numId="21">
    <w:abstractNumId w:val="48"/>
  </w:num>
  <w:num w:numId="22">
    <w:abstractNumId w:val="3"/>
  </w:num>
  <w:num w:numId="23">
    <w:abstractNumId w:val="20"/>
  </w:num>
  <w:num w:numId="24">
    <w:abstractNumId w:val="25"/>
  </w:num>
  <w:num w:numId="25">
    <w:abstractNumId w:val="4"/>
  </w:num>
  <w:num w:numId="26">
    <w:abstractNumId w:val="30"/>
  </w:num>
  <w:num w:numId="27">
    <w:abstractNumId w:val="9"/>
  </w:num>
  <w:num w:numId="28">
    <w:abstractNumId w:val="34"/>
  </w:num>
  <w:num w:numId="29">
    <w:abstractNumId w:val="2"/>
  </w:num>
  <w:num w:numId="30">
    <w:abstractNumId w:val="10"/>
  </w:num>
  <w:num w:numId="31">
    <w:abstractNumId w:val="28"/>
  </w:num>
  <w:num w:numId="32">
    <w:abstractNumId w:val="42"/>
  </w:num>
  <w:num w:numId="33">
    <w:abstractNumId w:val="23"/>
  </w:num>
  <w:num w:numId="34">
    <w:abstractNumId w:val="29"/>
  </w:num>
  <w:num w:numId="35">
    <w:abstractNumId w:val="22"/>
  </w:num>
  <w:num w:numId="36">
    <w:abstractNumId w:val="1"/>
  </w:num>
  <w:num w:numId="37">
    <w:abstractNumId w:val="39"/>
  </w:num>
  <w:num w:numId="38">
    <w:abstractNumId w:val="12"/>
  </w:num>
  <w:num w:numId="39">
    <w:abstractNumId w:val="17"/>
  </w:num>
  <w:num w:numId="40">
    <w:abstractNumId w:val="38"/>
  </w:num>
  <w:num w:numId="41">
    <w:abstractNumId w:val="7"/>
  </w:num>
  <w:num w:numId="42">
    <w:abstractNumId w:val="46"/>
  </w:num>
  <w:num w:numId="43">
    <w:abstractNumId w:val="37"/>
  </w:num>
  <w:num w:numId="44">
    <w:abstractNumId w:val="40"/>
  </w:num>
  <w:num w:numId="45">
    <w:abstractNumId w:val="19"/>
  </w:num>
  <w:num w:numId="46">
    <w:abstractNumId w:val="45"/>
  </w:num>
  <w:num w:numId="47">
    <w:abstractNumId w:val="44"/>
  </w:num>
  <w:num w:numId="48">
    <w:abstractNumId w:val="49"/>
  </w:num>
  <w:num w:numId="49">
    <w:abstractNumId w:val="27"/>
  </w:num>
  <w:num w:numId="50">
    <w:abstractNumId w:val="1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C79"/>
    <w:rsid w:val="000001B0"/>
    <w:rsid w:val="00000539"/>
    <w:rsid w:val="00007956"/>
    <w:rsid w:val="0001498C"/>
    <w:rsid w:val="00015C73"/>
    <w:rsid w:val="000169FD"/>
    <w:rsid w:val="00023A91"/>
    <w:rsid w:val="00023F9D"/>
    <w:rsid w:val="000252C9"/>
    <w:rsid w:val="00025D33"/>
    <w:rsid w:val="00025F08"/>
    <w:rsid w:val="000262D8"/>
    <w:rsid w:val="00027087"/>
    <w:rsid w:val="000303E1"/>
    <w:rsid w:val="000315AC"/>
    <w:rsid w:val="00034FCC"/>
    <w:rsid w:val="0003708C"/>
    <w:rsid w:val="00040DD5"/>
    <w:rsid w:val="00041539"/>
    <w:rsid w:val="00041F05"/>
    <w:rsid w:val="00042772"/>
    <w:rsid w:val="0004279F"/>
    <w:rsid w:val="000428EB"/>
    <w:rsid w:val="000435CF"/>
    <w:rsid w:val="00043668"/>
    <w:rsid w:val="00051CAF"/>
    <w:rsid w:val="00053B90"/>
    <w:rsid w:val="000543C2"/>
    <w:rsid w:val="00054F0F"/>
    <w:rsid w:val="000553D9"/>
    <w:rsid w:val="00055426"/>
    <w:rsid w:val="00056980"/>
    <w:rsid w:val="0005699F"/>
    <w:rsid w:val="00056C14"/>
    <w:rsid w:val="000577BC"/>
    <w:rsid w:val="00060ECC"/>
    <w:rsid w:val="00062067"/>
    <w:rsid w:val="000649C0"/>
    <w:rsid w:val="0006546D"/>
    <w:rsid w:val="000654E1"/>
    <w:rsid w:val="00066891"/>
    <w:rsid w:val="00066952"/>
    <w:rsid w:val="00066BB0"/>
    <w:rsid w:val="00070315"/>
    <w:rsid w:val="00070FC7"/>
    <w:rsid w:val="00076320"/>
    <w:rsid w:val="000779DC"/>
    <w:rsid w:val="00077B37"/>
    <w:rsid w:val="00081F3D"/>
    <w:rsid w:val="000820DA"/>
    <w:rsid w:val="00082212"/>
    <w:rsid w:val="00082527"/>
    <w:rsid w:val="00082C0F"/>
    <w:rsid w:val="00083296"/>
    <w:rsid w:val="00084DCF"/>
    <w:rsid w:val="00084EA8"/>
    <w:rsid w:val="00085771"/>
    <w:rsid w:val="00086BDD"/>
    <w:rsid w:val="000871DC"/>
    <w:rsid w:val="000872A3"/>
    <w:rsid w:val="000878B9"/>
    <w:rsid w:val="00091153"/>
    <w:rsid w:val="00091BAC"/>
    <w:rsid w:val="00092F98"/>
    <w:rsid w:val="00093429"/>
    <w:rsid w:val="00095CBC"/>
    <w:rsid w:val="0009762D"/>
    <w:rsid w:val="000A048B"/>
    <w:rsid w:val="000A1568"/>
    <w:rsid w:val="000A21D3"/>
    <w:rsid w:val="000A7E69"/>
    <w:rsid w:val="000B1F57"/>
    <w:rsid w:val="000B76BE"/>
    <w:rsid w:val="000C2AC2"/>
    <w:rsid w:val="000C3C79"/>
    <w:rsid w:val="000C3F07"/>
    <w:rsid w:val="000C41A7"/>
    <w:rsid w:val="000C52C4"/>
    <w:rsid w:val="000D099C"/>
    <w:rsid w:val="000D70EC"/>
    <w:rsid w:val="000D7AAE"/>
    <w:rsid w:val="000E0873"/>
    <w:rsid w:val="000E2073"/>
    <w:rsid w:val="000E2718"/>
    <w:rsid w:val="000E271D"/>
    <w:rsid w:val="000E43A8"/>
    <w:rsid w:val="000E45DB"/>
    <w:rsid w:val="000E46B3"/>
    <w:rsid w:val="000E65B6"/>
    <w:rsid w:val="000E7598"/>
    <w:rsid w:val="000E7971"/>
    <w:rsid w:val="000F14AB"/>
    <w:rsid w:val="000F17F3"/>
    <w:rsid w:val="000F1CD4"/>
    <w:rsid w:val="000F203E"/>
    <w:rsid w:val="000F3250"/>
    <w:rsid w:val="000F3294"/>
    <w:rsid w:val="000F4AC3"/>
    <w:rsid w:val="000F4B68"/>
    <w:rsid w:val="000F5009"/>
    <w:rsid w:val="000F5C10"/>
    <w:rsid w:val="000F698A"/>
    <w:rsid w:val="000F6DAC"/>
    <w:rsid w:val="000F75D4"/>
    <w:rsid w:val="000F7C1A"/>
    <w:rsid w:val="001014FA"/>
    <w:rsid w:val="00101DA6"/>
    <w:rsid w:val="00101FD8"/>
    <w:rsid w:val="00104CA8"/>
    <w:rsid w:val="00106E8E"/>
    <w:rsid w:val="00107A35"/>
    <w:rsid w:val="0011053C"/>
    <w:rsid w:val="00116824"/>
    <w:rsid w:val="001173F2"/>
    <w:rsid w:val="0012169A"/>
    <w:rsid w:val="00123FE8"/>
    <w:rsid w:val="00124292"/>
    <w:rsid w:val="001257C6"/>
    <w:rsid w:val="00126D9C"/>
    <w:rsid w:val="00127E51"/>
    <w:rsid w:val="00130F75"/>
    <w:rsid w:val="00131191"/>
    <w:rsid w:val="0013127C"/>
    <w:rsid w:val="001316B3"/>
    <w:rsid w:val="001319FF"/>
    <w:rsid w:val="00135445"/>
    <w:rsid w:val="001365A8"/>
    <w:rsid w:val="00136B6A"/>
    <w:rsid w:val="001370C7"/>
    <w:rsid w:val="00142A4C"/>
    <w:rsid w:val="00144FAC"/>
    <w:rsid w:val="00145FC9"/>
    <w:rsid w:val="001463AE"/>
    <w:rsid w:val="00147297"/>
    <w:rsid w:val="001472A6"/>
    <w:rsid w:val="00150230"/>
    <w:rsid w:val="00151175"/>
    <w:rsid w:val="00154293"/>
    <w:rsid w:val="00155139"/>
    <w:rsid w:val="001556C3"/>
    <w:rsid w:val="00155C72"/>
    <w:rsid w:val="00156344"/>
    <w:rsid w:val="00157FBE"/>
    <w:rsid w:val="00160E1F"/>
    <w:rsid w:val="00162C85"/>
    <w:rsid w:val="00162CB7"/>
    <w:rsid w:val="00162F6E"/>
    <w:rsid w:val="00164997"/>
    <w:rsid w:val="00167547"/>
    <w:rsid w:val="00167C47"/>
    <w:rsid w:val="001709EF"/>
    <w:rsid w:val="00172421"/>
    <w:rsid w:val="001736AD"/>
    <w:rsid w:val="00173803"/>
    <w:rsid w:val="001744A5"/>
    <w:rsid w:val="001801B4"/>
    <w:rsid w:val="0018099E"/>
    <w:rsid w:val="00183499"/>
    <w:rsid w:val="001859ED"/>
    <w:rsid w:val="00187E5C"/>
    <w:rsid w:val="00191E25"/>
    <w:rsid w:val="0019280E"/>
    <w:rsid w:val="00192F2C"/>
    <w:rsid w:val="001933C8"/>
    <w:rsid w:val="00193E13"/>
    <w:rsid w:val="00194697"/>
    <w:rsid w:val="00194B8D"/>
    <w:rsid w:val="00194BF2"/>
    <w:rsid w:val="001953DD"/>
    <w:rsid w:val="00195F05"/>
    <w:rsid w:val="00196F69"/>
    <w:rsid w:val="0019732E"/>
    <w:rsid w:val="00197E85"/>
    <w:rsid w:val="001A1DA9"/>
    <w:rsid w:val="001A23A3"/>
    <w:rsid w:val="001A2B1E"/>
    <w:rsid w:val="001A3544"/>
    <w:rsid w:val="001A3A01"/>
    <w:rsid w:val="001A5878"/>
    <w:rsid w:val="001A6C98"/>
    <w:rsid w:val="001A6F9C"/>
    <w:rsid w:val="001B48B1"/>
    <w:rsid w:val="001B48F5"/>
    <w:rsid w:val="001B717F"/>
    <w:rsid w:val="001B76F9"/>
    <w:rsid w:val="001B7CDD"/>
    <w:rsid w:val="001C2B6B"/>
    <w:rsid w:val="001C3CBE"/>
    <w:rsid w:val="001C47FA"/>
    <w:rsid w:val="001C4AC7"/>
    <w:rsid w:val="001C5A39"/>
    <w:rsid w:val="001C6C77"/>
    <w:rsid w:val="001C6CF8"/>
    <w:rsid w:val="001C7163"/>
    <w:rsid w:val="001C73EE"/>
    <w:rsid w:val="001C7434"/>
    <w:rsid w:val="001C7DF4"/>
    <w:rsid w:val="001D0E6F"/>
    <w:rsid w:val="001D2ACA"/>
    <w:rsid w:val="001D2AFB"/>
    <w:rsid w:val="001D319B"/>
    <w:rsid w:val="001D3836"/>
    <w:rsid w:val="001D5C1B"/>
    <w:rsid w:val="001D5F23"/>
    <w:rsid w:val="001D753F"/>
    <w:rsid w:val="001E0513"/>
    <w:rsid w:val="001E0CF3"/>
    <w:rsid w:val="001E0D4C"/>
    <w:rsid w:val="001E22B4"/>
    <w:rsid w:val="001E3803"/>
    <w:rsid w:val="001E3846"/>
    <w:rsid w:val="001E3A65"/>
    <w:rsid w:val="001E457A"/>
    <w:rsid w:val="001E4C6A"/>
    <w:rsid w:val="001E5DA1"/>
    <w:rsid w:val="001E65E4"/>
    <w:rsid w:val="001F050A"/>
    <w:rsid w:val="001F0538"/>
    <w:rsid w:val="001F196E"/>
    <w:rsid w:val="001F1D4E"/>
    <w:rsid w:val="001F1FBE"/>
    <w:rsid w:val="001F2430"/>
    <w:rsid w:val="001F2C06"/>
    <w:rsid w:val="001F64C8"/>
    <w:rsid w:val="001F7955"/>
    <w:rsid w:val="0020120B"/>
    <w:rsid w:val="00202689"/>
    <w:rsid w:val="00203015"/>
    <w:rsid w:val="002036AF"/>
    <w:rsid w:val="00203C4C"/>
    <w:rsid w:val="00205C5E"/>
    <w:rsid w:val="00206261"/>
    <w:rsid w:val="002111EE"/>
    <w:rsid w:val="00211AD7"/>
    <w:rsid w:val="00213710"/>
    <w:rsid w:val="00215B58"/>
    <w:rsid w:val="00215C8C"/>
    <w:rsid w:val="00215DE7"/>
    <w:rsid w:val="002163DC"/>
    <w:rsid w:val="0021676F"/>
    <w:rsid w:val="00216A13"/>
    <w:rsid w:val="00216AFB"/>
    <w:rsid w:val="00217334"/>
    <w:rsid w:val="00217760"/>
    <w:rsid w:val="00217C90"/>
    <w:rsid w:val="00220063"/>
    <w:rsid w:val="00220663"/>
    <w:rsid w:val="00222007"/>
    <w:rsid w:val="00223027"/>
    <w:rsid w:val="00223C28"/>
    <w:rsid w:val="00224257"/>
    <w:rsid w:val="002244CA"/>
    <w:rsid w:val="00225CC3"/>
    <w:rsid w:val="00226FBC"/>
    <w:rsid w:val="00227BAB"/>
    <w:rsid w:val="00231000"/>
    <w:rsid w:val="002360A5"/>
    <w:rsid w:val="002364B4"/>
    <w:rsid w:val="002367B7"/>
    <w:rsid w:val="00241373"/>
    <w:rsid w:val="002416FF"/>
    <w:rsid w:val="00242C81"/>
    <w:rsid w:val="00243EAB"/>
    <w:rsid w:val="002443A0"/>
    <w:rsid w:val="002448F2"/>
    <w:rsid w:val="002455AC"/>
    <w:rsid w:val="00246784"/>
    <w:rsid w:val="00247C71"/>
    <w:rsid w:val="002513E1"/>
    <w:rsid w:val="00251A0A"/>
    <w:rsid w:val="00251DAA"/>
    <w:rsid w:val="0025236F"/>
    <w:rsid w:val="00253A90"/>
    <w:rsid w:val="00253B48"/>
    <w:rsid w:val="0025441F"/>
    <w:rsid w:val="00256B0C"/>
    <w:rsid w:val="002615B5"/>
    <w:rsid w:val="00262F00"/>
    <w:rsid w:val="002672B4"/>
    <w:rsid w:val="0026789E"/>
    <w:rsid w:val="00275011"/>
    <w:rsid w:val="0027798F"/>
    <w:rsid w:val="00280759"/>
    <w:rsid w:val="00282532"/>
    <w:rsid w:val="00284DA4"/>
    <w:rsid w:val="0028577D"/>
    <w:rsid w:val="00285859"/>
    <w:rsid w:val="0029011E"/>
    <w:rsid w:val="00292D02"/>
    <w:rsid w:val="00293B04"/>
    <w:rsid w:val="00293F0D"/>
    <w:rsid w:val="00295B83"/>
    <w:rsid w:val="002A017C"/>
    <w:rsid w:val="002A3511"/>
    <w:rsid w:val="002A3AA0"/>
    <w:rsid w:val="002A3CA7"/>
    <w:rsid w:val="002A3F1F"/>
    <w:rsid w:val="002A66F3"/>
    <w:rsid w:val="002B1068"/>
    <w:rsid w:val="002B2014"/>
    <w:rsid w:val="002B3AF8"/>
    <w:rsid w:val="002B48CE"/>
    <w:rsid w:val="002B4C70"/>
    <w:rsid w:val="002B4F1B"/>
    <w:rsid w:val="002B529B"/>
    <w:rsid w:val="002B53B4"/>
    <w:rsid w:val="002B5951"/>
    <w:rsid w:val="002B5C56"/>
    <w:rsid w:val="002B621D"/>
    <w:rsid w:val="002B6959"/>
    <w:rsid w:val="002B6A9E"/>
    <w:rsid w:val="002B74D7"/>
    <w:rsid w:val="002B7BF8"/>
    <w:rsid w:val="002C43B3"/>
    <w:rsid w:val="002C6462"/>
    <w:rsid w:val="002C7066"/>
    <w:rsid w:val="002C78DF"/>
    <w:rsid w:val="002D175C"/>
    <w:rsid w:val="002D2007"/>
    <w:rsid w:val="002D268F"/>
    <w:rsid w:val="002D4F44"/>
    <w:rsid w:val="002D4F49"/>
    <w:rsid w:val="002D6522"/>
    <w:rsid w:val="002D6728"/>
    <w:rsid w:val="002D6AD8"/>
    <w:rsid w:val="002D6C34"/>
    <w:rsid w:val="002D7AD5"/>
    <w:rsid w:val="002E03F8"/>
    <w:rsid w:val="002E1840"/>
    <w:rsid w:val="002E24A2"/>
    <w:rsid w:val="002E29C3"/>
    <w:rsid w:val="002E2BDE"/>
    <w:rsid w:val="002E36C6"/>
    <w:rsid w:val="002E3AA4"/>
    <w:rsid w:val="002E75FA"/>
    <w:rsid w:val="002F0A62"/>
    <w:rsid w:val="002F23A5"/>
    <w:rsid w:val="002F246C"/>
    <w:rsid w:val="002F4565"/>
    <w:rsid w:val="002F5734"/>
    <w:rsid w:val="002F6635"/>
    <w:rsid w:val="002F7866"/>
    <w:rsid w:val="002F7D81"/>
    <w:rsid w:val="00301885"/>
    <w:rsid w:val="003018EF"/>
    <w:rsid w:val="00303548"/>
    <w:rsid w:val="00303A14"/>
    <w:rsid w:val="00303E87"/>
    <w:rsid w:val="0030685C"/>
    <w:rsid w:val="00311E3F"/>
    <w:rsid w:val="00314408"/>
    <w:rsid w:val="00320E48"/>
    <w:rsid w:val="0032188A"/>
    <w:rsid w:val="003218E8"/>
    <w:rsid w:val="003240A4"/>
    <w:rsid w:val="0032497E"/>
    <w:rsid w:val="003306F4"/>
    <w:rsid w:val="00332FDC"/>
    <w:rsid w:val="00333A9B"/>
    <w:rsid w:val="00333F31"/>
    <w:rsid w:val="003347BC"/>
    <w:rsid w:val="003352B7"/>
    <w:rsid w:val="00335E57"/>
    <w:rsid w:val="0033646D"/>
    <w:rsid w:val="003402EE"/>
    <w:rsid w:val="00340E82"/>
    <w:rsid w:val="003414C1"/>
    <w:rsid w:val="00341641"/>
    <w:rsid w:val="00342BD1"/>
    <w:rsid w:val="00342EBD"/>
    <w:rsid w:val="00343436"/>
    <w:rsid w:val="0034457F"/>
    <w:rsid w:val="00344804"/>
    <w:rsid w:val="00344C9A"/>
    <w:rsid w:val="00345076"/>
    <w:rsid w:val="00346353"/>
    <w:rsid w:val="003468A6"/>
    <w:rsid w:val="003476E1"/>
    <w:rsid w:val="0035076E"/>
    <w:rsid w:val="0035131F"/>
    <w:rsid w:val="003516FB"/>
    <w:rsid w:val="003536C6"/>
    <w:rsid w:val="003548CE"/>
    <w:rsid w:val="003550E5"/>
    <w:rsid w:val="00360A8E"/>
    <w:rsid w:val="003622D6"/>
    <w:rsid w:val="00362CF3"/>
    <w:rsid w:val="00363116"/>
    <w:rsid w:val="00365793"/>
    <w:rsid w:val="00365CBA"/>
    <w:rsid w:val="003668B1"/>
    <w:rsid w:val="00367D24"/>
    <w:rsid w:val="00367FBF"/>
    <w:rsid w:val="00371FEB"/>
    <w:rsid w:val="003721FF"/>
    <w:rsid w:val="00373183"/>
    <w:rsid w:val="003735AD"/>
    <w:rsid w:val="00375226"/>
    <w:rsid w:val="003757B2"/>
    <w:rsid w:val="003758A4"/>
    <w:rsid w:val="00376756"/>
    <w:rsid w:val="003804A1"/>
    <w:rsid w:val="00380EA3"/>
    <w:rsid w:val="003819A1"/>
    <w:rsid w:val="00382730"/>
    <w:rsid w:val="00382D0B"/>
    <w:rsid w:val="00383444"/>
    <w:rsid w:val="00384F6B"/>
    <w:rsid w:val="00384FF0"/>
    <w:rsid w:val="00385119"/>
    <w:rsid w:val="003859DB"/>
    <w:rsid w:val="00385B59"/>
    <w:rsid w:val="00391E6E"/>
    <w:rsid w:val="003922B5"/>
    <w:rsid w:val="00392AE7"/>
    <w:rsid w:val="00393CAC"/>
    <w:rsid w:val="003950BB"/>
    <w:rsid w:val="003959CD"/>
    <w:rsid w:val="003979E3"/>
    <w:rsid w:val="003A2EC0"/>
    <w:rsid w:val="003A35BF"/>
    <w:rsid w:val="003A43A7"/>
    <w:rsid w:val="003A64F4"/>
    <w:rsid w:val="003A7D5D"/>
    <w:rsid w:val="003B1371"/>
    <w:rsid w:val="003B16A5"/>
    <w:rsid w:val="003B2DF6"/>
    <w:rsid w:val="003B4A80"/>
    <w:rsid w:val="003B4D14"/>
    <w:rsid w:val="003B68D4"/>
    <w:rsid w:val="003B7CD8"/>
    <w:rsid w:val="003C060E"/>
    <w:rsid w:val="003C0C40"/>
    <w:rsid w:val="003C2CF4"/>
    <w:rsid w:val="003C3FF5"/>
    <w:rsid w:val="003D05BD"/>
    <w:rsid w:val="003D16CF"/>
    <w:rsid w:val="003D22BD"/>
    <w:rsid w:val="003D52B3"/>
    <w:rsid w:val="003D7110"/>
    <w:rsid w:val="003D75A7"/>
    <w:rsid w:val="003E0006"/>
    <w:rsid w:val="003E0692"/>
    <w:rsid w:val="003E1432"/>
    <w:rsid w:val="003E2A7D"/>
    <w:rsid w:val="003E35F5"/>
    <w:rsid w:val="003E559B"/>
    <w:rsid w:val="003E5B50"/>
    <w:rsid w:val="003E6FE0"/>
    <w:rsid w:val="003F0565"/>
    <w:rsid w:val="003F3D14"/>
    <w:rsid w:val="003F5F88"/>
    <w:rsid w:val="003F60A2"/>
    <w:rsid w:val="003F6ECD"/>
    <w:rsid w:val="003F78EA"/>
    <w:rsid w:val="0040098E"/>
    <w:rsid w:val="00400FE0"/>
    <w:rsid w:val="00401302"/>
    <w:rsid w:val="00401695"/>
    <w:rsid w:val="0040210D"/>
    <w:rsid w:val="0040564F"/>
    <w:rsid w:val="00406BB2"/>
    <w:rsid w:val="00407C17"/>
    <w:rsid w:val="004104A8"/>
    <w:rsid w:val="00411051"/>
    <w:rsid w:val="00411CED"/>
    <w:rsid w:val="00412E9A"/>
    <w:rsid w:val="00412EF8"/>
    <w:rsid w:val="00413234"/>
    <w:rsid w:val="00416465"/>
    <w:rsid w:val="00416728"/>
    <w:rsid w:val="004200C2"/>
    <w:rsid w:val="00420FFA"/>
    <w:rsid w:val="004235D9"/>
    <w:rsid w:val="00425062"/>
    <w:rsid w:val="00425F25"/>
    <w:rsid w:val="004268F3"/>
    <w:rsid w:val="00430D0D"/>
    <w:rsid w:val="00432C47"/>
    <w:rsid w:val="00434D97"/>
    <w:rsid w:val="00435141"/>
    <w:rsid w:val="0043752F"/>
    <w:rsid w:val="00437607"/>
    <w:rsid w:val="00437819"/>
    <w:rsid w:val="00440BB9"/>
    <w:rsid w:val="00440CA7"/>
    <w:rsid w:val="004415A6"/>
    <w:rsid w:val="00441652"/>
    <w:rsid w:val="00441850"/>
    <w:rsid w:val="00441DF4"/>
    <w:rsid w:val="00442819"/>
    <w:rsid w:val="00442DD2"/>
    <w:rsid w:val="00443AC7"/>
    <w:rsid w:val="004462BA"/>
    <w:rsid w:val="004467E2"/>
    <w:rsid w:val="00446F4F"/>
    <w:rsid w:val="00450054"/>
    <w:rsid w:val="0045054D"/>
    <w:rsid w:val="004516C0"/>
    <w:rsid w:val="0045196D"/>
    <w:rsid w:val="0045352D"/>
    <w:rsid w:val="00454C77"/>
    <w:rsid w:val="004552CE"/>
    <w:rsid w:val="004555F9"/>
    <w:rsid w:val="00455687"/>
    <w:rsid w:val="00462959"/>
    <w:rsid w:val="0046471F"/>
    <w:rsid w:val="0046478F"/>
    <w:rsid w:val="004650D5"/>
    <w:rsid w:val="00465928"/>
    <w:rsid w:val="00465A47"/>
    <w:rsid w:val="00465C4D"/>
    <w:rsid w:val="00467C4D"/>
    <w:rsid w:val="00470694"/>
    <w:rsid w:val="00470729"/>
    <w:rsid w:val="004745CF"/>
    <w:rsid w:val="00476C71"/>
    <w:rsid w:val="0048185E"/>
    <w:rsid w:val="0048384F"/>
    <w:rsid w:val="004841FB"/>
    <w:rsid w:val="00484CBF"/>
    <w:rsid w:val="00486F46"/>
    <w:rsid w:val="00490790"/>
    <w:rsid w:val="00490EC6"/>
    <w:rsid w:val="00491E04"/>
    <w:rsid w:val="00491F8D"/>
    <w:rsid w:val="004923D2"/>
    <w:rsid w:val="00493C25"/>
    <w:rsid w:val="00495B95"/>
    <w:rsid w:val="00496C58"/>
    <w:rsid w:val="004A2C16"/>
    <w:rsid w:val="004A35EC"/>
    <w:rsid w:val="004A7E5E"/>
    <w:rsid w:val="004B191C"/>
    <w:rsid w:val="004B23D2"/>
    <w:rsid w:val="004B3C12"/>
    <w:rsid w:val="004B4822"/>
    <w:rsid w:val="004B58CE"/>
    <w:rsid w:val="004C2387"/>
    <w:rsid w:val="004C4E83"/>
    <w:rsid w:val="004C513C"/>
    <w:rsid w:val="004C618D"/>
    <w:rsid w:val="004C7132"/>
    <w:rsid w:val="004C7170"/>
    <w:rsid w:val="004C7EF9"/>
    <w:rsid w:val="004D1532"/>
    <w:rsid w:val="004D19E8"/>
    <w:rsid w:val="004D2B53"/>
    <w:rsid w:val="004D390C"/>
    <w:rsid w:val="004D4E96"/>
    <w:rsid w:val="004D7CB9"/>
    <w:rsid w:val="004E0206"/>
    <w:rsid w:val="004E191A"/>
    <w:rsid w:val="004E2E36"/>
    <w:rsid w:val="004E4258"/>
    <w:rsid w:val="004E4E84"/>
    <w:rsid w:val="004E5A5C"/>
    <w:rsid w:val="004E5DF0"/>
    <w:rsid w:val="004E734B"/>
    <w:rsid w:val="004E748E"/>
    <w:rsid w:val="004E77D3"/>
    <w:rsid w:val="004F0B10"/>
    <w:rsid w:val="004F1913"/>
    <w:rsid w:val="004F3AD1"/>
    <w:rsid w:val="004F43B6"/>
    <w:rsid w:val="004F4F1F"/>
    <w:rsid w:val="00500D8A"/>
    <w:rsid w:val="00500EBA"/>
    <w:rsid w:val="00502025"/>
    <w:rsid w:val="00502110"/>
    <w:rsid w:val="0050418C"/>
    <w:rsid w:val="0050535A"/>
    <w:rsid w:val="00505590"/>
    <w:rsid w:val="0050667C"/>
    <w:rsid w:val="00506AAD"/>
    <w:rsid w:val="0051016E"/>
    <w:rsid w:val="00510186"/>
    <w:rsid w:val="00512482"/>
    <w:rsid w:val="00512549"/>
    <w:rsid w:val="005127CC"/>
    <w:rsid w:val="00513FAC"/>
    <w:rsid w:val="00514207"/>
    <w:rsid w:val="0051574C"/>
    <w:rsid w:val="005168C6"/>
    <w:rsid w:val="00523236"/>
    <w:rsid w:val="00523AC0"/>
    <w:rsid w:val="00524917"/>
    <w:rsid w:val="00525313"/>
    <w:rsid w:val="0052610F"/>
    <w:rsid w:val="00526E44"/>
    <w:rsid w:val="00527EBC"/>
    <w:rsid w:val="005305EC"/>
    <w:rsid w:val="00531764"/>
    <w:rsid w:val="005317B6"/>
    <w:rsid w:val="00533316"/>
    <w:rsid w:val="00533527"/>
    <w:rsid w:val="005338E7"/>
    <w:rsid w:val="005340DA"/>
    <w:rsid w:val="005345E7"/>
    <w:rsid w:val="00534957"/>
    <w:rsid w:val="00535BA0"/>
    <w:rsid w:val="00537046"/>
    <w:rsid w:val="00537F87"/>
    <w:rsid w:val="005410AC"/>
    <w:rsid w:val="00541B79"/>
    <w:rsid w:val="005426C2"/>
    <w:rsid w:val="00544AE2"/>
    <w:rsid w:val="005456B4"/>
    <w:rsid w:val="00552AA0"/>
    <w:rsid w:val="00556C93"/>
    <w:rsid w:val="005604A0"/>
    <w:rsid w:val="005622E1"/>
    <w:rsid w:val="0056280E"/>
    <w:rsid w:val="00566366"/>
    <w:rsid w:val="005700F5"/>
    <w:rsid w:val="00571486"/>
    <w:rsid w:val="00571EB4"/>
    <w:rsid w:val="0057471F"/>
    <w:rsid w:val="00575CF9"/>
    <w:rsid w:val="00577A35"/>
    <w:rsid w:val="0058144F"/>
    <w:rsid w:val="00582F78"/>
    <w:rsid w:val="005850AE"/>
    <w:rsid w:val="00585821"/>
    <w:rsid w:val="00586017"/>
    <w:rsid w:val="005905E3"/>
    <w:rsid w:val="00591EA1"/>
    <w:rsid w:val="00592B80"/>
    <w:rsid w:val="00593EB1"/>
    <w:rsid w:val="005955E4"/>
    <w:rsid w:val="00595862"/>
    <w:rsid w:val="0059588F"/>
    <w:rsid w:val="00596392"/>
    <w:rsid w:val="005A1033"/>
    <w:rsid w:val="005A3876"/>
    <w:rsid w:val="005B005F"/>
    <w:rsid w:val="005B05EF"/>
    <w:rsid w:val="005B0EB7"/>
    <w:rsid w:val="005B29DC"/>
    <w:rsid w:val="005B2ECE"/>
    <w:rsid w:val="005B39DD"/>
    <w:rsid w:val="005B5246"/>
    <w:rsid w:val="005B5D8A"/>
    <w:rsid w:val="005B61F4"/>
    <w:rsid w:val="005B784E"/>
    <w:rsid w:val="005B7F12"/>
    <w:rsid w:val="005C012D"/>
    <w:rsid w:val="005C035A"/>
    <w:rsid w:val="005C204B"/>
    <w:rsid w:val="005C4AFF"/>
    <w:rsid w:val="005C4BC4"/>
    <w:rsid w:val="005C6646"/>
    <w:rsid w:val="005C6AA9"/>
    <w:rsid w:val="005C7E23"/>
    <w:rsid w:val="005D1ACD"/>
    <w:rsid w:val="005D1DC8"/>
    <w:rsid w:val="005D28F1"/>
    <w:rsid w:val="005D2D0A"/>
    <w:rsid w:val="005D3F7E"/>
    <w:rsid w:val="005D5B39"/>
    <w:rsid w:val="005D7048"/>
    <w:rsid w:val="005D72A4"/>
    <w:rsid w:val="005D737E"/>
    <w:rsid w:val="005E08F7"/>
    <w:rsid w:val="005E26B8"/>
    <w:rsid w:val="005E31B9"/>
    <w:rsid w:val="005E592F"/>
    <w:rsid w:val="005E62A0"/>
    <w:rsid w:val="005E67BA"/>
    <w:rsid w:val="005E7A01"/>
    <w:rsid w:val="005F064C"/>
    <w:rsid w:val="005F0A60"/>
    <w:rsid w:val="005F19A9"/>
    <w:rsid w:val="005F1B28"/>
    <w:rsid w:val="005F2249"/>
    <w:rsid w:val="005F4B97"/>
    <w:rsid w:val="00600206"/>
    <w:rsid w:val="00602139"/>
    <w:rsid w:val="0060303A"/>
    <w:rsid w:val="00603352"/>
    <w:rsid w:val="00603620"/>
    <w:rsid w:val="00603903"/>
    <w:rsid w:val="00605856"/>
    <w:rsid w:val="0060690C"/>
    <w:rsid w:val="00606F97"/>
    <w:rsid w:val="0061074F"/>
    <w:rsid w:val="0061108E"/>
    <w:rsid w:val="006123E2"/>
    <w:rsid w:val="00613F7B"/>
    <w:rsid w:val="00614CF9"/>
    <w:rsid w:val="00614F1A"/>
    <w:rsid w:val="0061601B"/>
    <w:rsid w:val="00616084"/>
    <w:rsid w:val="00616140"/>
    <w:rsid w:val="00617B9E"/>
    <w:rsid w:val="00620F08"/>
    <w:rsid w:val="006219B7"/>
    <w:rsid w:val="00621D14"/>
    <w:rsid w:val="00621DF4"/>
    <w:rsid w:val="00621FD9"/>
    <w:rsid w:val="0062342F"/>
    <w:rsid w:val="00623903"/>
    <w:rsid w:val="0062554D"/>
    <w:rsid w:val="006269C8"/>
    <w:rsid w:val="006273EB"/>
    <w:rsid w:val="00627605"/>
    <w:rsid w:val="00627C51"/>
    <w:rsid w:val="00632028"/>
    <w:rsid w:val="006323B8"/>
    <w:rsid w:val="0063447A"/>
    <w:rsid w:val="00636C54"/>
    <w:rsid w:val="00640195"/>
    <w:rsid w:val="006404A2"/>
    <w:rsid w:val="0064305C"/>
    <w:rsid w:val="00643398"/>
    <w:rsid w:val="00645215"/>
    <w:rsid w:val="006468B3"/>
    <w:rsid w:val="0065041A"/>
    <w:rsid w:val="00653C87"/>
    <w:rsid w:val="00653DBA"/>
    <w:rsid w:val="00654994"/>
    <w:rsid w:val="00654EED"/>
    <w:rsid w:val="00655783"/>
    <w:rsid w:val="006574A5"/>
    <w:rsid w:val="00661473"/>
    <w:rsid w:val="006616FC"/>
    <w:rsid w:val="00662B51"/>
    <w:rsid w:val="00664712"/>
    <w:rsid w:val="00664773"/>
    <w:rsid w:val="00667B0A"/>
    <w:rsid w:val="00667B96"/>
    <w:rsid w:val="0067085D"/>
    <w:rsid w:val="006711D5"/>
    <w:rsid w:val="00672B4B"/>
    <w:rsid w:val="00672B87"/>
    <w:rsid w:val="00672F33"/>
    <w:rsid w:val="00673201"/>
    <w:rsid w:val="006757CC"/>
    <w:rsid w:val="00680ECD"/>
    <w:rsid w:val="006810CE"/>
    <w:rsid w:val="00681ECD"/>
    <w:rsid w:val="0068218E"/>
    <w:rsid w:val="0068295C"/>
    <w:rsid w:val="00683358"/>
    <w:rsid w:val="006847D0"/>
    <w:rsid w:val="00685156"/>
    <w:rsid w:val="006872B1"/>
    <w:rsid w:val="00687846"/>
    <w:rsid w:val="0068795C"/>
    <w:rsid w:val="00690168"/>
    <w:rsid w:val="0069143F"/>
    <w:rsid w:val="00693422"/>
    <w:rsid w:val="0069587F"/>
    <w:rsid w:val="00696496"/>
    <w:rsid w:val="006A21F8"/>
    <w:rsid w:val="006A2206"/>
    <w:rsid w:val="006A4F57"/>
    <w:rsid w:val="006A50F7"/>
    <w:rsid w:val="006A549C"/>
    <w:rsid w:val="006A5E15"/>
    <w:rsid w:val="006A6C7B"/>
    <w:rsid w:val="006A6DBF"/>
    <w:rsid w:val="006B0A6B"/>
    <w:rsid w:val="006B0BE2"/>
    <w:rsid w:val="006B106F"/>
    <w:rsid w:val="006B111D"/>
    <w:rsid w:val="006B1291"/>
    <w:rsid w:val="006B1D75"/>
    <w:rsid w:val="006B28DA"/>
    <w:rsid w:val="006B2D6F"/>
    <w:rsid w:val="006B3EB6"/>
    <w:rsid w:val="006B40FD"/>
    <w:rsid w:val="006B4271"/>
    <w:rsid w:val="006B48D0"/>
    <w:rsid w:val="006B71FF"/>
    <w:rsid w:val="006B72A8"/>
    <w:rsid w:val="006B745F"/>
    <w:rsid w:val="006C007D"/>
    <w:rsid w:val="006C0D1C"/>
    <w:rsid w:val="006C0DA4"/>
    <w:rsid w:val="006C19EE"/>
    <w:rsid w:val="006C1D5D"/>
    <w:rsid w:val="006C2E28"/>
    <w:rsid w:val="006C5390"/>
    <w:rsid w:val="006C5BFC"/>
    <w:rsid w:val="006C6201"/>
    <w:rsid w:val="006D05F3"/>
    <w:rsid w:val="006D0BDB"/>
    <w:rsid w:val="006D0D26"/>
    <w:rsid w:val="006D0EF8"/>
    <w:rsid w:val="006D1764"/>
    <w:rsid w:val="006D1A55"/>
    <w:rsid w:val="006D1B2B"/>
    <w:rsid w:val="006D1C90"/>
    <w:rsid w:val="006D24AA"/>
    <w:rsid w:val="006D2C7D"/>
    <w:rsid w:val="006D37AE"/>
    <w:rsid w:val="006D3849"/>
    <w:rsid w:val="006D39EF"/>
    <w:rsid w:val="006D3BA5"/>
    <w:rsid w:val="006D4D82"/>
    <w:rsid w:val="006D5C66"/>
    <w:rsid w:val="006D6068"/>
    <w:rsid w:val="006D6CAA"/>
    <w:rsid w:val="006D6EEB"/>
    <w:rsid w:val="006D7648"/>
    <w:rsid w:val="006E10B5"/>
    <w:rsid w:val="006E13F1"/>
    <w:rsid w:val="006E181D"/>
    <w:rsid w:val="006E1827"/>
    <w:rsid w:val="006E1EFD"/>
    <w:rsid w:val="006E2DF0"/>
    <w:rsid w:val="006E2EB6"/>
    <w:rsid w:val="006E31C1"/>
    <w:rsid w:val="006E64BE"/>
    <w:rsid w:val="006E79F8"/>
    <w:rsid w:val="006F062D"/>
    <w:rsid w:val="006F0BDA"/>
    <w:rsid w:val="006F1A0E"/>
    <w:rsid w:val="006F3344"/>
    <w:rsid w:val="006F39DD"/>
    <w:rsid w:val="006F3A95"/>
    <w:rsid w:val="006F4485"/>
    <w:rsid w:val="006F45EF"/>
    <w:rsid w:val="006F4C49"/>
    <w:rsid w:val="006F4C91"/>
    <w:rsid w:val="006F5E5A"/>
    <w:rsid w:val="006F68E3"/>
    <w:rsid w:val="006F7B22"/>
    <w:rsid w:val="0070057E"/>
    <w:rsid w:val="00701134"/>
    <w:rsid w:val="007017BF"/>
    <w:rsid w:val="007020CB"/>
    <w:rsid w:val="00704774"/>
    <w:rsid w:val="00704F27"/>
    <w:rsid w:val="00705710"/>
    <w:rsid w:val="0070661A"/>
    <w:rsid w:val="00706C89"/>
    <w:rsid w:val="00707BCC"/>
    <w:rsid w:val="0071042A"/>
    <w:rsid w:val="00710617"/>
    <w:rsid w:val="007110BF"/>
    <w:rsid w:val="00714082"/>
    <w:rsid w:val="007155F1"/>
    <w:rsid w:val="007164E7"/>
    <w:rsid w:val="007167C1"/>
    <w:rsid w:val="00716AE5"/>
    <w:rsid w:val="007172B1"/>
    <w:rsid w:val="0072039B"/>
    <w:rsid w:val="00721957"/>
    <w:rsid w:val="00723760"/>
    <w:rsid w:val="00723C76"/>
    <w:rsid w:val="0072527E"/>
    <w:rsid w:val="0072631C"/>
    <w:rsid w:val="007267B7"/>
    <w:rsid w:val="00730C2B"/>
    <w:rsid w:val="00731A03"/>
    <w:rsid w:val="00733385"/>
    <w:rsid w:val="00733662"/>
    <w:rsid w:val="007349C9"/>
    <w:rsid w:val="00734E7A"/>
    <w:rsid w:val="007353CB"/>
    <w:rsid w:val="0073575B"/>
    <w:rsid w:val="00735CE5"/>
    <w:rsid w:val="00737419"/>
    <w:rsid w:val="00737EAF"/>
    <w:rsid w:val="00740FE1"/>
    <w:rsid w:val="007414C9"/>
    <w:rsid w:val="00745EAE"/>
    <w:rsid w:val="007505B9"/>
    <w:rsid w:val="007508B7"/>
    <w:rsid w:val="007520C6"/>
    <w:rsid w:val="00754A23"/>
    <w:rsid w:val="00755522"/>
    <w:rsid w:val="007555D7"/>
    <w:rsid w:val="00757B0A"/>
    <w:rsid w:val="007602C8"/>
    <w:rsid w:val="00762CB4"/>
    <w:rsid w:val="00763614"/>
    <w:rsid w:val="007637C4"/>
    <w:rsid w:val="007640B4"/>
    <w:rsid w:val="0076484F"/>
    <w:rsid w:val="00765C46"/>
    <w:rsid w:val="00766A9D"/>
    <w:rsid w:val="00766FAD"/>
    <w:rsid w:val="007710D0"/>
    <w:rsid w:val="0077232D"/>
    <w:rsid w:val="00772C7D"/>
    <w:rsid w:val="007738FB"/>
    <w:rsid w:val="00775E81"/>
    <w:rsid w:val="00776C6D"/>
    <w:rsid w:val="00777F22"/>
    <w:rsid w:val="007810BD"/>
    <w:rsid w:val="00781CEA"/>
    <w:rsid w:val="007826D9"/>
    <w:rsid w:val="0078287D"/>
    <w:rsid w:val="00782B7B"/>
    <w:rsid w:val="0078339A"/>
    <w:rsid w:val="007833FB"/>
    <w:rsid w:val="007861BE"/>
    <w:rsid w:val="007863FB"/>
    <w:rsid w:val="007871FD"/>
    <w:rsid w:val="007878E9"/>
    <w:rsid w:val="0079027A"/>
    <w:rsid w:val="007948D5"/>
    <w:rsid w:val="00795237"/>
    <w:rsid w:val="00795BB1"/>
    <w:rsid w:val="00795E00"/>
    <w:rsid w:val="007A080B"/>
    <w:rsid w:val="007A54E7"/>
    <w:rsid w:val="007A5A4F"/>
    <w:rsid w:val="007B2C06"/>
    <w:rsid w:val="007B3E7E"/>
    <w:rsid w:val="007B6776"/>
    <w:rsid w:val="007B6B6C"/>
    <w:rsid w:val="007B6D9B"/>
    <w:rsid w:val="007C01D4"/>
    <w:rsid w:val="007C0A7E"/>
    <w:rsid w:val="007C1D45"/>
    <w:rsid w:val="007C49DD"/>
    <w:rsid w:val="007C5111"/>
    <w:rsid w:val="007C7B40"/>
    <w:rsid w:val="007D1A65"/>
    <w:rsid w:val="007D205D"/>
    <w:rsid w:val="007D2B64"/>
    <w:rsid w:val="007D2CDF"/>
    <w:rsid w:val="007D4DBB"/>
    <w:rsid w:val="007D622F"/>
    <w:rsid w:val="007D7ACE"/>
    <w:rsid w:val="007E0CBB"/>
    <w:rsid w:val="007E24C8"/>
    <w:rsid w:val="007E2A84"/>
    <w:rsid w:val="007E3C3E"/>
    <w:rsid w:val="007E495F"/>
    <w:rsid w:val="007E7BE0"/>
    <w:rsid w:val="007F0751"/>
    <w:rsid w:val="007F0BE4"/>
    <w:rsid w:val="007F158A"/>
    <w:rsid w:val="007F34BC"/>
    <w:rsid w:val="007F3A35"/>
    <w:rsid w:val="007F3BA2"/>
    <w:rsid w:val="00801FEC"/>
    <w:rsid w:val="00802A07"/>
    <w:rsid w:val="0080338F"/>
    <w:rsid w:val="00803878"/>
    <w:rsid w:val="00803AD0"/>
    <w:rsid w:val="008041A6"/>
    <w:rsid w:val="00805E83"/>
    <w:rsid w:val="008062C2"/>
    <w:rsid w:val="00806FAC"/>
    <w:rsid w:val="008072A0"/>
    <w:rsid w:val="00807DB6"/>
    <w:rsid w:val="00810414"/>
    <w:rsid w:val="00811E51"/>
    <w:rsid w:val="008125F1"/>
    <w:rsid w:val="00812D95"/>
    <w:rsid w:val="0081470E"/>
    <w:rsid w:val="00814E55"/>
    <w:rsid w:val="00815DE9"/>
    <w:rsid w:val="00816449"/>
    <w:rsid w:val="008166EC"/>
    <w:rsid w:val="008206FB"/>
    <w:rsid w:val="008238FA"/>
    <w:rsid w:val="00823CA7"/>
    <w:rsid w:val="00823E0C"/>
    <w:rsid w:val="008266AD"/>
    <w:rsid w:val="00826F05"/>
    <w:rsid w:val="00827DDF"/>
    <w:rsid w:val="00827FBC"/>
    <w:rsid w:val="008300BC"/>
    <w:rsid w:val="00830BC1"/>
    <w:rsid w:val="00832C73"/>
    <w:rsid w:val="0083710F"/>
    <w:rsid w:val="008407B7"/>
    <w:rsid w:val="00842A41"/>
    <w:rsid w:val="008431E4"/>
    <w:rsid w:val="00843906"/>
    <w:rsid w:val="00845EAC"/>
    <w:rsid w:val="00847736"/>
    <w:rsid w:val="0084782A"/>
    <w:rsid w:val="00847DEC"/>
    <w:rsid w:val="008510A3"/>
    <w:rsid w:val="00851588"/>
    <w:rsid w:val="00852BC9"/>
    <w:rsid w:val="0085329A"/>
    <w:rsid w:val="00853DAD"/>
    <w:rsid w:val="00855169"/>
    <w:rsid w:val="00855208"/>
    <w:rsid w:val="008579EA"/>
    <w:rsid w:val="00860554"/>
    <w:rsid w:val="0086096D"/>
    <w:rsid w:val="00860C30"/>
    <w:rsid w:val="00861D65"/>
    <w:rsid w:val="00863C8B"/>
    <w:rsid w:val="00864845"/>
    <w:rsid w:val="00874B75"/>
    <w:rsid w:val="0087521E"/>
    <w:rsid w:val="00875CA4"/>
    <w:rsid w:val="0087720F"/>
    <w:rsid w:val="0087745F"/>
    <w:rsid w:val="0088133A"/>
    <w:rsid w:val="0088229E"/>
    <w:rsid w:val="00885B98"/>
    <w:rsid w:val="00886557"/>
    <w:rsid w:val="0089001F"/>
    <w:rsid w:val="00890740"/>
    <w:rsid w:val="00890F32"/>
    <w:rsid w:val="008927C1"/>
    <w:rsid w:val="008955ED"/>
    <w:rsid w:val="00895920"/>
    <w:rsid w:val="008970E9"/>
    <w:rsid w:val="008978BB"/>
    <w:rsid w:val="008A3990"/>
    <w:rsid w:val="008A46FF"/>
    <w:rsid w:val="008A5628"/>
    <w:rsid w:val="008A5A9C"/>
    <w:rsid w:val="008A5D21"/>
    <w:rsid w:val="008A6F01"/>
    <w:rsid w:val="008B25D5"/>
    <w:rsid w:val="008B52A6"/>
    <w:rsid w:val="008B6AC3"/>
    <w:rsid w:val="008B70EE"/>
    <w:rsid w:val="008C28C6"/>
    <w:rsid w:val="008C4701"/>
    <w:rsid w:val="008C506D"/>
    <w:rsid w:val="008D0C1E"/>
    <w:rsid w:val="008D15B6"/>
    <w:rsid w:val="008D7281"/>
    <w:rsid w:val="008D791C"/>
    <w:rsid w:val="008D7AC3"/>
    <w:rsid w:val="008E1D3D"/>
    <w:rsid w:val="008E27AD"/>
    <w:rsid w:val="008E3D00"/>
    <w:rsid w:val="008E4190"/>
    <w:rsid w:val="008F06B9"/>
    <w:rsid w:val="008F51D3"/>
    <w:rsid w:val="008F5C8C"/>
    <w:rsid w:val="00902933"/>
    <w:rsid w:val="009032D9"/>
    <w:rsid w:val="009045D0"/>
    <w:rsid w:val="009079FC"/>
    <w:rsid w:val="009102AA"/>
    <w:rsid w:val="009113BD"/>
    <w:rsid w:val="00912AF2"/>
    <w:rsid w:val="00912FC8"/>
    <w:rsid w:val="00913EC0"/>
    <w:rsid w:val="00914EFC"/>
    <w:rsid w:val="009156D8"/>
    <w:rsid w:val="00915855"/>
    <w:rsid w:val="00916271"/>
    <w:rsid w:val="00916324"/>
    <w:rsid w:val="00917111"/>
    <w:rsid w:val="0092048E"/>
    <w:rsid w:val="00921DB0"/>
    <w:rsid w:val="00922560"/>
    <w:rsid w:val="00923249"/>
    <w:rsid w:val="009232A9"/>
    <w:rsid w:val="009251C0"/>
    <w:rsid w:val="00930E0F"/>
    <w:rsid w:val="00931E75"/>
    <w:rsid w:val="0093249C"/>
    <w:rsid w:val="009332C8"/>
    <w:rsid w:val="009342C9"/>
    <w:rsid w:val="00934301"/>
    <w:rsid w:val="00935421"/>
    <w:rsid w:val="00936121"/>
    <w:rsid w:val="00936774"/>
    <w:rsid w:val="009374AD"/>
    <w:rsid w:val="00937756"/>
    <w:rsid w:val="00941098"/>
    <w:rsid w:val="00941A30"/>
    <w:rsid w:val="009426BF"/>
    <w:rsid w:val="00943080"/>
    <w:rsid w:val="00943D1C"/>
    <w:rsid w:val="0094758E"/>
    <w:rsid w:val="00950765"/>
    <w:rsid w:val="0095304D"/>
    <w:rsid w:val="009530FD"/>
    <w:rsid w:val="009531CD"/>
    <w:rsid w:val="00954806"/>
    <w:rsid w:val="00955A13"/>
    <w:rsid w:val="009561AF"/>
    <w:rsid w:val="00956FC1"/>
    <w:rsid w:val="009572D5"/>
    <w:rsid w:val="00957972"/>
    <w:rsid w:val="0096075A"/>
    <w:rsid w:val="009621F7"/>
    <w:rsid w:val="0096331E"/>
    <w:rsid w:val="00966294"/>
    <w:rsid w:val="00966CED"/>
    <w:rsid w:val="00967E49"/>
    <w:rsid w:val="00971B33"/>
    <w:rsid w:val="00971D41"/>
    <w:rsid w:val="00972457"/>
    <w:rsid w:val="00974F29"/>
    <w:rsid w:val="00975687"/>
    <w:rsid w:val="00980CE4"/>
    <w:rsid w:val="00981052"/>
    <w:rsid w:val="0098414A"/>
    <w:rsid w:val="00984A5A"/>
    <w:rsid w:val="00986006"/>
    <w:rsid w:val="00986764"/>
    <w:rsid w:val="0098736D"/>
    <w:rsid w:val="00987839"/>
    <w:rsid w:val="00987CD4"/>
    <w:rsid w:val="0099013C"/>
    <w:rsid w:val="00992051"/>
    <w:rsid w:val="00992589"/>
    <w:rsid w:val="00995D40"/>
    <w:rsid w:val="00996BDF"/>
    <w:rsid w:val="009974E6"/>
    <w:rsid w:val="0099753E"/>
    <w:rsid w:val="00997936"/>
    <w:rsid w:val="009A3B6A"/>
    <w:rsid w:val="009A3FDB"/>
    <w:rsid w:val="009A52B2"/>
    <w:rsid w:val="009A58F2"/>
    <w:rsid w:val="009A63A4"/>
    <w:rsid w:val="009B028C"/>
    <w:rsid w:val="009B08C0"/>
    <w:rsid w:val="009B2778"/>
    <w:rsid w:val="009B4BCA"/>
    <w:rsid w:val="009B5437"/>
    <w:rsid w:val="009B5759"/>
    <w:rsid w:val="009B6276"/>
    <w:rsid w:val="009B662C"/>
    <w:rsid w:val="009C140F"/>
    <w:rsid w:val="009C1472"/>
    <w:rsid w:val="009C2E6B"/>
    <w:rsid w:val="009C36F0"/>
    <w:rsid w:val="009C4054"/>
    <w:rsid w:val="009C5A53"/>
    <w:rsid w:val="009C6881"/>
    <w:rsid w:val="009C6EDE"/>
    <w:rsid w:val="009C75EB"/>
    <w:rsid w:val="009D079D"/>
    <w:rsid w:val="009D35B1"/>
    <w:rsid w:val="009D40A3"/>
    <w:rsid w:val="009D55EE"/>
    <w:rsid w:val="009D73B9"/>
    <w:rsid w:val="009E0348"/>
    <w:rsid w:val="009E0CEB"/>
    <w:rsid w:val="009E1440"/>
    <w:rsid w:val="009E21C6"/>
    <w:rsid w:val="009E2347"/>
    <w:rsid w:val="009E39C4"/>
    <w:rsid w:val="009E4772"/>
    <w:rsid w:val="009E571D"/>
    <w:rsid w:val="009E6058"/>
    <w:rsid w:val="009E7B95"/>
    <w:rsid w:val="009F1F18"/>
    <w:rsid w:val="009F26B1"/>
    <w:rsid w:val="009F3E88"/>
    <w:rsid w:val="009F4BC9"/>
    <w:rsid w:val="009F74DE"/>
    <w:rsid w:val="00A015E3"/>
    <w:rsid w:val="00A01AA4"/>
    <w:rsid w:val="00A03822"/>
    <w:rsid w:val="00A03C1C"/>
    <w:rsid w:val="00A03C27"/>
    <w:rsid w:val="00A05A89"/>
    <w:rsid w:val="00A079D8"/>
    <w:rsid w:val="00A10C3E"/>
    <w:rsid w:val="00A11A21"/>
    <w:rsid w:val="00A13334"/>
    <w:rsid w:val="00A15461"/>
    <w:rsid w:val="00A177BF"/>
    <w:rsid w:val="00A201A4"/>
    <w:rsid w:val="00A20B01"/>
    <w:rsid w:val="00A21F41"/>
    <w:rsid w:val="00A23A46"/>
    <w:rsid w:val="00A23FF4"/>
    <w:rsid w:val="00A248FA"/>
    <w:rsid w:val="00A25910"/>
    <w:rsid w:val="00A25F50"/>
    <w:rsid w:val="00A2659D"/>
    <w:rsid w:val="00A31B22"/>
    <w:rsid w:val="00A32D7E"/>
    <w:rsid w:val="00A32E1B"/>
    <w:rsid w:val="00A32F6D"/>
    <w:rsid w:val="00A367C6"/>
    <w:rsid w:val="00A424EC"/>
    <w:rsid w:val="00A439CE"/>
    <w:rsid w:val="00A4476B"/>
    <w:rsid w:val="00A45931"/>
    <w:rsid w:val="00A47A7B"/>
    <w:rsid w:val="00A504F9"/>
    <w:rsid w:val="00A526DA"/>
    <w:rsid w:val="00A53C90"/>
    <w:rsid w:val="00A545A6"/>
    <w:rsid w:val="00A565E1"/>
    <w:rsid w:val="00A60154"/>
    <w:rsid w:val="00A64454"/>
    <w:rsid w:val="00A71305"/>
    <w:rsid w:val="00A754DD"/>
    <w:rsid w:val="00A76152"/>
    <w:rsid w:val="00A81875"/>
    <w:rsid w:val="00A83297"/>
    <w:rsid w:val="00A83543"/>
    <w:rsid w:val="00A83787"/>
    <w:rsid w:val="00A85C43"/>
    <w:rsid w:val="00A90A45"/>
    <w:rsid w:val="00A93AEC"/>
    <w:rsid w:val="00A9428F"/>
    <w:rsid w:val="00A94BBC"/>
    <w:rsid w:val="00A955FF"/>
    <w:rsid w:val="00A95993"/>
    <w:rsid w:val="00A96AB6"/>
    <w:rsid w:val="00AA1C61"/>
    <w:rsid w:val="00AA1D8A"/>
    <w:rsid w:val="00AA3038"/>
    <w:rsid w:val="00AA5359"/>
    <w:rsid w:val="00AA5D0A"/>
    <w:rsid w:val="00AA648E"/>
    <w:rsid w:val="00AA7732"/>
    <w:rsid w:val="00AA777E"/>
    <w:rsid w:val="00AA7808"/>
    <w:rsid w:val="00AA7A3B"/>
    <w:rsid w:val="00AB0170"/>
    <w:rsid w:val="00AB07F2"/>
    <w:rsid w:val="00AB09BC"/>
    <w:rsid w:val="00AB1319"/>
    <w:rsid w:val="00AB4FCB"/>
    <w:rsid w:val="00AB57DC"/>
    <w:rsid w:val="00AB6394"/>
    <w:rsid w:val="00AC2CEC"/>
    <w:rsid w:val="00AC4E23"/>
    <w:rsid w:val="00AC69B9"/>
    <w:rsid w:val="00AC6E6D"/>
    <w:rsid w:val="00AC7678"/>
    <w:rsid w:val="00AD0252"/>
    <w:rsid w:val="00AD06D8"/>
    <w:rsid w:val="00AD0DE5"/>
    <w:rsid w:val="00AD1A5C"/>
    <w:rsid w:val="00AD1B8F"/>
    <w:rsid w:val="00AD3004"/>
    <w:rsid w:val="00AD341F"/>
    <w:rsid w:val="00AD460D"/>
    <w:rsid w:val="00AD72FC"/>
    <w:rsid w:val="00AD73A0"/>
    <w:rsid w:val="00AD7FBB"/>
    <w:rsid w:val="00AE10C1"/>
    <w:rsid w:val="00AE3034"/>
    <w:rsid w:val="00AE3599"/>
    <w:rsid w:val="00AE3C81"/>
    <w:rsid w:val="00AE49D6"/>
    <w:rsid w:val="00AE5766"/>
    <w:rsid w:val="00AE5B29"/>
    <w:rsid w:val="00AE7A12"/>
    <w:rsid w:val="00AF0F00"/>
    <w:rsid w:val="00AF1237"/>
    <w:rsid w:val="00AF1BA0"/>
    <w:rsid w:val="00AF2475"/>
    <w:rsid w:val="00AF2C47"/>
    <w:rsid w:val="00AF2C6D"/>
    <w:rsid w:val="00AF44A5"/>
    <w:rsid w:val="00AF4F50"/>
    <w:rsid w:val="00B00372"/>
    <w:rsid w:val="00B00904"/>
    <w:rsid w:val="00B00DA9"/>
    <w:rsid w:val="00B0188B"/>
    <w:rsid w:val="00B0218A"/>
    <w:rsid w:val="00B02E68"/>
    <w:rsid w:val="00B05EB8"/>
    <w:rsid w:val="00B06027"/>
    <w:rsid w:val="00B06CF1"/>
    <w:rsid w:val="00B12BFE"/>
    <w:rsid w:val="00B12E58"/>
    <w:rsid w:val="00B15AB0"/>
    <w:rsid w:val="00B15C55"/>
    <w:rsid w:val="00B165E1"/>
    <w:rsid w:val="00B17D08"/>
    <w:rsid w:val="00B2096B"/>
    <w:rsid w:val="00B21063"/>
    <w:rsid w:val="00B22649"/>
    <w:rsid w:val="00B23026"/>
    <w:rsid w:val="00B2353B"/>
    <w:rsid w:val="00B26211"/>
    <w:rsid w:val="00B26356"/>
    <w:rsid w:val="00B264B0"/>
    <w:rsid w:val="00B2702B"/>
    <w:rsid w:val="00B3000E"/>
    <w:rsid w:val="00B30CD6"/>
    <w:rsid w:val="00B3264B"/>
    <w:rsid w:val="00B32BA9"/>
    <w:rsid w:val="00B34316"/>
    <w:rsid w:val="00B350B6"/>
    <w:rsid w:val="00B35112"/>
    <w:rsid w:val="00B35310"/>
    <w:rsid w:val="00B36D0F"/>
    <w:rsid w:val="00B36E80"/>
    <w:rsid w:val="00B37799"/>
    <w:rsid w:val="00B41BCB"/>
    <w:rsid w:val="00B41FF9"/>
    <w:rsid w:val="00B42977"/>
    <w:rsid w:val="00B43730"/>
    <w:rsid w:val="00B44D69"/>
    <w:rsid w:val="00B45C8D"/>
    <w:rsid w:val="00B4705F"/>
    <w:rsid w:val="00B47527"/>
    <w:rsid w:val="00B502EC"/>
    <w:rsid w:val="00B51AD7"/>
    <w:rsid w:val="00B523A4"/>
    <w:rsid w:val="00B523ED"/>
    <w:rsid w:val="00B541AB"/>
    <w:rsid w:val="00B5421F"/>
    <w:rsid w:val="00B6069D"/>
    <w:rsid w:val="00B607A0"/>
    <w:rsid w:val="00B6193C"/>
    <w:rsid w:val="00B61CD9"/>
    <w:rsid w:val="00B641A9"/>
    <w:rsid w:val="00B6460C"/>
    <w:rsid w:val="00B655E9"/>
    <w:rsid w:val="00B659B0"/>
    <w:rsid w:val="00B6624A"/>
    <w:rsid w:val="00B668EC"/>
    <w:rsid w:val="00B67BD0"/>
    <w:rsid w:val="00B717A9"/>
    <w:rsid w:val="00B7181D"/>
    <w:rsid w:val="00B72B4C"/>
    <w:rsid w:val="00B73170"/>
    <w:rsid w:val="00B73C52"/>
    <w:rsid w:val="00B73E76"/>
    <w:rsid w:val="00B73FF1"/>
    <w:rsid w:val="00B75340"/>
    <w:rsid w:val="00B75844"/>
    <w:rsid w:val="00B773C1"/>
    <w:rsid w:val="00B77545"/>
    <w:rsid w:val="00B77791"/>
    <w:rsid w:val="00B80FBB"/>
    <w:rsid w:val="00B82ADF"/>
    <w:rsid w:val="00B83176"/>
    <w:rsid w:val="00B83696"/>
    <w:rsid w:val="00B8453C"/>
    <w:rsid w:val="00B845CC"/>
    <w:rsid w:val="00B847D7"/>
    <w:rsid w:val="00B84DDA"/>
    <w:rsid w:val="00B864F1"/>
    <w:rsid w:val="00B86B51"/>
    <w:rsid w:val="00B91D84"/>
    <w:rsid w:val="00B940E1"/>
    <w:rsid w:val="00B94FA3"/>
    <w:rsid w:val="00B950C6"/>
    <w:rsid w:val="00B95410"/>
    <w:rsid w:val="00B95445"/>
    <w:rsid w:val="00B95670"/>
    <w:rsid w:val="00B95ED6"/>
    <w:rsid w:val="00B9728F"/>
    <w:rsid w:val="00BA00B8"/>
    <w:rsid w:val="00BA074B"/>
    <w:rsid w:val="00BA1A94"/>
    <w:rsid w:val="00BA2BCC"/>
    <w:rsid w:val="00BA3446"/>
    <w:rsid w:val="00BA3FD1"/>
    <w:rsid w:val="00BA5F04"/>
    <w:rsid w:val="00BA7006"/>
    <w:rsid w:val="00BB2878"/>
    <w:rsid w:val="00BB3AD3"/>
    <w:rsid w:val="00BB3B80"/>
    <w:rsid w:val="00BB3BFF"/>
    <w:rsid w:val="00BB4596"/>
    <w:rsid w:val="00BB46A7"/>
    <w:rsid w:val="00BB4F5A"/>
    <w:rsid w:val="00BB54C0"/>
    <w:rsid w:val="00BB5510"/>
    <w:rsid w:val="00BB5F58"/>
    <w:rsid w:val="00BB64AC"/>
    <w:rsid w:val="00BB6CBC"/>
    <w:rsid w:val="00BC018B"/>
    <w:rsid w:val="00BC0877"/>
    <w:rsid w:val="00BC23B4"/>
    <w:rsid w:val="00BC2740"/>
    <w:rsid w:val="00BC40C0"/>
    <w:rsid w:val="00BC6496"/>
    <w:rsid w:val="00BC69CE"/>
    <w:rsid w:val="00BC6B57"/>
    <w:rsid w:val="00BC73D0"/>
    <w:rsid w:val="00BC7B10"/>
    <w:rsid w:val="00BD165F"/>
    <w:rsid w:val="00BD1B42"/>
    <w:rsid w:val="00BD32D5"/>
    <w:rsid w:val="00BD3FBD"/>
    <w:rsid w:val="00BD41F1"/>
    <w:rsid w:val="00BD488D"/>
    <w:rsid w:val="00BD4DEF"/>
    <w:rsid w:val="00BD502E"/>
    <w:rsid w:val="00BD5564"/>
    <w:rsid w:val="00BD7DCC"/>
    <w:rsid w:val="00BE0F7C"/>
    <w:rsid w:val="00BE1476"/>
    <w:rsid w:val="00BE20FF"/>
    <w:rsid w:val="00BE41A7"/>
    <w:rsid w:val="00BF0300"/>
    <w:rsid w:val="00BF4BCC"/>
    <w:rsid w:val="00BF5409"/>
    <w:rsid w:val="00BF5F27"/>
    <w:rsid w:val="00BF7940"/>
    <w:rsid w:val="00C00140"/>
    <w:rsid w:val="00C0069D"/>
    <w:rsid w:val="00C0101F"/>
    <w:rsid w:val="00C01835"/>
    <w:rsid w:val="00C02B7C"/>
    <w:rsid w:val="00C02D6B"/>
    <w:rsid w:val="00C04E1E"/>
    <w:rsid w:val="00C05B70"/>
    <w:rsid w:val="00C062F5"/>
    <w:rsid w:val="00C06C51"/>
    <w:rsid w:val="00C07739"/>
    <w:rsid w:val="00C1084D"/>
    <w:rsid w:val="00C112DD"/>
    <w:rsid w:val="00C11B14"/>
    <w:rsid w:val="00C12656"/>
    <w:rsid w:val="00C12BF1"/>
    <w:rsid w:val="00C15236"/>
    <w:rsid w:val="00C15B8E"/>
    <w:rsid w:val="00C16650"/>
    <w:rsid w:val="00C167D7"/>
    <w:rsid w:val="00C17D8D"/>
    <w:rsid w:val="00C17F8B"/>
    <w:rsid w:val="00C20386"/>
    <w:rsid w:val="00C20FE2"/>
    <w:rsid w:val="00C218E7"/>
    <w:rsid w:val="00C26329"/>
    <w:rsid w:val="00C27C56"/>
    <w:rsid w:val="00C30296"/>
    <w:rsid w:val="00C33166"/>
    <w:rsid w:val="00C33E46"/>
    <w:rsid w:val="00C349C5"/>
    <w:rsid w:val="00C3626D"/>
    <w:rsid w:val="00C37420"/>
    <w:rsid w:val="00C40457"/>
    <w:rsid w:val="00C41B2F"/>
    <w:rsid w:val="00C42093"/>
    <w:rsid w:val="00C42B8E"/>
    <w:rsid w:val="00C433C7"/>
    <w:rsid w:val="00C44586"/>
    <w:rsid w:val="00C44AEC"/>
    <w:rsid w:val="00C45DB1"/>
    <w:rsid w:val="00C503B7"/>
    <w:rsid w:val="00C51483"/>
    <w:rsid w:val="00C51BAE"/>
    <w:rsid w:val="00C521CB"/>
    <w:rsid w:val="00C52DAD"/>
    <w:rsid w:val="00C5408B"/>
    <w:rsid w:val="00C56396"/>
    <w:rsid w:val="00C5649F"/>
    <w:rsid w:val="00C564F4"/>
    <w:rsid w:val="00C6019E"/>
    <w:rsid w:val="00C61DF1"/>
    <w:rsid w:val="00C62BFB"/>
    <w:rsid w:val="00C6383C"/>
    <w:rsid w:val="00C63B16"/>
    <w:rsid w:val="00C63CD9"/>
    <w:rsid w:val="00C65470"/>
    <w:rsid w:val="00C7003A"/>
    <w:rsid w:val="00C72340"/>
    <w:rsid w:val="00C74C48"/>
    <w:rsid w:val="00C80876"/>
    <w:rsid w:val="00C809DA"/>
    <w:rsid w:val="00C82C52"/>
    <w:rsid w:val="00C82E2A"/>
    <w:rsid w:val="00C84526"/>
    <w:rsid w:val="00C91C60"/>
    <w:rsid w:val="00C923ED"/>
    <w:rsid w:val="00C92D96"/>
    <w:rsid w:val="00C9368D"/>
    <w:rsid w:val="00C94D85"/>
    <w:rsid w:val="00C96B3B"/>
    <w:rsid w:val="00CA0569"/>
    <w:rsid w:val="00CA0807"/>
    <w:rsid w:val="00CA09F4"/>
    <w:rsid w:val="00CA1ED5"/>
    <w:rsid w:val="00CA2566"/>
    <w:rsid w:val="00CA2938"/>
    <w:rsid w:val="00CA358B"/>
    <w:rsid w:val="00CA617A"/>
    <w:rsid w:val="00CA6632"/>
    <w:rsid w:val="00CB047C"/>
    <w:rsid w:val="00CB09AF"/>
    <w:rsid w:val="00CB12C7"/>
    <w:rsid w:val="00CB2409"/>
    <w:rsid w:val="00CB34D4"/>
    <w:rsid w:val="00CB3F75"/>
    <w:rsid w:val="00CB3F95"/>
    <w:rsid w:val="00CB410E"/>
    <w:rsid w:val="00CB787D"/>
    <w:rsid w:val="00CC3E03"/>
    <w:rsid w:val="00CC41B5"/>
    <w:rsid w:val="00CC4CE6"/>
    <w:rsid w:val="00CC6076"/>
    <w:rsid w:val="00CC6B10"/>
    <w:rsid w:val="00CD2D95"/>
    <w:rsid w:val="00CD3B57"/>
    <w:rsid w:val="00CD6E96"/>
    <w:rsid w:val="00CD7420"/>
    <w:rsid w:val="00CE023B"/>
    <w:rsid w:val="00CE0846"/>
    <w:rsid w:val="00CE1D67"/>
    <w:rsid w:val="00CE26A3"/>
    <w:rsid w:val="00CE6706"/>
    <w:rsid w:val="00CE6931"/>
    <w:rsid w:val="00CE768E"/>
    <w:rsid w:val="00CF0BF5"/>
    <w:rsid w:val="00CF204E"/>
    <w:rsid w:val="00CF2D7A"/>
    <w:rsid w:val="00CF5B79"/>
    <w:rsid w:val="00D0062E"/>
    <w:rsid w:val="00D024FF"/>
    <w:rsid w:val="00D03827"/>
    <w:rsid w:val="00D040D8"/>
    <w:rsid w:val="00D075E9"/>
    <w:rsid w:val="00D10ECA"/>
    <w:rsid w:val="00D12423"/>
    <w:rsid w:val="00D133A5"/>
    <w:rsid w:val="00D1361D"/>
    <w:rsid w:val="00D1382E"/>
    <w:rsid w:val="00D14B89"/>
    <w:rsid w:val="00D15155"/>
    <w:rsid w:val="00D154D2"/>
    <w:rsid w:val="00D16CE8"/>
    <w:rsid w:val="00D21626"/>
    <w:rsid w:val="00D22DB1"/>
    <w:rsid w:val="00D26C34"/>
    <w:rsid w:val="00D3187E"/>
    <w:rsid w:val="00D31BAC"/>
    <w:rsid w:val="00D33C69"/>
    <w:rsid w:val="00D34535"/>
    <w:rsid w:val="00D35A43"/>
    <w:rsid w:val="00D360DB"/>
    <w:rsid w:val="00D3690A"/>
    <w:rsid w:val="00D371E1"/>
    <w:rsid w:val="00D3766B"/>
    <w:rsid w:val="00D37FDD"/>
    <w:rsid w:val="00D40D55"/>
    <w:rsid w:val="00D41F4F"/>
    <w:rsid w:val="00D432A3"/>
    <w:rsid w:val="00D45EC2"/>
    <w:rsid w:val="00D47A76"/>
    <w:rsid w:val="00D52961"/>
    <w:rsid w:val="00D52F25"/>
    <w:rsid w:val="00D530E7"/>
    <w:rsid w:val="00D54462"/>
    <w:rsid w:val="00D54723"/>
    <w:rsid w:val="00D54ACD"/>
    <w:rsid w:val="00D550ED"/>
    <w:rsid w:val="00D5524E"/>
    <w:rsid w:val="00D5581D"/>
    <w:rsid w:val="00D55A20"/>
    <w:rsid w:val="00D567BB"/>
    <w:rsid w:val="00D575F3"/>
    <w:rsid w:val="00D607D7"/>
    <w:rsid w:val="00D60E12"/>
    <w:rsid w:val="00D6477F"/>
    <w:rsid w:val="00D65A07"/>
    <w:rsid w:val="00D66974"/>
    <w:rsid w:val="00D67F01"/>
    <w:rsid w:val="00D71555"/>
    <w:rsid w:val="00D726CF"/>
    <w:rsid w:val="00D72E6F"/>
    <w:rsid w:val="00D72F17"/>
    <w:rsid w:val="00D74648"/>
    <w:rsid w:val="00D74E83"/>
    <w:rsid w:val="00D77814"/>
    <w:rsid w:val="00D80315"/>
    <w:rsid w:val="00D8135E"/>
    <w:rsid w:val="00D83A0D"/>
    <w:rsid w:val="00D83A8A"/>
    <w:rsid w:val="00D84BB0"/>
    <w:rsid w:val="00D86E37"/>
    <w:rsid w:val="00D870A8"/>
    <w:rsid w:val="00D91CF9"/>
    <w:rsid w:val="00D9667F"/>
    <w:rsid w:val="00D9674B"/>
    <w:rsid w:val="00D97A44"/>
    <w:rsid w:val="00D97CED"/>
    <w:rsid w:val="00D97CF1"/>
    <w:rsid w:val="00DA1337"/>
    <w:rsid w:val="00DA2914"/>
    <w:rsid w:val="00DA3061"/>
    <w:rsid w:val="00DA3231"/>
    <w:rsid w:val="00DA3D61"/>
    <w:rsid w:val="00DA48C3"/>
    <w:rsid w:val="00DA5A07"/>
    <w:rsid w:val="00DA5D75"/>
    <w:rsid w:val="00DA61BA"/>
    <w:rsid w:val="00DA65E9"/>
    <w:rsid w:val="00DA7FB7"/>
    <w:rsid w:val="00DB0989"/>
    <w:rsid w:val="00DB0A05"/>
    <w:rsid w:val="00DB21C7"/>
    <w:rsid w:val="00DB709D"/>
    <w:rsid w:val="00DC195E"/>
    <w:rsid w:val="00DC23DD"/>
    <w:rsid w:val="00DC45AE"/>
    <w:rsid w:val="00DC6CFD"/>
    <w:rsid w:val="00DD02CD"/>
    <w:rsid w:val="00DD301F"/>
    <w:rsid w:val="00DD3C2F"/>
    <w:rsid w:val="00DD628D"/>
    <w:rsid w:val="00DD670F"/>
    <w:rsid w:val="00DE0208"/>
    <w:rsid w:val="00DE4348"/>
    <w:rsid w:val="00DE43C9"/>
    <w:rsid w:val="00DE4465"/>
    <w:rsid w:val="00DE4BCA"/>
    <w:rsid w:val="00DE621E"/>
    <w:rsid w:val="00DE78FB"/>
    <w:rsid w:val="00DE7D1C"/>
    <w:rsid w:val="00DF00E6"/>
    <w:rsid w:val="00DF108B"/>
    <w:rsid w:val="00DF1475"/>
    <w:rsid w:val="00DF3D36"/>
    <w:rsid w:val="00DF476B"/>
    <w:rsid w:val="00DF52C6"/>
    <w:rsid w:val="00DF635F"/>
    <w:rsid w:val="00DF6C8C"/>
    <w:rsid w:val="00DF77D8"/>
    <w:rsid w:val="00E003D8"/>
    <w:rsid w:val="00E02559"/>
    <w:rsid w:val="00E02E60"/>
    <w:rsid w:val="00E042B7"/>
    <w:rsid w:val="00E05065"/>
    <w:rsid w:val="00E05B19"/>
    <w:rsid w:val="00E11601"/>
    <w:rsid w:val="00E1380F"/>
    <w:rsid w:val="00E1451E"/>
    <w:rsid w:val="00E16080"/>
    <w:rsid w:val="00E2070E"/>
    <w:rsid w:val="00E20836"/>
    <w:rsid w:val="00E24E88"/>
    <w:rsid w:val="00E25C03"/>
    <w:rsid w:val="00E30556"/>
    <w:rsid w:val="00E31907"/>
    <w:rsid w:val="00E320BF"/>
    <w:rsid w:val="00E323E3"/>
    <w:rsid w:val="00E32691"/>
    <w:rsid w:val="00E33B8C"/>
    <w:rsid w:val="00E33BBE"/>
    <w:rsid w:val="00E348D3"/>
    <w:rsid w:val="00E35E58"/>
    <w:rsid w:val="00E366CC"/>
    <w:rsid w:val="00E40705"/>
    <w:rsid w:val="00E41FEE"/>
    <w:rsid w:val="00E43ED1"/>
    <w:rsid w:val="00E441A3"/>
    <w:rsid w:val="00E44AAB"/>
    <w:rsid w:val="00E46572"/>
    <w:rsid w:val="00E46A0B"/>
    <w:rsid w:val="00E474DB"/>
    <w:rsid w:val="00E527DB"/>
    <w:rsid w:val="00E5355D"/>
    <w:rsid w:val="00E56295"/>
    <w:rsid w:val="00E56524"/>
    <w:rsid w:val="00E572CF"/>
    <w:rsid w:val="00E572F3"/>
    <w:rsid w:val="00E57752"/>
    <w:rsid w:val="00E60309"/>
    <w:rsid w:val="00E60CC0"/>
    <w:rsid w:val="00E61061"/>
    <w:rsid w:val="00E6143F"/>
    <w:rsid w:val="00E61B0C"/>
    <w:rsid w:val="00E626C4"/>
    <w:rsid w:val="00E627D4"/>
    <w:rsid w:val="00E64530"/>
    <w:rsid w:val="00E655BA"/>
    <w:rsid w:val="00E65741"/>
    <w:rsid w:val="00E65F2A"/>
    <w:rsid w:val="00E669E2"/>
    <w:rsid w:val="00E66D0F"/>
    <w:rsid w:val="00E71DBD"/>
    <w:rsid w:val="00E7236E"/>
    <w:rsid w:val="00E74517"/>
    <w:rsid w:val="00E7468D"/>
    <w:rsid w:val="00E746C1"/>
    <w:rsid w:val="00E77B67"/>
    <w:rsid w:val="00E77FDD"/>
    <w:rsid w:val="00E81BBE"/>
    <w:rsid w:val="00E82E80"/>
    <w:rsid w:val="00E876C9"/>
    <w:rsid w:val="00E917B6"/>
    <w:rsid w:val="00E92966"/>
    <w:rsid w:val="00E944FE"/>
    <w:rsid w:val="00E9510C"/>
    <w:rsid w:val="00E97828"/>
    <w:rsid w:val="00EA24C7"/>
    <w:rsid w:val="00EA2579"/>
    <w:rsid w:val="00EA30DA"/>
    <w:rsid w:val="00EA37C5"/>
    <w:rsid w:val="00EA4BA9"/>
    <w:rsid w:val="00EA5930"/>
    <w:rsid w:val="00EA740A"/>
    <w:rsid w:val="00EB0370"/>
    <w:rsid w:val="00EB1C96"/>
    <w:rsid w:val="00EB30B9"/>
    <w:rsid w:val="00EB33F2"/>
    <w:rsid w:val="00EB3F39"/>
    <w:rsid w:val="00EB44D2"/>
    <w:rsid w:val="00EB4E02"/>
    <w:rsid w:val="00EB666A"/>
    <w:rsid w:val="00EB6FFC"/>
    <w:rsid w:val="00EB7C75"/>
    <w:rsid w:val="00EB7D9B"/>
    <w:rsid w:val="00EB7E80"/>
    <w:rsid w:val="00EC011B"/>
    <w:rsid w:val="00EC0416"/>
    <w:rsid w:val="00EC18BD"/>
    <w:rsid w:val="00EC5A2C"/>
    <w:rsid w:val="00EC5D32"/>
    <w:rsid w:val="00EC5E68"/>
    <w:rsid w:val="00EC63F5"/>
    <w:rsid w:val="00EC68D1"/>
    <w:rsid w:val="00EC70DB"/>
    <w:rsid w:val="00ED1BBA"/>
    <w:rsid w:val="00ED246A"/>
    <w:rsid w:val="00ED376D"/>
    <w:rsid w:val="00ED3E5F"/>
    <w:rsid w:val="00ED4FD0"/>
    <w:rsid w:val="00ED6947"/>
    <w:rsid w:val="00ED6C78"/>
    <w:rsid w:val="00ED770A"/>
    <w:rsid w:val="00EE0E23"/>
    <w:rsid w:val="00EE151B"/>
    <w:rsid w:val="00EE1F59"/>
    <w:rsid w:val="00EE3697"/>
    <w:rsid w:val="00EE3731"/>
    <w:rsid w:val="00EE3DD7"/>
    <w:rsid w:val="00EE41DC"/>
    <w:rsid w:val="00EE4A6A"/>
    <w:rsid w:val="00EE54AE"/>
    <w:rsid w:val="00EE5A00"/>
    <w:rsid w:val="00EE7BE1"/>
    <w:rsid w:val="00EE7ED5"/>
    <w:rsid w:val="00EF23CC"/>
    <w:rsid w:val="00EF2908"/>
    <w:rsid w:val="00EF3AFD"/>
    <w:rsid w:val="00EF41D7"/>
    <w:rsid w:val="00EF684B"/>
    <w:rsid w:val="00F0028D"/>
    <w:rsid w:val="00F0046A"/>
    <w:rsid w:val="00F011F8"/>
    <w:rsid w:val="00F01A0A"/>
    <w:rsid w:val="00F0279D"/>
    <w:rsid w:val="00F02D89"/>
    <w:rsid w:val="00F02E57"/>
    <w:rsid w:val="00F03504"/>
    <w:rsid w:val="00F0423C"/>
    <w:rsid w:val="00F05EAB"/>
    <w:rsid w:val="00F0644E"/>
    <w:rsid w:val="00F06BC6"/>
    <w:rsid w:val="00F074AC"/>
    <w:rsid w:val="00F10C8C"/>
    <w:rsid w:val="00F1175F"/>
    <w:rsid w:val="00F15961"/>
    <w:rsid w:val="00F15BCC"/>
    <w:rsid w:val="00F17001"/>
    <w:rsid w:val="00F20A66"/>
    <w:rsid w:val="00F23CC3"/>
    <w:rsid w:val="00F246A1"/>
    <w:rsid w:val="00F2561A"/>
    <w:rsid w:val="00F26038"/>
    <w:rsid w:val="00F27970"/>
    <w:rsid w:val="00F31E3A"/>
    <w:rsid w:val="00F32ACB"/>
    <w:rsid w:val="00F340F6"/>
    <w:rsid w:val="00F35995"/>
    <w:rsid w:val="00F361DE"/>
    <w:rsid w:val="00F37220"/>
    <w:rsid w:val="00F37893"/>
    <w:rsid w:val="00F41172"/>
    <w:rsid w:val="00F417ED"/>
    <w:rsid w:val="00F42557"/>
    <w:rsid w:val="00F4428E"/>
    <w:rsid w:val="00F44A3D"/>
    <w:rsid w:val="00F467B6"/>
    <w:rsid w:val="00F46CDD"/>
    <w:rsid w:val="00F47191"/>
    <w:rsid w:val="00F51117"/>
    <w:rsid w:val="00F511D8"/>
    <w:rsid w:val="00F51361"/>
    <w:rsid w:val="00F525A2"/>
    <w:rsid w:val="00F52AEB"/>
    <w:rsid w:val="00F5444F"/>
    <w:rsid w:val="00F54E89"/>
    <w:rsid w:val="00F56D21"/>
    <w:rsid w:val="00F61AA0"/>
    <w:rsid w:val="00F62306"/>
    <w:rsid w:val="00F64E7E"/>
    <w:rsid w:val="00F64F5C"/>
    <w:rsid w:val="00F669C5"/>
    <w:rsid w:val="00F676BB"/>
    <w:rsid w:val="00F72DFF"/>
    <w:rsid w:val="00F733DF"/>
    <w:rsid w:val="00F73784"/>
    <w:rsid w:val="00F73CE3"/>
    <w:rsid w:val="00F74ACD"/>
    <w:rsid w:val="00F74BFD"/>
    <w:rsid w:val="00F75C95"/>
    <w:rsid w:val="00F81392"/>
    <w:rsid w:val="00F82629"/>
    <w:rsid w:val="00F83121"/>
    <w:rsid w:val="00F84304"/>
    <w:rsid w:val="00F856FF"/>
    <w:rsid w:val="00F87D9B"/>
    <w:rsid w:val="00F90186"/>
    <w:rsid w:val="00F904E7"/>
    <w:rsid w:val="00F90536"/>
    <w:rsid w:val="00F911EE"/>
    <w:rsid w:val="00F9326C"/>
    <w:rsid w:val="00F934A1"/>
    <w:rsid w:val="00F969C1"/>
    <w:rsid w:val="00F97D1E"/>
    <w:rsid w:val="00FA01D5"/>
    <w:rsid w:val="00FA1912"/>
    <w:rsid w:val="00FA1B0D"/>
    <w:rsid w:val="00FA2FDC"/>
    <w:rsid w:val="00FA3CD1"/>
    <w:rsid w:val="00FA4867"/>
    <w:rsid w:val="00FA4BB5"/>
    <w:rsid w:val="00FA706B"/>
    <w:rsid w:val="00FA77FB"/>
    <w:rsid w:val="00FA7813"/>
    <w:rsid w:val="00FB031F"/>
    <w:rsid w:val="00FB03DB"/>
    <w:rsid w:val="00FB23EA"/>
    <w:rsid w:val="00FB5A60"/>
    <w:rsid w:val="00FB61E4"/>
    <w:rsid w:val="00FC1B73"/>
    <w:rsid w:val="00FC1FEA"/>
    <w:rsid w:val="00FC4548"/>
    <w:rsid w:val="00FC5011"/>
    <w:rsid w:val="00FC5A6C"/>
    <w:rsid w:val="00FC6510"/>
    <w:rsid w:val="00FD26D3"/>
    <w:rsid w:val="00FD2A77"/>
    <w:rsid w:val="00FD2DAC"/>
    <w:rsid w:val="00FD35F2"/>
    <w:rsid w:val="00FD4463"/>
    <w:rsid w:val="00FD6371"/>
    <w:rsid w:val="00FD678C"/>
    <w:rsid w:val="00FD68AB"/>
    <w:rsid w:val="00FE0FE7"/>
    <w:rsid w:val="00FE3657"/>
    <w:rsid w:val="00FE38EB"/>
    <w:rsid w:val="00FE7802"/>
    <w:rsid w:val="00FF1D3C"/>
    <w:rsid w:val="00FF2D74"/>
    <w:rsid w:val="00FF3947"/>
    <w:rsid w:val="00FF4D98"/>
    <w:rsid w:val="00FF7E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7E0DF35"/>
  <w15:chartTrackingRefBased/>
  <w15:docId w15:val="{9A7F2F5D-CBE9-4DA3-9857-46FBB304F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caption" w:semiHidden="1"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7FBB"/>
    <w:pPr>
      <w:spacing w:after="200" w:line="252" w:lineRule="auto"/>
    </w:pPr>
    <w:rPr>
      <w:sz w:val="22"/>
      <w:szCs w:val="22"/>
    </w:rPr>
  </w:style>
  <w:style w:type="paragraph" w:styleId="Titre1">
    <w:name w:val="heading 1"/>
    <w:basedOn w:val="Normal"/>
    <w:next w:val="Normal"/>
    <w:link w:val="Titre1Car"/>
    <w:uiPriority w:val="9"/>
    <w:qFormat/>
    <w:rsid w:val="002F4565"/>
    <w:pPr>
      <w:pBdr>
        <w:bottom w:val="thinThickSmallGap" w:sz="12" w:space="1" w:color="943634"/>
      </w:pBdr>
      <w:spacing w:before="400"/>
      <w:jc w:val="center"/>
      <w:outlineLvl w:val="0"/>
    </w:pPr>
    <w:rPr>
      <w:caps/>
      <w:color w:val="632423"/>
      <w:spacing w:val="20"/>
      <w:sz w:val="28"/>
      <w:szCs w:val="28"/>
    </w:rPr>
  </w:style>
  <w:style w:type="paragraph" w:styleId="Titre2">
    <w:name w:val="heading 2"/>
    <w:basedOn w:val="Normal"/>
    <w:next w:val="Normal"/>
    <w:link w:val="Titre2Car"/>
    <w:uiPriority w:val="9"/>
    <w:unhideWhenUsed/>
    <w:qFormat/>
    <w:rsid w:val="002F4565"/>
    <w:pPr>
      <w:pBdr>
        <w:bottom w:val="single" w:sz="4" w:space="1" w:color="622423"/>
      </w:pBdr>
      <w:spacing w:before="400"/>
      <w:jc w:val="center"/>
      <w:outlineLvl w:val="1"/>
    </w:pPr>
    <w:rPr>
      <w:caps/>
      <w:color w:val="632423"/>
      <w:spacing w:val="15"/>
      <w:sz w:val="24"/>
      <w:szCs w:val="24"/>
    </w:rPr>
  </w:style>
  <w:style w:type="paragraph" w:styleId="Titre3">
    <w:name w:val="heading 3"/>
    <w:basedOn w:val="Normal"/>
    <w:next w:val="Normal"/>
    <w:link w:val="Titre3Car"/>
    <w:uiPriority w:val="9"/>
    <w:unhideWhenUsed/>
    <w:qFormat/>
    <w:rsid w:val="002F4565"/>
    <w:pPr>
      <w:pBdr>
        <w:top w:val="dotted" w:sz="4" w:space="1" w:color="622423"/>
        <w:bottom w:val="dotted" w:sz="4" w:space="1" w:color="622423"/>
      </w:pBdr>
      <w:spacing w:before="300"/>
      <w:jc w:val="center"/>
      <w:outlineLvl w:val="2"/>
    </w:pPr>
    <w:rPr>
      <w:caps/>
      <w:color w:val="622423"/>
      <w:sz w:val="24"/>
      <w:szCs w:val="24"/>
    </w:rPr>
  </w:style>
  <w:style w:type="paragraph" w:styleId="Titre4">
    <w:name w:val="heading 4"/>
    <w:basedOn w:val="Normal"/>
    <w:next w:val="Normal"/>
    <w:link w:val="Titre4Car"/>
    <w:uiPriority w:val="9"/>
    <w:unhideWhenUsed/>
    <w:qFormat/>
    <w:rsid w:val="002F4565"/>
    <w:pPr>
      <w:pBdr>
        <w:bottom w:val="dotted" w:sz="4" w:space="1" w:color="943634"/>
      </w:pBdr>
      <w:spacing w:after="120"/>
      <w:jc w:val="center"/>
      <w:outlineLvl w:val="3"/>
    </w:pPr>
    <w:rPr>
      <w:caps/>
      <w:color w:val="622423"/>
      <w:spacing w:val="10"/>
    </w:rPr>
  </w:style>
  <w:style w:type="paragraph" w:styleId="Titre5">
    <w:name w:val="heading 5"/>
    <w:basedOn w:val="Normal"/>
    <w:next w:val="Normal"/>
    <w:link w:val="Titre5Car"/>
    <w:uiPriority w:val="9"/>
    <w:unhideWhenUsed/>
    <w:qFormat/>
    <w:rsid w:val="002F4565"/>
    <w:pPr>
      <w:spacing w:before="320" w:after="120"/>
      <w:jc w:val="center"/>
      <w:outlineLvl w:val="4"/>
    </w:pPr>
    <w:rPr>
      <w:caps/>
      <w:color w:val="622423"/>
      <w:spacing w:val="10"/>
    </w:rPr>
  </w:style>
  <w:style w:type="paragraph" w:styleId="Titre6">
    <w:name w:val="heading 6"/>
    <w:basedOn w:val="Normal"/>
    <w:next w:val="Normal"/>
    <w:link w:val="Titre6Car"/>
    <w:uiPriority w:val="9"/>
    <w:unhideWhenUsed/>
    <w:qFormat/>
    <w:rsid w:val="002F4565"/>
    <w:pPr>
      <w:spacing w:after="120"/>
      <w:jc w:val="center"/>
      <w:outlineLvl w:val="5"/>
    </w:pPr>
    <w:rPr>
      <w:caps/>
      <w:color w:val="943634"/>
      <w:spacing w:val="10"/>
    </w:rPr>
  </w:style>
  <w:style w:type="paragraph" w:styleId="Titre7">
    <w:name w:val="heading 7"/>
    <w:basedOn w:val="Normal"/>
    <w:next w:val="Normal"/>
    <w:link w:val="Titre7Car"/>
    <w:uiPriority w:val="9"/>
    <w:unhideWhenUsed/>
    <w:qFormat/>
    <w:rsid w:val="002F4565"/>
    <w:pPr>
      <w:spacing w:after="120"/>
      <w:jc w:val="center"/>
      <w:outlineLvl w:val="6"/>
    </w:pPr>
    <w:rPr>
      <w:i/>
      <w:iCs/>
      <w:caps/>
      <w:color w:val="943634"/>
      <w:spacing w:val="10"/>
    </w:rPr>
  </w:style>
  <w:style w:type="paragraph" w:styleId="Titre8">
    <w:name w:val="heading 8"/>
    <w:basedOn w:val="Normal"/>
    <w:next w:val="Normal"/>
    <w:link w:val="Titre8Car"/>
    <w:uiPriority w:val="9"/>
    <w:unhideWhenUsed/>
    <w:qFormat/>
    <w:rsid w:val="002F4565"/>
    <w:pPr>
      <w:spacing w:after="120"/>
      <w:jc w:val="center"/>
      <w:outlineLvl w:val="7"/>
    </w:pPr>
    <w:rPr>
      <w:caps/>
      <w:spacing w:val="10"/>
      <w:sz w:val="20"/>
      <w:szCs w:val="20"/>
    </w:rPr>
  </w:style>
  <w:style w:type="paragraph" w:styleId="Titre9">
    <w:name w:val="heading 9"/>
    <w:basedOn w:val="Normal"/>
    <w:next w:val="Normal"/>
    <w:link w:val="Titre9Car"/>
    <w:uiPriority w:val="9"/>
    <w:unhideWhenUsed/>
    <w:qFormat/>
    <w:rsid w:val="002F4565"/>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607D7"/>
    <w:pPr>
      <w:tabs>
        <w:tab w:val="center" w:pos="4536"/>
        <w:tab w:val="right" w:pos="9072"/>
      </w:tabs>
    </w:pPr>
  </w:style>
  <w:style w:type="paragraph" w:styleId="Pieddepage">
    <w:name w:val="footer"/>
    <w:basedOn w:val="Normal"/>
    <w:rsid w:val="00D607D7"/>
    <w:pPr>
      <w:jc w:val="center"/>
    </w:pPr>
  </w:style>
  <w:style w:type="paragraph" w:styleId="TM1">
    <w:name w:val="toc 1"/>
    <w:basedOn w:val="Normal"/>
    <w:next w:val="Normal"/>
    <w:autoRedefine/>
    <w:uiPriority w:val="39"/>
    <w:rsid w:val="00D607D7"/>
  </w:style>
  <w:style w:type="paragraph" w:styleId="TM2">
    <w:name w:val="toc 2"/>
    <w:basedOn w:val="Normal"/>
    <w:next w:val="Normal"/>
    <w:autoRedefine/>
    <w:uiPriority w:val="39"/>
    <w:rsid w:val="00D607D7"/>
    <w:pPr>
      <w:ind w:left="200"/>
    </w:pPr>
  </w:style>
  <w:style w:type="paragraph" w:styleId="TM3">
    <w:name w:val="toc 3"/>
    <w:basedOn w:val="Normal"/>
    <w:next w:val="Normal"/>
    <w:autoRedefine/>
    <w:uiPriority w:val="39"/>
    <w:rsid w:val="00D607D7"/>
    <w:pPr>
      <w:ind w:left="400"/>
    </w:pPr>
  </w:style>
  <w:style w:type="paragraph" w:customStyle="1" w:styleId="Style1">
    <w:name w:val="Style1"/>
    <w:basedOn w:val="Normal"/>
    <w:autoRedefine/>
    <w:rsid w:val="00D607D7"/>
    <w:pPr>
      <w:spacing w:line="360" w:lineRule="auto"/>
      <w:jc w:val="center"/>
    </w:pPr>
    <w:rPr>
      <w:b/>
      <w:sz w:val="52"/>
      <w:u w:val="single"/>
    </w:rPr>
  </w:style>
  <w:style w:type="paragraph" w:customStyle="1" w:styleId="Normal2">
    <w:name w:val="Normal2"/>
    <w:basedOn w:val="Normal"/>
    <w:autoRedefine/>
    <w:rsid w:val="00D607D7"/>
  </w:style>
  <w:style w:type="paragraph" w:styleId="Retraitcorpsdetexte">
    <w:name w:val="Body Text Indent"/>
    <w:basedOn w:val="Normal"/>
    <w:rsid w:val="00D607D7"/>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link w:val="CorpsdetexteCar"/>
    <w:rsid w:val="00D607D7"/>
    <w:rPr>
      <w:color w:val="FF0000"/>
    </w:rPr>
  </w:style>
  <w:style w:type="paragraph" w:customStyle="1" w:styleId="Corpsdetexte21">
    <w:name w:val="Corps de texte 21"/>
    <w:basedOn w:val="Normal"/>
    <w:rsid w:val="00D607D7"/>
    <w:rPr>
      <w:rFonts w:ascii="Times New Roman" w:hAnsi="Times New Roman"/>
      <w:b/>
      <w:i/>
      <w:color w:val="0000FF"/>
      <w:sz w:val="24"/>
    </w:rPr>
  </w:style>
  <w:style w:type="paragraph" w:styleId="Retraitcorpsdetexte2">
    <w:name w:val="Body Text Indent 2"/>
    <w:basedOn w:val="Normal"/>
    <w:rsid w:val="00D607D7"/>
    <w:pPr>
      <w:ind w:left="2124" w:firstLine="6"/>
    </w:pPr>
    <w:rPr>
      <w:rFonts w:ascii="Times New Roman" w:hAnsi="Times New Roman"/>
      <w:i/>
      <w:sz w:val="24"/>
    </w:rPr>
  </w:style>
  <w:style w:type="paragraph" w:styleId="Corpsdetexte2">
    <w:name w:val="Body Text 2"/>
    <w:basedOn w:val="Normal"/>
    <w:rsid w:val="00D607D7"/>
    <w:rPr>
      <w:b/>
      <w:bCs/>
      <w:color w:val="FF0000"/>
    </w:rPr>
  </w:style>
  <w:style w:type="character" w:styleId="Numrodepage">
    <w:name w:val="page number"/>
    <w:basedOn w:val="Policepardfaut"/>
    <w:rsid w:val="00D607D7"/>
  </w:style>
  <w:style w:type="paragraph" w:styleId="Sous-titre">
    <w:name w:val="Subtitle"/>
    <w:basedOn w:val="Normal"/>
    <w:next w:val="Normal"/>
    <w:link w:val="Sous-titreCar"/>
    <w:uiPriority w:val="11"/>
    <w:qFormat/>
    <w:rsid w:val="002F4565"/>
    <w:pPr>
      <w:spacing w:after="560" w:line="240" w:lineRule="auto"/>
      <w:jc w:val="center"/>
    </w:pPr>
    <w:rPr>
      <w:caps/>
      <w:spacing w:val="20"/>
      <w:sz w:val="18"/>
      <w:szCs w:val="18"/>
    </w:rPr>
  </w:style>
  <w:style w:type="paragraph" w:styleId="Textedebulles">
    <w:name w:val="Balloon Text"/>
    <w:basedOn w:val="Normal"/>
    <w:semiHidden/>
    <w:rsid w:val="00D607D7"/>
    <w:rPr>
      <w:rFonts w:ascii="Tahoma" w:hAnsi="Tahoma" w:cs="Tahoma"/>
      <w:sz w:val="16"/>
      <w:szCs w:val="16"/>
    </w:rPr>
  </w:style>
  <w:style w:type="paragraph" w:styleId="Corpsdetexte3">
    <w:name w:val="Body Text 3"/>
    <w:basedOn w:val="Normal"/>
    <w:rsid w:val="004C7132"/>
    <w:pPr>
      <w:spacing w:after="120"/>
    </w:pPr>
    <w:rPr>
      <w:sz w:val="16"/>
      <w:szCs w:val="16"/>
    </w:rPr>
  </w:style>
  <w:style w:type="character" w:customStyle="1" w:styleId="Titre1Car">
    <w:name w:val="Titre 1 Car"/>
    <w:link w:val="Titre1"/>
    <w:uiPriority w:val="9"/>
    <w:rsid w:val="002F4565"/>
    <w:rPr>
      <w:caps/>
      <w:color w:val="632423"/>
      <w:spacing w:val="20"/>
      <w:sz w:val="28"/>
      <w:szCs w:val="28"/>
    </w:rPr>
  </w:style>
  <w:style w:type="character" w:customStyle="1" w:styleId="Titre2Car">
    <w:name w:val="Titre 2 Car"/>
    <w:link w:val="Titre2"/>
    <w:uiPriority w:val="9"/>
    <w:rsid w:val="002F4565"/>
    <w:rPr>
      <w:caps/>
      <w:color w:val="632423"/>
      <w:spacing w:val="15"/>
      <w:sz w:val="24"/>
      <w:szCs w:val="24"/>
    </w:rPr>
  </w:style>
  <w:style w:type="character" w:customStyle="1" w:styleId="Titre3Car">
    <w:name w:val="Titre 3 Car"/>
    <w:link w:val="Titre3"/>
    <w:uiPriority w:val="9"/>
    <w:rsid w:val="002F4565"/>
    <w:rPr>
      <w:caps/>
      <w:color w:val="622423"/>
      <w:sz w:val="24"/>
      <w:szCs w:val="24"/>
    </w:rPr>
  </w:style>
  <w:style w:type="character" w:customStyle="1" w:styleId="Titre4Car">
    <w:name w:val="Titre 4 Car"/>
    <w:link w:val="Titre4"/>
    <w:uiPriority w:val="9"/>
    <w:rsid w:val="002F4565"/>
    <w:rPr>
      <w:caps/>
      <w:color w:val="622423"/>
      <w:spacing w:val="10"/>
    </w:rPr>
  </w:style>
  <w:style w:type="character" w:customStyle="1" w:styleId="Titre5Car">
    <w:name w:val="Titre 5 Car"/>
    <w:link w:val="Titre5"/>
    <w:uiPriority w:val="9"/>
    <w:rsid w:val="002F4565"/>
    <w:rPr>
      <w:caps/>
      <w:color w:val="622423"/>
      <w:spacing w:val="10"/>
    </w:rPr>
  </w:style>
  <w:style w:type="character" w:customStyle="1" w:styleId="Titre6Car">
    <w:name w:val="Titre 6 Car"/>
    <w:link w:val="Titre6"/>
    <w:uiPriority w:val="9"/>
    <w:rsid w:val="002F4565"/>
    <w:rPr>
      <w:caps/>
      <w:color w:val="943634"/>
      <w:spacing w:val="10"/>
    </w:rPr>
  </w:style>
  <w:style w:type="character" w:customStyle="1" w:styleId="Titre7Car">
    <w:name w:val="Titre 7 Car"/>
    <w:link w:val="Titre7"/>
    <w:uiPriority w:val="9"/>
    <w:rsid w:val="002F4565"/>
    <w:rPr>
      <w:i/>
      <w:iCs/>
      <w:caps/>
      <w:color w:val="943634"/>
      <w:spacing w:val="10"/>
    </w:rPr>
  </w:style>
  <w:style w:type="character" w:customStyle="1" w:styleId="Titre8Car">
    <w:name w:val="Titre 8 Car"/>
    <w:link w:val="Titre8"/>
    <w:uiPriority w:val="9"/>
    <w:rsid w:val="002F4565"/>
    <w:rPr>
      <w:caps/>
      <w:spacing w:val="10"/>
      <w:sz w:val="20"/>
      <w:szCs w:val="20"/>
    </w:rPr>
  </w:style>
  <w:style w:type="character" w:customStyle="1" w:styleId="Titre9Car">
    <w:name w:val="Titre 9 Car"/>
    <w:link w:val="Titre9"/>
    <w:uiPriority w:val="9"/>
    <w:rsid w:val="002F4565"/>
    <w:rPr>
      <w:i/>
      <w:iCs/>
      <w:caps/>
      <w:spacing w:val="10"/>
      <w:sz w:val="20"/>
      <w:szCs w:val="20"/>
    </w:rPr>
  </w:style>
  <w:style w:type="paragraph" w:styleId="Lgende">
    <w:name w:val="caption"/>
    <w:basedOn w:val="Normal"/>
    <w:next w:val="Normal"/>
    <w:unhideWhenUsed/>
    <w:qFormat/>
    <w:rsid w:val="002F4565"/>
    <w:rPr>
      <w:caps/>
      <w:spacing w:val="10"/>
      <w:sz w:val="18"/>
      <w:szCs w:val="18"/>
    </w:rPr>
  </w:style>
  <w:style w:type="paragraph" w:styleId="Titre">
    <w:name w:val="Title"/>
    <w:basedOn w:val="Normal"/>
    <w:next w:val="Normal"/>
    <w:link w:val="TitreCar"/>
    <w:uiPriority w:val="10"/>
    <w:qFormat/>
    <w:rsid w:val="002F4565"/>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reCar">
    <w:name w:val="Titre Car"/>
    <w:link w:val="Titre"/>
    <w:uiPriority w:val="10"/>
    <w:rsid w:val="002F4565"/>
    <w:rPr>
      <w:caps/>
      <w:color w:val="632423"/>
      <w:spacing w:val="50"/>
      <w:sz w:val="44"/>
      <w:szCs w:val="44"/>
    </w:rPr>
  </w:style>
  <w:style w:type="character" w:customStyle="1" w:styleId="Sous-titreCar">
    <w:name w:val="Sous-titre Car"/>
    <w:link w:val="Sous-titre"/>
    <w:uiPriority w:val="11"/>
    <w:rsid w:val="002F4565"/>
    <w:rPr>
      <w:caps/>
      <w:spacing w:val="20"/>
      <w:sz w:val="18"/>
      <w:szCs w:val="18"/>
    </w:rPr>
  </w:style>
  <w:style w:type="character" w:styleId="lev">
    <w:name w:val="Strong"/>
    <w:uiPriority w:val="22"/>
    <w:qFormat/>
    <w:rsid w:val="002F4565"/>
    <w:rPr>
      <w:b/>
      <w:bCs/>
      <w:color w:val="943634"/>
      <w:spacing w:val="5"/>
    </w:rPr>
  </w:style>
  <w:style w:type="character" w:styleId="Accentuation">
    <w:name w:val="Emphasis"/>
    <w:uiPriority w:val="20"/>
    <w:qFormat/>
    <w:rsid w:val="002F4565"/>
    <w:rPr>
      <w:caps/>
      <w:spacing w:val="5"/>
      <w:sz w:val="20"/>
      <w:szCs w:val="20"/>
    </w:rPr>
  </w:style>
  <w:style w:type="paragraph" w:styleId="Sansinterligne">
    <w:name w:val="No Spacing"/>
    <w:basedOn w:val="Normal"/>
    <w:link w:val="SansinterligneCar"/>
    <w:uiPriority w:val="1"/>
    <w:qFormat/>
    <w:rsid w:val="002F4565"/>
    <w:pPr>
      <w:spacing w:after="0" w:line="240" w:lineRule="auto"/>
    </w:pPr>
  </w:style>
  <w:style w:type="character" w:customStyle="1" w:styleId="SansinterligneCar">
    <w:name w:val="Sans interligne Car"/>
    <w:basedOn w:val="Policepardfaut"/>
    <w:link w:val="Sansinterligne"/>
    <w:uiPriority w:val="1"/>
    <w:rsid w:val="002F4565"/>
  </w:style>
  <w:style w:type="paragraph" w:styleId="Paragraphedeliste">
    <w:name w:val="List Paragraph"/>
    <w:aliases w:val="Bullet List,FooterText,numbered,Paragraphe de liste1,List Paragraph1,Bulletr List Paragraph,列出段落,列出段落1,Puce0_Exakis,lp1,Tirets,Bullet Niv 2,Puce niveau 0,Liste niv1,Grille moyenne 1 - Accent 21"/>
    <w:basedOn w:val="Normal"/>
    <w:link w:val="ParagraphedelisteCar"/>
    <w:uiPriority w:val="34"/>
    <w:qFormat/>
    <w:rsid w:val="002F4565"/>
    <w:pPr>
      <w:ind w:left="720"/>
      <w:contextualSpacing/>
    </w:pPr>
  </w:style>
  <w:style w:type="paragraph" w:styleId="Citation">
    <w:name w:val="Quote"/>
    <w:basedOn w:val="Normal"/>
    <w:next w:val="Normal"/>
    <w:link w:val="CitationCar"/>
    <w:uiPriority w:val="29"/>
    <w:qFormat/>
    <w:rsid w:val="002F4565"/>
    <w:rPr>
      <w:i/>
      <w:iCs/>
    </w:rPr>
  </w:style>
  <w:style w:type="character" w:customStyle="1" w:styleId="CitationCar">
    <w:name w:val="Citation Car"/>
    <w:link w:val="Citation"/>
    <w:uiPriority w:val="29"/>
    <w:rsid w:val="002F4565"/>
    <w:rPr>
      <w:i/>
      <w:iCs/>
    </w:rPr>
  </w:style>
  <w:style w:type="paragraph" w:styleId="Citationintense">
    <w:name w:val="Intense Quote"/>
    <w:basedOn w:val="Normal"/>
    <w:next w:val="Normal"/>
    <w:link w:val="CitationintenseCar"/>
    <w:uiPriority w:val="30"/>
    <w:qFormat/>
    <w:rsid w:val="002F4565"/>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CitationintenseCar">
    <w:name w:val="Citation intense Car"/>
    <w:link w:val="Citationintense"/>
    <w:uiPriority w:val="30"/>
    <w:rsid w:val="002F4565"/>
    <w:rPr>
      <w:caps/>
      <w:color w:val="622423"/>
      <w:spacing w:val="5"/>
      <w:sz w:val="20"/>
      <w:szCs w:val="20"/>
    </w:rPr>
  </w:style>
  <w:style w:type="character" w:styleId="Accentuationlgre">
    <w:name w:val="Subtle Emphasis"/>
    <w:uiPriority w:val="19"/>
    <w:qFormat/>
    <w:rsid w:val="002F4565"/>
    <w:rPr>
      <w:i/>
      <w:iCs/>
    </w:rPr>
  </w:style>
  <w:style w:type="character" w:styleId="Accentuationintense">
    <w:name w:val="Intense Emphasis"/>
    <w:uiPriority w:val="21"/>
    <w:qFormat/>
    <w:rsid w:val="002F4565"/>
    <w:rPr>
      <w:i/>
      <w:iCs/>
      <w:caps/>
      <w:spacing w:val="10"/>
      <w:sz w:val="20"/>
      <w:szCs w:val="20"/>
    </w:rPr>
  </w:style>
  <w:style w:type="character" w:styleId="Rfrencelgre">
    <w:name w:val="Subtle Reference"/>
    <w:uiPriority w:val="31"/>
    <w:qFormat/>
    <w:rsid w:val="002F4565"/>
    <w:rPr>
      <w:rFonts w:ascii="Calibri" w:eastAsia="Times New Roman" w:hAnsi="Calibri" w:cs="Times New Roman"/>
      <w:i/>
      <w:iCs/>
      <w:color w:val="622423"/>
    </w:rPr>
  </w:style>
  <w:style w:type="character" w:styleId="Rfrenceintense">
    <w:name w:val="Intense Reference"/>
    <w:uiPriority w:val="32"/>
    <w:qFormat/>
    <w:rsid w:val="002F4565"/>
    <w:rPr>
      <w:rFonts w:ascii="Calibri" w:eastAsia="Times New Roman" w:hAnsi="Calibri" w:cs="Times New Roman"/>
      <w:b/>
      <w:bCs/>
      <w:i/>
      <w:iCs/>
      <w:color w:val="622423"/>
    </w:rPr>
  </w:style>
  <w:style w:type="character" w:styleId="Titredulivre">
    <w:name w:val="Book Title"/>
    <w:uiPriority w:val="33"/>
    <w:qFormat/>
    <w:rsid w:val="002F4565"/>
    <w:rPr>
      <w:caps/>
      <w:color w:val="622423"/>
      <w:spacing w:val="5"/>
      <w:u w:color="622423"/>
    </w:rPr>
  </w:style>
  <w:style w:type="paragraph" w:styleId="En-ttedetabledesmatires">
    <w:name w:val="TOC Heading"/>
    <w:basedOn w:val="Titre1"/>
    <w:next w:val="Normal"/>
    <w:uiPriority w:val="39"/>
    <w:semiHidden/>
    <w:unhideWhenUsed/>
    <w:qFormat/>
    <w:rsid w:val="002F4565"/>
    <w:pPr>
      <w:outlineLvl w:val="9"/>
    </w:pPr>
    <w:rPr>
      <w:lang w:bidi="en-US"/>
    </w:rPr>
  </w:style>
  <w:style w:type="paragraph" w:customStyle="1" w:styleId="PersonalName">
    <w:name w:val="Personal Name"/>
    <w:basedOn w:val="Titre"/>
    <w:rsid w:val="002F4565"/>
    <w:rPr>
      <w:b/>
      <w:caps w:val="0"/>
      <w:color w:val="000000"/>
      <w:sz w:val="28"/>
      <w:szCs w:val="28"/>
    </w:rPr>
  </w:style>
  <w:style w:type="character" w:styleId="Lienhypertexte">
    <w:name w:val="Hyperlink"/>
    <w:uiPriority w:val="99"/>
    <w:unhideWhenUsed/>
    <w:rsid w:val="002F4565"/>
    <w:rPr>
      <w:color w:val="0000FF"/>
      <w:u w:val="single"/>
    </w:rPr>
  </w:style>
  <w:style w:type="table" w:styleId="Listeclaire-Accent1">
    <w:name w:val="Light List Accent 1"/>
    <w:basedOn w:val="TableauNormal"/>
    <w:uiPriority w:val="61"/>
    <w:rsid w:val="00CC6B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Grilledutableau">
    <w:name w:val="Table Grid"/>
    <w:basedOn w:val="TableauNormal"/>
    <w:rsid w:val="005B2E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locked/>
    <w:rsid w:val="002F6635"/>
  </w:style>
  <w:style w:type="character" w:customStyle="1" w:styleId="CorpsdetexteCar">
    <w:name w:val="Corps de texte Car"/>
    <w:link w:val="Corpsdetexte"/>
    <w:locked/>
    <w:rsid w:val="002F6635"/>
    <w:rPr>
      <w:color w:val="FF0000"/>
    </w:rPr>
  </w:style>
  <w:style w:type="table" w:customStyle="1" w:styleId="TableauWeb1">
    <w:name w:val="Tableau Web 1"/>
    <w:basedOn w:val="TableauNormal"/>
    <w:rsid w:val="006E2EB6"/>
    <w:pPr>
      <w:jc w:val="both"/>
    </w:pPr>
    <w:rPr>
      <w:rFonts w:ascii="Calibri" w:hAnsi="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tedebasdepage">
    <w:name w:val="footnote text"/>
    <w:basedOn w:val="Normal"/>
    <w:link w:val="NotedebasdepageCar"/>
    <w:uiPriority w:val="99"/>
    <w:rsid w:val="00256B0C"/>
    <w:pPr>
      <w:spacing w:after="0" w:line="240" w:lineRule="auto"/>
    </w:pPr>
    <w:rPr>
      <w:sz w:val="20"/>
      <w:szCs w:val="20"/>
    </w:rPr>
  </w:style>
  <w:style w:type="character" w:customStyle="1" w:styleId="NotedebasdepageCar">
    <w:name w:val="Note de bas de page Car"/>
    <w:link w:val="Notedebasdepage"/>
    <w:uiPriority w:val="99"/>
    <w:rsid w:val="00256B0C"/>
    <w:rPr>
      <w:sz w:val="20"/>
      <w:szCs w:val="20"/>
    </w:rPr>
  </w:style>
  <w:style w:type="character" w:styleId="Appelnotedebasdep">
    <w:name w:val="footnote reference"/>
    <w:rsid w:val="00256B0C"/>
    <w:rPr>
      <w:vertAlign w:val="superscript"/>
    </w:rPr>
  </w:style>
  <w:style w:type="character" w:styleId="Marquedecommentaire">
    <w:name w:val="annotation reference"/>
    <w:rsid w:val="00167547"/>
    <w:rPr>
      <w:sz w:val="16"/>
      <w:szCs w:val="16"/>
    </w:rPr>
  </w:style>
  <w:style w:type="paragraph" w:styleId="Commentaire">
    <w:name w:val="annotation text"/>
    <w:basedOn w:val="Normal"/>
    <w:link w:val="CommentaireCar"/>
    <w:rsid w:val="00167547"/>
    <w:pPr>
      <w:spacing w:line="240" w:lineRule="auto"/>
    </w:pPr>
    <w:rPr>
      <w:sz w:val="20"/>
      <w:szCs w:val="20"/>
    </w:rPr>
  </w:style>
  <w:style w:type="character" w:customStyle="1" w:styleId="CommentaireCar">
    <w:name w:val="Commentaire Car"/>
    <w:link w:val="Commentaire"/>
    <w:rsid w:val="00167547"/>
    <w:rPr>
      <w:sz w:val="20"/>
      <w:szCs w:val="20"/>
    </w:rPr>
  </w:style>
  <w:style w:type="paragraph" w:styleId="Objetducommentaire">
    <w:name w:val="annotation subject"/>
    <w:basedOn w:val="Commentaire"/>
    <w:next w:val="Commentaire"/>
    <w:link w:val="ObjetducommentaireCar"/>
    <w:rsid w:val="00167547"/>
    <w:rPr>
      <w:b/>
      <w:bCs/>
    </w:rPr>
  </w:style>
  <w:style w:type="character" w:customStyle="1" w:styleId="ObjetducommentaireCar">
    <w:name w:val="Objet du commentaire Car"/>
    <w:link w:val="Objetducommentaire"/>
    <w:rsid w:val="00167547"/>
    <w:rPr>
      <w:b/>
      <w:bCs/>
      <w:sz w:val="20"/>
      <w:szCs w:val="20"/>
    </w:rPr>
  </w:style>
  <w:style w:type="table" w:customStyle="1" w:styleId="TableauGrille1Clair-Accentuation11">
    <w:name w:val="Tableau Grille 1 Clair - Accentuation 11"/>
    <w:basedOn w:val="TableauNormal"/>
    <w:next w:val="TableauGrille1Clair-Accentuation1"/>
    <w:uiPriority w:val="46"/>
    <w:rsid w:val="00172421"/>
    <w:rPr>
      <w:sz w:val="22"/>
      <w:szCs w:val="22"/>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TableauGrille1Clair-Accentuation1">
    <w:name w:val="Grid Table 1 Light Accent 1"/>
    <w:basedOn w:val="TableauNormal"/>
    <w:uiPriority w:val="46"/>
    <w:rsid w:val="00172421"/>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numbering" w:customStyle="1" w:styleId="Style2">
    <w:name w:val="Style2"/>
    <w:uiPriority w:val="99"/>
    <w:rsid w:val="004104A8"/>
    <w:pPr>
      <w:numPr>
        <w:numId w:val="2"/>
      </w:numPr>
    </w:pPr>
  </w:style>
  <w:style w:type="table" w:customStyle="1" w:styleId="montableau1">
    <w:name w:val="mon tableau1"/>
    <w:basedOn w:val="TableauNormal"/>
    <w:next w:val="Grilleclaire-Accent1"/>
    <w:uiPriority w:val="62"/>
    <w:rsid w:val="004104A8"/>
    <w:pPr>
      <w:jc w:val="center"/>
    </w:pPr>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auto"/>
      <w:vAlign w:val="center"/>
    </w:tc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1">
    <w:name w:val="Grille claire - Accent 11"/>
    <w:basedOn w:val="TableauNormal"/>
    <w:next w:val="Grilleclaire-Accent1"/>
    <w:uiPriority w:val="62"/>
    <w:rsid w:val="004104A8"/>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Grilleclaire-Accent12">
    <w:name w:val="Grille claire - Accent 12"/>
    <w:basedOn w:val="TableauNormal"/>
    <w:next w:val="Grilleclaire-Accent1"/>
    <w:uiPriority w:val="62"/>
    <w:rsid w:val="004104A8"/>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1">
    <w:name w:val="Light Grid Accent 1"/>
    <w:basedOn w:val="TableauNormal"/>
    <w:uiPriority w:val="62"/>
    <w:rsid w:val="004104A8"/>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Tableauweb2">
    <w:name w:val="Table Web 2"/>
    <w:basedOn w:val="TableauNormal"/>
    <w:rsid w:val="00491E04"/>
    <w:pPr>
      <w:spacing w:after="200" w:line="252" w:lineRule="auto"/>
      <w:jc w:val="both"/>
    </w:pPr>
    <w:rPr>
      <w:sz w:val="22"/>
      <w:szCs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Grilleclaire-Accent111">
    <w:name w:val="Grille claire - Accent 111"/>
    <w:basedOn w:val="TableauNormal"/>
    <w:next w:val="Grilleclaire-Accent1"/>
    <w:uiPriority w:val="62"/>
    <w:rsid w:val="00C84526"/>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Notedefin">
    <w:name w:val="endnote text"/>
    <w:basedOn w:val="Normal"/>
    <w:link w:val="NotedefinCar"/>
    <w:rsid w:val="00CD6E96"/>
    <w:pPr>
      <w:spacing w:after="0" w:line="240" w:lineRule="auto"/>
    </w:pPr>
    <w:rPr>
      <w:sz w:val="20"/>
      <w:szCs w:val="20"/>
    </w:rPr>
  </w:style>
  <w:style w:type="character" w:customStyle="1" w:styleId="NotedefinCar">
    <w:name w:val="Note de fin Car"/>
    <w:basedOn w:val="Policepardfaut"/>
    <w:link w:val="Notedefin"/>
    <w:rsid w:val="00CD6E96"/>
  </w:style>
  <w:style w:type="character" w:styleId="Appeldenotedefin">
    <w:name w:val="endnote reference"/>
    <w:basedOn w:val="Policepardfaut"/>
    <w:rsid w:val="00CD6E96"/>
    <w:rPr>
      <w:vertAlign w:val="superscript"/>
    </w:rPr>
  </w:style>
  <w:style w:type="table" w:styleId="TableauGrille1Clair-Accentuation5">
    <w:name w:val="Grid Table 1 Light Accent 5"/>
    <w:basedOn w:val="TableauNormal"/>
    <w:uiPriority w:val="46"/>
    <w:rsid w:val="00454C7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Maslection1">
    <w:name w:val="Ma sélection1"/>
    <w:basedOn w:val="TableauNormal"/>
    <w:next w:val="Grilledutableau"/>
    <w:rsid w:val="00293B04"/>
    <w:pPr>
      <w:spacing w:after="200" w:line="252" w:lineRule="auto"/>
      <w:jc w:val="center"/>
    </w:pPr>
    <w:rPr>
      <w:sz w:val="22"/>
      <w:szCs w:val="22"/>
    </w:rPr>
    <w:tblPr>
      <w:tblBorders>
        <w:top w:val="single" w:sz="8" w:space="0" w:color="548DD4"/>
        <w:left w:val="single" w:sz="8" w:space="0" w:color="548DD4"/>
        <w:bottom w:val="single" w:sz="8" w:space="0" w:color="548DD4"/>
        <w:right w:val="single" w:sz="8" w:space="0" w:color="548DD4"/>
        <w:insideH w:val="single" w:sz="8" w:space="0" w:color="548DD4"/>
        <w:insideV w:val="single" w:sz="8" w:space="0" w:color="548DD4"/>
      </w:tblBorders>
    </w:tblPr>
    <w:tcPr>
      <w:vAlign w:val="center"/>
    </w:tcPr>
    <w:tblStylePr w:type="firstRow">
      <w:rPr>
        <w:b/>
      </w:rPr>
      <w:tblPr/>
      <w:tcPr>
        <w:tcBorders>
          <w:bottom w:val="single" w:sz="12" w:space="0" w:color="548DD4"/>
        </w:tcBorders>
        <w:shd w:val="clear" w:color="auto" w:fill="DBE5F1"/>
      </w:tcPr>
    </w:tblStylePr>
    <w:tblStylePr w:type="firstCol">
      <w:rPr>
        <w:b/>
      </w:rPr>
      <w:tblPr/>
      <w:tcPr>
        <w:shd w:val="clear" w:color="auto" w:fill="DBE5F1"/>
      </w:tcPr>
    </w:tblStylePr>
  </w:style>
  <w:style w:type="table" w:styleId="TableauGrille4">
    <w:name w:val="Grid Table 4"/>
    <w:basedOn w:val="TableauNormal"/>
    <w:uiPriority w:val="49"/>
    <w:rsid w:val="0087720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tionnonrsolue1">
    <w:name w:val="Mention non résolue1"/>
    <w:basedOn w:val="Policepardfaut"/>
    <w:uiPriority w:val="99"/>
    <w:semiHidden/>
    <w:unhideWhenUsed/>
    <w:rsid w:val="008A5628"/>
    <w:rPr>
      <w:color w:val="808080"/>
      <w:shd w:val="clear" w:color="auto" w:fill="E6E6E6"/>
    </w:rPr>
  </w:style>
  <w:style w:type="paragraph" w:customStyle="1" w:styleId="NormalJustifi">
    <w:name w:val="Normal + Justifié"/>
    <w:basedOn w:val="Normal"/>
    <w:rsid w:val="00CB09AF"/>
    <w:pPr>
      <w:spacing w:after="0" w:line="276" w:lineRule="auto"/>
      <w:jc w:val="both"/>
    </w:pPr>
    <w:rPr>
      <w:rFonts w:ascii="Arial" w:hAnsi="Arial"/>
    </w:rPr>
  </w:style>
  <w:style w:type="paragraph" w:customStyle="1" w:styleId="Paragraphedeliste5">
    <w:name w:val="Paragraphe de liste5"/>
    <w:basedOn w:val="Normal"/>
    <w:rsid w:val="00083296"/>
    <w:pPr>
      <w:spacing w:after="120" w:line="276" w:lineRule="auto"/>
      <w:ind w:left="720"/>
      <w:contextualSpacing/>
      <w:jc w:val="both"/>
    </w:pPr>
    <w:rPr>
      <w:rFonts w:ascii="Calibri" w:hAnsi="Calibri"/>
      <w:sz w:val="24"/>
      <w:lang w:eastAsia="en-US"/>
    </w:rPr>
  </w:style>
  <w:style w:type="character" w:customStyle="1" w:styleId="Style115pt">
    <w:name w:val="Style 115 pt"/>
    <w:rsid w:val="00992589"/>
    <w:rPr>
      <w:sz w:val="24"/>
    </w:rPr>
  </w:style>
  <w:style w:type="character" w:styleId="Lienhypertextesuivivisit">
    <w:name w:val="FollowedHyperlink"/>
    <w:basedOn w:val="Policepardfaut"/>
    <w:rsid w:val="00992589"/>
    <w:rPr>
      <w:color w:val="954F72" w:themeColor="followedHyperlink"/>
      <w:u w:val="single"/>
    </w:rPr>
  </w:style>
  <w:style w:type="table" w:styleId="Grilledetableauclaire">
    <w:name w:val="Grid Table Light"/>
    <w:basedOn w:val="TableauNormal"/>
    <w:uiPriority w:val="40"/>
    <w:rsid w:val="00B3264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phedelisteCar">
    <w:name w:val="Paragraphe de liste Car"/>
    <w:aliases w:val="Bullet List Car,FooterText Car,numbered Car,Paragraphe de liste1 Car,List Paragraph1 Car,Bulletr List Paragraph Car,列出段落 Car,列出段落1 Car,Puce0_Exakis Car,lp1 Car,Tirets Car,Bullet Niv 2 Car,Puce niveau 0 Car,Liste niv1 Car"/>
    <w:basedOn w:val="Policepardfaut"/>
    <w:link w:val="Paragraphedeliste"/>
    <w:uiPriority w:val="34"/>
    <w:rsid w:val="005D5B3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97796">
      <w:bodyDiv w:val="1"/>
      <w:marLeft w:val="0"/>
      <w:marRight w:val="0"/>
      <w:marTop w:val="0"/>
      <w:marBottom w:val="0"/>
      <w:divBdr>
        <w:top w:val="none" w:sz="0" w:space="0" w:color="auto"/>
        <w:left w:val="none" w:sz="0" w:space="0" w:color="auto"/>
        <w:bottom w:val="none" w:sz="0" w:space="0" w:color="auto"/>
        <w:right w:val="none" w:sz="0" w:space="0" w:color="auto"/>
      </w:divBdr>
    </w:div>
    <w:div w:id="252279962">
      <w:bodyDiv w:val="1"/>
      <w:marLeft w:val="0"/>
      <w:marRight w:val="0"/>
      <w:marTop w:val="0"/>
      <w:marBottom w:val="0"/>
      <w:divBdr>
        <w:top w:val="none" w:sz="0" w:space="0" w:color="auto"/>
        <w:left w:val="none" w:sz="0" w:space="0" w:color="auto"/>
        <w:bottom w:val="none" w:sz="0" w:space="0" w:color="auto"/>
        <w:right w:val="none" w:sz="0" w:space="0" w:color="auto"/>
      </w:divBdr>
    </w:div>
    <w:div w:id="369576806">
      <w:bodyDiv w:val="1"/>
      <w:marLeft w:val="0"/>
      <w:marRight w:val="0"/>
      <w:marTop w:val="0"/>
      <w:marBottom w:val="0"/>
      <w:divBdr>
        <w:top w:val="none" w:sz="0" w:space="0" w:color="auto"/>
        <w:left w:val="none" w:sz="0" w:space="0" w:color="auto"/>
        <w:bottom w:val="none" w:sz="0" w:space="0" w:color="auto"/>
        <w:right w:val="none" w:sz="0" w:space="0" w:color="auto"/>
      </w:divBdr>
    </w:div>
    <w:div w:id="397751564">
      <w:bodyDiv w:val="1"/>
      <w:marLeft w:val="0"/>
      <w:marRight w:val="0"/>
      <w:marTop w:val="0"/>
      <w:marBottom w:val="0"/>
      <w:divBdr>
        <w:top w:val="none" w:sz="0" w:space="0" w:color="auto"/>
        <w:left w:val="none" w:sz="0" w:space="0" w:color="auto"/>
        <w:bottom w:val="none" w:sz="0" w:space="0" w:color="auto"/>
        <w:right w:val="none" w:sz="0" w:space="0" w:color="auto"/>
      </w:divBdr>
    </w:div>
    <w:div w:id="642122174">
      <w:bodyDiv w:val="1"/>
      <w:marLeft w:val="0"/>
      <w:marRight w:val="0"/>
      <w:marTop w:val="0"/>
      <w:marBottom w:val="0"/>
      <w:divBdr>
        <w:top w:val="none" w:sz="0" w:space="0" w:color="auto"/>
        <w:left w:val="none" w:sz="0" w:space="0" w:color="auto"/>
        <w:bottom w:val="none" w:sz="0" w:space="0" w:color="auto"/>
        <w:right w:val="none" w:sz="0" w:space="0" w:color="auto"/>
      </w:divBdr>
    </w:div>
    <w:div w:id="906378874">
      <w:bodyDiv w:val="1"/>
      <w:marLeft w:val="0"/>
      <w:marRight w:val="0"/>
      <w:marTop w:val="0"/>
      <w:marBottom w:val="0"/>
      <w:divBdr>
        <w:top w:val="none" w:sz="0" w:space="0" w:color="auto"/>
        <w:left w:val="none" w:sz="0" w:space="0" w:color="auto"/>
        <w:bottom w:val="none" w:sz="0" w:space="0" w:color="auto"/>
        <w:right w:val="none" w:sz="0" w:space="0" w:color="auto"/>
      </w:divBdr>
      <w:divsChild>
        <w:div w:id="12339486">
          <w:marLeft w:val="0"/>
          <w:marRight w:val="0"/>
          <w:marTop w:val="0"/>
          <w:marBottom w:val="0"/>
          <w:divBdr>
            <w:top w:val="none" w:sz="0" w:space="0" w:color="auto"/>
            <w:left w:val="none" w:sz="0" w:space="0" w:color="auto"/>
            <w:bottom w:val="none" w:sz="0" w:space="0" w:color="auto"/>
            <w:right w:val="none" w:sz="0" w:space="0" w:color="auto"/>
          </w:divBdr>
        </w:div>
        <w:div w:id="72048186">
          <w:marLeft w:val="0"/>
          <w:marRight w:val="0"/>
          <w:marTop w:val="0"/>
          <w:marBottom w:val="0"/>
          <w:divBdr>
            <w:top w:val="none" w:sz="0" w:space="0" w:color="auto"/>
            <w:left w:val="none" w:sz="0" w:space="0" w:color="auto"/>
            <w:bottom w:val="none" w:sz="0" w:space="0" w:color="auto"/>
            <w:right w:val="none" w:sz="0" w:space="0" w:color="auto"/>
          </w:divBdr>
        </w:div>
        <w:div w:id="76631201">
          <w:marLeft w:val="0"/>
          <w:marRight w:val="0"/>
          <w:marTop w:val="0"/>
          <w:marBottom w:val="0"/>
          <w:divBdr>
            <w:top w:val="none" w:sz="0" w:space="0" w:color="auto"/>
            <w:left w:val="none" w:sz="0" w:space="0" w:color="auto"/>
            <w:bottom w:val="none" w:sz="0" w:space="0" w:color="auto"/>
            <w:right w:val="none" w:sz="0" w:space="0" w:color="auto"/>
          </w:divBdr>
        </w:div>
        <w:div w:id="128130283">
          <w:marLeft w:val="0"/>
          <w:marRight w:val="0"/>
          <w:marTop w:val="0"/>
          <w:marBottom w:val="0"/>
          <w:divBdr>
            <w:top w:val="none" w:sz="0" w:space="0" w:color="auto"/>
            <w:left w:val="none" w:sz="0" w:space="0" w:color="auto"/>
            <w:bottom w:val="none" w:sz="0" w:space="0" w:color="auto"/>
            <w:right w:val="none" w:sz="0" w:space="0" w:color="auto"/>
          </w:divBdr>
        </w:div>
        <w:div w:id="273755067">
          <w:marLeft w:val="0"/>
          <w:marRight w:val="0"/>
          <w:marTop w:val="0"/>
          <w:marBottom w:val="0"/>
          <w:divBdr>
            <w:top w:val="none" w:sz="0" w:space="0" w:color="auto"/>
            <w:left w:val="none" w:sz="0" w:space="0" w:color="auto"/>
            <w:bottom w:val="none" w:sz="0" w:space="0" w:color="auto"/>
            <w:right w:val="none" w:sz="0" w:space="0" w:color="auto"/>
          </w:divBdr>
        </w:div>
        <w:div w:id="332298346">
          <w:marLeft w:val="0"/>
          <w:marRight w:val="0"/>
          <w:marTop w:val="0"/>
          <w:marBottom w:val="0"/>
          <w:divBdr>
            <w:top w:val="none" w:sz="0" w:space="0" w:color="auto"/>
            <w:left w:val="none" w:sz="0" w:space="0" w:color="auto"/>
            <w:bottom w:val="none" w:sz="0" w:space="0" w:color="auto"/>
            <w:right w:val="none" w:sz="0" w:space="0" w:color="auto"/>
          </w:divBdr>
        </w:div>
        <w:div w:id="378551943">
          <w:marLeft w:val="0"/>
          <w:marRight w:val="0"/>
          <w:marTop w:val="0"/>
          <w:marBottom w:val="0"/>
          <w:divBdr>
            <w:top w:val="none" w:sz="0" w:space="0" w:color="auto"/>
            <w:left w:val="none" w:sz="0" w:space="0" w:color="auto"/>
            <w:bottom w:val="none" w:sz="0" w:space="0" w:color="auto"/>
            <w:right w:val="none" w:sz="0" w:space="0" w:color="auto"/>
          </w:divBdr>
        </w:div>
        <w:div w:id="415976171">
          <w:marLeft w:val="0"/>
          <w:marRight w:val="0"/>
          <w:marTop w:val="0"/>
          <w:marBottom w:val="0"/>
          <w:divBdr>
            <w:top w:val="none" w:sz="0" w:space="0" w:color="auto"/>
            <w:left w:val="none" w:sz="0" w:space="0" w:color="auto"/>
            <w:bottom w:val="none" w:sz="0" w:space="0" w:color="auto"/>
            <w:right w:val="none" w:sz="0" w:space="0" w:color="auto"/>
          </w:divBdr>
        </w:div>
        <w:div w:id="485129510">
          <w:marLeft w:val="0"/>
          <w:marRight w:val="0"/>
          <w:marTop w:val="0"/>
          <w:marBottom w:val="0"/>
          <w:divBdr>
            <w:top w:val="none" w:sz="0" w:space="0" w:color="auto"/>
            <w:left w:val="none" w:sz="0" w:space="0" w:color="auto"/>
            <w:bottom w:val="none" w:sz="0" w:space="0" w:color="auto"/>
            <w:right w:val="none" w:sz="0" w:space="0" w:color="auto"/>
          </w:divBdr>
        </w:div>
        <w:div w:id="584844150">
          <w:marLeft w:val="0"/>
          <w:marRight w:val="0"/>
          <w:marTop w:val="0"/>
          <w:marBottom w:val="0"/>
          <w:divBdr>
            <w:top w:val="none" w:sz="0" w:space="0" w:color="auto"/>
            <w:left w:val="none" w:sz="0" w:space="0" w:color="auto"/>
            <w:bottom w:val="none" w:sz="0" w:space="0" w:color="auto"/>
            <w:right w:val="none" w:sz="0" w:space="0" w:color="auto"/>
          </w:divBdr>
        </w:div>
        <w:div w:id="595820476">
          <w:marLeft w:val="0"/>
          <w:marRight w:val="0"/>
          <w:marTop w:val="0"/>
          <w:marBottom w:val="0"/>
          <w:divBdr>
            <w:top w:val="none" w:sz="0" w:space="0" w:color="auto"/>
            <w:left w:val="none" w:sz="0" w:space="0" w:color="auto"/>
            <w:bottom w:val="none" w:sz="0" w:space="0" w:color="auto"/>
            <w:right w:val="none" w:sz="0" w:space="0" w:color="auto"/>
          </w:divBdr>
        </w:div>
        <w:div w:id="741025291">
          <w:marLeft w:val="0"/>
          <w:marRight w:val="0"/>
          <w:marTop w:val="0"/>
          <w:marBottom w:val="0"/>
          <w:divBdr>
            <w:top w:val="none" w:sz="0" w:space="0" w:color="auto"/>
            <w:left w:val="none" w:sz="0" w:space="0" w:color="auto"/>
            <w:bottom w:val="none" w:sz="0" w:space="0" w:color="auto"/>
            <w:right w:val="none" w:sz="0" w:space="0" w:color="auto"/>
          </w:divBdr>
        </w:div>
        <w:div w:id="995033158">
          <w:marLeft w:val="0"/>
          <w:marRight w:val="0"/>
          <w:marTop w:val="0"/>
          <w:marBottom w:val="0"/>
          <w:divBdr>
            <w:top w:val="none" w:sz="0" w:space="0" w:color="auto"/>
            <w:left w:val="none" w:sz="0" w:space="0" w:color="auto"/>
            <w:bottom w:val="none" w:sz="0" w:space="0" w:color="auto"/>
            <w:right w:val="none" w:sz="0" w:space="0" w:color="auto"/>
          </w:divBdr>
        </w:div>
        <w:div w:id="1009526357">
          <w:marLeft w:val="0"/>
          <w:marRight w:val="0"/>
          <w:marTop w:val="0"/>
          <w:marBottom w:val="0"/>
          <w:divBdr>
            <w:top w:val="none" w:sz="0" w:space="0" w:color="auto"/>
            <w:left w:val="none" w:sz="0" w:space="0" w:color="auto"/>
            <w:bottom w:val="none" w:sz="0" w:space="0" w:color="auto"/>
            <w:right w:val="none" w:sz="0" w:space="0" w:color="auto"/>
          </w:divBdr>
        </w:div>
        <w:div w:id="1078526701">
          <w:marLeft w:val="0"/>
          <w:marRight w:val="0"/>
          <w:marTop w:val="0"/>
          <w:marBottom w:val="0"/>
          <w:divBdr>
            <w:top w:val="none" w:sz="0" w:space="0" w:color="auto"/>
            <w:left w:val="none" w:sz="0" w:space="0" w:color="auto"/>
            <w:bottom w:val="none" w:sz="0" w:space="0" w:color="auto"/>
            <w:right w:val="none" w:sz="0" w:space="0" w:color="auto"/>
          </w:divBdr>
        </w:div>
        <w:div w:id="1098134187">
          <w:marLeft w:val="0"/>
          <w:marRight w:val="0"/>
          <w:marTop w:val="0"/>
          <w:marBottom w:val="0"/>
          <w:divBdr>
            <w:top w:val="none" w:sz="0" w:space="0" w:color="auto"/>
            <w:left w:val="none" w:sz="0" w:space="0" w:color="auto"/>
            <w:bottom w:val="none" w:sz="0" w:space="0" w:color="auto"/>
            <w:right w:val="none" w:sz="0" w:space="0" w:color="auto"/>
          </w:divBdr>
        </w:div>
        <w:div w:id="1116800890">
          <w:marLeft w:val="0"/>
          <w:marRight w:val="0"/>
          <w:marTop w:val="0"/>
          <w:marBottom w:val="0"/>
          <w:divBdr>
            <w:top w:val="none" w:sz="0" w:space="0" w:color="auto"/>
            <w:left w:val="none" w:sz="0" w:space="0" w:color="auto"/>
            <w:bottom w:val="none" w:sz="0" w:space="0" w:color="auto"/>
            <w:right w:val="none" w:sz="0" w:space="0" w:color="auto"/>
          </w:divBdr>
        </w:div>
        <w:div w:id="1151480062">
          <w:marLeft w:val="0"/>
          <w:marRight w:val="0"/>
          <w:marTop w:val="0"/>
          <w:marBottom w:val="0"/>
          <w:divBdr>
            <w:top w:val="none" w:sz="0" w:space="0" w:color="auto"/>
            <w:left w:val="none" w:sz="0" w:space="0" w:color="auto"/>
            <w:bottom w:val="none" w:sz="0" w:space="0" w:color="auto"/>
            <w:right w:val="none" w:sz="0" w:space="0" w:color="auto"/>
          </w:divBdr>
        </w:div>
        <w:div w:id="1214271827">
          <w:marLeft w:val="0"/>
          <w:marRight w:val="0"/>
          <w:marTop w:val="0"/>
          <w:marBottom w:val="0"/>
          <w:divBdr>
            <w:top w:val="none" w:sz="0" w:space="0" w:color="auto"/>
            <w:left w:val="none" w:sz="0" w:space="0" w:color="auto"/>
            <w:bottom w:val="none" w:sz="0" w:space="0" w:color="auto"/>
            <w:right w:val="none" w:sz="0" w:space="0" w:color="auto"/>
          </w:divBdr>
        </w:div>
        <w:div w:id="1243832449">
          <w:marLeft w:val="0"/>
          <w:marRight w:val="0"/>
          <w:marTop w:val="0"/>
          <w:marBottom w:val="0"/>
          <w:divBdr>
            <w:top w:val="none" w:sz="0" w:space="0" w:color="auto"/>
            <w:left w:val="none" w:sz="0" w:space="0" w:color="auto"/>
            <w:bottom w:val="none" w:sz="0" w:space="0" w:color="auto"/>
            <w:right w:val="none" w:sz="0" w:space="0" w:color="auto"/>
          </w:divBdr>
        </w:div>
        <w:div w:id="1270430909">
          <w:marLeft w:val="0"/>
          <w:marRight w:val="0"/>
          <w:marTop w:val="0"/>
          <w:marBottom w:val="0"/>
          <w:divBdr>
            <w:top w:val="none" w:sz="0" w:space="0" w:color="auto"/>
            <w:left w:val="none" w:sz="0" w:space="0" w:color="auto"/>
            <w:bottom w:val="none" w:sz="0" w:space="0" w:color="auto"/>
            <w:right w:val="none" w:sz="0" w:space="0" w:color="auto"/>
          </w:divBdr>
        </w:div>
        <w:div w:id="1277328863">
          <w:marLeft w:val="0"/>
          <w:marRight w:val="0"/>
          <w:marTop w:val="0"/>
          <w:marBottom w:val="0"/>
          <w:divBdr>
            <w:top w:val="none" w:sz="0" w:space="0" w:color="auto"/>
            <w:left w:val="none" w:sz="0" w:space="0" w:color="auto"/>
            <w:bottom w:val="none" w:sz="0" w:space="0" w:color="auto"/>
            <w:right w:val="none" w:sz="0" w:space="0" w:color="auto"/>
          </w:divBdr>
        </w:div>
        <w:div w:id="1317956352">
          <w:marLeft w:val="0"/>
          <w:marRight w:val="0"/>
          <w:marTop w:val="0"/>
          <w:marBottom w:val="0"/>
          <w:divBdr>
            <w:top w:val="none" w:sz="0" w:space="0" w:color="auto"/>
            <w:left w:val="none" w:sz="0" w:space="0" w:color="auto"/>
            <w:bottom w:val="none" w:sz="0" w:space="0" w:color="auto"/>
            <w:right w:val="none" w:sz="0" w:space="0" w:color="auto"/>
          </w:divBdr>
        </w:div>
        <w:div w:id="1738818219">
          <w:marLeft w:val="0"/>
          <w:marRight w:val="0"/>
          <w:marTop w:val="0"/>
          <w:marBottom w:val="0"/>
          <w:divBdr>
            <w:top w:val="none" w:sz="0" w:space="0" w:color="auto"/>
            <w:left w:val="none" w:sz="0" w:space="0" w:color="auto"/>
            <w:bottom w:val="none" w:sz="0" w:space="0" w:color="auto"/>
            <w:right w:val="none" w:sz="0" w:space="0" w:color="auto"/>
          </w:divBdr>
        </w:div>
        <w:div w:id="1756052602">
          <w:marLeft w:val="0"/>
          <w:marRight w:val="0"/>
          <w:marTop w:val="0"/>
          <w:marBottom w:val="0"/>
          <w:divBdr>
            <w:top w:val="none" w:sz="0" w:space="0" w:color="auto"/>
            <w:left w:val="none" w:sz="0" w:space="0" w:color="auto"/>
            <w:bottom w:val="none" w:sz="0" w:space="0" w:color="auto"/>
            <w:right w:val="none" w:sz="0" w:space="0" w:color="auto"/>
          </w:divBdr>
        </w:div>
        <w:div w:id="1769110455">
          <w:marLeft w:val="0"/>
          <w:marRight w:val="0"/>
          <w:marTop w:val="0"/>
          <w:marBottom w:val="0"/>
          <w:divBdr>
            <w:top w:val="none" w:sz="0" w:space="0" w:color="auto"/>
            <w:left w:val="none" w:sz="0" w:space="0" w:color="auto"/>
            <w:bottom w:val="none" w:sz="0" w:space="0" w:color="auto"/>
            <w:right w:val="none" w:sz="0" w:space="0" w:color="auto"/>
          </w:divBdr>
        </w:div>
        <w:div w:id="1848058296">
          <w:marLeft w:val="0"/>
          <w:marRight w:val="0"/>
          <w:marTop w:val="0"/>
          <w:marBottom w:val="0"/>
          <w:divBdr>
            <w:top w:val="none" w:sz="0" w:space="0" w:color="auto"/>
            <w:left w:val="none" w:sz="0" w:space="0" w:color="auto"/>
            <w:bottom w:val="none" w:sz="0" w:space="0" w:color="auto"/>
            <w:right w:val="none" w:sz="0" w:space="0" w:color="auto"/>
          </w:divBdr>
        </w:div>
        <w:div w:id="1864905670">
          <w:marLeft w:val="0"/>
          <w:marRight w:val="0"/>
          <w:marTop w:val="0"/>
          <w:marBottom w:val="0"/>
          <w:divBdr>
            <w:top w:val="none" w:sz="0" w:space="0" w:color="auto"/>
            <w:left w:val="none" w:sz="0" w:space="0" w:color="auto"/>
            <w:bottom w:val="none" w:sz="0" w:space="0" w:color="auto"/>
            <w:right w:val="none" w:sz="0" w:space="0" w:color="auto"/>
          </w:divBdr>
        </w:div>
        <w:div w:id="1878470793">
          <w:marLeft w:val="0"/>
          <w:marRight w:val="0"/>
          <w:marTop w:val="0"/>
          <w:marBottom w:val="0"/>
          <w:divBdr>
            <w:top w:val="none" w:sz="0" w:space="0" w:color="auto"/>
            <w:left w:val="none" w:sz="0" w:space="0" w:color="auto"/>
            <w:bottom w:val="none" w:sz="0" w:space="0" w:color="auto"/>
            <w:right w:val="none" w:sz="0" w:space="0" w:color="auto"/>
          </w:divBdr>
        </w:div>
        <w:div w:id="1906455110">
          <w:marLeft w:val="0"/>
          <w:marRight w:val="0"/>
          <w:marTop w:val="0"/>
          <w:marBottom w:val="0"/>
          <w:divBdr>
            <w:top w:val="none" w:sz="0" w:space="0" w:color="auto"/>
            <w:left w:val="none" w:sz="0" w:space="0" w:color="auto"/>
            <w:bottom w:val="none" w:sz="0" w:space="0" w:color="auto"/>
            <w:right w:val="none" w:sz="0" w:space="0" w:color="auto"/>
          </w:divBdr>
        </w:div>
        <w:div w:id="1922710502">
          <w:marLeft w:val="0"/>
          <w:marRight w:val="0"/>
          <w:marTop w:val="0"/>
          <w:marBottom w:val="0"/>
          <w:divBdr>
            <w:top w:val="none" w:sz="0" w:space="0" w:color="auto"/>
            <w:left w:val="none" w:sz="0" w:space="0" w:color="auto"/>
            <w:bottom w:val="none" w:sz="0" w:space="0" w:color="auto"/>
            <w:right w:val="none" w:sz="0" w:space="0" w:color="auto"/>
          </w:divBdr>
        </w:div>
        <w:div w:id="2066683221">
          <w:marLeft w:val="0"/>
          <w:marRight w:val="0"/>
          <w:marTop w:val="0"/>
          <w:marBottom w:val="0"/>
          <w:divBdr>
            <w:top w:val="none" w:sz="0" w:space="0" w:color="auto"/>
            <w:left w:val="none" w:sz="0" w:space="0" w:color="auto"/>
            <w:bottom w:val="none" w:sz="0" w:space="0" w:color="auto"/>
            <w:right w:val="none" w:sz="0" w:space="0" w:color="auto"/>
          </w:divBdr>
        </w:div>
      </w:divsChild>
    </w:div>
    <w:div w:id="1076056464">
      <w:bodyDiv w:val="1"/>
      <w:marLeft w:val="0"/>
      <w:marRight w:val="0"/>
      <w:marTop w:val="0"/>
      <w:marBottom w:val="0"/>
      <w:divBdr>
        <w:top w:val="none" w:sz="0" w:space="0" w:color="auto"/>
        <w:left w:val="none" w:sz="0" w:space="0" w:color="auto"/>
        <w:bottom w:val="none" w:sz="0" w:space="0" w:color="auto"/>
        <w:right w:val="none" w:sz="0" w:space="0" w:color="auto"/>
      </w:divBdr>
    </w:div>
    <w:div w:id="1272979809">
      <w:bodyDiv w:val="1"/>
      <w:marLeft w:val="0"/>
      <w:marRight w:val="0"/>
      <w:marTop w:val="0"/>
      <w:marBottom w:val="0"/>
      <w:divBdr>
        <w:top w:val="none" w:sz="0" w:space="0" w:color="auto"/>
        <w:left w:val="none" w:sz="0" w:space="0" w:color="auto"/>
        <w:bottom w:val="none" w:sz="0" w:space="0" w:color="auto"/>
        <w:right w:val="none" w:sz="0" w:space="0" w:color="auto"/>
      </w:divBdr>
    </w:div>
    <w:div w:id="1327440879">
      <w:bodyDiv w:val="1"/>
      <w:marLeft w:val="0"/>
      <w:marRight w:val="0"/>
      <w:marTop w:val="0"/>
      <w:marBottom w:val="0"/>
      <w:divBdr>
        <w:top w:val="none" w:sz="0" w:space="0" w:color="auto"/>
        <w:left w:val="none" w:sz="0" w:space="0" w:color="auto"/>
        <w:bottom w:val="none" w:sz="0" w:space="0" w:color="auto"/>
        <w:right w:val="none" w:sz="0" w:space="0" w:color="auto"/>
      </w:divBdr>
    </w:div>
    <w:div w:id="1328828592">
      <w:bodyDiv w:val="1"/>
      <w:marLeft w:val="0"/>
      <w:marRight w:val="0"/>
      <w:marTop w:val="0"/>
      <w:marBottom w:val="0"/>
      <w:divBdr>
        <w:top w:val="none" w:sz="0" w:space="0" w:color="auto"/>
        <w:left w:val="none" w:sz="0" w:space="0" w:color="auto"/>
        <w:bottom w:val="none" w:sz="0" w:space="0" w:color="auto"/>
        <w:right w:val="none" w:sz="0" w:space="0" w:color="auto"/>
      </w:divBdr>
    </w:div>
    <w:div w:id="1585412504">
      <w:bodyDiv w:val="1"/>
      <w:marLeft w:val="0"/>
      <w:marRight w:val="0"/>
      <w:marTop w:val="0"/>
      <w:marBottom w:val="0"/>
      <w:divBdr>
        <w:top w:val="none" w:sz="0" w:space="0" w:color="auto"/>
        <w:left w:val="none" w:sz="0" w:space="0" w:color="auto"/>
        <w:bottom w:val="none" w:sz="0" w:space="0" w:color="auto"/>
        <w:right w:val="none" w:sz="0" w:space="0" w:color="auto"/>
      </w:divBdr>
      <w:divsChild>
        <w:div w:id="242956578">
          <w:marLeft w:val="0"/>
          <w:marRight w:val="0"/>
          <w:marTop w:val="0"/>
          <w:marBottom w:val="0"/>
          <w:divBdr>
            <w:top w:val="none" w:sz="0" w:space="0" w:color="auto"/>
            <w:left w:val="none" w:sz="0" w:space="0" w:color="auto"/>
            <w:bottom w:val="none" w:sz="0" w:space="0" w:color="auto"/>
            <w:right w:val="none" w:sz="0" w:space="0" w:color="auto"/>
          </w:divBdr>
        </w:div>
        <w:div w:id="1535728430">
          <w:marLeft w:val="0"/>
          <w:marRight w:val="0"/>
          <w:marTop w:val="0"/>
          <w:marBottom w:val="0"/>
          <w:divBdr>
            <w:top w:val="none" w:sz="0" w:space="0" w:color="auto"/>
            <w:left w:val="none" w:sz="0" w:space="0" w:color="auto"/>
            <w:bottom w:val="none" w:sz="0" w:space="0" w:color="auto"/>
            <w:right w:val="none" w:sz="0" w:space="0" w:color="auto"/>
          </w:divBdr>
        </w:div>
      </w:divsChild>
    </w:div>
    <w:div w:id="1604872422">
      <w:bodyDiv w:val="1"/>
      <w:marLeft w:val="0"/>
      <w:marRight w:val="0"/>
      <w:marTop w:val="0"/>
      <w:marBottom w:val="0"/>
      <w:divBdr>
        <w:top w:val="none" w:sz="0" w:space="0" w:color="auto"/>
        <w:left w:val="none" w:sz="0" w:space="0" w:color="auto"/>
        <w:bottom w:val="none" w:sz="0" w:space="0" w:color="auto"/>
        <w:right w:val="none" w:sz="0" w:space="0" w:color="auto"/>
      </w:divBdr>
    </w:div>
    <w:div w:id="1663504850">
      <w:bodyDiv w:val="1"/>
      <w:marLeft w:val="0"/>
      <w:marRight w:val="0"/>
      <w:marTop w:val="0"/>
      <w:marBottom w:val="0"/>
      <w:divBdr>
        <w:top w:val="none" w:sz="0" w:space="0" w:color="auto"/>
        <w:left w:val="none" w:sz="0" w:space="0" w:color="auto"/>
        <w:bottom w:val="none" w:sz="0" w:space="0" w:color="auto"/>
        <w:right w:val="none" w:sz="0" w:space="0" w:color="auto"/>
      </w:divBdr>
    </w:div>
    <w:div w:id="1974557616">
      <w:bodyDiv w:val="1"/>
      <w:marLeft w:val="0"/>
      <w:marRight w:val="0"/>
      <w:marTop w:val="0"/>
      <w:marBottom w:val="0"/>
      <w:divBdr>
        <w:top w:val="none" w:sz="0" w:space="0" w:color="auto"/>
        <w:left w:val="none" w:sz="0" w:space="0" w:color="auto"/>
        <w:bottom w:val="none" w:sz="0" w:space="0" w:color="auto"/>
        <w:right w:val="none" w:sz="0" w:space="0" w:color="auto"/>
      </w:divBdr>
    </w:div>
    <w:div w:id="2122990713">
      <w:bodyDiv w:val="1"/>
      <w:marLeft w:val="0"/>
      <w:marRight w:val="0"/>
      <w:marTop w:val="0"/>
      <w:marBottom w:val="0"/>
      <w:divBdr>
        <w:top w:val="none" w:sz="0" w:space="0" w:color="auto"/>
        <w:left w:val="none" w:sz="0" w:space="0" w:color="auto"/>
        <w:bottom w:val="none" w:sz="0" w:space="0" w:color="auto"/>
        <w:right w:val="none" w:sz="0" w:space="0" w:color="auto"/>
      </w:divBdr>
    </w:div>
    <w:div w:id="213663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image003.jpg@01D5E254.D05ACEC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5E254.D05ACEC0" TargetMode="External"/><Relationship Id="rId5" Type="http://schemas.openxmlformats.org/officeDocument/2006/relationships/webSettings" Target="webSettings.xml"/><Relationship Id="rId15" Type="http://schemas.openxmlformats.org/officeDocument/2006/relationships/hyperlink" Target="http://www.ssi.gouv.fr/fr/guides-et-bonnes-pratiques/outils-methodologiques/la-defense-en-profondeur-appliquee-aux-systemes-d-information.html"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4.jpg@01D5E254.D05ACEC0" TargetMode="External"/><Relationship Id="rId14" Type="http://schemas.openxmlformats.org/officeDocument/2006/relationships/hyperlink" Target="http://proxy.aphp.fr/inter.pa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DD7A2-6B0E-4FF3-A3CB-8C082988E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505</TotalTime>
  <Pages>39</Pages>
  <Words>9984</Words>
  <Characters>57387</Characters>
  <Application>Microsoft Office Word</Application>
  <DocSecurity>0</DocSecurity>
  <Lines>478</Lines>
  <Paragraphs>134</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67237</CharactersWithSpaces>
  <SharedDoc>false</SharedDoc>
  <HLinks>
    <vt:vector size="210" baseType="variant">
      <vt:variant>
        <vt:i4>4718685</vt:i4>
      </vt:variant>
      <vt:variant>
        <vt:i4>207</vt:i4>
      </vt:variant>
      <vt:variant>
        <vt:i4>0</vt:i4>
      </vt:variant>
      <vt:variant>
        <vt:i4>5</vt:i4>
      </vt:variant>
      <vt:variant>
        <vt:lpwstr>http://www.hosmat.eu/decrets/d91-330.htm</vt:lpwstr>
      </vt:variant>
      <vt:variant>
        <vt:lpwstr/>
      </vt:variant>
      <vt:variant>
        <vt:i4>1048624</vt:i4>
      </vt:variant>
      <vt:variant>
        <vt:i4>200</vt:i4>
      </vt:variant>
      <vt:variant>
        <vt:i4>0</vt:i4>
      </vt:variant>
      <vt:variant>
        <vt:i4>5</vt:i4>
      </vt:variant>
      <vt:variant>
        <vt:lpwstr/>
      </vt:variant>
      <vt:variant>
        <vt:lpwstr>_Toc429995490</vt:lpwstr>
      </vt:variant>
      <vt:variant>
        <vt:i4>1114160</vt:i4>
      </vt:variant>
      <vt:variant>
        <vt:i4>194</vt:i4>
      </vt:variant>
      <vt:variant>
        <vt:i4>0</vt:i4>
      </vt:variant>
      <vt:variant>
        <vt:i4>5</vt:i4>
      </vt:variant>
      <vt:variant>
        <vt:lpwstr/>
      </vt:variant>
      <vt:variant>
        <vt:lpwstr>_Toc429995489</vt:lpwstr>
      </vt:variant>
      <vt:variant>
        <vt:i4>1114160</vt:i4>
      </vt:variant>
      <vt:variant>
        <vt:i4>188</vt:i4>
      </vt:variant>
      <vt:variant>
        <vt:i4>0</vt:i4>
      </vt:variant>
      <vt:variant>
        <vt:i4>5</vt:i4>
      </vt:variant>
      <vt:variant>
        <vt:lpwstr/>
      </vt:variant>
      <vt:variant>
        <vt:lpwstr>_Toc429995488</vt:lpwstr>
      </vt:variant>
      <vt:variant>
        <vt:i4>1114160</vt:i4>
      </vt:variant>
      <vt:variant>
        <vt:i4>182</vt:i4>
      </vt:variant>
      <vt:variant>
        <vt:i4>0</vt:i4>
      </vt:variant>
      <vt:variant>
        <vt:i4>5</vt:i4>
      </vt:variant>
      <vt:variant>
        <vt:lpwstr/>
      </vt:variant>
      <vt:variant>
        <vt:lpwstr>_Toc429995487</vt:lpwstr>
      </vt:variant>
      <vt:variant>
        <vt:i4>1114160</vt:i4>
      </vt:variant>
      <vt:variant>
        <vt:i4>176</vt:i4>
      </vt:variant>
      <vt:variant>
        <vt:i4>0</vt:i4>
      </vt:variant>
      <vt:variant>
        <vt:i4>5</vt:i4>
      </vt:variant>
      <vt:variant>
        <vt:lpwstr/>
      </vt:variant>
      <vt:variant>
        <vt:lpwstr>_Toc429995486</vt:lpwstr>
      </vt:variant>
      <vt:variant>
        <vt:i4>1114160</vt:i4>
      </vt:variant>
      <vt:variant>
        <vt:i4>170</vt:i4>
      </vt:variant>
      <vt:variant>
        <vt:i4>0</vt:i4>
      </vt:variant>
      <vt:variant>
        <vt:i4>5</vt:i4>
      </vt:variant>
      <vt:variant>
        <vt:lpwstr/>
      </vt:variant>
      <vt:variant>
        <vt:lpwstr>_Toc429995485</vt:lpwstr>
      </vt:variant>
      <vt:variant>
        <vt:i4>1114160</vt:i4>
      </vt:variant>
      <vt:variant>
        <vt:i4>164</vt:i4>
      </vt:variant>
      <vt:variant>
        <vt:i4>0</vt:i4>
      </vt:variant>
      <vt:variant>
        <vt:i4>5</vt:i4>
      </vt:variant>
      <vt:variant>
        <vt:lpwstr/>
      </vt:variant>
      <vt:variant>
        <vt:lpwstr>_Toc429995484</vt:lpwstr>
      </vt:variant>
      <vt:variant>
        <vt:i4>1114160</vt:i4>
      </vt:variant>
      <vt:variant>
        <vt:i4>158</vt:i4>
      </vt:variant>
      <vt:variant>
        <vt:i4>0</vt:i4>
      </vt:variant>
      <vt:variant>
        <vt:i4>5</vt:i4>
      </vt:variant>
      <vt:variant>
        <vt:lpwstr/>
      </vt:variant>
      <vt:variant>
        <vt:lpwstr>_Toc429995483</vt:lpwstr>
      </vt:variant>
      <vt:variant>
        <vt:i4>1114160</vt:i4>
      </vt:variant>
      <vt:variant>
        <vt:i4>152</vt:i4>
      </vt:variant>
      <vt:variant>
        <vt:i4>0</vt:i4>
      </vt:variant>
      <vt:variant>
        <vt:i4>5</vt:i4>
      </vt:variant>
      <vt:variant>
        <vt:lpwstr/>
      </vt:variant>
      <vt:variant>
        <vt:lpwstr>_Toc429995482</vt:lpwstr>
      </vt:variant>
      <vt:variant>
        <vt:i4>1114160</vt:i4>
      </vt:variant>
      <vt:variant>
        <vt:i4>146</vt:i4>
      </vt:variant>
      <vt:variant>
        <vt:i4>0</vt:i4>
      </vt:variant>
      <vt:variant>
        <vt:i4>5</vt:i4>
      </vt:variant>
      <vt:variant>
        <vt:lpwstr/>
      </vt:variant>
      <vt:variant>
        <vt:lpwstr>_Toc429995481</vt:lpwstr>
      </vt:variant>
      <vt:variant>
        <vt:i4>1114160</vt:i4>
      </vt:variant>
      <vt:variant>
        <vt:i4>140</vt:i4>
      </vt:variant>
      <vt:variant>
        <vt:i4>0</vt:i4>
      </vt:variant>
      <vt:variant>
        <vt:i4>5</vt:i4>
      </vt:variant>
      <vt:variant>
        <vt:lpwstr/>
      </vt:variant>
      <vt:variant>
        <vt:lpwstr>_Toc429995480</vt:lpwstr>
      </vt:variant>
      <vt:variant>
        <vt:i4>1966128</vt:i4>
      </vt:variant>
      <vt:variant>
        <vt:i4>134</vt:i4>
      </vt:variant>
      <vt:variant>
        <vt:i4>0</vt:i4>
      </vt:variant>
      <vt:variant>
        <vt:i4>5</vt:i4>
      </vt:variant>
      <vt:variant>
        <vt:lpwstr/>
      </vt:variant>
      <vt:variant>
        <vt:lpwstr>_Toc429995479</vt:lpwstr>
      </vt:variant>
      <vt:variant>
        <vt:i4>1966128</vt:i4>
      </vt:variant>
      <vt:variant>
        <vt:i4>128</vt:i4>
      </vt:variant>
      <vt:variant>
        <vt:i4>0</vt:i4>
      </vt:variant>
      <vt:variant>
        <vt:i4>5</vt:i4>
      </vt:variant>
      <vt:variant>
        <vt:lpwstr/>
      </vt:variant>
      <vt:variant>
        <vt:lpwstr>_Toc429995478</vt:lpwstr>
      </vt:variant>
      <vt:variant>
        <vt:i4>1966128</vt:i4>
      </vt:variant>
      <vt:variant>
        <vt:i4>122</vt:i4>
      </vt:variant>
      <vt:variant>
        <vt:i4>0</vt:i4>
      </vt:variant>
      <vt:variant>
        <vt:i4>5</vt:i4>
      </vt:variant>
      <vt:variant>
        <vt:lpwstr/>
      </vt:variant>
      <vt:variant>
        <vt:lpwstr>_Toc429995477</vt:lpwstr>
      </vt:variant>
      <vt:variant>
        <vt:i4>1966128</vt:i4>
      </vt:variant>
      <vt:variant>
        <vt:i4>116</vt:i4>
      </vt:variant>
      <vt:variant>
        <vt:i4>0</vt:i4>
      </vt:variant>
      <vt:variant>
        <vt:i4>5</vt:i4>
      </vt:variant>
      <vt:variant>
        <vt:lpwstr/>
      </vt:variant>
      <vt:variant>
        <vt:lpwstr>_Toc429995476</vt:lpwstr>
      </vt:variant>
      <vt:variant>
        <vt:i4>1966128</vt:i4>
      </vt:variant>
      <vt:variant>
        <vt:i4>110</vt:i4>
      </vt:variant>
      <vt:variant>
        <vt:i4>0</vt:i4>
      </vt:variant>
      <vt:variant>
        <vt:i4>5</vt:i4>
      </vt:variant>
      <vt:variant>
        <vt:lpwstr/>
      </vt:variant>
      <vt:variant>
        <vt:lpwstr>_Toc429995475</vt:lpwstr>
      </vt:variant>
      <vt:variant>
        <vt:i4>1966128</vt:i4>
      </vt:variant>
      <vt:variant>
        <vt:i4>104</vt:i4>
      </vt:variant>
      <vt:variant>
        <vt:i4>0</vt:i4>
      </vt:variant>
      <vt:variant>
        <vt:i4>5</vt:i4>
      </vt:variant>
      <vt:variant>
        <vt:lpwstr/>
      </vt:variant>
      <vt:variant>
        <vt:lpwstr>_Toc429995474</vt:lpwstr>
      </vt:variant>
      <vt:variant>
        <vt:i4>1966128</vt:i4>
      </vt:variant>
      <vt:variant>
        <vt:i4>98</vt:i4>
      </vt:variant>
      <vt:variant>
        <vt:i4>0</vt:i4>
      </vt:variant>
      <vt:variant>
        <vt:i4>5</vt:i4>
      </vt:variant>
      <vt:variant>
        <vt:lpwstr/>
      </vt:variant>
      <vt:variant>
        <vt:lpwstr>_Toc429995473</vt:lpwstr>
      </vt:variant>
      <vt:variant>
        <vt:i4>1966128</vt:i4>
      </vt:variant>
      <vt:variant>
        <vt:i4>92</vt:i4>
      </vt:variant>
      <vt:variant>
        <vt:i4>0</vt:i4>
      </vt:variant>
      <vt:variant>
        <vt:i4>5</vt:i4>
      </vt:variant>
      <vt:variant>
        <vt:lpwstr/>
      </vt:variant>
      <vt:variant>
        <vt:lpwstr>_Toc429995472</vt:lpwstr>
      </vt:variant>
      <vt:variant>
        <vt:i4>1966128</vt:i4>
      </vt:variant>
      <vt:variant>
        <vt:i4>86</vt:i4>
      </vt:variant>
      <vt:variant>
        <vt:i4>0</vt:i4>
      </vt:variant>
      <vt:variant>
        <vt:i4>5</vt:i4>
      </vt:variant>
      <vt:variant>
        <vt:lpwstr/>
      </vt:variant>
      <vt:variant>
        <vt:lpwstr>_Toc429995471</vt:lpwstr>
      </vt:variant>
      <vt:variant>
        <vt:i4>1966128</vt:i4>
      </vt:variant>
      <vt:variant>
        <vt:i4>80</vt:i4>
      </vt:variant>
      <vt:variant>
        <vt:i4>0</vt:i4>
      </vt:variant>
      <vt:variant>
        <vt:i4>5</vt:i4>
      </vt:variant>
      <vt:variant>
        <vt:lpwstr/>
      </vt:variant>
      <vt:variant>
        <vt:lpwstr>_Toc429995470</vt:lpwstr>
      </vt:variant>
      <vt:variant>
        <vt:i4>2031664</vt:i4>
      </vt:variant>
      <vt:variant>
        <vt:i4>74</vt:i4>
      </vt:variant>
      <vt:variant>
        <vt:i4>0</vt:i4>
      </vt:variant>
      <vt:variant>
        <vt:i4>5</vt:i4>
      </vt:variant>
      <vt:variant>
        <vt:lpwstr/>
      </vt:variant>
      <vt:variant>
        <vt:lpwstr>_Toc429995469</vt:lpwstr>
      </vt:variant>
      <vt:variant>
        <vt:i4>2031664</vt:i4>
      </vt:variant>
      <vt:variant>
        <vt:i4>68</vt:i4>
      </vt:variant>
      <vt:variant>
        <vt:i4>0</vt:i4>
      </vt:variant>
      <vt:variant>
        <vt:i4>5</vt:i4>
      </vt:variant>
      <vt:variant>
        <vt:lpwstr/>
      </vt:variant>
      <vt:variant>
        <vt:lpwstr>_Toc429995468</vt:lpwstr>
      </vt:variant>
      <vt:variant>
        <vt:i4>2031664</vt:i4>
      </vt:variant>
      <vt:variant>
        <vt:i4>62</vt:i4>
      </vt:variant>
      <vt:variant>
        <vt:i4>0</vt:i4>
      </vt:variant>
      <vt:variant>
        <vt:i4>5</vt:i4>
      </vt:variant>
      <vt:variant>
        <vt:lpwstr/>
      </vt:variant>
      <vt:variant>
        <vt:lpwstr>_Toc429995467</vt:lpwstr>
      </vt:variant>
      <vt:variant>
        <vt:i4>2031664</vt:i4>
      </vt:variant>
      <vt:variant>
        <vt:i4>56</vt:i4>
      </vt:variant>
      <vt:variant>
        <vt:i4>0</vt:i4>
      </vt:variant>
      <vt:variant>
        <vt:i4>5</vt:i4>
      </vt:variant>
      <vt:variant>
        <vt:lpwstr/>
      </vt:variant>
      <vt:variant>
        <vt:lpwstr>_Toc429995466</vt:lpwstr>
      </vt:variant>
      <vt:variant>
        <vt:i4>2031664</vt:i4>
      </vt:variant>
      <vt:variant>
        <vt:i4>50</vt:i4>
      </vt:variant>
      <vt:variant>
        <vt:i4>0</vt:i4>
      </vt:variant>
      <vt:variant>
        <vt:i4>5</vt:i4>
      </vt:variant>
      <vt:variant>
        <vt:lpwstr/>
      </vt:variant>
      <vt:variant>
        <vt:lpwstr>_Toc429995465</vt:lpwstr>
      </vt:variant>
      <vt:variant>
        <vt:i4>2031664</vt:i4>
      </vt:variant>
      <vt:variant>
        <vt:i4>44</vt:i4>
      </vt:variant>
      <vt:variant>
        <vt:i4>0</vt:i4>
      </vt:variant>
      <vt:variant>
        <vt:i4>5</vt:i4>
      </vt:variant>
      <vt:variant>
        <vt:lpwstr/>
      </vt:variant>
      <vt:variant>
        <vt:lpwstr>_Toc429995464</vt:lpwstr>
      </vt:variant>
      <vt:variant>
        <vt:i4>2031664</vt:i4>
      </vt:variant>
      <vt:variant>
        <vt:i4>38</vt:i4>
      </vt:variant>
      <vt:variant>
        <vt:i4>0</vt:i4>
      </vt:variant>
      <vt:variant>
        <vt:i4>5</vt:i4>
      </vt:variant>
      <vt:variant>
        <vt:lpwstr/>
      </vt:variant>
      <vt:variant>
        <vt:lpwstr>_Toc429995463</vt:lpwstr>
      </vt:variant>
      <vt:variant>
        <vt:i4>2031664</vt:i4>
      </vt:variant>
      <vt:variant>
        <vt:i4>32</vt:i4>
      </vt:variant>
      <vt:variant>
        <vt:i4>0</vt:i4>
      </vt:variant>
      <vt:variant>
        <vt:i4>5</vt:i4>
      </vt:variant>
      <vt:variant>
        <vt:lpwstr/>
      </vt:variant>
      <vt:variant>
        <vt:lpwstr>_Toc429995462</vt:lpwstr>
      </vt:variant>
      <vt:variant>
        <vt:i4>2031664</vt:i4>
      </vt:variant>
      <vt:variant>
        <vt:i4>26</vt:i4>
      </vt:variant>
      <vt:variant>
        <vt:i4>0</vt:i4>
      </vt:variant>
      <vt:variant>
        <vt:i4>5</vt:i4>
      </vt:variant>
      <vt:variant>
        <vt:lpwstr/>
      </vt:variant>
      <vt:variant>
        <vt:lpwstr>_Toc429995461</vt:lpwstr>
      </vt:variant>
      <vt:variant>
        <vt:i4>2031664</vt:i4>
      </vt:variant>
      <vt:variant>
        <vt:i4>20</vt:i4>
      </vt:variant>
      <vt:variant>
        <vt:i4>0</vt:i4>
      </vt:variant>
      <vt:variant>
        <vt:i4>5</vt:i4>
      </vt:variant>
      <vt:variant>
        <vt:lpwstr/>
      </vt:variant>
      <vt:variant>
        <vt:lpwstr>_Toc429995460</vt:lpwstr>
      </vt:variant>
      <vt:variant>
        <vt:i4>1835056</vt:i4>
      </vt:variant>
      <vt:variant>
        <vt:i4>14</vt:i4>
      </vt:variant>
      <vt:variant>
        <vt:i4>0</vt:i4>
      </vt:variant>
      <vt:variant>
        <vt:i4>5</vt:i4>
      </vt:variant>
      <vt:variant>
        <vt:lpwstr/>
      </vt:variant>
      <vt:variant>
        <vt:lpwstr>_Toc429995459</vt:lpwstr>
      </vt:variant>
      <vt:variant>
        <vt:i4>1835056</vt:i4>
      </vt:variant>
      <vt:variant>
        <vt:i4>8</vt:i4>
      </vt:variant>
      <vt:variant>
        <vt:i4>0</vt:i4>
      </vt:variant>
      <vt:variant>
        <vt:i4>5</vt:i4>
      </vt:variant>
      <vt:variant>
        <vt:lpwstr/>
      </vt:variant>
      <vt:variant>
        <vt:lpwstr>_Toc429995458</vt:lpwstr>
      </vt:variant>
      <vt:variant>
        <vt:i4>1835056</vt:i4>
      </vt:variant>
      <vt:variant>
        <vt:i4>2</vt:i4>
      </vt:variant>
      <vt:variant>
        <vt:i4>0</vt:i4>
      </vt:variant>
      <vt:variant>
        <vt:i4>5</vt:i4>
      </vt:variant>
      <vt:variant>
        <vt:lpwstr/>
      </vt:variant>
      <vt:variant>
        <vt:lpwstr>_Toc429995457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villaume</dc:creator>
  <cp:keywords/>
  <dc:description/>
  <cp:lastModifiedBy>CAMARA Mouhamadou</cp:lastModifiedBy>
  <cp:revision>18</cp:revision>
  <cp:lastPrinted>2024-09-17T12:49:00Z</cp:lastPrinted>
  <dcterms:created xsi:type="dcterms:W3CDTF">2024-08-21T08:08:00Z</dcterms:created>
  <dcterms:modified xsi:type="dcterms:W3CDTF">2024-09-17T13:14:00Z</dcterms:modified>
</cp:coreProperties>
</file>