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52705</wp:posOffset>
            </wp:positionH>
            <wp:positionV relativeFrom="paragraph">
              <wp:posOffset>48895</wp:posOffset>
            </wp:positionV>
            <wp:extent cx="1747520" cy="592455"/>
            <wp:effectExtent l="0" t="0" r="0" b="0"/>
            <wp:wrapSquare wrapText="bothSides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2497455</wp:posOffset>
                </wp:positionH>
                <wp:positionV relativeFrom="paragraph">
                  <wp:posOffset>68580</wp:posOffset>
                </wp:positionV>
                <wp:extent cx="3524250" cy="355600"/>
                <wp:effectExtent l="0" t="0" r="0" b="0"/>
                <wp:wrapNone/>
                <wp:docPr id="2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3556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1"/>
                              <w:overflowPunct w:val="false"/>
                              <w:jc w:val="center"/>
                              <w:rPr/>
                            </w:pPr>
                            <w:r>
                              <w:rPr>
                                <w:rStyle w:val="Policepardfaut"/>
                                <w:rFonts w:ascii="Calibri" w:hAnsi="Calibri"/>
                                <w:b/>
                                <w:bCs/>
                              </w:rPr>
                              <w:t>MANDAT DE L’ORGANISME PORTEUR DE RISQUE</w:t>
                            </w:r>
                          </w:p>
                        </w:txbxContent>
                      </wps:txbx>
                      <wps:bodyPr anchor="ctr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77.5pt;height:28pt;mso-wrap-distance-left:0pt;mso-wrap-distance-right:0pt;mso-wrap-distance-top:0pt;mso-wrap-distance-bottom:0pt;margin-top:5.4pt;mso-position-vertical-relative:text;margin-left:196.65pt;mso-position-horizontal-relative:text">
                <v:textbox inset="0in,0in,0in,0in">
                  <w:txbxContent>
                    <w:p>
                      <w:pPr>
                        <w:pStyle w:val="Normal1"/>
                        <w:overflowPunct w:val="false"/>
                        <w:jc w:val="center"/>
                        <w:rPr/>
                      </w:pPr>
                      <w:r>
                        <w:rPr>
                          <w:rStyle w:val="Policepardfaut"/>
                          <w:rFonts w:ascii="Calibri" w:hAnsi="Calibri"/>
                          <w:b/>
                          <w:bCs/>
                        </w:rPr>
                        <w:t>MANDAT DE L’ORGANISME PORTEUR DE RISQUE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8" w:color="000000"/>
        </w:pBdr>
        <w:ind w:right="360" w:hanging="0"/>
        <w:jc w:val="center"/>
        <w:rPr>
          <w:rFonts w:ascii="Calibri" w:hAnsi="Calibri" w:eastAsia="Times New Roman" w:cs="Tahoma"/>
          <w:b/>
          <w:bCs/>
          <w:iCs/>
          <w:lang w:bidi="ar-SA"/>
        </w:rPr>
      </w:pPr>
      <w:r>
        <w:rPr>
          <w:rFonts w:eastAsia="Times New Roman" w:cs="Tahoma" w:ascii="Calibri" w:hAnsi="Calibri"/>
          <w:b/>
          <w:bCs/>
          <w:iCs/>
          <w:lang w:bidi="ar-SA"/>
        </w:rPr>
        <w:t>Marché d’assurance dommages à l’ouvrage et C.C.R.D. pour la réalisation du nouveau Centre de Rétention Administrative (CRA) de Bordeaux</w:t>
      </w:r>
    </w:p>
    <w:p>
      <w:pPr>
        <w:pStyle w:val="Normal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1"/>
        <w:widowControl w:val="false"/>
        <w:jc w:val="both"/>
        <w:rPr>
          <w:rFonts w:ascii="Century Gothic" w:hAnsi="Century Gothic" w:cs="Arial"/>
          <w:sz w:val="18"/>
          <w:lang w:eastAsia="ar-SA"/>
        </w:rPr>
      </w:pPr>
      <w:r>
        <w:rPr>
          <w:rFonts w:cs="Arial" w:ascii="Century Gothic" w:hAnsi="Century Gothic"/>
          <w:sz w:val="18"/>
          <w:lang w:eastAsia="ar-SA"/>
        </w:rPr>
      </w:r>
    </w:p>
    <w:tbl>
      <w:tblPr>
        <w:tblW w:w="1076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3"/>
      </w:tblGrid>
      <w:tr>
        <w:trPr>
          <w:trHeight w:val="1623" w:hRule="atLeast"/>
        </w:trPr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jc w:val="both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kern w:val="0"/>
                <w:sz w:val="20"/>
                <w:szCs w:val="20"/>
                <w:u w:val="single"/>
                <w:lang w:eastAsia="ar-SA" w:bidi="ar-SA"/>
              </w:rPr>
              <w:t>Pouvoir adjudicateur</w:t>
            </w:r>
            <w:r>
              <w:rPr>
                <w:rStyle w:val="Policepardfaut"/>
                <w:rFonts w:eastAsia="Times New Roman" w:cs="Arial" w:ascii="Century Gothic" w:hAnsi="Century Gothic"/>
                <w:kern w:val="0"/>
                <w:sz w:val="20"/>
                <w:szCs w:val="20"/>
                <w:lang w:eastAsia="ar-SA" w:bidi="ar-SA"/>
              </w:rPr>
              <w:t xml:space="preserve"> : </w:t>
            </w:r>
            <w:r>
              <w:rPr>
                <w:rStyle w:val="Policepardfaut"/>
                <w:rFonts w:eastAsia="Times New Roman" w:cs="Arial" w:ascii="Century Gothic" w:hAnsi="Century Gothic"/>
                <w:b/>
                <w:bCs/>
                <w:kern w:val="0"/>
                <w:sz w:val="20"/>
                <w:szCs w:val="20"/>
                <w:lang w:eastAsia="ar-SA" w:bidi="ar-SA"/>
              </w:rPr>
              <w:t>SGAMI SUD-OUEST</w:t>
            </w:r>
          </w:p>
          <w:p>
            <w:pPr>
              <w:pStyle w:val="Normal1"/>
              <w:widowControl w:val="false"/>
              <w:jc w:val="both"/>
              <w:textAlignment w:val="auto"/>
              <w:rPr>
                <w:rFonts w:ascii="Century Gothic" w:hAnsi="Century Gothic" w:eastAsia="Times New Roman" w:cs="Arial"/>
                <w:bCs/>
                <w:kern w:val="0"/>
                <w:sz w:val="8"/>
                <w:szCs w:val="1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bCs/>
                <w:kern w:val="0"/>
                <w:sz w:val="8"/>
                <w:szCs w:val="10"/>
                <w:lang w:eastAsia="ar-SA" w:bidi="ar-SA"/>
              </w:rPr>
            </w:r>
          </w:p>
          <w:p>
            <w:pPr>
              <w:pStyle w:val="Normal1"/>
              <w:widowControl w:val="false"/>
              <w:jc w:val="both"/>
              <w:textAlignment w:val="auto"/>
              <w:rPr>
                <w:rFonts w:ascii="Century Gothic" w:hAnsi="Century Gothic" w:eastAsia="Times New Roman" w:cs="Arial"/>
                <w:bCs/>
                <w:kern w:val="0"/>
                <w:sz w:val="8"/>
                <w:szCs w:val="1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bCs/>
                <w:kern w:val="0"/>
                <w:sz w:val="8"/>
                <w:szCs w:val="10"/>
                <w:lang w:eastAsia="ar-SA" w:bidi="ar-SA"/>
              </w:rPr>
            </w:r>
          </w:p>
          <w:p>
            <w:pPr>
              <w:pStyle w:val="Normal1"/>
              <w:widowControl w:val="false"/>
              <w:jc w:val="both"/>
              <w:textAlignment w:val="auto"/>
              <w:rPr>
                <w:rFonts w:ascii="Century Gothic" w:hAnsi="Century Gothic" w:eastAsia="Times New Roman" w:cs="Arial"/>
                <w:bCs/>
                <w:kern w:val="0"/>
                <w:sz w:val="8"/>
                <w:szCs w:val="1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bCs/>
                <w:kern w:val="0"/>
                <w:sz w:val="8"/>
                <w:szCs w:val="10"/>
                <w:lang w:eastAsia="ar-SA" w:bidi="ar-SA"/>
              </w:rPr>
            </w:r>
          </w:p>
          <w:p>
            <w:pPr>
              <w:pStyle w:val="Normal1"/>
              <w:widowControl w:val="false"/>
              <w:jc w:val="both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bCs/>
                <w:kern w:val="0"/>
                <w:sz w:val="20"/>
                <w:szCs w:val="22"/>
                <w:lang w:eastAsia="ar-SA" w:bidi="ar-SA"/>
              </w:rPr>
              <w:t>Assurance « C.C.R.D. » et « D.O. » pour les besoins de la réalisation du nouveau Centre de Rétention Administrative (CRA) de Bordeaux</w:t>
            </w:r>
          </w:p>
        </w:tc>
      </w:tr>
    </w:tbl>
    <w:p>
      <w:pPr>
        <w:pStyle w:val="Normal1"/>
        <w:widowControl w:val="false"/>
        <w:spacing w:lineRule="auto" w:line="288" w:before="0" w:after="60"/>
        <w:jc w:val="both"/>
        <w:rPr>
          <w:rFonts w:ascii="Century Gothic" w:hAnsi="Century Gothic" w:cs="Arial"/>
          <w:sz w:val="12"/>
          <w:lang w:eastAsia="ar-SA"/>
        </w:rPr>
      </w:pPr>
      <w:r>
        <w:rPr>
          <w:rFonts w:cs="Arial" w:ascii="Century Gothic" w:hAnsi="Century Gothic"/>
          <w:sz w:val="12"/>
          <w:lang w:eastAsia="ar-SA"/>
        </w:rPr>
      </w:r>
    </w:p>
    <w:p>
      <w:pPr>
        <w:pStyle w:val="Normal1"/>
        <w:widowControl w:val="false"/>
        <w:jc w:val="both"/>
        <w:rPr/>
      </w:pPr>
      <w:r>
        <w:rPr>
          <w:rStyle w:val="Policepardfaut"/>
          <w:rFonts w:cs="Arial" w:ascii="Century Gothic" w:hAnsi="Century Gothic"/>
          <w:b/>
          <w:sz w:val="18"/>
          <w:u w:val="single"/>
          <w:lang w:eastAsia="ar-SA"/>
        </w:rPr>
        <w:t>Assureur / apériteur / mutuelle portant le risque (mandant)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 xml:space="preserve"> :</w:t>
      </w:r>
    </w:p>
    <w:p>
      <w:pPr>
        <w:pStyle w:val="Normal1"/>
        <w:widowControl w:val="false"/>
        <w:tabs>
          <w:tab w:val="clear" w:pos="709"/>
          <w:tab w:val="left" w:pos="7938" w:leader="dot"/>
        </w:tabs>
        <w:ind w:left="284" w:hanging="0"/>
        <w:jc w:val="both"/>
        <w:rPr>
          <w:rFonts w:ascii="Century Gothic" w:hAnsi="Century Gothic" w:cs="Arial"/>
          <w:sz w:val="8"/>
          <w:lang w:eastAsia="ar-SA"/>
        </w:rPr>
      </w:pPr>
      <w:r>
        <w:rPr>
          <w:rFonts w:cs="Arial" w:ascii="Century Gothic" w:hAnsi="Century Gothic"/>
          <w:sz w:val="8"/>
          <w:lang w:eastAsia="ar-SA"/>
        </w:rPr>
      </w:r>
    </w:p>
    <w:p>
      <w:pPr>
        <w:pStyle w:val="Normal1"/>
        <w:widowControl w:val="false"/>
        <w:tabs>
          <w:tab w:val="clear" w:pos="709"/>
          <w:tab w:val="left" w:pos="7938" w:leader="dot"/>
        </w:tabs>
        <w:ind w:left="284" w:hanging="0"/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2"/>
      </w:tblGrid>
      <w:tr>
        <w:trPr>
          <w:trHeight w:val="1185" w:hRule="atLeast"/>
        </w:trPr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  <w:t>Identification de la structure :</w:t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2"/>
                <w:szCs w:val="16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2"/>
                <w:szCs w:val="16"/>
                <w:lang w:eastAsia="ar-SA" w:bidi="ar-SA"/>
              </w:rPr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</w:tc>
      </w:tr>
    </w:tbl>
    <w:p>
      <w:pPr>
        <w:pStyle w:val="Normal1"/>
        <w:widowControl w:val="false"/>
        <w:tabs>
          <w:tab w:val="clear" w:pos="709"/>
          <w:tab w:val="left" w:pos="7938" w:leader="dot"/>
        </w:tabs>
        <w:ind w:left="284" w:hanging="0"/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p>
      <w:pPr>
        <w:pStyle w:val="Normal1"/>
        <w:widowControl w:val="false"/>
        <w:tabs>
          <w:tab w:val="clear" w:pos="709"/>
          <w:tab w:val="left" w:pos="2628" w:leader="none"/>
        </w:tabs>
        <w:jc w:val="both"/>
        <w:rPr>
          <w:rFonts w:ascii="Century Gothic" w:hAnsi="Century Gothic" w:cs="Arial"/>
          <w:sz w:val="18"/>
          <w:lang w:eastAsia="ar-SA"/>
        </w:rPr>
      </w:pPr>
      <w:r>
        <w:rPr>
          <w:rFonts w:cs="Arial" w:ascii="Century Gothic" w:hAnsi="Century Gothic"/>
          <w:sz w:val="18"/>
          <w:lang w:eastAsia="ar-SA"/>
        </w:rPr>
        <w:t>L’organisme porteur du risque précité atteste :</w:t>
      </w:r>
    </w:p>
    <w:p>
      <w:pPr>
        <w:pStyle w:val="Normal1"/>
        <w:widowControl w:val="false"/>
        <w:tabs>
          <w:tab w:val="clear" w:pos="709"/>
          <w:tab w:val="left" w:pos="2628" w:leader="none"/>
        </w:tabs>
        <w:jc w:val="both"/>
        <w:rPr>
          <w:rFonts w:ascii="Century Gothic" w:hAnsi="Century Gothic" w:cs="Arial"/>
          <w:sz w:val="12"/>
          <w:lang w:eastAsia="ar-SA"/>
        </w:rPr>
      </w:pPr>
      <w:r>
        <w:rPr>
          <w:rFonts w:cs="Arial" w:ascii="Century Gothic" w:hAnsi="Century Gothic"/>
          <w:sz w:val="12"/>
          <w:lang w:eastAsia="ar-SA"/>
        </w:rPr>
      </w:r>
    </w:p>
    <w:p>
      <w:pPr>
        <w:pStyle w:val="Normal1"/>
        <w:widowControl w:val="false"/>
        <w:tabs>
          <w:tab w:val="clear" w:pos="709"/>
          <w:tab w:val="left" w:pos="2628" w:leader="none"/>
        </w:tabs>
        <w:jc w:val="both"/>
        <w:rPr>
          <w:rFonts w:ascii="Century Gothic" w:hAnsi="Century Gothic" w:cs="Arial"/>
          <w:sz w:val="18"/>
          <w:lang w:eastAsia="ar-SA"/>
        </w:rPr>
      </w:pPr>
      <w:r>
        <w:rPr>
          <w:rFonts w:cs="Arial" w:ascii="Century Gothic" w:hAnsi="Century Gothic"/>
          <w:sz w:val="18"/>
          <w:lang w:eastAsia="ar-SA"/>
        </w:rPr>
        <w:t>- qu’il a été normalement saisi et consulté par la société mandataire (intermédiaire / gestionnaire) :</w:t>
      </w:r>
    </w:p>
    <w:p>
      <w:pPr>
        <w:pStyle w:val="Normal1"/>
        <w:widowControl w:val="false"/>
        <w:tabs>
          <w:tab w:val="clear" w:pos="709"/>
          <w:tab w:val="left" w:pos="7938" w:leader="dot"/>
        </w:tabs>
        <w:ind w:left="284" w:hanging="0"/>
        <w:jc w:val="both"/>
        <w:rPr>
          <w:rFonts w:ascii="Century Gothic" w:hAnsi="Century Gothic" w:cs="Arial"/>
          <w:sz w:val="8"/>
          <w:lang w:eastAsia="ar-SA"/>
        </w:rPr>
      </w:pPr>
      <w:r>
        <w:rPr>
          <w:rFonts w:cs="Arial" w:ascii="Century Gothic" w:hAnsi="Century Gothic"/>
          <w:sz w:val="8"/>
          <w:lang w:eastAsia="ar-SA"/>
        </w:rPr>
      </w:r>
    </w:p>
    <w:p>
      <w:pPr>
        <w:pStyle w:val="Normal1"/>
        <w:widowControl w:val="false"/>
        <w:tabs>
          <w:tab w:val="clear" w:pos="709"/>
          <w:tab w:val="left" w:pos="7938" w:leader="dot"/>
        </w:tabs>
        <w:ind w:left="284" w:hanging="0"/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  <w:t>Identification de la structure :</w:t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2"/>
                <w:szCs w:val="16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2"/>
                <w:szCs w:val="16"/>
                <w:lang w:eastAsia="ar-SA" w:bidi="ar-SA"/>
              </w:rPr>
            </w:r>
          </w:p>
          <w:p>
            <w:pPr>
              <w:pStyle w:val="Normal1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</w:tc>
      </w:tr>
    </w:tbl>
    <w:p>
      <w:pPr>
        <w:pStyle w:val="Normal1"/>
        <w:widowControl w:val="false"/>
        <w:tabs>
          <w:tab w:val="clear" w:pos="709"/>
          <w:tab w:val="left" w:pos="7938" w:leader="dot"/>
        </w:tabs>
        <w:ind w:left="284" w:hanging="0"/>
        <w:jc w:val="both"/>
        <w:rPr>
          <w:rFonts w:ascii="Century Gothic" w:hAnsi="Century Gothic" w:cs="Arial"/>
          <w:sz w:val="20"/>
          <w:lang w:eastAsia="ar-SA"/>
        </w:rPr>
      </w:pPr>
      <w:r>
        <w:rPr>
          <w:rFonts w:cs="Arial" w:ascii="Century Gothic" w:hAnsi="Century Gothic"/>
          <w:sz w:val="20"/>
          <w:lang w:eastAsia="ar-SA"/>
        </w:rPr>
      </w:r>
    </w:p>
    <w:p>
      <w:pPr>
        <w:pStyle w:val="Normal1"/>
        <w:widowControl w:val="false"/>
        <w:tabs>
          <w:tab w:val="clear" w:pos="709"/>
          <w:tab w:val="left" w:pos="2268" w:leader="none"/>
        </w:tabs>
        <w:jc w:val="both"/>
        <w:rPr/>
      </w:pP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sz w:val="18"/>
          <w:lang w:eastAsia="ar-SA"/>
        </w:rPr>
        <w:t>qu’il donne mandat à l’intermédiaire, ce dernier l’acceptant, pour le représenter dans le cadre de cette consultation et signer le cas échéant pour son compte la lettre de consultation et l’acte d’engagement ;</w:t>
      </w:r>
    </w:p>
    <w:p>
      <w:pPr>
        <w:pStyle w:val="Normal1"/>
        <w:widowControl w:val="false"/>
        <w:tabs>
          <w:tab w:val="clear" w:pos="709"/>
          <w:tab w:val="left" w:pos="2268" w:leader="none"/>
        </w:tabs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p>
      <w:pPr>
        <w:pStyle w:val="Normal1"/>
        <w:widowControl w:val="false"/>
        <w:tabs>
          <w:tab w:val="clear" w:pos="709"/>
          <w:tab w:val="left" w:pos="2268" w:leader="none"/>
        </w:tabs>
        <w:jc w:val="both"/>
        <w:rPr/>
      </w:pP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sz w:val="18"/>
          <w:lang w:eastAsia="ar-SA"/>
        </w:rPr>
        <w:t>qu’il accepte que l’intermédiaire soit membre du groupement conjoint (</w:t>
      </w: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>OUI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/ </w:t>
      </w: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 xml:space="preserve"> NON</w:t>
      </w:r>
      <w:r>
        <w:rPr>
          <w:rStyle w:val="Policepardfaut"/>
          <w:rFonts w:cs="Arial" w:ascii="Century Gothic" w:hAnsi="Century Gothic"/>
          <w:sz w:val="18"/>
          <w:lang w:eastAsia="ar-SA"/>
        </w:rPr>
        <w:t>) et dans l’affirmative mandataire du groupement (</w:t>
      </w: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>OUI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/ </w:t>
      </w: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>NON</w:t>
      </w:r>
      <w:r>
        <w:rPr>
          <w:rStyle w:val="Policepardfaut"/>
          <w:rFonts w:cs="Arial" w:ascii="Century Gothic" w:hAnsi="Century Gothic"/>
          <w:sz w:val="18"/>
          <w:lang w:eastAsia="ar-SA"/>
        </w:rPr>
        <w:t>) ;</w:t>
      </w:r>
    </w:p>
    <w:p>
      <w:pPr>
        <w:pStyle w:val="Normal1"/>
        <w:widowControl w:val="false"/>
        <w:tabs>
          <w:tab w:val="clear" w:pos="709"/>
          <w:tab w:val="left" w:pos="2268" w:leader="none"/>
        </w:tabs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p>
      <w:pPr>
        <w:pStyle w:val="Normal1"/>
        <w:widowControl w:val="false"/>
        <w:tabs>
          <w:tab w:val="clear" w:pos="709"/>
          <w:tab w:val="left" w:pos="2268" w:leader="none"/>
        </w:tabs>
        <w:jc w:val="both"/>
        <w:rPr/>
      </w:pP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sz w:val="18"/>
          <w:lang w:eastAsia="ar-SA"/>
        </w:rPr>
        <w:t>qu'au cas où l’offre présentée serait retenue, il donne mandat à l’intermédiaire précité pour l’encaissement des cotisations d’assurance pour son compte.</w:t>
      </w:r>
    </w:p>
    <w:p>
      <w:pPr>
        <w:pStyle w:val="Normal1"/>
        <w:widowControl w:val="false"/>
        <w:tabs>
          <w:tab w:val="clear" w:pos="709"/>
          <w:tab w:val="left" w:pos="2268" w:leader="none"/>
        </w:tabs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p>
      <w:pPr>
        <w:pStyle w:val="Normal1"/>
        <w:widowControl w:val="false"/>
        <w:tabs>
          <w:tab w:val="clear" w:pos="709"/>
          <w:tab w:val="left" w:pos="2268" w:leader="none"/>
        </w:tabs>
        <w:jc w:val="both"/>
        <w:rPr/>
      </w:pP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sz w:val="18"/>
          <w:lang w:eastAsia="ar-SA"/>
        </w:rPr>
        <w:t>qu'au cas où l’offre présentée serait retenue, il donne mandat à l’intermédiaire précité pour le représenter dans le cadre des actes liés à la gestion du contrat et des sinistres.</w:t>
      </w:r>
    </w:p>
    <w:p>
      <w:pPr>
        <w:pStyle w:val="Normal1"/>
        <w:widowControl w:val="false"/>
        <w:jc w:val="both"/>
        <w:rPr>
          <w:rFonts w:ascii="Century Gothic" w:hAnsi="Century Gothic" w:cs="Arial"/>
          <w:sz w:val="22"/>
          <w:szCs w:val="28"/>
          <w:lang w:eastAsia="ar-SA"/>
        </w:rPr>
      </w:pPr>
      <w:r>
        <w:rPr>
          <w:rFonts w:cs="Arial" w:ascii="Century Gothic" w:hAnsi="Century Gothic"/>
          <w:sz w:val="22"/>
          <w:szCs w:val="28"/>
          <w:lang w:eastAsia="ar-SA"/>
        </w:rPr>
      </w:r>
    </w:p>
    <w:tbl>
      <w:tblPr>
        <w:tblW w:w="108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2"/>
        <w:gridCol w:w="5555"/>
      </w:tblGrid>
      <w:tr>
        <w:trPr>
          <w:trHeight w:val="501" w:hRule="atLeast"/>
        </w:trPr>
        <w:tc>
          <w:tcPr>
            <w:tcW w:w="10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jc w:val="center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Fait à </w:t>
            </w:r>
            <w:r>
              <w:rPr>
                <w:rStyle w:val="Policepardfaut"/>
                <w:rFonts w:cs="Arial" w:ascii="Century Gothic" w:hAnsi="Century Gothic"/>
                <w:sz w:val="18"/>
                <w:shd w:fill="F2F2F2" w:val="clear"/>
                <w:lang w:eastAsia="ar-SA"/>
              </w:rPr>
              <w:tab/>
              <w:tab/>
              <w:tab/>
              <w:tab/>
              <w:tab/>
              <w:tab/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  le  </w:t>
            </w:r>
            <w:r>
              <w:rPr>
                <w:rStyle w:val="Policepardfaut"/>
                <w:rFonts w:cs="Arial" w:ascii="Century Gothic" w:hAnsi="Century Gothic"/>
                <w:sz w:val="18"/>
                <w:shd w:fill="F2F2F2" w:val="clear"/>
                <w:lang w:eastAsia="ar-SA"/>
              </w:rPr>
              <w:tab/>
              <w:tab/>
              <w:tab/>
              <w:tab/>
              <w:tab/>
              <w:tab/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>2024</w:t>
            </w:r>
          </w:p>
        </w:tc>
      </w:tr>
      <w:tr>
        <w:trPr>
          <w:trHeight w:val="2116" w:hRule="atLeast"/>
        </w:trPr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jc w:val="both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Nom et fonction du signataire </w:t>
            </w:r>
            <w:r>
              <w:rPr>
                <w:rStyle w:val="Policepardfaut"/>
                <w:rFonts w:cs="Arial" w:ascii="Century Gothic" w:hAnsi="Century Gothic"/>
                <w:b/>
                <w:sz w:val="18"/>
                <w:u w:val="single"/>
                <w:lang w:eastAsia="ar-SA"/>
              </w:rPr>
              <w:t>pour le porteur de risque</w:t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: </w:t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4"/>
                <w:lang w:eastAsia="ar-SA"/>
              </w:rPr>
            </w:pPr>
            <w:r>
              <w:rPr>
                <w:rFonts w:cs="Arial" w:ascii="Century Gothic" w:hAnsi="Century Gothic"/>
                <w:sz w:val="14"/>
                <w:lang w:eastAsia="ar-SA"/>
              </w:rPr>
              <w:t xml:space="preserve">Signature du mandant :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jc w:val="both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Nom et fonction du signataire </w:t>
            </w:r>
            <w:r>
              <w:rPr>
                <w:rStyle w:val="Policepardfaut"/>
                <w:rFonts w:cs="Arial" w:ascii="Century Gothic" w:hAnsi="Century Gothic"/>
                <w:b/>
                <w:sz w:val="18"/>
                <w:u w:val="single"/>
                <w:lang w:eastAsia="ar-SA"/>
              </w:rPr>
              <w:t>pour l’intermédiaire</w:t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: </w:t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4"/>
                <w:lang w:eastAsia="ar-SA"/>
              </w:rPr>
            </w:pPr>
            <w:r>
              <w:rPr>
                <w:rFonts w:cs="Arial" w:ascii="Century Gothic" w:hAnsi="Century Gothic"/>
                <w:sz w:val="14"/>
                <w:lang w:eastAsia="ar-SA"/>
              </w:rPr>
              <w:t xml:space="preserve">Signature du mandataire : </w:t>
            </w:r>
          </w:p>
        </w:tc>
      </w:tr>
      <w:tr>
        <w:trPr>
          <w:trHeight w:val="558" w:hRule="atLeast"/>
        </w:trPr>
        <w:tc>
          <w:tcPr>
            <w:tcW w:w="10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jc w:val="center"/>
              <w:rPr/>
            </w:pPr>
            <w:r>
              <w:rPr>
                <w:rStyle w:val="Policepardfaut"/>
                <w:rFonts w:cs="Arial" w:ascii="Century Gothic" w:hAnsi="Century Gothic"/>
                <w:bCs/>
                <w:sz w:val="16"/>
              </w:rPr>
              <w:t>La fourniture de ce mandat sous forme originale n’est pas obligatoire au stade de la candidature. Il pourra être exigé de façon originale avant toute notification du marché.</w:t>
            </w:r>
            <w:bookmarkStart w:id="0" w:name="_Hlk69040949"/>
            <w:bookmarkEnd w:id="0"/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Arial Black">
    <w:charset w:val="00"/>
    <w:family w:val="swiss"/>
    <w:pitch w:val="variable"/>
  </w:font>
  <w:font w:name="Calibri">
    <w:charset w:val="00"/>
    <w:family w:val="swiss"/>
    <w:pitch w:val="variable"/>
  </w:font>
  <w:font w:name="Century Gothic">
    <w:charset w:val="00"/>
    <w:family w:val="swiss"/>
    <w:pitch w:val="variable"/>
  </w:font>
  <w:font w:name="MS Gothic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fr-FR" w:eastAsia="zh-CN" w:bidi="hi-IN"/>
    </w:rPr>
  </w:style>
  <w:style w:type="character" w:styleId="Policepardfaut">
    <w:name w:val="Police par défaut"/>
    <w:qFormat/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sdetexte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e">
    <w:name w:val="List"/>
    <w:basedOn w:val="Corpsdetexte"/>
    <w:pPr>
      <w:suppressAutoHyphens w:val="true"/>
    </w:pPr>
    <w:rPr/>
  </w:style>
  <w:style w:type="paragraph" w:styleId="Lgende">
    <w:name w:val="Caption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"/>
    <w:qFormat/>
    <w:pPr>
      <w:suppressLineNumbers/>
      <w:suppressAutoHyphens w:val="true"/>
    </w:pPr>
    <w:rPr/>
  </w:style>
  <w:style w:type="paragraph" w:styleId="Corpsdetexte2">
    <w:name w:val="Corps de texte 2"/>
    <w:basedOn w:val="Normal"/>
    <w:qFormat/>
    <w:pPr>
      <w:pBdr>
        <w:top w:val="single" w:sz="4" w:space="10" w:color="000000"/>
        <w:left w:val="single" w:sz="4" w:space="4" w:color="000000"/>
        <w:bottom w:val="single" w:sz="4" w:space="10" w:color="000000"/>
        <w:right w:val="single" w:sz="4" w:space="4" w:color="000000"/>
      </w:pBdr>
      <w:tabs>
        <w:tab w:val="clear" w:pos="709"/>
        <w:tab w:val="center" w:pos="4512" w:leader="none"/>
      </w:tabs>
      <w:suppressAutoHyphens w:val="true"/>
      <w:jc w:val="center"/>
    </w:pPr>
    <w:rPr>
      <w:rFonts w:ascii="Arial Black" w:hAnsi="Arial Black" w:eastAsia="Arial Black" w:cs="Arial Black"/>
      <w:sz w:val="36"/>
      <w:szCs w:val="36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LibreOffice/7.5.7.1.M1$Windows_X86_64 LibreOffice_project/9d4bf91ba30c991aaed3b97dd4173f7705c6b5ae</Application>
  <AppVersion>15.0000</AppVersion>
  <Pages>1</Pages>
  <Words>269</Words>
  <Characters>1410</Characters>
  <CharactersWithSpaces>1680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2023-04-14T09:43:00Z</dcterms:created>
  <dc:creator/>
  <dc:description/>
  <dc:language>fr-FR</dc:language>
  <cp:lastModifiedBy>Nicolas</cp:lastModifiedBy>
  <dcterms:modified xsi:type="dcterms:W3CDTF">2024-10-18T11:05:51Z</dcterms:modified>
  <cp:revision>6</cp:revision>
  <dc:subject/>
  <dc:title/>
</cp:coreProperties>
</file>