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03C1D" w14:textId="77777777" w:rsidR="00CB1636" w:rsidRDefault="005C7446" w:rsidP="004B65B5">
      <w:pPr>
        <w:pBdr>
          <w:top w:val="single" w:sz="18" w:space="1" w:color="auto"/>
          <w:left w:val="single" w:sz="18" w:space="4" w:color="auto"/>
          <w:bottom w:val="single" w:sz="18" w:space="10" w:color="auto"/>
          <w:right w:val="single" w:sz="18" w:space="4" w:color="auto"/>
          <w:between w:val="single" w:sz="18" w:space="1" w:color="auto"/>
          <w:bar w:val="single" w:sz="18" w:color="auto"/>
        </w:pBdr>
        <w:shd w:val="clear" w:color="auto" w:fill="D1EEF9" w:themeFill="accent1" w:themeFillTint="33"/>
        <w:tabs>
          <w:tab w:val="center" w:pos="2977"/>
        </w:tabs>
        <w:spacing w:after="410"/>
        <w:ind w:left="-50"/>
        <w:jc w:val="center"/>
        <w:rPr>
          <w:rFonts w:ascii="Arial" w:eastAsia="Arial" w:hAnsi="Arial" w:cs="Arial"/>
          <w:b/>
        </w:rPr>
      </w:pPr>
      <w:r w:rsidRPr="005C7446">
        <w:rPr>
          <w:rFonts w:ascii="Arial" w:eastAsia="Arial" w:hAnsi="Arial" w:cs="Arial"/>
          <w:b/>
        </w:rPr>
        <w:t>FranceAgriMer</w:t>
      </w:r>
      <w:r w:rsidR="002117DA" w:rsidRPr="005C7446">
        <w:rPr>
          <w:rFonts w:ascii="Arial" w:eastAsia="Arial" w:hAnsi="Arial" w:cs="Arial"/>
          <w:b/>
        </w:rPr>
        <w:t xml:space="preserve"> </w:t>
      </w:r>
    </w:p>
    <w:p w14:paraId="0565E0D5" w14:textId="1E322DE8" w:rsidR="00CB1636" w:rsidRPr="00CB1636" w:rsidRDefault="003672DA" w:rsidP="00CB1636">
      <w:pPr>
        <w:pBdr>
          <w:top w:val="single" w:sz="18" w:space="1" w:color="auto"/>
          <w:left w:val="single" w:sz="18" w:space="4" w:color="auto"/>
          <w:bottom w:val="single" w:sz="18" w:space="10" w:color="auto"/>
          <w:right w:val="single" w:sz="18" w:space="4" w:color="auto"/>
          <w:between w:val="single" w:sz="18" w:space="1" w:color="auto"/>
          <w:bar w:val="single" w:sz="18" w:color="auto"/>
        </w:pBdr>
        <w:shd w:val="clear" w:color="auto" w:fill="D1EEF9" w:themeFill="accent1" w:themeFillTint="33"/>
        <w:tabs>
          <w:tab w:val="center" w:pos="3473"/>
        </w:tabs>
        <w:spacing w:after="410"/>
        <w:ind w:left="-5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Accord-cadre</w:t>
      </w:r>
      <w:r w:rsidR="00CB1636">
        <w:rPr>
          <w:rFonts w:ascii="Arial" w:eastAsia="Arial" w:hAnsi="Arial" w:cs="Arial"/>
          <w:b/>
        </w:rPr>
        <w:t xml:space="preserve"> 2024</w:t>
      </w:r>
      <w:r w:rsidR="00CB1636" w:rsidRPr="00CB1636">
        <w:rPr>
          <w:rFonts w:ascii="Arial" w:eastAsia="Arial" w:hAnsi="Arial" w:cs="Arial"/>
          <w:b/>
        </w:rPr>
        <w:t xml:space="preserve"> relatif à </w:t>
      </w:r>
      <w:r w:rsidR="005E5FB9">
        <w:rPr>
          <w:rFonts w:ascii="Arial" w:eastAsia="Arial" w:hAnsi="Arial" w:cs="Arial"/>
          <w:b/>
        </w:rPr>
        <w:t>des prestations de mise à disposition de personnels intérimaires</w:t>
      </w:r>
    </w:p>
    <w:p w14:paraId="36FD632F" w14:textId="661E67D6" w:rsidR="009E2929" w:rsidRPr="005B41F5" w:rsidRDefault="0002542B" w:rsidP="005B41F5">
      <w:pPr>
        <w:pBdr>
          <w:top w:val="single" w:sz="18" w:space="1" w:color="auto"/>
          <w:left w:val="single" w:sz="18" w:space="4" w:color="auto"/>
          <w:bottom w:val="single" w:sz="18" w:space="10" w:color="auto"/>
          <w:right w:val="single" w:sz="18" w:space="4" w:color="auto"/>
          <w:between w:val="single" w:sz="18" w:space="1" w:color="auto"/>
          <w:bar w:val="single" w:sz="18" w:color="auto"/>
        </w:pBdr>
        <w:shd w:val="clear" w:color="auto" w:fill="D1EEF9" w:themeFill="accent1" w:themeFillTint="33"/>
        <w:tabs>
          <w:tab w:val="center" w:pos="3473"/>
        </w:tabs>
        <w:spacing w:after="410"/>
        <w:ind w:left="-50"/>
        <w:jc w:val="center"/>
      </w:pPr>
      <w:r w:rsidRPr="0002542B">
        <w:rPr>
          <w:rFonts w:ascii="Arial" w:eastAsia="Arial" w:hAnsi="Arial" w:cs="Arial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5199D1" wp14:editId="7C92A4E9">
                <wp:simplePos x="0" y="0"/>
                <wp:positionH relativeFrom="margin">
                  <wp:align>right</wp:align>
                </wp:positionH>
                <wp:positionV relativeFrom="paragraph">
                  <wp:posOffset>510540</wp:posOffset>
                </wp:positionV>
                <wp:extent cx="9519285" cy="457200"/>
                <wp:effectExtent l="0" t="0" r="5715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928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7ABA4" w14:textId="675878A3" w:rsidR="0002542B" w:rsidRPr="0002542B" w:rsidRDefault="0002542B" w:rsidP="0002542B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02542B">
                              <w:rPr>
                                <w:color w:val="0070C0"/>
                              </w:rPr>
                              <w:t>Le candidat complète ce cadre de réponse technique</w:t>
                            </w:r>
                            <w:r w:rsidR="00456473">
                              <w:rPr>
                                <w:color w:val="0070C0"/>
                              </w:rPr>
                              <w:t xml:space="preserve"> ou </w:t>
                            </w:r>
                            <w:r w:rsidRPr="0002542B">
                              <w:rPr>
                                <w:color w:val="0070C0"/>
                              </w:rPr>
                              <w:t xml:space="preserve">fait référence </w:t>
                            </w:r>
                            <w:r w:rsidR="00456473">
                              <w:rPr>
                                <w:color w:val="0070C0"/>
                              </w:rPr>
                              <w:t xml:space="preserve">aux questions </w:t>
                            </w:r>
                            <w:r w:rsidRPr="0002542B">
                              <w:rPr>
                                <w:color w:val="0070C0"/>
                              </w:rPr>
                              <w:t>aux pages de son mémoire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199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698.35pt;margin-top:40.2pt;width:749.55pt;height:3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" stroked="f">
                <v:textbox>
                  <w:txbxContent>
                    <w:p w14:paraId="4517ABA4" w14:textId="675878A3" w:rsidR="0002542B" w:rsidRPr="0002542B" w:rsidRDefault="0002542B" w:rsidP="0002542B">
                      <w:pPr>
                        <w:jc w:val="center"/>
                        <w:rPr>
                          <w:color w:val="0070C0"/>
                        </w:rPr>
                      </w:pPr>
                      <w:r w:rsidRPr="0002542B">
                        <w:rPr>
                          <w:color w:val="0070C0"/>
                        </w:rPr>
                        <w:t>Le candidat complète ce cadre de réponse technique</w:t>
                      </w:r>
                      <w:r w:rsidR="00456473">
                        <w:rPr>
                          <w:color w:val="0070C0"/>
                        </w:rPr>
                        <w:t xml:space="preserve"> ou </w:t>
                      </w:r>
                      <w:r w:rsidRPr="0002542B">
                        <w:rPr>
                          <w:color w:val="0070C0"/>
                        </w:rPr>
                        <w:t xml:space="preserve">fait référence </w:t>
                      </w:r>
                      <w:r w:rsidR="00456473">
                        <w:rPr>
                          <w:color w:val="0070C0"/>
                        </w:rPr>
                        <w:t xml:space="preserve">aux questions </w:t>
                      </w:r>
                      <w:r w:rsidRPr="0002542B">
                        <w:rPr>
                          <w:color w:val="0070C0"/>
                        </w:rPr>
                        <w:t>aux pages de son mémoire technique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B1636">
        <w:rPr>
          <w:rFonts w:ascii="Arial" w:eastAsia="Arial" w:hAnsi="Arial" w:cs="Arial"/>
          <w:b/>
        </w:rPr>
        <w:t>Cadre de réponse technique</w:t>
      </w:r>
      <w:r w:rsidR="00114F12">
        <w:rPr>
          <w:rFonts w:ascii="Arial" w:eastAsia="Arial" w:hAnsi="Arial" w:cs="Arial"/>
          <w:b/>
        </w:rPr>
        <w:t xml:space="preserve"> </w:t>
      </w:r>
      <w:r w:rsidR="00CB1636">
        <w:rPr>
          <w:rFonts w:ascii="Arial" w:eastAsia="Arial" w:hAnsi="Arial" w:cs="Arial"/>
          <w:b/>
        </w:rPr>
        <w:t>(CRT</w:t>
      </w:r>
      <w:r w:rsidR="005B41F5">
        <w:rPr>
          <w:rFonts w:ascii="Arial" w:eastAsia="Arial" w:hAnsi="Arial" w:cs="Arial"/>
          <w:b/>
        </w:rPr>
        <w:t>)</w:t>
      </w:r>
      <w:bookmarkStart w:id="0" w:name="_GoBack"/>
      <w:bookmarkEnd w:id="0"/>
    </w:p>
    <w:p w14:paraId="7F432916" w14:textId="77777777" w:rsidR="009E2929" w:rsidRDefault="009E2929" w:rsidP="00A6032B">
      <w:pPr>
        <w:spacing w:after="0" w:line="276" w:lineRule="auto"/>
        <w:ind w:right="2857"/>
        <w:jc w:val="both"/>
        <w:rPr>
          <w:color w:val="0070C0"/>
        </w:rPr>
      </w:pPr>
    </w:p>
    <w:p w14:paraId="4634CEE6" w14:textId="31D2CE5A" w:rsidR="00A6032B" w:rsidRPr="00EA2D29" w:rsidRDefault="00E53DCA" w:rsidP="009E29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2857"/>
        <w:jc w:val="both"/>
        <w:rPr>
          <w:color w:val="0070C0"/>
        </w:rPr>
      </w:pPr>
      <w:r w:rsidRPr="00EA2D29">
        <w:rPr>
          <w:color w:val="0070C0"/>
        </w:rPr>
        <w:t xml:space="preserve">Candidat : </w:t>
      </w:r>
    </w:p>
    <w:p w14:paraId="29687A49" w14:textId="77777777" w:rsidR="00E53DCA" w:rsidRPr="00A6032B" w:rsidRDefault="00E53DCA" w:rsidP="00A6032B">
      <w:pPr>
        <w:spacing w:after="0" w:line="276" w:lineRule="auto"/>
        <w:ind w:right="2857"/>
        <w:jc w:val="both"/>
        <w:rPr>
          <w:rFonts w:ascii="Arial" w:eastAsia="Arial" w:hAnsi="Arial" w:cs="Arial"/>
          <w:sz w:val="16"/>
          <w:szCs w:val="16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439"/>
        <w:gridCol w:w="6094"/>
        <w:gridCol w:w="3193"/>
      </w:tblGrid>
      <w:tr w:rsidR="00320FF6" w:rsidRPr="00456473" w14:paraId="4E7FD45F" w14:textId="77777777" w:rsidTr="00320FF6">
        <w:tc>
          <w:tcPr>
            <w:tcW w:w="1847" w:type="pct"/>
          </w:tcPr>
          <w:p w14:paraId="5C427455" w14:textId="1DB330F9" w:rsidR="00320FF6" w:rsidRPr="00456473" w:rsidRDefault="00320FF6" w:rsidP="00456473">
            <w:pPr>
              <w:spacing w:after="175" w:line="523" w:lineRule="auto"/>
              <w:ind w:right="2857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  <w:r w:rsidRPr="00456473">
              <w:rPr>
                <w:rFonts w:ascii="Arial" w:eastAsia="Arial" w:hAnsi="Arial" w:cs="Arial"/>
                <w:b/>
                <w:sz w:val="20"/>
                <w:szCs w:val="16"/>
              </w:rPr>
              <w:t>Questions</w:t>
            </w:r>
          </w:p>
        </w:tc>
        <w:tc>
          <w:tcPr>
            <w:tcW w:w="2069" w:type="pct"/>
          </w:tcPr>
          <w:p w14:paraId="63960432" w14:textId="505DB683" w:rsidR="00320FF6" w:rsidRPr="00456473" w:rsidRDefault="00320FF6" w:rsidP="00456473">
            <w:pPr>
              <w:spacing w:after="175" w:line="523" w:lineRule="auto"/>
              <w:ind w:right="2857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  <w:r>
              <w:rPr>
                <w:rFonts w:ascii="Arial" w:eastAsia="Arial" w:hAnsi="Arial" w:cs="Arial"/>
                <w:b/>
                <w:sz w:val="20"/>
                <w:szCs w:val="16"/>
              </w:rPr>
              <w:t>Items</w:t>
            </w:r>
          </w:p>
        </w:tc>
        <w:tc>
          <w:tcPr>
            <w:tcW w:w="1084" w:type="pct"/>
          </w:tcPr>
          <w:p w14:paraId="7C75CE7F" w14:textId="1EE8C9E4" w:rsidR="00320FF6" w:rsidRPr="00456473" w:rsidRDefault="00320FF6" w:rsidP="00456473">
            <w:pPr>
              <w:spacing w:after="175" w:line="523" w:lineRule="auto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  <w:r w:rsidRPr="00456473">
              <w:rPr>
                <w:rFonts w:ascii="Arial" w:eastAsia="Arial" w:hAnsi="Arial" w:cs="Arial"/>
                <w:b/>
                <w:sz w:val="20"/>
                <w:szCs w:val="16"/>
              </w:rPr>
              <w:t>Réponses</w:t>
            </w:r>
          </w:p>
        </w:tc>
      </w:tr>
      <w:tr w:rsidR="00320FF6" w:rsidRPr="00456473" w14:paraId="27486850" w14:textId="77777777" w:rsidTr="00320FF6">
        <w:tc>
          <w:tcPr>
            <w:tcW w:w="1847" w:type="pct"/>
            <w:vAlign w:val="center"/>
          </w:tcPr>
          <w:p w14:paraId="46007544" w14:textId="77777777" w:rsidR="00320FF6" w:rsidRDefault="00320FF6" w:rsidP="006E339D">
            <w:pPr>
              <w:pStyle w:val="Default"/>
              <w:ind w:hanging="360"/>
              <w:rPr>
                <w:color w:val="auto"/>
              </w:rPr>
            </w:pPr>
          </w:p>
          <w:p w14:paraId="1A9F7FB5" w14:textId="3B0B8AF7" w:rsidR="00320FF6" w:rsidRDefault="00320FF6" w:rsidP="006E339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Sous critère 1) Adéquation des moyens humains dédiés à </w:t>
            </w:r>
            <w:r w:rsidRPr="006062E4">
              <w:rPr>
                <w:b/>
                <w:sz w:val="20"/>
                <w:szCs w:val="20"/>
              </w:rPr>
              <w:t>l’exécution</w:t>
            </w:r>
            <w:r>
              <w:rPr>
                <w:sz w:val="20"/>
                <w:szCs w:val="20"/>
              </w:rPr>
              <w:t xml:space="preserve"> du marché</w:t>
            </w:r>
            <w:r w:rsidR="0096459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: 5% </w:t>
            </w:r>
          </w:p>
          <w:p w14:paraId="2B7CF43D" w14:textId="77777777" w:rsidR="00320FF6" w:rsidRPr="00456473" w:rsidRDefault="00320FF6" w:rsidP="006E339D">
            <w:pPr>
              <w:spacing w:after="175" w:line="523" w:lineRule="auto"/>
              <w:ind w:right="2857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</w:p>
        </w:tc>
        <w:tc>
          <w:tcPr>
            <w:tcW w:w="2069" w:type="pct"/>
          </w:tcPr>
          <w:p w14:paraId="23E643EB" w14:textId="5A87C059" w:rsidR="00C5591B" w:rsidRDefault="00424A21" w:rsidP="0096459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24A21">
              <w:rPr>
                <w:sz w:val="20"/>
                <w:szCs w:val="20"/>
              </w:rPr>
              <w:t>résentation de la composition de</w:t>
            </w:r>
            <w:r w:rsidR="0096459B">
              <w:rPr>
                <w:sz w:val="20"/>
                <w:szCs w:val="20"/>
              </w:rPr>
              <w:t xml:space="preserve"> chaque</w:t>
            </w:r>
            <w:r w:rsidRPr="00424A21">
              <w:rPr>
                <w:sz w:val="20"/>
                <w:szCs w:val="20"/>
              </w:rPr>
              <w:t xml:space="preserve"> équipe</w:t>
            </w:r>
            <w:r w:rsidR="0096459B">
              <w:rPr>
                <w:sz w:val="20"/>
                <w:szCs w:val="20"/>
              </w:rPr>
              <w:t xml:space="preserve"> locale</w:t>
            </w:r>
            <w:r w:rsidRPr="00424A21">
              <w:rPr>
                <w:sz w:val="20"/>
                <w:szCs w:val="20"/>
              </w:rPr>
              <w:t xml:space="preserve"> du soumissionnaire qui sera l’interlocutrice de FranceAgriMer lors de l’exécution de l’accord cadre</w:t>
            </w:r>
            <w:r w:rsidR="00C5591B">
              <w:rPr>
                <w:sz w:val="20"/>
                <w:szCs w:val="20"/>
              </w:rPr>
              <w:t xml:space="preserve"> : </w:t>
            </w:r>
          </w:p>
          <w:p w14:paraId="5720B213" w14:textId="77777777" w:rsidR="00320FF6" w:rsidRPr="00C5591B" w:rsidRDefault="00C5591B" w:rsidP="00C5591B">
            <w:pPr>
              <w:pStyle w:val="Default"/>
              <w:numPr>
                <w:ilvl w:val="0"/>
                <w:numId w:val="11"/>
              </w:numPr>
              <w:rPr>
                <w:rFonts w:eastAsia="Arial"/>
                <w:b/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Moyens humains pour le suivi des </w:t>
            </w:r>
            <w:r w:rsidRPr="00BF4C53">
              <w:rPr>
                <w:sz w:val="20"/>
                <w:szCs w:val="20"/>
              </w:rPr>
              <w:t>prestations de Montreuil</w:t>
            </w:r>
          </w:p>
          <w:p w14:paraId="6746311D" w14:textId="1C5C6164" w:rsidR="00C5591B" w:rsidRPr="00456473" w:rsidRDefault="00C5591B" w:rsidP="00C5591B">
            <w:pPr>
              <w:pStyle w:val="Default"/>
              <w:numPr>
                <w:ilvl w:val="0"/>
                <w:numId w:val="11"/>
              </w:numPr>
              <w:rPr>
                <w:rFonts w:eastAsia="Arial"/>
                <w:b/>
                <w:sz w:val="20"/>
                <w:szCs w:val="16"/>
              </w:rPr>
            </w:pPr>
            <w:r w:rsidRPr="00BF4C53">
              <w:rPr>
                <w:sz w:val="20"/>
                <w:szCs w:val="20"/>
              </w:rPr>
              <w:t>Moyens humains pour l</w:t>
            </w:r>
            <w:r>
              <w:rPr>
                <w:sz w:val="20"/>
                <w:szCs w:val="20"/>
              </w:rPr>
              <w:t>e suivi d</w:t>
            </w:r>
            <w:r w:rsidRPr="00BF4C53">
              <w:rPr>
                <w:sz w:val="20"/>
                <w:szCs w:val="20"/>
              </w:rPr>
              <w:t>es prestations de Libourne</w:t>
            </w:r>
          </w:p>
        </w:tc>
        <w:tc>
          <w:tcPr>
            <w:tcW w:w="1084" w:type="pct"/>
          </w:tcPr>
          <w:p w14:paraId="73B2A3F2" w14:textId="0D2BE03D" w:rsidR="00320FF6" w:rsidRPr="00456473" w:rsidRDefault="00320FF6" w:rsidP="006E339D">
            <w:pPr>
              <w:spacing w:after="175" w:line="523" w:lineRule="auto"/>
              <w:ind w:right="2857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</w:p>
        </w:tc>
      </w:tr>
      <w:tr w:rsidR="00320FF6" w:rsidRPr="00456473" w14:paraId="14A623C9" w14:textId="77777777" w:rsidTr="00320FF6">
        <w:tc>
          <w:tcPr>
            <w:tcW w:w="1847" w:type="pct"/>
            <w:vMerge w:val="restart"/>
            <w:vAlign w:val="center"/>
          </w:tcPr>
          <w:p w14:paraId="73F2F999" w14:textId="388D72C1" w:rsidR="00320FF6" w:rsidRDefault="00320FF6" w:rsidP="006E339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Sous critère 2) Méthodologie de mise en œuvre pour le recrutement des </w:t>
            </w:r>
            <w:r w:rsidR="0096459B">
              <w:rPr>
                <w:sz w:val="20"/>
                <w:szCs w:val="20"/>
              </w:rPr>
              <w:t xml:space="preserve">agents </w:t>
            </w:r>
            <w:r>
              <w:rPr>
                <w:sz w:val="20"/>
                <w:szCs w:val="20"/>
              </w:rPr>
              <w:t xml:space="preserve">intérimaires et pertinence des profils types pour chacune des 4 fiches de poste : 12% </w:t>
            </w:r>
          </w:p>
          <w:p w14:paraId="4DBD068D" w14:textId="77777777" w:rsidR="00320FF6" w:rsidRPr="00456473" w:rsidRDefault="00320FF6" w:rsidP="006E339D">
            <w:pPr>
              <w:spacing w:after="175" w:line="523" w:lineRule="auto"/>
              <w:ind w:right="2857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</w:p>
        </w:tc>
        <w:tc>
          <w:tcPr>
            <w:tcW w:w="2069" w:type="pct"/>
          </w:tcPr>
          <w:p w14:paraId="34CB039E" w14:textId="24EAF425" w:rsidR="00320FF6" w:rsidRPr="00320FF6" w:rsidRDefault="00320FF6" w:rsidP="0096459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20FF6">
              <w:rPr>
                <w:sz w:val="20"/>
                <w:szCs w:val="20"/>
              </w:rPr>
              <w:t>escription détaillée de la procédure interne de recrutement du personnel intérimaire (sourcing, entretien, tests techniques et comportementaux</w:t>
            </w:r>
            <w:r w:rsidR="0096459B">
              <w:rPr>
                <w:sz w:val="20"/>
                <w:szCs w:val="20"/>
              </w:rPr>
              <w:t xml:space="preserve"> éventuels</w:t>
            </w:r>
            <w:r w:rsidRPr="00320FF6">
              <w:rPr>
                <w:sz w:val="20"/>
                <w:szCs w:val="20"/>
              </w:rPr>
              <w:t>, contrôle de référence</w:t>
            </w:r>
            <w:r w:rsidR="0096459B">
              <w:rPr>
                <w:sz w:val="20"/>
                <w:szCs w:val="20"/>
              </w:rPr>
              <w:t>s</w:t>
            </w:r>
            <w:r w:rsidRPr="00320FF6">
              <w:rPr>
                <w:sz w:val="20"/>
                <w:szCs w:val="20"/>
              </w:rPr>
              <w:t xml:space="preserve"> et de diplôme</w:t>
            </w:r>
            <w:r w:rsidR="0096459B">
              <w:rPr>
                <w:sz w:val="20"/>
                <w:szCs w:val="20"/>
              </w:rPr>
              <w:t>s</w:t>
            </w:r>
            <w:r w:rsidRPr="00320FF6">
              <w:rPr>
                <w:sz w:val="20"/>
                <w:szCs w:val="20"/>
              </w:rPr>
              <w:t xml:space="preserve">, suivi médical, vivier disponible…), </w:t>
            </w:r>
          </w:p>
        </w:tc>
        <w:tc>
          <w:tcPr>
            <w:tcW w:w="1084" w:type="pct"/>
          </w:tcPr>
          <w:p w14:paraId="67B1375F" w14:textId="23454DEB" w:rsidR="00320FF6" w:rsidRPr="00456473" w:rsidRDefault="00320FF6" w:rsidP="006E339D">
            <w:pPr>
              <w:spacing w:after="175" w:line="523" w:lineRule="auto"/>
              <w:ind w:right="2857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</w:p>
        </w:tc>
      </w:tr>
      <w:tr w:rsidR="00320FF6" w:rsidRPr="00456473" w14:paraId="276A9C61" w14:textId="77777777" w:rsidTr="00320FF6">
        <w:tc>
          <w:tcPr>
            <w:tcW w:w="1847" w:type="pct"/>
            <w:vMerge/>
            <w:vAlign w:val="center"/>
          </w:tcPr>
          <w:p w14:paraId="4764AFC0" w14:textId="77777777" w:rsidR="00320FF6" w:rsidRDefault="00320FF6" w:rsidP="006E33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069" w:type="pct"/>
          </w:tcPr>
          <w:p w14:paraId="7CB7447E" w14:textId="02F40D38" w:rsidR="00320FF6" w:rsidRPr="00456473" w:rsidRDefault="00320FF6" w:rsidP="00320FF6">
            <w:pPr>
              <w:pStyle w:val="Default"/>
              <w:rPr>
                <w:rFonts w:eastAsia="Arial"/>
                <w:b/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Profils de fiches de poste </w:t>
            </w:r>
            <w:r w:rsidRPr="00320FF6">
              <w:rPr>
                <w:sz w:val="20"/>
                <w:szCs w:val="20"/>
              </w:rPr>
              <w:t>correspondant</w:t>
            </w:r>
            <w:r>
              <w:rPr>
                <w:sz w:val="20"/>
                <w:szCs w:val="20"/>
              </w:rPr>
              <w:t xml:space="preserve"> aux 4 fiches de poste</w:t>
            </w:r>
          </w:p>
        </w:tc>
        <w:tc>
          <w:tcPr>
            <w:tcW w:w="1084" w:type="pct"/>
          </w:tcPr>
          <w:p w14:paraId="1DCB9D9F" w14:textId="77777777" w:rsidR="00320FF6" w:rsidRPr="00456473" w:rsidRDefault="00320FF6" w:rsidP="006E339D">
            <w:pPr>
              <w:spacing w:after="175" w:line="523" w:lineRule="auto"/>
              <w:ind w:right="2857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</w:p>
        </w:tc>
      </w:tr>
      <w:tr w:rsidR="00320FF6" w:rsidRPr="00456473" w14:paraId="20C53FC5" w14:textId="77777777" w:rsidTr="00320FF6">
        <w:tc>
          <w:tcPr>
            <w:tcW w:w="1847" w:type="pct"/>
            <w:vMerge w:val="restart"/>
            <w:vAlign w:val="center"/>
          </w:tcPr>
          <w:p w14:paraId="7EC70D59" w14:textId="64A4F2CD" w:rsidR="00320FF6" w:rsidRDefault="00320FF6" w:rsidP="006E339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Sous critère 3) Gestion et suivi des aléas durant les prestations notamment en </w:t>
            </w:r>
            <w:r w:rsidRPr="008B13A9">
              <w:rPr>
                <w:sz w:val="20"/>
                <w:szCs w:val="20"/>
              </w:rPr>
              <w:t xml:space="preserve">terme d’absences des </w:t>
            </w:r>
            <w:r w:rsidR="0096459B" w:rsidRPr="008B13A9">
              <w:rPr>
                <w:sz w:val="20"/>
                <w:szCs w:val="20"/>
              </w:rPr>
              <w:t xml:space="preserve">agents </w:t>
            </w:r>
            <w:r w:rsidRPr="008B13A9">
              <w:rPr>
                <w:sz w:val="20"/>
                <w:szCs w:val="20"/>
              </w:rPr>
              <w:t>intérimaires et de facturation (en particulier le supplément familial de traitement, l’indemnité de résidence</w:t>
            </w:r>
            <w:r>
              <w:rPr>
                <w:sz w:val="20"/>
                <w:szCs w:val="20"/>
              </w:rPr>
              <w:t>…): 8%</w:t>
            </w:r>
          </w:p>
          <w:p w14:paraId="16AACCE8" w14:textId="77777777" w:rsidR="00320FF6" w:rsidRPr="00456473" w:rsidRDefault="00320FF6" w:rsidP="00320FF6">
            <w:pPr>
              <w:spacing w:after="175" w:line="523" w:lineRule="auto"/>
              <w:ind w:right="-8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</w:p>
        </w:tc>
        <w:tc>
          <w:tcPr>
            <w:tcW w:w="2069" w:type="pct"/>
          </w:tcPr>
          <w:p w14:paraId="6840655A" w14:textId="77777777" w:rsidR="008B13A9" w:rsidRDefault="008B13A9" w:rsidP="008B13A9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B13A9">
              <w:rPr>
                <w:sz w:val="20"/>
                <w:szCs w:val="20"/>
                <w:u w:val="single"/>
              </w:rPr>
              <w:t>Gestion</w:t>
            </w:r>
            <w:r>
              <w:rPr>
                <w:sz w:val="20"/>
                <w:szCs w:val="20"/>
              </w:rPr>
              <w:t> :</w:t>
            </w:r>
          </w:p>
          <w:p w14:paraId="3414574F" w14:textId="01D34F5C" w:rsidR="00320FF6" w:rsidRDefault="00BF4C53" w:rsidP="008B13A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F4C53">
              <w:rPr>
                <w:sz w:val="20"/>
                <w:szCs w:val="20"/>
              </w:rPr>
              <w:t>résentation de l’organisation proposée pour assurer le suivi et la qualité des prestations (notamment les modalités de mise en place du contrat de mise à disposition dans le respect des délais légaux</w:t>
            </w:r>
            <w:r w:rsidR="008B13A9">
              <w:rPr>
                <w:sz w:val="20"/>
                <w:szCs w:val="20"/>
              </w:rPr>
              <w:t>..</w:t>
            </w:r>
            <w:r w:rsidRPr="00BF4C53">
              <w:rPr>
                <w:sz w:val="20"/>
                <w:szCs w:val="20"/>
              </w:rPr>
              <w:t>.)</w:t>
            </w:r>
          </w:p>
          <w:p w14:paraId="6982F37B" w14:textId="77777777" w:rsidR="008B13A9" w:rsidRDefault="00413C33" w:rsidP="008B13A9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13C33">
              <w:rPr>
                <w:sz w:val="20"/>
                <w:szCs w:val="20"/>
                <w:u w:val="single"/>
              </w:rPr>
              <w:t>Suivi des aléas</w:t>
            </w:r>
            <w:r w:rsidR="008B13A9">
              <w:rPr>
                <w:sz w:val="20"/>
                <w:szCs w:val="20"/>
              </w:rPr>
              <w:t> </w:t>
            </w:r>
          </w:p>
          <w:p w14:paraId="73DF08E4" w14:textId="42168BE1" w:rsidR="00413C33" w:rsidRPr="00BF4C53" w:rsidRDefault="008B13A9" w:rsidP="008B13A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413C33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sences des agents, facturation…</w:t>
            </w:r>
          </w:p>
        </w:tc>
        <w:tc>
          <w:tcPr>
            <w:tcW w:w="1084" w:type="pct"/>
          </w:tcPr>
          <w:p w14:paraId="31839A5A" w14:textId="6B5696AB" w:rsidR="00320FF6" w:rsidRPr="00456473" w:rsidRDefault="00320FF6" w:rsidP="006E339D">
            <w:pPr>
              <w:spacing w:after="175" w:line="523" w:lineRule="auto"/>
              <w:ind w:right="2857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</w:p>
        </w:tc>
      </w:tr>
      <w:tr w:rsidR="00320FF6" w:rsidRPr="00456473" w14:paraId="2842571E" w14:textId="77777777" w:rsidTr="00320FF6">
        <w:tc>
          <w:tcPr>
            <w:tcW w:w="1847" w:type="pct"/>
            <w:vMerge/>
            <w:vAlign w:val="center"/>
          </w:tcPr>
          <w:p w14:paraId="0D682EE9" w14:textId="77777777" w:rsidR="00320FF6" w:rsidRDefault="00320FF6" w:rsidP="006E339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069" w:type="pct"/>
          </w:tcPr>
          <w:p w14:paraId="70DC57B7" w14:textId="1D5FC8E9" w:rsidR="00320FF6" w:rsidRPr="00BF4C53" w:rsidRDefault="00320FF6" w:rsidP="00BF4C5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4" w:type="pct"/>
          </w:tcPr>
          <w:p w14:paraId="501DF4BA" w14:textId="77777777" w:rsidR="00320FF6" w:rsidRPr="00456473" w:rsidRDefault="00320FF6" w:rsidP="006E339D">
            <w:pPr>
              <w:spacing w:after="175" w:line="523" w:lineRule="auto"/>
              <w:ind w:right="2857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</w:p>
        </w:tc>
      </w:tr>
      <w:tr w:rsidR="00320FF6" w:rsidRPr="00456473" w14:paraId="1D14C2C0" w14:textId="77777777" w:rsidTr="00320FF6">
        <w:tc>
          <w:tcPr>
            <w:tcW w:w="1847" w:type="pct"/>
            <w:vAlign w:val="center"/>
          </w:tcPr>
          <w:p w14:paraId="57A821BB" w14:textId="332DC434" w:rsidR="00320FF6" w:rsidRPr="00320FF6" w:rsidRDefault="00320FF6" w:rsidP="00320FF6">
            <w:pPr>
              <w:pStyle w:val="Default"/>
              <w:rPr>
                <w:sz w:val="20"/>
                <w:szCs w:val="20"/>
              </w:rPr>
            </w:pPr>
            <w:r w:rsidRPr="00320FF6">
              <w:rPr>
                <w:sz w:val="20"/>
                <w:szCs w:val="20"/>
              </w:rPr>
              <w:t xml:space="preserve">Sous critère 4) Démarche sociale mis en œuvre pour les </w:t>
            </w:r>
            <w:r w:rsidR="0096459B">
              <w:rPr>
                <w:sz w:val="20"/>
                <w:szCs w:val="20"/>
              </w:rPr>
              <w:t xml:space="preserve">agents </w:t>
            </w:r>
            <w:r w:rsidRPr="00320FF6">
              <w:rPr>
                <w:sz w:val="20"/>
                <w:szCs w:val="20"/>
              </w:rPr>
              <w:t>intérimaires du présent marché : 5%</w:t>
            </w:r>
          </w:p>
        </w:tc>
        <w:tc>
          <w:tcPr>
            <w:tcW w:w="2069" w:type="pct"/>
          </w:tcPr>
          <w:p w14:paraId="0B3A074F" w14:textId="26BBD815" w:rsidR="00320FF6" w:rsidRPr="00DF6428" w:rsidRDefault="00320FF6" w:rsidP="00320FF6">
            <w:pPr>
              <w:pStyle w:val="Default"/>
              <w:rPr>
                <w:sz w:val="20"/>
                <w:szCs w:val="20"/>
              </w:rPr>
            </w:pPr>
            <w:r w:rsidRPr="00DF6428">
              <w:rPr>
                <w:sz w:val="20"/>
                <w:szCs w:val="20"/>
              </w:rPr>
              <w:t xml:space="preserve">Décrivez la méthodologie mise en oeuvre pour lutter contre les discriminations et favoriser la diversité dans le cadre des </w:t>
            </w:r>
            <w:r w:rsidR="00B11715">
              <w:rPr>
                <w:sz w:val="20"/>
                <w:szCs w:val="20"/>
              </w:rPr>
              <w:t xml:space="preserve">présentes </w:t>
            </w:r>
            <w:r w:rsidRPr="00DF6428">
              <w:rPr>
                <w:sz w:val="20"/>
                <w:szCs w:val="20"/>
              </w:rPr>
              <w:t>prestations</w:t>
            </w:r>
            <w:r w:rsidR="008B13A9">
              <w:rPr>
                <w:sz w:val="20"/>
                <w:szCs w:val="20"/>
              </w:rPr>
              <w:t xml:space="preserve"> </w:t>
            </w:r>
            <w:r w:rsidRPr="00DF6428">
              <w:rPr>
                <w:sz w:val="20"/>
                <w:szCs w:val="20"/>
              </w:rPr>
              <w:t xml:space="preserve">notamment sur les aspects suivants : </w:t>
            </w:r>
          </w:p>
          <w:p w14:paraId="4C370A9C" w14:textId="77777777" w:rsidR="00320FF6" w:rsidRPr="00DF6428" w:rsidRDefault="00320FF6" w:rsidP="00320FF6">
            <w:pPr>
              <w:pStyle w:val="Defaul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Non-discrimination </w:t>
            </w:r>
          </w:p>
          <w:p w14:paraId="769EEEC1" w14:textId="77777777" w:rsidR="00320FF6" w:rsidRPr="00DF6428" w:rsidRDefault="00320FF6" w:rsidP="00320FF6">
            <w:pPr>
              <w:pStyle w:val="Defaul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F6428">
              <w:rPr>
                <w:sz w:val="20"/>
                <w:szCs w:val="20"/>
              </w:rPr>
              <w:t xml:space="preserve">Inclusion des personnels en situation de handicap </w:t>
            </w:r>
          </w:p>
          <w:p w14:paraId="35EA60B2" w14:textId="77777777" w:rsidR="0096459B" w:rsidRDefault="00320FF6" w:rsidP="00320FF6">
            <w:pPr>
              <w:pStyle w:val="Defaul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F6428">
              <w:rPr>
                <w:sz w:val="20"/>
                <w:szCs w:val="20"/>
              </w:rPr>
              <w:t>Insertion des personnes éloignées de l’emploi</w:t>
            </w:r>
          </w:p>
          <w:p w14:paraId="15BF4B62" w14:textId="220E25FE" w:rsidR="0096459B" w:rsidRDefault="0096459B" w:rsidP="00320FF6">
            <w:pPr>
              <w:pStyle w:val="Defaul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Politique de la formation</w:t>
            </w:r>
          </w:p>
          <w:p w14:paraId="15AC3643" w14:textId="4EB09EA8" w:rsidR="00320FF6" w:rsidRPr="00456473" w:rsidRDefault="00320FF6" w:rsidP="0096459B">
            <w:pPr>
              <w:pStyle w:val="Default"/>
              <w:ind w:left="720"/>
              <w:rPr>
                <w:rFonts w:eastAsia="Arial"/>
                <w:b/>
                <w:szCs w:val="16"/>
              </w:rPr>
            </w:pPr>
          </w:p>
        </w:tc>
        <w:tc>
          <w:tcPr>
            <w:tcW w:w="1084" w:type="pct"/>
          </w:tcPr>
          <w:p w14:paraId="6822E0BE" w14:textId="4E650CE3" w:rsidR="00320FF6" w:rsidRPr="00456473" w:rsidRDefault="00320FF6" w:rsidP="006E339D">
            <w:pPr>
              <w:spacing w:after="175" w:line="523" w:lineRule="auto"/>
              <w:ind w:right="2857"/>
              <w:jc w:val="center"/>
              <w:rPr>
                <w:rFonts w:ascii="Arial" w:eastAsia="Arial" w:hAnsi="Arial" w:cs="Arial"/>
                <w:b/>
                <w:sz w:val="20"/>
                <w:szCs w:val="16"/>
              </w:rPr>
            </w:pPr>
          </w:p>
        </w:tc>
      </w:tr>
    </w:tbl>
    <w:p w14:paraId="639E1780" w14:textId="66BB98B6" w:rsidR="00805AB7" w:rsidRDefault="00805AB7" w:rsidP="00973896">
      <w:pPr>
        <w:spacing w:after="175" w:line="523" w:lineRule="auto"/>
        <w:ind w:left="1234" w:right="2857" w:hanging="1249"/>
        <w:jc w:val="both"/>
        <w:rPr>
          <w:rFonts w:ascii="Arial" w:eastAsia="Arial" w:hAnsi="Arial" w:cs="Arial"/>
          <w:sz w:val="16"/>
          <w:szCs w:val="16"/>
        </w:rPr>
      </w:pPr>
    </w:p>
    <w:sectPr w:rsidR="00805AB7" w:rsidSect="00320FF6">
      <w:headerReference w:type="default" r:id="rId8"/>
      <w:pgSz w:w="16834" w:h="11904" w:orient="landscape" w:code="9"/>
      <w:pgMar w:top="964" w:right="964" w:bottom="964" w:left="1134" w:header="720" w:footer="720" w:gutter="0"/>
      <w:cols w:space="720"/>
      <w:vAlign w:val="center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D3C95" w14:textId="77777777" w:rsidR="00283D78" w:rsidRDefault="00283D78" w:rsidP="002E6112">
      <w:pPr>
        <w:spacing w:after="0" w:line="240" w:lineRule="auto"/>
      </w:pPr>
      <w:r>
        <w:separator/>
      </w:r>
    </w:p>
  </w:endnote>
  <w:endnote w:type="continuationSeparator" w:id="0">
    <w:p w14:paraId="23D0FB94" w14:textId="77777777" w:rsidR="00283D78" w:rsidRDefault="00283D78" w:rsidP="002E6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A55D6" w14:textId="77777777" w:rsidR="00283D78" w:rsidRDefault="00283D78" w:rsidP="002E6112">
      <w:pPr>
        <w:spacing w:after="0" w:line="240" w:lineRule="auto"/>
      </w:pPr>
      <w:r>
        <w:separator/>
      </w:r>
    </w:p>
  </w:footnote>
  <w:footnote w:type="continuationSeparator" w:id="0">
    <w:p w14:paraId="796A5CCF" w14:textId="77777777" w:rsidR="00283D78" w:rsidRDefault="00283D78" w:rsidP="002E6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904A8" w14:textId="1C31349B" w:rsidR="002E6112" w:rsidRDefault="00456473">
    <w:pPr>
      <w:pStyle w:val="En-tte"/>
    </w:pPr>
    <w:r>
      <w:t>CRT intérim FranceAgriMer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6EDC"/>
    <w:multiLevelType w:val="hybridMultilevel"/>
    <w:tmpl w:val="AD4834E2"/>
    <w:lvl w:ilvl="0" w:tplc="DEC0EBC0">
      <w:start w:val="1"/>
      <w:numFmt w:val="decimal"/>
      <w:lvlText w:val="(%1)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155B0A7A"/>
    <w:multiLevelType w:val="hybridMultilevel"/>
    <w:tmpl w:val="5052D6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F6CEA"/>
    <w:multiLevelType w:val="hybridMultilevel"/>
    <w:tmpl w:val="6EC022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C4BB5"/>
    <w:multiLevelType w:val="hybridMultilevel"/>
    <w:tmpl w:val="2F183A5A"/>
    <w:lvl w:ilvl="0" w:tplc="9D44AA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A3804"/>
    <w:multiLevelType w:val="hybridMultilevel"/>
    <w:tmpl w:val="C55869DE"/>
    <w:lvl w:ilvl="0" w:tplc="794E156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76C87"/>
    <w:multiLevelType w:val="hybridMultilevel"/>
    <w:tmpl w:val="7B98E514"/>
    <w:lvl w:ilvl="0" w:tplc="040C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35387082"/>
    <w:multiLevelType w:val="hybridMultilevel"/>
    <w:tmpl w:val="248C8E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42482"/>
    <w:multiLevelType w:val="hybridMultilevel"/>
    <w:tmpl w:val="F1EA5DC6"/>
    <w:lvl w:ilvl="0" w:tplc="B7B8A48A">
      <w:start w:val="1"/>
      <w:numFmt w:val="decimal"/>
      <w:lvlText w:val="%1)"/>
      <w:lvlJc w:val="left"/>
      <w:pPr>
        <w:ind w:left="720" w:hanging="360"/>
      </w:pPr>
      <w:rPr>
        <w:rFonts w:ascii="Marianne" w:eastAsia="Calibri" w:hAnsi="Marianne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027A2"/>
    <w:multiLevelType w:val="hybridMultilevel"/>
    <w:tmpl w:val="F1EA5DC6"/>
    <w:lvl w:ilvl="0" w:tplc="B7B8A48A">
      <w:start w:val="1"/>
      <w:numFmt w:val="decimal"/>
      <w:lvlText w:val="%1)"/>
      <w:lvlJc w:val="left"/>
      <w:pPr>
        <w:ind w:left="720" w:hanging="360"/>
      </w:pPr>
      <w:rPr>
        <w:rFonts w:ascii="Marianne" w:eastAsia="Calibri" w:hAnsi="Marianne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96375"/>
    <w:multiLevelType w:val="multilevel"/>
    <w:tmpl w:val="8196BE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Cs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042"/>
        </w:tabs>
        <w:ind w:left="1042" w:hanging="360"/>
      </w:pPr>
      <w:rPr>
        <w:rFonts w:ascii="Arial" w:hAnsi="Arial" w:cs="Arial"/>
        <w:sz w:val="22"/>
        <w:szCs w:val="22"/>
      </w:rPr>
    </w:lvl>
    <w:lvl w:ilvl="2">
      <w:start w:val="1"/>
      <w:numFmt w:val="bullet"/>
      <w:lvlText w:val=""/>
      <w:lvlJc w:val="left"/>
      <w:pPr>
        <w:tabs>
          <w:tab w:val="num" w:pos="1942"/>
        </w:tabs>
        <w:ind w:left="1942" w:hanging="18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7687794B"/>
    <w:multiLevelType w:val="hybridMultilevel"/>
    <w:tmpl w:val="EFA4F8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13082"/>
    <w:multiLevelType w:val="hybridMultilevel"/>
    <w:tmpl w:val="704816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1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3A"/>
    <w:rsid w:val="00006438"/>
    <w:rsid w:val="0000683A"/>
    <w:rsid w:val="0002542B"/>
    <w:rsid w:val="00052D0F"/>
    <w:rsid w:val="000931F1"/>
    <w:rsid w:val="000A38E5"/>
    <w:rsid w:val="000A7CBB"/>
    <w:rsid w:val="000B0BCC"/>
    <w:rsid w:val="000D3BC2"/>
    <w:rsid w:val="000F21B1"/>
    <w:rsid w:val="00114F12"/>
    <w:rsid w:val="001670AC"/>
    <w:rsid w:val="00174EF5"/>
    <w:rsid w:val="00204217"/>
    <w:rsid w:val="002107AF"/>
    <w:rsid w:val="002117DA"/>
    <w:rsid w:val="002516D3"/>
    <w:rsid w:val="002602E6"/>
    <w:rsid w:val="0026753D"/>
    <w:rsid w:val="00273C8A"/>
    <w:rsid w:val="00283D78"/>
    <w:rsid w:val="002E04A9"/>
    <w:rsid w:val="002E2E51"/>
    <w:rsid w:val="002E6112"/>
    <w:rsid w:val="002F72BB"/>
    <w:rsid w:val="00320FF6"/>
    <w:rsid w:val="00324A16"/>
    <w:rsid w:val="0033341A"/>
    <w:rsid w:val="003347BB"/>
    <w:rsid w:val="003672DA"/>
    <w:rsid w:val="003F1FD3"/>
    <w:rsid w:val="00413C33"/>
    <w:rsid w:val="00424A21"/>
    <w:rsid w:val="00431CB0"/>
    <w:rsid w:val="004415BA"/>
    <w:rsid w:val="0045514E"/>
    <w:rsid w:val="00456473"/>
    <w:rsid w:val="00462268"/>
    <w:rsid w:val="0046252D"/>
    <w:rsid w:val="004778B1"/>
    <w:rsid w:val="00490B5B"/>
    <w:rsid w:val="004B65B5"/>
    <w:rsid w:val="004C56AC"/>
    <w:rsid w:val="0056584C"/>
    <w:rsid w:val="00575EB4"/>
    <w:rsid w:val="005B2553"/>
    <w:rsid w:val="005B41F5"/>
    <w:rsid w:val="005C7446"/>
    <w:rsid w:val="005E5FB9"/>
    <w:rsid w:val="00605D58"/>
    <w:rsid w:val="006749A5"/>
    <w:rsid w:val="006B7EE3"/>
    <w:rsid w:val="006E339D"/>
    <w:rsid w:val="006E7258"/>
    <w:rsid w:val="00781E3E"/>
    <w:rsid w:val="00782908"/>
    <w:rsid w:val="007B16A0"/>
    <w:rsid w:val="00805AB7"/>
    <w:rsid w:val="00820771"/>
    <w:rsid w:val="00830384"/>
    <w:rsid w:val="0084107C"/>
    <w:rsid w:val="00847666"/>
    <w:rsid w:val="008B13A9"/>
    <w:rsid w:val="008C5816"/>
    <w:rsid w:val="0096440F"/>
    <w:rsid w:val="0096459B"/>
    <w:rsid w:val="00973896"/>
    <w:rsid w:val="009770C9"/>
    <w:rsid w:val="009D43E1"/>
    <w:rsid w:val="009E2929"/>
    <w:rsid w:val="009E62A7"/>
    <w:rsid w:val="009F0F42"/>
    <w:rsid w:val="00A02D72"/>
    <w:rsid w:val="00A17ADE"/>
    <w:rsid w:val="00A6032B"/>
    <w:rsid w:val="00A664D8"/>
    <w:rsid w:val="00A9183B"/>
    <w:rsid w:val="00A97A9F"/>
    <w:rsid w:val="00B11715"/>
    <w:rsid w:val="00B24DAD"/>
    <w:rsid w:val="00B323D8"/>
    <w:rsid w:val="00B717C3"/>
    <w:rsid w:val="00BD63B9"/>
    <w:rsid w:val="00BF4C53"/>
    <w:rsid w:val="00C147BD"/>
    <w:rsid w:val="00C5591B"/>
    <w:rsid w:val="00C61368"/>
    <w:rsid w:val="00C63248"/>
    <w:rsid w:val="00C725A6"/>
    <w:rsid w:val="00C74DB2"/>
    <w:rsid w:val="00CA6947"/>
    <w:rsid w:val="00CB1636"/>
    <w:rsid w:val="00CC14C7"/>
    <w:rsid w:val="00CE29AE"/>
    <w:rsid w:val="00D05BC2"/>
    <w:rsid w:val="00D2587B"/>
    <w:rsid w:val="00D42948"/>
    <w:rsid w:val="00D62429"/>
    <w:rsid w:val="00DC11D5"/>
    <w:rsid w:val="00DD32E8"/>
    <w:rsid w:val="00DF6428"/>
    <w:rsid w:val="00E07039"/>
    <w:rsid w:val="00E53DCA"/>
    <w:rsid w:val="00E933E1"/>
    <w:rsid w:val="00EA23DD"/>
    <w:rsid w:val="00EA2D29"/>
    <w:rsid w:val="00ED19A8"/>
    <w:rsid w:val="00F0105E"/>
    <w:rsid w:val="00F06D40"/>
    <w:rsid w:val="00F378F4"/>
    <w:rsid w:val="00F75A50"/>
    <w:rsid w:val="00FF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1460"/>
  <w15:docId w15:val="{65E623FE-0C57-4A3E-B37A-92CD17F5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E3E"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1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17DA"/>
    <w:rPr>
      <w:rFonts w:ascii="Segoe UI" w:eastAsia="Calibri" w:hAnsi="Segoe UI" w:cs="Segoe UI"/>
      <w:color w:val="000000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05AB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14F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14F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14F12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4F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F12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39"/>
    <w:rsid w:val="00CB1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E6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11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2E6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112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8C58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leu 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A4B88-5FD9-47C0-835A-7F6211814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Essi AGBAVON</dc:creator>
  <cp:keywords/>
  <cp:lastModifiedBy>MINARD Florence</cp:lastModifiedBy>
  <cp:revision>30</cp:revision>
  <cp:lastPrinted>2019-07-05T09:32:00Z</cp:lastPrinted>
  <dcterms:created xsi:type="dcterms:W3CDTF">2024-06-18T08:36:00Z</dcterms:created>
  <dcterms:modified xsi:type="dcterms:W3CDTF">2024-10-14T14:05:00Z</dcterms:modified>
</cp:coreProperties>
</file>