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FDFD3" w14:textId="77777777" w:rsidR="003B43A8" w:rsidRPr="00567E3E" w:rsidRDefault="003B43A8" w:rsidP="003B43A8">
      <w:pPr>
        <w:pStyle w:val="Index"/>
        <w:suppressLineNumbers w:val="0"/>
        <w:rPr>
          <w:rFonts w:ascii="Calibri" w:hAnsi="Calibri" w:cs="Calibri"/>
          <w:szCs w:val="22"/>
        </w:rPr>
      </w:pPr>
    </w:p>
    <w:tbl>
      <w:tblPr>
        <w:tblW w:w="0" w:type="auto"/>
        <w:tblInd w:w="414" w:type="dxa"/>
        <w:tblLayout w:type="fixed"/>
        <w:tblCellMar>
          <w:left w:w="0" w:type="dxa"/>
          <w:right w:w="0" w:type="dxa"/>
        </w:tblCellMar>
        <w:tblLook w:val="0000" w:firstRow="0" w:lastRow="0" w:firstColumn="0" w:lastColumn="0" w:noHBand="0" w:noVBand="0"/>
      </w:tblPr>
      <w:tblGrid>
        <w:gridCol w:w="8823"/>
      </w:tblGrid>
      <w:tr w:rsidR="003B43A8" w:rsidRPr="00995E8B" w14:paraId="12E41C08" w14:textId="77777777" w:rsidTr="00226E71">
        <w:tc>
          <w:tcPr>
            <w:tcW w:w="8823" w:type="dxa"/>
            <w:tcBorders>
              <w:top w:val="single" w:sz="4" w:space="0" w:color="000000"/>
              <w:left w:val="single" w:sz="4" w:space="0" w:color="000000"/>
              <w:bottom w:val="single" w:sz="4" w:space="0" w:color="000000"/>
              <w:right w:val="single" w:sz="4" w:space="0" w:color="000000"/>
            </w:tcBorders>
            <w:shd w:val="clear" w:color="auto" w:fill="auto"/>
          </w:tcPr>
          <w:p w14:paraId="7E2A6682" w14:textId="77777777" w:rsidR="003B43A8" w:rsidRPr="00995E8B" w:rsidRDefault="003B43A8" w:rsidP="00226E71">
            <w:pPr>
              <w:rPr>
                <w:rFonts w:ascii="Calibri" w:hAnsi="Calibri" w:cs="Calibri"/>
                <w:szCs w:val="22"/>
              </w:rPr>
            </w:pPr>
          </w:p>
          <w:p w14:paraId="3BAB86A8" w14:textId="77777777" w:rsidR="003B43A8" w:rsidRPr="005F2ADD" w:rsidRDefault="005F2ADD" w:rsidP="00226E71">
            <w:pPr>
              <w:jc w:val="center"/>
              <w:rPr>
                <w:rFonts w:ascii="Calibri" w:hAnsi="Calibri" w:cs="Calibri"/>
                <w:b/>
                <w:color w:val="FF0000"/>
                <w:sz w:val="40"/>
                <w:szCs w:val="40"/>
              </w:rPr>
            </w:pPr>
            <w:r w:rsidRPr="005F2ADD">
              <w:rPr>
                <w:rFonts w:ascii="Calibri" w:hAnsi="Calibri" w:cs="Calibri"/>
                <w:b/>
                <w:sz w:val="40"/>
                <w:szCs w:val="40"/>
              </w:rPr>
              <w:t>MEMOIRE TECHNIQUE</w:t>
            </w:r>
          </w:p>
          <w:p w14:paraId="3E59B791" w14:textId="77777777" w:rsidR="003B43A8" w:rsidRPr="00995E8B" w:rsidRDefault="003B43A8" w:rsidP="00226E71">
            <w:pPr>
              <w:rPr>
                <w:rFonts w:ascii="Calibri" w:hAnsi="Calibri" w:cs="Calibri"/>
                <w:szCs w:val="22"/>
              </w:rPr>
            </w:pPr>
          </w:p>
        </w:tc>
      </w:tr>
    </w:tbl>
    <w:p w14:paraId="54141707" w14:textId="77777777" w:rsidR="003B43A8" w:rsidRPr="00FF70F0" w:rsidRDefault="003B43A8" w:rsidP="003B43A8">
      <w:pPr>
        <w:jc w:val="center"/>
        <w:rPr>
          <w:rFonts w:ascii="Calibri" w:hAnsi="Calibri" w:cs="Calibri"/>
          <w:sz w:val="8"/>
          <w:szCs w:val="22"/>
        </w:rPr>
      </w:pPr>
    </w:p>
    <w:tbl>
      <w:tblPr>
        <w:tblW w:w="8823" w:type="dxa"/>
        <w:tblInd w:w="414" w:type="dxa"/>
        <w:tblLayout w:type="fixed"/>
        <w:tblCellMar>
          <w:left w:w="0" w:type="dxa"/>
          <w:right w:w="0" w:type="dxa"/>
        </w:tblCellMar>
        <w:tblLook w:val="0000" w:firstRow="0" w:lastRow="0" w:firstColumn="0" w:lastColumn="0" w:noHBand="0" w:noVBand="0"/>
      </w:tblPr>
      <w:tblGrid>
        <w:gridCol w:w="8823"/>
      </w:tblGrid>
      <w:tr w:rsidR="003B43A8" w:rsidRPr="00995E8B" w14:paraId="2050E796" w14:textId="77777777" w:rsidTr="00226E71">
        <w:tc>
          <w:tcPr>
            <w:tcW w:w="8823" w:type="dxa"/>
            <w:tcBorders>
              <w:top w:val="single" w:sz="4" w:space="0" w:color="000000"/>
              <w:left w:val="single" w:sz="4" w:space="0" w:color="000000"/>
              <w:bottom w:val="single" w:sz="4" w:space="0" w:color="000000"/>
              <w:right w:val="single" w:sz="4" w:space="0" w:color="000000"/>
            </w:tcBorders>
            <w:shd w:val="clear" w:color="auto" w:fill="auto"/>
          </w:tcPr>
          <w:p w14:paraId="21C44342" w14:textId="77777777" w:rsidR="003B43A8" w:rsidRPr="00995E8B" w:rsidRDefault="003B43A8" w:rsidP="00226E71">
            <w:pPr>
              <w:widowControl/>
              <w:shd w:val="clear" w:color="auto" w:fill="auto"/>
              <w:jc w:val="center"/>
              <w:rPr>
                <w:rFonts w:ascii="Calibri" w:hAnsi="Calibri" w:cs="Calibri"/>
                <w:b/>
                <w:szCs w:val="22"/>
                <w:highlight w:val="yellow"/>
              </w:rPr>
            </w:pPr>
          </w:p>
          <w:p w14:paraId="0154FB0B" w14:textId="5859FA41" w:rsidR="00F20461" w:rsidRPr="00F20461" w:rsidRDefault="00F20461" w:rsidP="00F20461">
            <w:pPr>
              <w:suppressAutoHyphens w:val="0"/>
              <w:jc w:val="center"/>
              <w:rPr>
                <w:b/>
                <w:szCs w:val="22"/>
              </w:rPr>
            </w:pPr>
            <w:r w:rsidRPr="00F20461">
              <w:rPr>
                <w:b/>
                <w:caps/>
                <w:szCs w:val="22"/>
              </w:rPr>
              <w:t xml:space="preserve">ACCORD CADRE </w:t>
            </w:r>
            <w:r w:rsidR="00BA6DEE">
              <w:rPr>
                <w:b/>
                <w:caps/>
                <w:szCs w:val="22"/>
              </w:rPr>
              <w:t xml:space="preserve">A BONS DE COMMANDE </w:t>
            </w:r>
            <w:r w:rsidRPr="00F20461">
              <w:rPr>
                <w:b/>
                <w:caps/>
                <w:szCs w:val="22"/>
              </w:rPr>
              <w:t xml:space="preserve">PASSE </w:t>
            </w:r>
            <w:r w:rsidRPr="00F20461">
              <w:rPr>
                <w:b/>
                <w:szCs w:val="22"/>
              </w:rPr>
              <w:t>EN APPEL D’OFFRES OUVERT</w:t>
            </w:r>
          </w:p>
          <w:p w14:paraId="342F9416" w14:textId="77777777" w:rsidR="003B43A8" w:rsidRPr="00995E8B" w:rsidRDefault="003B43A8" w:rsidP="00226E71">
            <w:pPr>
              <w:jc w:val="center"/>
              <w:rPr>
                <w:rFonts w:ascii="Calibri" w:hAnsi="Calibri" w:cs="Calibri"/>
                <w:szCs w:val="22"/>
              </w:rPr>
            </w:pPr>
          </w:p>
        </w:tc>
      </w:tr>
    </w:tbl>
    <w:p w14:paraId="5AD1316E" w14:textId="77777777" w:rsidR="003B43A8" w:rsidRPr="00995E8B" w:rsidRDefault="003B43A8" w:rsidP="003B43A8">
      <w:pPr>
        <w:jc w:val="center"/>
        <w:rPr>
          <w:rFonts w:ascii="Calibri" w:hAnsi="Calibri" w:cs="Calibri"/>
          <w:szCs w:val="22"/>
        </w:rPr>
      </w:pPr>
    </w:p>
    <w:tbl>
      <w:tblPr>
        <w:tblW w:w="0" w:type="auto"/>
        <w:tblInd w:w="348" w:type="dxa"/>
        <w:tblLayout w:type="fixed"/>
        <w:tblCellMar>
          <w:left w:w="0" w:type="dxa"/>
          <w:right w:w="0" w:type="dxa"/>
        </w:tblCellMar>
        <w:tblLook w:val="0000" w:firstRow="0" w:lastRow="0" w:firstColumn="0" w:lastColumn="0" w:noHBand="0" w:noVBand="0"/>
      </w:tblPr>
      <w:tblGrid>
        <w:gridCol w:w="8889"/>
      </w:tblGrid>
      <w:tr w:rsidR="003B43A8" w:rsidRPr="00995E8B" w14:paraId="21464CEF"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2662398B" w14:textId="77777777" w:rsidR="003B43A8" w:rsidRPr="00995E8B" w:rsidRDefault="003B43A8" w:rsidP="00226E71">
            <w:pPr>
              <w:jc w:val="center"/>
              <w:rPr>
                <w:rFonts w:ascii="Calibri" w:hAnsi="Calibri" w:cs="Calibri"/>
                <w:b/>
                <w:szCs w:val="22"/>
              </w:rPr>
            </w:pPr>
            <w:r w:rsidRPr="00995E8B">
              <w:rPr>
                <w:rFonts w:ascii="Calibri" w:hAnsi="Calibri" w:cs="Calibri"/>
                <w:b/>
                <w:szCs w:val="22"/>
              </w:rPr>
              <w:t>Acheteur public</w:t>
            </w:r>
          </w:p>
        </w:tc>
      </w:tr>
      <w:tr w:rsidR="003B43A8" w:rsidRPr="00995E8B" w14:paraId="6C5B5C16"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21023296" w14:textId="54A50AEF" w:rsidR="003B43A8" w:rsidRPr="00995E8B" w:rsidRDefault="003B43A8" w:rsidP="00226E71">
            <w:pPr>
              <w:keepNext/>
              <w:spacing w:before="360" w:after="360"/>
              <w:jc w:val="center"/>
              <w:rPr>
                <w:rFonts w:ascii="Calibri" w:hAnsi="Calibri" w:cs="Calibri"/>
                <w:szCs w:val="22"/>
              </w:rPr>
            </w:pPr>
            <w:r w:rsidRPr="00995E8B">
              <w:rPr>
                <w:rFonts w:ascii="Calibri" w:hAnsi="Calibri" w:cs="Calibri"/>
                <w:szCs w:val="22"/>
              </w:rPr>
              <w:t xml:space="preserve">État - Ministère des </w:t>
            </w:r>
            <w:bookmarkStart w:id="0" w:name="_GoBack"/>
            <w:r w:rsidRPr="00995E8B">
              <w:rPr>
                <w:rFonts w:ascii="Calibri" w:hAnsi="Calibri" w:cs="Calibri"/>
                <w:szCs w:val="22"/>
              </w:rPr>
              <w:t>armées</w:t>
            </w:r>
            <w:bookmarkEnd w:id="0"/>
            <w:r w:rsidRPr="00995E8B">
              <w:rPr>
                <w:rFonts w:ascii="Calibri" w:hAnsi="Calibri" w:cs="Calibri"/>
                <w:szCs w:val="22"/>
              </w:rPr>
              <w:t xml:space="preserve"> </w:t>
            </w:r>
            <w:r w:rsidR="00C3486B">
              <w:rPr>
                <w:rFonts w:ascii="Calibri" w:hAnsi="Calibri" w:cs="Calibri"/>
                <w:szCs w:val="22"/>
              </w:rPr>
              <w:t xml:space="preserve">et des anciens combattants </w:t>
            </w:r>
            <w:r w:rsidRPr="00995E8B">
              <w:rPr>
                <w:rFonts w:ascii="Calibri" w:hAnsi="Calibri" w:cs="Calibri"/>
                <w:szCs w:val="22"/>
              </w:rPr>
              <w:t>- Secrétariat Général pour l’Administration</w:t>
            </w:r>
            <w:r w:rsidRPr="00995E8B">
              <w:rPr>
                <w:rFonts w:ascii="Calibri" w:hAnsi="Calibri" w:cs="Calibri"/>
                <w:szCs w:val="22"/>
              </w:rPr>
              <w:br/>
              <w:t>Direction Centrale du Service Infrastructure de la Défense</w:t>
            </w:r>
            <w:r w:rsidRPr="00995E8B">
              <w:rPr>
                <w:rFonts w:ascii="Calibri" w:hAnsi="Calibri" w:cs="Calibri"/>
                <w:szCs w:val="22"/>
              </w:rPr>
              <w:br/>
              <w:t>Établissement du Service d’Infrastructure de la Défense e Metz</w:t>
            </w:r>
          </w:p>
        </w:tc>
      </w:tr>
    </w:tbl>
    <w:p w14:paraId="07E8AFA8" w14:textId="77777777" w:rsidR="003B43A8" w:rsidRPr="00995E8B" w:rsidRDefault="003B43A8" w:rsidP="003B43A8">
      <w:pPr>
        <w:jc w:val="center"/>
        <w:rPr>
          <w:rFonts w:ascii="Calibri" w:hAnsi="Calibri" w:cs="Calibri"/>
          <w:szCs w:val="22"/>
        </w:rPr>
      </w:pPr>
    </w:p>
    <w:tbl>
      <w:tblPr>
        <w:tblW w:w="0" w:type="auto"/>
        <w:tblInd w:w="348" w:type="dxa"/>
        <w:tblLayout w:type="fixed"/>
        <w:tblCellMar>
          <w:left w:w="0" w:type="dxa"/>
          <w:right w:w="0" w:type="dxa"/>
        </w:tblCellMar>
        <w:tblLook w:val="0000" w:firstRow="0" w:lastRow="0" w:firstColumn="0" w:lastColumn="0" w:noHBand="0" w:noVBand="0"/>
      </w:tblPr>
      <w:tblGrid>
        <w:gridCol w:w="8889"/>
      </w:tblGrid>
      <w:tr w:rsidR="003B43A8" w:rsidRPr="00995E8B" w14:paraId="277FCE78"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04A776A8" w14:textId="77777777" w:rsidR="003B43A8" w:rsidRPr="00995E8B" w:rsidRDefault="003B43A8" w:rsidP="00226E71">
            <w:pPr>
              <w:jc w:val="center"/>
              <w:rPr>
                <w:rFonts w:ascii="Calibri" w:hAnsi="Calibri" w:cs="Calibri"/>
                <w:b/>
                <w:szCs w:val="22"/>
              </w:rPr>
            </w:pPr>
            <w:r w:rsidRPr="00995E8B">
              <w:rPr>
                <w:rFonts w:ascii="Calibri" w:hAnsi="Calibri" w:cs="Calibri"/>
                <w:b/>
                <w:szCs w:val="22"/>
              </w:rPr>
              <w:t>Maître de l'ouvrage</w:t>
            </w:r>
          </w:p>
        </w:tc>
      </w:tr>
      <w:tr w:rsidR="003B43A8" w:rsidRPr="00995E8B" w14:paraId="165B35A9"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6D209759" w14:textId="77777777" w:rsidR="003B43A8" w:rsidRPr="00995E8B" w:rsidRDefault="003B43A8" w:rsidP="00226E71">
            <w:pPr>
              <w:keepNext/>
              <w:spacing w:before="360" w:after="360"/>
              <w:jc w:val="center"/>
              <w:rPr>
                <w:rFonts w:ascii="Calibri" w:hAnsi="Calibri" w:cs="Calibri"/>
                <w:szCs w:val="22"/>
              </w:rPr>
            </w:pPr>
            <w:r w:rsidRPr="00995E8B">
              <w:rPr>
                <w:rFonts w:ascii="Calibri" w:hAnsi="Calibri" w:cs="Calibri"/>
                <w:szCs w:val="22"/>
              </w:rPr>
              <w:t>ÉTAT - MINISTERE DES ARMEES</w:t>
            </w:r>
          </w:p>
        </w:tc>
      </w:tr>
    </w:tbl>
    <w:p w14:paraId="44263F7A" w14:textId="77777777" w:rsidR="003B43A8" w:rsidRPr="00995E8B" w:rsidRDefault="003B43A8" w:rsidP="003B43A8">
      <w:pPr>
        <w:jc w:val="center"/>
        <w:rPr>
          <w:rFonts w:ascii="Calibri" w:hAnsi="Calibri" w:cs="Calibri"/>
          <w:szCs w:val="22"/>
        </w:rPr>
      </w:pPr>
    </w:p>
    <w:tbl>
      <w:tblPr>
        <w:tblW w:w="0" w:type="auto"/>
        <w:tblInd w:w="348" w:type="dxa"/>
        <w:tblLayout w:type="fixed"/>
        <w:tblCellMar>
          <w:left w:w="0" w:type="dxa"/>
          <w:right w:w="0" w:type="dxa"/>
        </w:tblCellMar>
        <w:tblLook w:val="0000" w:firstRow="0" w:lastRow="0" w:firstColumn="0" w:lastColumn="0" w:noHBand="0" w:noVBand="0"/>
      </w:tblPr>
      <w:tblGrid>
        <w:gridCol w:w="8889"/>
      </w:tblGrid>
      <w:tr w:rsidR="003B43A8" w:rsidRPr="00995E8B" w14:paraId="56854A35"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0A5E162C" w14:textId="77777777" w:rsidR="003B43A8" w:rsidRPr="00995E8B" w:rsidRDefault="003B43A8" w:rsidP="00226E71">
            <w:pPr>
              <w:jc w:val="center"/>
              <w:rPr>
                <w:rFonts w:ascii="Calibri" w:hAnsi="Calibri" w:cs="Calibri"/>
                <w:b/>
                <w:szCs w:val="22"/>
              </w:rPr>
            </w:pPr>
            <w:r w:rsidRPr="00995E8B">
              <w:rPr>
                <w:rFonts w:ascii="Calibri" w:hAnsi="Calibri" w:cs="Calibri"/>
                <w:b/>
                <w:szCs w:val="22"/>
              </w:rPr>
              <w:t>Conducteur d'opération</w:t>
            </w:r>
          </w:p>
        </w:tc>
      </w:tr>
      <w:tr w:rsidR="003B43A8" w:rsidRPr="00995E8B" w14:paraId="17817B6F"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527CC43F" w14:textId="77777777" w:rsidR="003B43A8" w:rsidRPr="00995E8B" w:rsidRDefault="003B43A8" w:rsidP="00226E71">
            <w:pPr>
              <w:keepNext/>
              <w:spacing w:before="360" w:after="360"/>
              <w:jc w:val="center"/>
              <w:rPr>
                <w:rFonts w:ascii="Calibri" w:hAnsi="Calibri" w:cs="Calibri"/>
                <w:szCs w:val="22"/>
              </w:rPr>
            </w:pPr>
            <w:r w:rsidRPr="00995E8B">
              <w:rPr>
                <w:rFonts w:ascii="Calibri" w:hAnsi="Calibri" w:cs="Calibri"/>
                <w:szCs w:val="22"/>
              </w:rPr>
              <w:t>SERVICE D’INFRASTRUCTURE DE LA DÉFENSE</w:t>
            </w:r>
          </w:p>
        </w:tc>
      </w:tr>
    </w:tbl>
    <w:p w14:paraId="5D68FCEE" w14:textId="77777777" w:rsidR="003B43A8" w:rsidRPr="00995E8B" w:rsidRDefault="003B43A8" w:rsidP="003B43A8">
      <w:pPr>
        <w:jc w:val="center"/>
        <w:rPr>
          <w:rFonts w:ascii="Calibri" w:hAnsi="Calibri" w:cs="Calibri"/>
          <w:szCs w:val="22"/>
        </w:rPr>
      </w:pPr>
    </w:p>
    <w:tbl>
      <w:tblPr>
        <w:tblW w:w="0" w:type="auto"/>
        <w:tblInd w:w="348" w:type="dxa"/>
        <w:tblLayout w:type="fixed"/>
        <w:tblCellMar>
          <w:left w:w="0" w:type="dxa"/>
          <w:right w:w="0" w:type="dxa"/>
        </w:tblCellMar>
        <w:tblLook w:val="0000" w:firstRow="0" w:lastRow="0" w:firstColumn="0" w:lastColumn="0" w:noHBand="0" w:noVBand="0"/>
      </w:tblPr>
      <w:tblGrid>
        <w:gridCol w:w="8889"/>
      </w:tblGrid>
      <w:tr w:rsidR="003B43A8" w:rsidRPr="00995E8B" w14:paraId="10E63C50" w14:textId="77777777" w:rsidTr="00226E71">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1FBC2BBA" w14:textId="77777777" w:rsidR="003B43A8" w:rsidRPr="00995E8B" w:rsidRDefault="003B43A8" w:rsidP="00F20461">
            <w:pPr>
              <w:jc w:val="center"/>
              <w:rPr>
                <w:rFonts w:ascii="Calibri" w:hAnsi="Calibri" w:cs="Calibri"/>
                <w:b/>
                <w:szCs w:val="22"/>
                <w:shd w:val="clear" w:color="auto" w:fill="C0C0C0"/>
              </w:rPr>
            </w:pPr>
            <w:r w:rsidRPr="00995E8B">
              <w:rPr>
                <w:rFonts w:ascii="Calibri" w:hAnsi="Calibri" w:cs="Calibri"/>
                <w:b/>
                <w:szCs w:val="22"/>
              </w:rPr>
              <w:t xml:space="preserve">Objet </w:t>
            </w:r>
            <w:r w:rsidR="00F20461">
              <w:rPr>
                <w:rFonts w:ascii="Calibri" w:hAnsi="Calibri" w:cs="Calibri"/>
                <w:b/>
                <w:szCs w:val="22"/>
              </w:rPr>
              <w:t>de l’accord-cadre</w:t>
            </w:r>
          </w:p>
        </w:tc>
      </w:tr>
      <w:tr w:rsidR="003B43A8" w:rsidRPr="00995E8B" w14:paraId="21D62241" w14:textId="77777777" w:rsidTr="00226E71">
        <w:trPr>
          <w:trHeight w:val="843"/>
        </w:trPr>
        <w:tc>
          <w:tcPr>
            <w:tcW w:w="8889" w:type="dxa"/>
            <w:tcBorders>
              <w:top w:val="single" w:sz="4" w:space="0" w:color="000000"/>
              <w:left w:val="single" w:sz="4" w:space="0" w:color="000000"/>
              <w:bottom w:val="single" w:sz="4" w:space="0" w:color="000000"/>
              <w:right w:val="single" w:sz="4" w:space="0" w:color="000000"/>
            </w:tcBorders>
            <w:shd w:val="clear" w:color="auto" w:fill="auto"/>
          </w:tcPr>
          <w:p w14:paraId="4197DE2A" w14:textId="77777777" w:rsidR="007C0DBF" w:rsidRDefault="007C0DBF" w:rsidP="00F20461">
            <w:pPr>
              <w:jc w:val="center"/>
              <w:rPr>
                <w:b/>
                <w:bCs/>
                <w:szCs w:val="22"/>
              </w:rPr>
            </w:pPr>
          </w:p>
          <w:p w14:paraId="6BA49650" w14:textId="37909B05" w:rsidR="00F20461" w:rsidRPr="006E3EA7" w:rsidRDefault="00F20461" w:rsidP="00F20461">
            <w:pPr>
              <w:jc w:val="center"/>
              <w:rPr>
                <w:b/>
                <w:bCs/>
              </w:rPr>
            </w:pPr>
            <w:r w:rsidRPr="00F20461">
              <w:rPr>
                <w:b/>
                <w:bCs/>
                <w:szCs w:val="22"/>
              </w:rPr>
              <w:t>DAF_2024_</w:t>
            </w:r>
            <w:r w:rsidR="00891F69">
              <w:rPr>
                <w:b/>
                <w:bCs/>
              </w:rPr>
              <w:t>000964</w:t>
            </w:r>
          </w:p>
          <w:p w14:paraId="24275F52" w14:textId="77777777" w:rsidR="00F20461" w:rsidRDefault="00F20461" w:rsidP="00F20461">
            <w:pPr>
              <w:widowControl/>
              <w:shd w:val="clear" w:color="auto" w:fill="auto"/>
              <w:suppressAutoHyphens w:val="0"/>
              <w:autoSpaceDE w:val="0"/>
              <w:autoSpaceDN w:val="0"/>
              <w:jc w:val="center"/>
              <w:rPr>
                <w:b/>
              </w:rPr>
            </w:pPr>
          </w:p>
          <w:p w14:paraId="158081C4" w14:textId="77777777" w:rsidR="00F20461" w:rsidRDefault="00F20461" w:rsidP="00F20461">
            <w:pPr>
              <w:widowControl/>
              <w:shd w:val="clear" w:color="auto" w:fill="auto"/>
              <w:suppressAutoHyphens w:val="0"/>
              <w:autoSpaceDE w:val="0"/>
              <w:autoSpaceDN w:val="0"/>
              <w:jc w:val="center"/>
              <w:rPr>
                <w:b/>
                <w:bCs/>
              </w:rPr>
            </w:pPr>
            <w:r w:rsidRPr="00F20461">
              <w:rPr>
                <w:b/>
              </w:rPr>
              <w:t xml:space="preserve">Accord cadre </w:t>
            </w:r>
            <w:r w:rsidRPr="00F20461">
              <w:rPr>
                <w:b/>
                <w:bCs/>
              </w:rPr>
              <w:t>à bons de commande portant sur la réalisation de diagnostics et d’études électriques pour les opérations relevant du périmètre géographique de l'ESID de Metz.</w:t>
            </w:r>
          </w:p>
          <w:p w14:paraId="7DFEFFC9" w14:textId="77777777" w:rsidR="00F20461" w:rsidRDefault="00F20461" w:rsidP="00F20461">
            <w:pPr>
              <w:widowControl/>
              <w:shd w:val="clear" w:color="auto" w:fill="auto"/>
              <w:suppressAutoHyphens w:val="0"/>
              <w:autoSpaceDE w:val="0"/>
              <w:autoSpaceDN w:val="0"/>
              <w:jc w:val="center"/>
              <w:rPr>
                <w:b/>
                <w:bCs/>
              </w:rPr>
            </w:pPr>
          </w:p>
          <w:p w14:paraId="5A6F1D40"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noProof/>
                <w:sz w:val="20"/>
                <w:szCs w:val="22"/>
                <w:lang w:eastAsia="fr-FR"/>
              </w:rPr>
            </w:pPr>
            <w:r w:rsidRPr="00325A88">
              <w:rPr>
                <w:rFonts w:ascii="Calibri" w:hAnsi="Calibri" w:cs="Calibri"/>
                <w:bCs/>
                <w:noProof/>
                <w:sz w:val="20"/>
                <w:szCs w:val="22"/>
                <w:lang w:eastAsia="fr-FR"/>
              </w:rPr>
              <w:t>LOT N°1 : Départements 55 et 57 – toutes emprises ;</w:t>
            </w:r>
          </w:p>
          <w:p w14:paraId="73C205A0"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noProof/>
                <w:sz w:val="20"/>
                <w:szCs w:val="22"/>
                <w:lang w:eastAsia="fr-FR"/>
              </w:rPr>
            </w:pPr>
            <w:r w:rsidRPr="00325A88">
              <w:rPr>
                <w:rFonts w:ascii="Calibri" w:hAnsi="Calibri" w:cs="Calibri"/>
                <w:bCs/>
                <w:noProof/>
                <w:sz w:val="20"/>
                <w:szCs w:val="22"/>
                <w:lang w:eastAsia="fr-FR"/>
              </w:rPr>
              <w:t>LOT N°2 : Départements 54 – 70 et 88 – toutes emprises ;</w:t>
            </w:r>
          </w:p>
          <w:p w14:paraId="755EC21C"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noProof/>
                <w:sz w:val="20"/>
                <w:szCs w:val="22"/>
                <w:lang w:eastAsia="fr-FR"/>
              </w:rPr>
            </w:pPr>
            <w:r w:rsidRPr="00325A88">
              <w:rPr>
                <w:rFonts w:ascii="Calibri" w:hAnsi="Calibri" w:cs="Calibri"/>
                <w:bCs/>
                <w:noProof/>
                <w:sz w:val="20"/>
                <w:szCs w:val="22"/>
                <w:lang w:eastAsia="fr-FR"/>
              </w:rPr>
              <w:t>LOT N°3 : Départements 21 – 25 – 39 – 71 et 90 – toutes emprises ;</w:t>
            </w:r>
          </w:p>
          <w:p w14:paraId="4F499718"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noProof/>
                <w:sz w:val="20"/>
                <w:szCs w:val="22"/>
                <w:lang w:eastAsia="fr-FR"/>
              </w:rPr>
            </w:pPr>
            <w:r w:rsidRPr="00325A88">
              <w:rPr>
                <w:rFonts w:ascii="Calibri" w:hAnsi="Calibri" w:cs="Calibri"/>
                <w:bCs/>
                <w:noProof/>
                <w:sz w:val="20"/>
                <w:szCs w:val="22"/>
                <w:lang w:eastAsia="fr-FR"/>
              </w:rPr>
              <w:t>LOT N°4 : Départements 67 et 68 – toutes emprises ;</w:t>
            </w:r>
          </w:p>
          <w:p w14:paraId="55365559"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noProof/>
                <w:sz w:val="20"/>
                <w:szCs w:val="22"/>
                <w:lang w:eastAsia="fr-FR"/>
              </w:rPr>
            </w:pPr>
            <w:r w:rsidRPr="00325A88">
              <w:rPr>
                <w:rFonts w:ascii="Calibri" w:hAnsi="Calibri" w:cs="Calibri"/>
                <w:bCs/>
                <w:noProof/>
                <w:sz w:val="20"/>
                <w:szCs w:val="22"/>
                <w:lang w:eastAsia="fr-FR"/>
              </w:rPr>
              <w:t>LOT N°5 : Départements 02 – 08 – 10 – 51 et 52 – toutes emprises ;</w:t>
            </w:r>
          </w:p>
          <w:p w14:paraId="20752B2C" w14:textId="77777777" w:rsidR="007C0DBF" w:rsidRPr="00325A88" w:rsidRDefault="007C0DBF" w:rsidP="007C0DBF">
            <w:pPr>
              <w:numPr>
                <w:ilvl w:val="0"/>
                <w:numId w:val="8"/>
              </w:numPr>
              <w:shd w:val="clear" w:color="auto" w:fill="auto"/>
              <w:suppressAutoHyphens w:val="0"/>
              <w:autoSpaceDE w:val="0"/>
              <w:autoSpaceDN w:val="0"/>
              <w:ind w:left="1628"/>
              <w:rPr>
                <w:rFonts w:ascii="Calibri" w:hAnsi="Calibri" w:cs="Calibri"/>
                <w:bCs/>
                <w:sz w:val="20"/>
                <w:szCs w:val="22"/>
                <w:lang w:val="fr-CA" w:eastAsia="fr-FR"/>
              </w:rPr>
            </w:pPr>
            <w:r w:rsidRPr="00325A88">
              <w:rPr>
                <w:rFonts w:ascii="Calibri" w:hAnsi="Calibri" w:cs="Calibri"/>
                <w:bCs/>
                <w:noProof/>
                <w:sz w:val="20"/>
                <w:szCs w:val="22"/>
                <w:lang w:eastAsia="fr-FR"/>
              </w:rPr>
              <w:t>LOT N°6 : Départements 59 – 62 et 80 – toutes emprises.</w:t>
            </w:r>
          </w:p>
          <w:p w14:paraId="2C0047FB" w14:textId="508A368A" w:rsidR="003B43A8" w:rsidRPr="00995E8B" w:rsidRDefault="003B43A8" w:rsidP="007C0DBF">
            <w:pPr>
              <w:rPr>
                <w:rFonts w:ascii="Calibri" w:hAnsi="Calibri" w:cs="Calibri"/>
                <w:color w:val="00B050"/>
                <w:szCs w:val="22"/>
              </w:rPr>
            </w:pPr>
          </w:p>
        </w:tc>
      </w:tr>
    </w:tbl>
    <w:p w14:paraId="2EECE8B0" w14:textId="77777777" w:rsidR="003B43A8" w:rsidRPr="00995E8B" w:rsidRDefault="003B43A8" w:rsidP="003B43A8">
      <w:pPr>
        <w:widowControl/>
        <w:rPr>
          <w:rFonts w:ascii="Calibri" w:hAnsi="Calibri" w:cs="Calibri"/>
          <w:szCs w:val="22"/>
        </w:rPr>
      </w:pPr>
    </w:p>
    <w:p w14:paraId="51A76FF1" w14:textId="77777777" w:rsidR="003B43A8" w:rsidRDefault="003B43A8" w:rsidP="003B43A8">
      <w:pPr>
        <w:widowControl/>
        <w:ind w:left="1843"/>
        <w:rPr>
          <w:rFonts w:ascii="Calibri" w:hAnsi="Calibri" w:cs="Calibri"/>
          <w:b/>
          <w:szCs w:val="22"/>
          <w:u w:val="single"/>
        </w:rPr>
      </w:pPr>
    </w:p>
    <w:p w14:paraId="1F7E5FBF" w14:textId="77777777" w:rsidR="00D74954" w:rsidRDefault="00D74954" w:rsidP="003B43A8">
      <w:pPr>
        <w:widowControl/>
        <w:ind w:left="1843"/>
        <w:rPr>
          <w:rFonts w:ascii="Calibri" w:hAnsi="Calibri" w:cs="Calibri"/>
          <w:b/>
          <w:szCs w:val="22"/>
          <w:u w:val="single"/>
        </w:rPr>
      </w:pPr>
    </w:p>
    <w:p w14:paraId="4E2BEB24" w14:textId="77777777" w:rsidR="00D74954" w:rsidRDefault="00D74954" w:rsidP="003B43A8">
      <w:pPr>
        <w:widowControl/>
        <w:ind w:left="1843"/>
        <w:rPr>
          <w:rFonts w:ascii="Calibri" w:hAnsi="Calibri" w:cs="Calibri"/>
          <w:b/>
          <w:szCs w:val="22"/>
          <w:u w:val="single"/>
        </w:rPr>
      </w:pPr>
    </w:p>
    <w:p w14:paraId="05E8AC3B" w14:textId="77777777" w:rsidR="00D74954" w:rsidRDefault="00D74954" w:rsidP="003B43A8">
      <w:pPr>
        <w:widowControl/>
        <w:ind w:left="1843"/>
        <w:rPr>
          <w:rFonts w:ascii="Calibri" w:hAnsi="Calibri" w:cs="Calibri"/>
          <w:b/>
          <w:szCs w:val="22"/>
          <w:u w:val="single"/>
        </w:rPr>
      </w:pPr>
    </w:p>
    <w:p w14:paraId="4A241957" w14:textId="77777777" w:rsidR="00D74954" w:rsidRDefault="00D74954" w:rsidP="003B43A8">
      <w:pPr>
        <w:widowControl/>
        <w:ind w:left="1843"/>
        <w:rPr>
          <w:rFonts w:ascii="Calibri" w:hAnsi="Calibri" w:cs="Calibri"/>
          <w:b/>
          <w:szCs w:val="22"/>
          <w:u w:val="single"/>
        </w:rPr>
      </w:pPr>
    </w:p>
    <w:p w14:paraId="65ED0A80" w14:textId="77777777" w:rsidR="00D74954" w:rsidRDefault="00D74954" w:rsidP="003B43A8">
      <w:pPr>
        <w:widowControl/>
        <w:ind w:left="1843"/>
        <w:rPr>
          <w:rFonts w:ascii="Calibri" w:hAnsi="Calibri" w:cs="Calibri"/>
          <w:b/>
          <w:szCs w:val="22"/>
          <w:u w:val="single"/>
        </w:rPr>
      </w:pPr>
    </w:p>
    <w:p w14:paraId="51B8BFEB" w14:textId="77777777" w:rsidR="00D74954" w:rsidRDefault="00D74954" w:rsidP="003B43A8">
      <w:pPr>
        <w:widowControl/>
        <w:ind w:left="1843"/>
        <w:rPr>
          <w:rFonts w:ascii="Calibri" w:hAnsi="Calibri" w:cs="Calibri"/>
          <w:b/>
          <w:szCs w:val="22"/>
          <w:u w:val="single"/>
        </w:rPr>
      </w:pPr>
    </w:p>
    <w:p w14:paraId="37A77808" w14:textId="77777777" w:rsidR="00D74954" w:rsidRDefault="00D74954" w:rsidP="003B43A8">
      <w:pPr>
        <w:widowControl/>
        <w:ind w:left="1843"/>
        <w:rPr>
          <w:rFonts w:ascii="Calibri" w:hAnsi="Calibri" w:cs="Calibri"/>
          <w:b/>
          <w:szCs w:val="22"/>
          <w:u w:val="single"/>
        </w:rPr>
      </w:pPr>
    </w:p>
    <w:p w14:paraId="2EB4A6B2" w14:textId="77777777" w:rsidR="00D74954" w:rsidRDefault="00D74954" w:rsidP="003B43A8">
      <w:pPr>
        <w:widowControl/>
        <w:ind w:left="1843"/>
        <w:rPr>
          <w:rFonts w:ascii="Calibri" w:hAnsi="Calibri" w:cs="Calibri"/>
          <w:b/>
          <w:szCs w:val="22"/>
          <w:u w:val="single"/>
        </w:rPr>
      </w:pPr>
    </w:p>
    <w:p w14:paraId="636BC1B2" w14:textId="77777777" w:rsidR="00D74954" w:rsidRPr="00D74954" w:rsidRDefault="00D74954" w:rsidP="00D74954">
      <w:pPr>
        <w:widowControl/>
        <w:shd w:val="clear" w:color="auto" w:fill="auto"/>
        <w:suppressAutoHyphens w:val="0"/>
        <w:jc w:val="center"/>
        <w:rPr>
          <w:b/>
          <w:bCs/>
          <w:sz w:val="36"/>
          <w:u w:val="single"/>
          <w:lang w:eastAsia="fr-FR"/>
        </w:rPr>
      </w:pPr>
      <w:r w:rsidRPr="00D74954">
        <w:rPr>
          <w:b/>
          <w:bCs/>
          <w:sz w:val="36"/>
          <w:u w:val="single"/>
          <w:lang w:eastAsia="fr-FR"/>
        </w:rPr>
        <w:lastRenderedPageBreak/>
        <w:t>PREAMBULE</w:t>
      </w:r>
    </w:p>
    <w:p w14:paraId="37F2AAFF" w14:textId="77777777" w:rsidR="00D74954" w:rsidRPr="00D74954" w:rsidRDefault="00D74954" w:rsidP="00D74954">
      <w:pPr>
        <w:widowControl/>
        <w:shd w:val="clear" w:color="auto" w:fill="auto"/>
        <w:suppressAutoHyphens w:val="0"/>
        <w:jc w:val="center"/>
        <w:rPr>
          <w:b/>
          <w:bCs/>
          <w:sz w:val="36"/>
          <w:u w:val="single"/>
          <w:lang w:eastAsia="fr-FR"/>
        </w:rPr>
      </w:pPr>
    </w:p>
    <w:p w14:paraId="7396D09A" w14:textId="77777777" w:rsidR="00D74954" w:rsidRPr="00D74954" w:rsidRDefault="00D74954" w:rsidP="00D74954">
      <w:pPr>
        <w:widowControl/>
        <w:shd w:val="clear" w:color="auto" w:fill="auto"/>
        <w:suppressAutoHyphens w:val="0"/>
        <w:jc w:val="center"/>
        <w:rPr>
          <w:b/>
          <w:bCs/>
          <w:sz w:val="36"/>
          <w:u w:val="single"/>
          <w:lang w:eastAsia="fr-FR"/>
        </w:rPr>
      </w:pPr>
    </w:p>
    <w:p w14:paraId="7BCD8739" w14:textId="77777777" w:rsidR="00D74954" w:rsidRDefault="00D74954" w:rsidP="00D74954">
      <w:pPr>
        <w:widowControl/>
        <w:shd w:val="clear" w:color="auto" w:fill="auto"/>
        <w:suppressAutoHyphens w:val="0"/>
        <w:jc w:val="both"/>
        <w:rPr>
          <w:sz w:val="24"/>
          <w:lang w:eastAsia="fr-FR"/>
        </w:rPr>
      </w:pPr>
      <w:r w:rsidRPr="00D74954">
        <w:rPr>
          <w:sz w:val="24"/>
          <w:lang w:eastAsia="fr-FR"/>
        </w:rPr>
        <w:t xml:space="preserve">Ce dossier intitulé « Mémoire technique » est une pièce à part entière du marché. </w:t>
      </w:r>
    </w:p>
    <w:p w14:paraId="16C98979" w14:textId="77777777" w:rsidR="00890483" w:rsidRDefault="00890483" w:rsidP="00D74954">
      <w:pPr>
        <w:widowControl/>
        <w:shd w:val="clear" w:color="auto" w:fill="auto"/>
        <w:suppressAutoHyphens w:val="0"/>
        <w:jc w:val="both"/>
        <w:rPr>
          <w:sz w:val="24"/>
          <w:lang w:eastAsia="fr-FR"/>
        </w:rPr>
      </w:pPr>
    </w:p>
    <w:p w14:paraId="4CABB2DC" w14:textId="77777777" w:rsidR="00D74954" w:rsidRDefault="00D74954" w:rsidP="00D74954">
      <w:pPr>
        <w:widowControl/>
        <w:shd w:val="clear" w:color="auto" w:fill="auto"/>
        <w:suppressAutoHyphens w:val="0"/>
        <w:jc w:val="both"/>
        <w:rPr>
          <w:sz w:val="24"/>
          <w:lang w:eastAsia="fr-FR"/>
        </w:rPr>
      </w:pPr>
      <w:r w:rsidRPr="00D74954">
        <w:rPr>
          <w:sz w:val="24"/>
          <w:lang w:eastAsia="fr-FR"/>
        </w:rPr>
        <w:t>A ce titre, il doit être impérativement complété par les différents candidats et remis lors de la remis</w:t>
      </w:r>
      <w:r>
        <w:rPr>
          <w:sz w:val="24"/>
          <w:lang w:eastAsia="fr-FR"/>
        </w:rPr>
        <w:t>e</w:t>
      </w:r>
      <w:r w:rsidRPr="00D74954">
        <w:rPr>
          <w:sz w:val="24"/>
          <w:lang w:eastAsia="fr-FR"/>
        </w:rPr>
        <w:t xml:space="preserve"> des offres.</w:t>
      </w:r>
    </w:p>
    <w:p w14:paraId="71F97BD5" w14:textId="77777777" w:rsidR="00D74954" w:rsidRPr="00D74954" w:rsidRDefault="00D74954" w:rsidP="00D74954">
      <w:pPr>
        <w:widowControl/>
        <w:shd w:val="clear" w:color="auto" w:fill="auto"/>
        <w:suppressAutoHyphens w:val="0"/>
        <w:jc w:val="both"/>
        <w:rPr>
          <w:sz w:val="24"/>
          <w:lang w:eastAsia="fr-FR"/>
        </w:rPr>
      </w:pPr>
      <w:r w:rsidRPr="00D74954">
        <w:rPr>
          <w:sz w:val="24"/>
          <w:lang w:eastAsia="fr-FR"/>
        </w:rPr>
        <w:t xml:space="preserve"> </w:t>
      </w:r>
    </w:p>
    <w:p w14:paraId="0B109963" w14:textId="77777777" w:rsidR="00D74954" w:rsidRDefault="00D74954" w:rsidP="00D74954">
      <w:pPr>
        <w:widowControl/>
        <w:shd w:val="clear" w:color="auto" w:fill="auto"/>
        <w:suppressAutoHyphens w:val="0"/>
        <w:jc w:val="both"/>
        <w:rPr>
          <w:sz w:val="24"/>
          <w:lang w:eastAsia="fr-FR"/>
        </w:rPr>
      </w:pPr>
      <w:r w:rsidRPr="00D74954">
        <w:rPr>
          <w:sz w:val="24"/>
          <w:lang w:eastAsia="fr-FR"/>
        </w:rPr>
        <w:t xml:space="preserve">Ce dossier sera </w:t>
      </w:r>
      <w:r>
        <w:rPr>
          <w:sz w:val="24"/>
          <w:lang w:eastAsia="fr-FR"/>
        </w:rPr>
        <w:t>exploité et déterminera la note de la pondération technique de l’offre.</w:t>
      </w:r>
      <w:r w:rsidRPr="00D74954">
        <w:rPr>
          <w:sz w:val="24"/>
          <w:lang w:eastAsia="fr-FR"/>
        </w:rPr>
        <w:t xml:space="preserve"> </w:t>
      </w:r>
      <w:r>
        <w:rPr>
          <w:sz w:val="24"/>
          <w:lang w:eastAsia="fr-FR"/>
        </w:rPr>
        <w:t>D</w:t>
      </w:r>
      <w:r w:rsidRPr="00D74954">
        <w:rPr>
          <w:sz w:val="24"/>
          <w:lang w:eastAsia="fr-FR"/>
        </w:rPr>
        <w:t>e ce fait, il est demandé aux différents candidats de le remplir avec le plus grand soin.</w:t>
      </w:r>
    </w:p>
    <w:p w14:paraId="16D919F3" w14:textId="77777777" w:rsidR="00D74954" w:rsidRPr="00D74954" w:rsidRDefault="00D74954" w:rsidP="00D74954">
      <w:pPr>
        <w:widowControl/>
        <w:shd w:val="clear" w:color="auto" w:fill="auto"/>
        <w:suppressAutoHyphens w:val="0"/>
        <w:jc w:val="both"/>
        <w:rPr>
          <w:sz w:val="24"/>
          <w:lang w:eastAsia="fr-FR"/>
        </w:rPr>
      </w:pPr>
    </w:p>
    <w:p w14:paraId="21C52E7C" w14:textId="77777777" w:rsidR="00A73A9F" w:rsidRDefault="00A73A9F" w:rsidP="00D74954">
      <w:pPr>
        <w:widowControl/>
        <w:shd w:val="clear" w:color="auto" w:fill="auto"/>
        <w:suppressAutoHyphens w:val="0"/>
        <w:jc w:val="both"/>
        <w:rPr>
          <w:sz w:val="24"/>
          <w:lang w:eastAsia="fr-FR"/>
        </w:rPr>
      </w:pPr>
    </w:p>
    <w:p w14:paraId="24950F29" w14:textId="77777777" w:rsidR="00A73A9F" w:rsidRDefault="00A73A9F" w:rsidP="00D74954">
      <w:pPr>
        <w:widowControl/>
        <w:shd w:val="clear" w:color="auto" w:fill="auto"/>
        <w:suppressAutoHyphens w:val="0"/>
        <w:jc w:val="both"/>
        <w:rPr>
          <w:sz w:val="24"/>
          <w:lang w:eastAsia="fr-FR"/>
        </w:rPr>
      </w:pPr>
      <w:r>
        <w:rPr>
          <w:sz w:val="24"/>
          <w:lang w:eastAsia="fr-FR"/>
        </w:rPr>
        <w:t>T</w:t>
      </w:r>
      <w:r w:rsidRPr="00D74954">
        <w:rPr>
          <w:sz w:val="24"/>
          <w:lang w:eastAsia="fr-FR"/>
        </w:rPr>
        <w:t xml:space="preserve">outes les rubriques </w:t>
      </w:r>
      <w:r>
        <w:rPr>
          <w:sz w:val="24"/>
          <w:lang w:eastAsia="fr-FR"/>
        </w:rPr>
        <w:t xml:space="preserve">ci-dessous énumérées de 1 à </w:t>
      </w:r>
      <w:r w:rsidR="00F20461">
        <w:rPr>
          <w:sz w:val="24"/>
          <w:lang w:eastAsia="fr-FR"/>
        </w:rPr>
        <w:t>3</w:t>
      </w:r>
      <w:r>
        <w:rPr>
          <w:sz w:val="24"/>
          <w:lang w:eastAsia="fr-FR"/>
        </w:rPr>
        <w:t xml:space="preserve"> </w:t>
      </w:r>
      <w:r w:rsidRPr="00D74954">
        <w:rPr>
          <w:sz w:val="24"/>
          <w:lang w:eastAsia="fr-FR"/>
        </w:rPr>
        <w:t>devront être renseignées.</w:t>
      </w:r>
      <w:r>
        <w:rPr>
          <w:sz w:val="24"/>
          <w:lang w:eastAsia="fr-FR"/>
        </w:rPr>
        <w:t xml:space="preserve"> Il</w:t>
      </w:r>
      <w:r w:rsidR="00D74954" w:rsidRPr="00D74954">
        <w:rPr>
          <w:sz w:val="24"/>
          <w:lang w:eastAsia="fr-FR"/>
        </w:rPr>
        <w:t xml:space="preserve"> est </w:t>
      </w:r>
      <w:r w:rsidR="00D74954">
        <w:rPr>
          <w:sz w:val="24"/>
          <w:lang w:eastAsia="fr-FR"/>
        </w:rPr>
        <w:t>laissé libre cour aux</w:t>
      </w:r>
      <w:r w:rsidR="00D74954" w:rsidRPr="00D74954">
        <w:rPr>
          <w:sz w:val="24"/>
          <w:lang w:eastAsia="fr-FR"/>
        </w:rPr>
        <w:t xml:space="preserve"> candidats </w:t>
      </w:r>
      <w:r w:rsidR="00D74954">
        <w:rPr>
          <w:sz w:val="24"/>
          <w:lang w:eastAsia="fr-FR"/>
        </w:rPr>
        <w:t xml:space="preserve">quant à la forme </w:t>
      </w:r>
      <w:r w:rsidR="004620E0">
        <w:rPr>
          <w:sz w:val="24"/>
          <w:lang w:eastAsia="fr-FR"/>
        </w:rPr>
        <w:t>de leurs réponses.</w:t>
      </w:r>
      <w:r w:rsidR="00D74954">
        <w:rPr>
          <w:sz w:val="24"/>
          <w:lang w:eastAsia="fr-FR"/>
        </w:rPr>
        <w:t xml:space="preserve"> </w:t>
      </w:r>
      <w:r w:rsidR="004620E0">
        <w:rPr>
          <w:sz w:val="24"/>
          <w:lang w:eastAsia="fr-FR"/>
        </w:rPr>
        <w:t>C</w:t>
      </w:r>
      <w:r w:rsidR="00D74954">
        <w:rPr>
          <w:sz w:val="24"/>
          <w:lang w:eastAsia="fr-FR"/>
        </w:rPr>
        <w:t>ependant, pour chaque point évoqué,</w:t>
      </w:r>
      <w:r w:rsidR="00D74954" w:rsidRPr="00D74954">
        <w:rPr>
          <w:sz w:val="24"/>
          <w:lang w:eastAsia="fr-FR"/>
        </w:rPr>
        <w:t xml:space="preserve"> l’intitulé exact de la rubrique </w:t>
      </w:r>
      <w:r>
        <w:rPr>
          <w:sz w:val="24"/>
          <w:lang w:eastAsia="fr-FR"/>
        </w:rPr>
        <w:t>dev</w:t>
      </w:r>
      <w:r w:rsidR="004620E0">
        <w:rPr>
          <w:sz w:val="24"/>
          <w:lang w:eastAsia="fr-FR"/>
        </w:rPr>
        <w:t xml:space="preserve">ra </w:t>
      </w:r>
      <w:r>
        <w:rPr>
          <w:sz w:val="24"/>
          <w:lang w:eastAsia="fr-FR"/>
        </w:rPr>
        <w:t xml:space="preserve">être </w:t>
      </w:r>
      <w:r w:rsidR="004620E0">
        <w:rPr>
          <w:sz w:val="24"/>
          <w:lang w:eastAsia="fr-FR"/>
        </w:rPr>
        <w:t>repris en intégralité</w:t>
      </w:r>
      <w:r w:rsidR="00D74954" w:rsidRPr="00D74954">
        <w:rPr>
          <w:sz w:val="24"/>
          <w:lang w:eastAsia="fr-FR"/>
        </w:rPr>
        <w:t xml:space="preserve">. </w:t>
      </w:r>
    </w:p>
    <w:p w14:paraId="05734FA5" w14:textId="77777777" w:rsidR="00A73A9F" w:rsidRDefault="00A73A9F" w:rsidP="00D74954">
      <w:pPr>
        <w:widowControl/>
        <w:shd w:val="clear" w:color="auto" w:fill="auto"/>
        <w:suppressAutoHyphens w:val="0"/>
        <w:jc w:val="both"/>
        <w:rPr>
          <w:sz w:val="24"/>
          <w:lang w:eastAsia="fr-FR"/>
        </w:rPr>
      </w:pPr>
    </w:p>
    <w:p w14:paraId="33C325D0" w14:textId="77777777" w:rsidR="00D74954" w:rsidRPr="00D74954" w:rsidRDefault="00D74954" w:rsidP="00D74954">
      <w:pPr>
        <w:widowControl/>
        <w:shd w:val="clear" w:color="auto" w:fill="auto"/>
        <w:suppressAutoHyphens w:val="0"/>
        <w:jc w:val="both"/>
        <w:rPr>
          <w:sz w:val="24"/>
          <w:lang w:eastAsia="fr-FR"/>
        </w:rPr>
      </w:pPr>
      <w:r w:rsidRPr="00D74954">
        <w:rPr>
          <w:sz w:val="24"/>
          <w:lang w:eastAsia="fr-FR"/>
        </w:rPr>
        <w:t xml:space="preserve">Le maître d’œuvre pourra exiger de l’entreprise le respect des procédures telles quelles sont décrites dans ce </w:t>
      </w:r>
      <w:r>
        <w:rPr>
          <w:sz w:val="24"/>
          <w:lang w:eastAsia="fr-FR"/>
        </w:rPr>
        <w:t>mémoire.</w:t>
      </w:r>
    </w:p>
    <w:p w14:paraId="608E713B" w14:textId="77777777" w:rsidR="00D74954" w:rsidRDefault="00D74954">
      <w:pPr>
        <w:widowControl/>
        <w:shd w:val="clear" w:color="auto" w:fill="auto"/>
        <w:suppressAutoHyphens w:val="0"/>
        <w:spacing w:after="160" w:line="259" w:lineRule="auto"/>
        <w:rPr>
          <w:rFonts w:ascii="Calibri" w:hAnsi="Calibri" w:cs="Calibri"/>
          <w:b/>
          <w:szCs w:val="22"/>
          <w:u w:val="single"/>
        </w:rPr>
      </w:pPr>
      <w:r>
        <w:rPr>
          <w:rFonts w:ascii="Calibri" w:hAnsi="Calibri" w:cs="Calibri"/>
          <w:b/>
          <w:szCs w:val="22"/>
          <w:u w:val="single"/>
        </w:rPr>
        <w:br w:type="page"/>
      </w:r>
    </w:p>
    <w:p w14:paraId="539AC803" w14:textId="6CAE3AE3" w:rsidR="00D74954" w:rsidRPr="00891F69" w:rsidRDefault="00D74954" w:rsidP="00D74954">
      <w:pPr>
        <w:keepNext/>
        <w:widowControl/>
        <w:numPr>
          <w:ilvl w:val="2"/>
          <w:numId w:val="0"/>
        </w:numPr>
        <w:shd w:val="clear" w:color="auto" w:fill="auto"/>
        <w:tabs>
          <w:tab w:val="num" w:pos="-180"/>
        </w:tabs>
        <w:suppressAutoHyphens w:val="0"/>
        <w:spacing w:before="240" w:after="60"/>
        <w:ind w:left="360"/>
        <w:outlineLvl w:val="2"/>
        <w:rPr>
          <w:bCs/>
          <w:szCs w:val="22"/>
          <w:u w:val="single"/>
          <w:lang w:eastAsia="fr-FR"/>
        </w:rPr>
      </w:pPr>
      <w:bookmarkStart w:id="1" w:name="_Toc153869632"/>
      <w:r w:rsidRPr="00D74954">
        <w:rPr>
          <w:b/>
          <w:bCs/>
          <w:sz w:val="26"/>
          <w:szCs w:val="26"/>
          <w:u w:val="single"/>
          <w:lang w:eastAsia="fr-FR"/>
        </w:rPr>
        <w:t>Dénomination juridique de l’entreprise :</w:t>
      </w:r>
      <w:bookmarkEnd w:id="1"/>
      <w:r w:rsidR="00891F69">
        <w:rPr>
          <w:b/>
          <w:bCs/>
          <w:sz w:val="26"/>
          <w:szCs w:val="26"/>
          <w:u w:val="single"/>
          <w:lang w:eastAsia="fr-FR"/>
        </w:rPr>
        <w:t xml:space="preserve"> </w:t>
      </w:r>
    </w:p>
    <w:p w14:paraId="73F80449" w14:textId="77777777" w:rsidR="00D74954" w:rsidRPr="00D74954" w:rsidRDefault="00D74954" w:rsidP="00D74954">
      <w:pPr>
        <w:widowControl/>
        <w:shd w:val="clear" w:color="auto" w:fill="auto"/>
        <w:suppressAutoHyphens w:val="0"/>
        <w:rPr>
          <w:sz w:val="24"/>
          <w:lang w:eastAsia="fr-FR"/>
        </w:rPr>
      </w:pPr>
    </w:p>
    <w:p w14:paraId="3321E78A" w14:textId="49A7B4EF" w:rsidR="00D74954" w:rsidRPr="00D74954" w:rsidRDefault="00D74954" w:rsidP="00D74954">
      <w:pPr>
        <w:widowControl/>
        <w:shd w:val="clear" w:color="auto" w:fill="auto"/>
        <w:suppressAutoHyphens w:val="0"/>
        <w:rPr>
          <w:sz w:val="24"/>
          <w:lang w:eastAsia="fr-FR"/>
        </w:rPr>
      </w:pPr>
    </w:p>
    <w:p w14:paraId="36BC6171" w14:textId="77777777" w:rsidR="00D74954" w:rsidRPr="00D74954" w:rsidRDefault="00D74954" w:rsidP="00D74954">
      <w:pPr>
        <w:widowControl/>
        <w:shd w:val="clear" w:color="auto" w:fill="auto"/>
        <w:suppressAutoHyphens w:val="0"/>
        <w:rPr>
          <w:sz w:val="24"/>
          <w:lang w:eastAsia="fr-FR"/>
        </w:rPr>
      </w:pPr>
    </w:p>
    <w:p w14:paraId="73F2EA63" w14:textId="06E69618" w:rsidR="00F20461" w:rsidRDefault="00F20461" w:rsidP="00F20461">
      <w:pPr>
        <w:pStyle w:val="Sansinterligne"/>
        <w:numPr>
          <w:ilvl w:val="0"/>
          <w:numId w:val="1"/>
        </w:numPr>
        <w:ind w:left="284" w:hanging="284"/>
        <w:rPr>
          <w:rFonts w:ascii="Times New Roman" w:eastAsia="Times New Roman" w:hAnsi="Times New Roman" w:cs="Times New Roman"/>
          <w:b/>
          <w:bCs/>
          <w:sz w:val="26"/>
          <w:szCs w:val="26"/>
          <w:u w:val="single"/>
          <w:lang w:eastAsia="fr-FR"/>
        </w:rPr>
      </w:pPr>
      <w:r w:rsidRPr="00F20461">
        <w:rPr>
          <w:rFonts w:ascii="Times New Roman" w:eastAsia="Times New Roman" w:hAnsi="Times New Roman" w:cs="Times New Roman"/>
          <w:b/>
          <w:bCs/>
          <w:sz w:val="26"/>
          <w:szCs w:val="26"/>
          <w:u w:val="single"/>
          <w:lang w:eastAsia="fr-FR"/>
        </w:rPr>
        <w:t>Méthodologie d’exécution (sur 1</w:t>
      </w:r>
      <w:r w:rsidR="00891F69">
        <w:rPr>
          <w:rFonts w:ascii="Times New Roman" w:eastAsia="Times New Roman" w:hAnsi="Times New Roman" w:cs="Times New Roman"/>
          <w:b/>
          <w:bCs/>
          <w:sz w:val="26"/>
          <w:szCs w:val="26"/>
          <w:u w:val="single"/>
          <w:lang w:eastAsia="fr-FR"/>
        </w:rPr>
        <w:t>5</w:t>
      </w:r>
      <w:r w:rsidRPr="00F20461">
        <w:rPr>
          <w:rFonts w:ascii="Times New Roman" w:eastAsia="Times New Roman" w:hAnsi="Times New Roman" w:cs="Times New Roman"/>
          <w:b/>
          <w:bCs/>
          <w:sz w:val="26"/>
          <w:szCs w:val="26"/>
          <w:u w:val="single"/>
          <w:lang w:eastAsia="fr-FR"/>
        </w:rPr>
        <w:t xml:space="preserve"> points)</w:t>
      </w:r>
    </w:p>
    <w:p w14:paraId="4916DCF6" w14:textId="77777777" w:rsidR="00F20461" w:rsidRPr="00F20461" w:rsidRDefault="00F20461" w:rsidP="00F20461">
      <w:pPr>
        <w:pStyle w:val="Sansinterligne"/>
        <w:rPr>
          <w:rFonts w:ascii="Times New Roman" w:eastAsia="Times New Roman" w:hAnsi="Times New Roman" w:cs="Times New Roman"/>
          <w:b/>
          <w:bCs/>
          <w:sz w:val="26"/>
          <w:szCs w:val="26"/>
          <w:u w:val="single"/>
          <w:lang w:eastAsia="fr-FR"/>
        </w:rPr>
      </w:pPr>
    </w:p>
    <w:p w14:paraId="714B539E" w14:textId="4FE9D9B9" w:rsidR="00891F69" w:rsidRDefault="00891F69" w:rsidP="00891F69">
      <w:pPr>
        <w:widowControl/>
        <w:shd w:val="clear" w:color="auto" w:fill="auto"/>
        <w:suppressAutoHyphens w:val="0"/>
        <w:jc w:val="both"/>
        <w:rPr>
          <w:lang w:eastAsia="fr-FR"/>
        </w:rPr>
      </w:pPr>
      <w:r>
        <w:rPr>
          <w:lang w:eastAsia="fr-FR"/>
        </w:rPr>
        <w:t>Le candidat fournira la méthodologie relative à la préparation de la mission et à sa réalisation sur le terrain. Il devra dans son mémoire technique expliquer comment il répondra à la totalité des besoins exprimées (toutes les lignes du BPU) avec la possibilité de sous-traitance.</w:t>
      </w:r>
    </w:p>
    <w:p w14:paraId="71D3BF78" w14:textId="77777777" w:rsidR="00891F69" w:rsidRDefault="00891F69" w:rsidP="00891F69">
      <w:pPr>
        <w:widowControl/>
        <w:shd w:val="clear" w:color="auto" w:fill="auto"/>
        <w:suppressAutoHyphens w:val="0"/>
        <w:jc w:val="both"/>
        <w:rPr>
          <w:lang w:eastAsia="fr-FR"/>
        </w:rPr>
      </w:pPr>
      <w:r>
        <w:rPr>
          <w:lang w:eastAsia="fr-FR"/>
        </w:rPr>
        <w:t>Le candidat fournira un planning d’intervention type d’une autorisation environnementale ICPE/IOTA.</w:t>
      </w:r>
    </w:p>
    <w:p w14:paraId="470E5E82" w14:textId="17CEF53B" w:rsidR="00D74954" w:rsidRPr="00890483" w:rsidRDefault="00891F69" w:rsidP="00890483">
      <w:pPr>
        <w:widowControl/>
        <w:shd w:val="clear" w:color="auto" w:fill="auto"/>
        <w:suppressAutoHyphens w:val="0"/>
        <w:jc w:val="both"/>
        <w:rPr>
          <w:lang w:eastAsia="fr-FR"/>
        </w:rPr>
      </w:pPr>
      <w:r>
        <w:rPr>
          <w:lang w:eastAsia="fr-FR"/>
        </w:rPr>
        <w:t>Le candidat explicitera sa méthodologie de gestion de la continuité de service.</w:t>
      </w:r>
    </w:p>
    <w:p w14:paraId="0D4C8350" w14:textId="77777777" w:rsidR="00F20461" w:rsidRPr="00D74954" w:rsidRDefault="00F20461" w:rsidP="00D74954">
      <w:pPr>
        <w:widowControl/>
        <w:shd w:val="clear" w:color="auto" w:fill="auto"/>
        <w:suppressAutoHyphens w:val="0"/>
        <w:rPr>
          <w:sz w:val="24"/>
          <w:lang w:eastAsia="fr-FR"/>
        </w:rPr>
      </w:pPr>
    </w:p>
    <w:p w14:paraId="4B563E9F" w14:textId="77777777" w:rsidR="004620E0" w:rsidRDefault="004620E0" w:rsidP="00D74954">
      <w:pPr>
        <w:widowControl/>
        <w:shd w:val="clear" w:color="auto" w:fill="auto"/>
        <w:suppressAutoHyphens w:val="0"/>
        <w:rPr>
          <w:i/>
          <w:iCs/>
          <w:sz w:val="24"/>
          <w:lang w:eastAsia="fr-FR"/>
        </w:rPr>
      </w:pPr>
    </w:p>
    <w:p w14:paraId="46AD3A32" w14:textId="43F8EFDC" w:rsidR="00F20461" w:rsidRDefault="00F20461" w:rsidP="00F20461">
      <w:pPr>
        <w:pStyle w:val="Sansinterligne"/>
        <w:numPr>
          <w:ilvl w:val="0"/>
          <w:numId w:val="1"/>
        </w:numPr>
        <w:ind w:left="284" w:hanging="284"/>
        <w:rPr>
          <w:rFonts w:ascii="Times New Roman" w:eastAsia="Times New Roman" w:hAnsi="Times New Roman" w:cs="Times New Roman"/>
          <w:b/>
          <w:bCs/>
          <w:sz w:val="26"/>
          <w:szCs w:val="26"/>
          <w:u w:val="single"/>
          <w:lang w:eastAsia="fr-FR"/>
        </w:rPr>
      </w:pPr>
      <w:r w:rsidRPr="00F20461">
        <w:rPr>
          <w:rFonts w:ascii="Times New Roman" w:eastAsia="Times New Roman" w:hAnsi="Times New Roman" w:cs="Times New Roman"/>
          <w:b/>
          <w:bCs/>
          <w:sz w:val="26"/>
          <w:szCs w:val="26"/>
          <w:u w:val="single"/>
          <w:lang w:eastAsia="fr-FR"/>
        </w:rPr>
        <w:t xml:space="preserve">Moyens humains et matériels (sur </w:t>
      </w:r>
      <w:r w:rsidR="00891F69">
        <w:rPr>
          <w:rFonts w:ascii="Times New Roman" w:eastAsia="Times New Roman" w:hAnsi="Times New Roman" w:cs="Times New Roman"/>
          <w:b/>
          <w:bCs/>
          <w:sz w:val="26"/>
          <w:szCs w:val="26"/>
          <w:u w:val="single"/>
          <w:lang w:eastAsia="fr-FR"/>
        </w:rPr>
        <w:t>8</w:t>
      </w:r>
      <w:r w:rsidRPr="00F20461">
        <w:rPr>
          <w:rFonts w:ascii="Times New Roman" w:eastAsia="Times New Roman" w:hAnsi="Times New Roman" w:cs="Times New Roman"/>
          <w:b/>
          <w:bCs/>
          <w:sz w:val="26"/>
          <w:szCs w:val="26"/>
          <w:u w:val="single"/>
          <w:lang w:eastAsia="fr-FR"/>
        </w:rPr>
        <w:t xml:space="preserve"> points)</w:t>
      </w:r>
    </w:p>
    <w:p w14:paraId="7E9E613C" w14:textId="77777777" w:rsidR="00F20461" w:rsidRPr="00F20461" w:rsidRDefault="00F20461" w:rsidP="00F20461">
      <w:pPr>
        <w:pStyle w:val="Sansinterligne"/>
        <w:rPr>
          <w:rFonts w:ascii="Times New Roman" w:eastAsia="Times New Roman" w:hAnsi="Times New Roman" w:cs="Times New Roman"/>
          <w:b/>
          <w:bCs/>
          <w:sz w:val="26"/>
          <w:szCs w:val="26"/>
          <w:u w:val="single"/>
          <w:lang w:eastAsia="fr-FR"/>
        </w:rPr>
      </w:pPr>
    </w:p>
    <w:p w14:paraId="1D05292B" w14:textId="1ED7630A" w:rsidR="00F20461" w:rsidRPr="00890483" w:rsidRDefault="00F20461" w:rsidP="00890483">
      <w:pPr>
        <w:widowControl/>
        <w:shd w:val="clear" w:color="auto" w:fill="auto"/>
        <w:suppressAutoHyphens w:val="0"/>
        <w:jc w:val="both"/>
        <w:rPr>
          <w:lang w:eastAsia="fr-FR"/>
        </w:rPr>
      </w:pPr>
      <w:r w:rsidRPr="00890483">
        <w:rPr>
          <w:lang w:eastAsia="fr-FR"/>
        </w:rPr>
        <w:t>Le candidat fournira pour chaque type de prestations apparaiss</w:t>
      </w:r>
      <w:r w:rsidR="00891F69">
        <w:rPr>
          <w:lang w:eastAsia="fr-FR"/>
        </w:rPr>
        <w:t>ant dans le BPU</w:t>
      </w:r>
      <w:r w:rsidRPr="00890483">
        <w:rPr>
          <w:lang w:eastAsia="fr-FR"/>
        </w:rPr>
        <w:t xml:space="preserve"> :</w:t>
      </w:r>
    </w:p>
    <w:p w14:paraId="6A091F86" w14:textId="68173ACE" w:rsidR="00F20461" w:rsidRPr="00890483" w:rsidRDefault="00F20461" w:rsidP="00890483">
      <w:pPr>
        <w:widowControl/>
        <w:shd w:val="clear" w:color="auto" w:fill="auto"/>
        <w:suppressAutoHyphens w:val="0"/>
        <w:jc w:val="both"/>
        <w:rPr>
          <w:lang w:eastAsia="fr-FR"/>
        </w:rPr>
      </w:pPr>
      <w:r w:rsidRPr="00890483">
        <w:rPr>
          <w:lang w:eastAsia="fr-FR"/>
        </w:rPr>
        <w:t xml:space="preserve">- Les moyens humains (qualifications </w:t>
      </w:r>
      <w:r w:rsidR="00891F69" w:rsidRPr="00891F69">
        <w:rPr>
          <w:lang w:eastAsia="fr-FR"/>
        </w:rPr>
        <w:t xml:space="preserve">– compétences / spécialités </w:t>
      </w:r>
      <w:r w:rsidRPr="00890483">
        <w:rPr>
          <w:lang w:eastAsia="fr-FR"/>
        </w:rPr>
        <w:t>des personnels dédiés ainsi que des suppléants) ;</w:t>
      </w:r>
    </w:p>
    <w:p w14:paraId="7B0B4DC3" w14:textId="6B4E579A" w:rsidR="00F20461" w:rsidRPr="00890483" w:rsidRDefault="00F20461" w:rsidP="00890483">
      <w:pPr>
        <w:widowControl/>
        <w:shd w:val="clear" w:color="auto" w:fill="auto"/>
        <w:suppressAutoHyphens w:val="0"/>
        <w:jc w:val="both"/>
        <w:rPr>
          <w:lang w:eastAsia="fr-FR"/>
        </w:rPr>
      </w:pPr>
      <w:r w:rsidRPr="00890483">
        <w:rPr>
          <w:lang w:eastAsia="fr-FR"/>
        </w:rPr>
        <w:t>- Les matériels (y compris moyens informatiques et logiciels utilisés) mis en œuvre dans le cadre de l’exécution des prestations.</w:t>
      </w:r>
    </w:p>
    <w:p w14:paraId="7BB33C3B" w14:textId="77777777" w:rsidR="004620E0" w:rsidRDefault="004620E0" w:rsidP="004620E0">
      <w:pPr>
        <w:pStyle w:val="Paragraphedeliste"/>
        <w:rPr>
          <w:b/>
        </w:rPr>
      </w:pPr>
    </w:p>
    <w:p w14:paraId="261A9028" w14:textId="77777777" w:rsidR="004620E0" w:rsidRPr="004620E0" w:rsidRDefault="004620E0" w:rsidP="003D2B67">
      <w:pPr>
        <w:pStyle w:val="Sansinterligne"/>
        <w:ind w:left="1440"/>
        <w:rPr>
          <w:b/>
        </w:rPr>
      </w:pPr>
    </w:p>
    <w:p w14:paraId="765E2130" w14:textId="693ED8C8" w:rsidR="00891F69" w:rsidRPr="00891F69" w:rsidRDefault="00891F69" w:rsidP="00891F69">
      <w:pPr>
        <w:pStyle w:val="Sansinterligne"/>
        <w:numPr>
          <w:ilvl w:val="0"/>
          <w:numId w:val="1"/>
        </w:numPr>
        <w:ind w:left="284" w:hanging="284"/>
        <w:rPr>
          <w:rFonts w:ascii="Times New Roman" w:eastAsia="Times New Roman" w:hAnsi="Times New Roman" w:cs="Times New Roman"/>
          <w:b/>
          <w:bCs/>
          <w:sz w:val="26"/>
          <w:szCs w:val="26"/>
          <w:u w:val="single"/>
          <w:lang w:eastAsia="fr-FR"/>
        </w:rPr>
      </w:pPr>
      <w:r w:rsidRPr="00891F69">
        <w:rPr>
          <w:rFonts w:ascii="Times New Roman" w:eastAsia="Times New Roman" w:hAnsi="Times New Roman" w:cs="Times New Roman"/>
          <w:b/>
          <w:bCs/>
          <w:sz w:val="26"/>
          <w:szCs w:val="26"/>
          <w:u w:val="single"/>
          <w:lang w:eastAsia="fr-FR"/>
        </w:rPr>
        <w:t>Cas pratique (sur 12 points)</w:t>
      </w:r>
    </w:p>
    <w:p w14:paraId="0534BDA6" w14:textId="56A4DE5D" w:rsidR="00891F69" w:rsidRPr="00891F69" w:rsidRDefault="00891F69" w:rsidP="00891F69">
      <w:pPr>
        <w:pStyle w:val="Sansinterligne"/>
        <w:rPr>
          <w:rFonts w:ascii="Times New Roman" w:eastAsia="Times New Roman" w:hAnsi="Times New Roman" w:cs="Times New Roman"/>
          <w:b/>
          <w:bCs/>
          <w:sz w:val="26"/>
          <w:szCs w:val="26"/>
          <w:u w:val="single"/>
          <w:lang w:eastAsia="fr-FR"/>
        </w:rPr>
      </w:pPr>
    </w:p>
    <w:p w14:paraId="535C48D8" w14:textId="77777777" w:rsidR="00891F69" w:rsidRPr="00891F69" w:rsidRDefault="00891F69" w:rsidP="00891F69">
      <w:pPr>
        <w:pStyle w:val="Sansinterligne"/>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Le candidat décrira précisément la méthodologie qu’il mettra en œuvre pour répondre au cas suivant :</w:t>
      </w:r>
    </w:p>
    <w:p w14:paraId="16636182" w14:textId="77777777" w:rsidR="00891F69" w:rsidRPr="00891F69" w:rsidRDefault="00891F69" w:rsidP="00891F69">
      <w:pPr>
        <w:pStyle w:val="Sansinterligne"/>
        <w:jc w:val="both"/>
        <w:rPr>
          <w:rFonts w:ascii="Times New Roman" w:eastAsia="Times New Roman" w:hAnsi="Times New Roman" w:cs="Times New Roman"/>
          <w:bCs/>
          <w:szCs w:val="26"/>
          <w:lang w:eastAsia="fr-FR"/>
        </w:rPr>
      </w:pPr>
    </w:p>
    <w:p w14:paraId="7DA0864C" w14:textId="77777777" w:rsidR="00891F69" w:rsidRPr="00891F69" w:rsidRDefault="00891F69" w:rsidP="00891F69">
      <w:pPr>
        <w:pStyle w:val="Sansinterligne"/>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 xml:space="preserve">Dans le cadre du futur marché, vous êtes mandatés par le responsable de site et tous les exploitants de ce site, suite à l’inspection des installations classées du contrôle général des armées, pour rédiger un dossier de site. En effet, dans le cadre de la remontée en puissance de l’armée française, le site est densifié en ICPE et en IOTA (plusieurs ateliers de mécaniques réhabilités et construits, un dépôt de munitions, un hot spot de visite de munitions et de reconditionnement en vue de changement de vecteurs de transport, une aire de lavage de véhicule, une station-service régimentaire, un hangar à température et hydrométrie contrôlée avec stockage de véhicules sous cocon). Des bâtiments seront à déconstruire (zéro artificialisation nette). Une réserve naturelle se trouve à moins de 1.5 kms. Une zone </w:t>
      </w:r>
      <w:proofErr w:type="spellStart"/>
      <w:r w:rsidRPr="00891F69">
        <w:rPr>
          <w:rFonts w:ascii="Times New Roman" w:eastAsia="Times New Roman" w:hAnsi="Times New Roman" w:cs="Times New Roman"/>
          <w:bCs/>
          <w:szCs w:val="26"/>
          <w:lang w:eastAsia="fr-FR"/>
        </w:rPr>
        <w:t>natura</w:t>
      </w:r>
      <w:proofErr w:type="spellEnd"/>
      <w:r w:rsidRPr="00891F69">
        <w:rPr>
          <w:rFonts w:ascii="Times New Roman" w:eastAsia="Times New Roman" w:hAnsi="Times New Roman" w:cs="Times New Roman"/>
          <w:bCs/>
          <w:szCs w:val="26"/>
          <w:lang w:eastAsia="fr-FR"/>
        </w:rPr>
        <w:t xml:space="preserve"> 2000 se situe à 3 kms. Un forage EDCH alimente en interne le camp militaire avec un périmètre de protection rapproché qui ne dépasse pas pour le moment le périmètre de l’emprise militaire.</w:t>
      </w:r>
    </w:p>
    <w:p w14:paraId="124D1C28" w14:textId="77777777" w:rsidR="00891F69" w:rsidRPr="00891F69" w:rsidRDefault="00891F69" w:rsidP="00891F69">
      <w:pPr>
        <w:pStyle w:val="Sansinterligne"/>
        <w:jc w:val="both"/>
        <w:rPr>
          <w:rFonts w:ascii="Times New Roman" w:eastAsia="Times New Roman" w:hAnsi="Times New Roman" w:cs="Times New Roman"/>
          <w:bCs/>
          <w:szCs w:val="26"/>
          <w:lang w:eastAsia="fr-FR"/>
        </w:rPr>
      </w:pPr>
    </w:p>
    <w:p w14:paraId="333DD877" w14:textId="4A9F2EA4"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Quelles sont les conséquences de cette densification sur les ICPE, les IOTA, la biodiversité, et quelles sont les potentielles servitudes à prendre ?</w:t>
      </w:r>
    </w:p>
    <w:p w14:paraId="66A60DF7" w14:textId="51CE9D60"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Quelles procédures à mettre en œuvre ?</w:t>
      </w:r>
    </w:p>
    <w:p w14:paraId="0B72BA8A" w14:textId="7E784E41"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Quelles études sont à réaliser ?</w:t>
      </w:r>
    </w:p>
    <w:p w14:paraId="4B6AF2A2" w14:textId="685F0068"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Quelles instances sont à engager ?</w:t>
      </w:r>
    </w:p>
    <w:p w14:paraId="60EB1B06" w14:textId="1F9F8C18"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Lister la liste des réglementations à apprendre en compte.</w:t>
      </w:r>
    </w:p>
    <w:p w14:paraId="751906EC" w14:textId="46CE474A" w:rsidR="00891F69" w:rsidRPr="00891F69" w:rsidRDefault="00891F69" w:rsidP="00891F69">
      <w:pPr>
        <w:pStyle w:val="Sansinterligne"/>
        <w:numPr>
          <w:ilvl w:val="0"/>
          <w:numId w:val="7"/>
        </w:numPr>
        <w:jc w:val="both"/>
        <w:rPr>
          <w:rFonts w:ascii="Times New Roman" w:eastAsia="Times New Roman" w:hAnsi="Times New Roman" w:cs="Times New Roman"/>
          <w:bCs/>
          <w:szCs w:val="26"/>
          <w:lang w:eastAsia="fr-FR"/>
        </w:rPr>
      </w:pPr>
      <w:r w:rsidRPr="00891F69">
        <w:rPr>
          <w:rFonts w:ascii="Times New Roman" w:eastAsia="Times New Roman" w:hAnsi="Times New Roman" w:cs="Times New Roman"/>
          <w:bCs/>
          <w:szCs w:val="26"/>
          <w:lang w:eastAsia="fr-FR"/>
        </w:rPr>
        <w:t>Quels scenarii de résultats et quelles conséquences calendaires et travaux d’infrastructure sont envisageables ?</w:t>
      </w:r>
    </w:p>
    <w:p w14:paraId="101CD9F0" w14:textId="4874FBD4" w:rsidR="00891F69" w:rsidRDefault="00891F69" w:rsidP="00891F69">
      <w:pPr>
        <w:pStyle w:val="Sansinterligne"/>
        <w:rPr>
          <w:rFonts w:ascii="Times New Roman" w:eastAsia="Times New Roman" w:hAnsi="Times New Roman" w:cs="Times New Roman"/>
          <w:b/>
          <w:bCs/>
          <w:sz w:val="26"/>
          <w:szCs w:val="26"/>
          <w:highlight w:val="green"/>
          <w:u w:val="single"/>
          <w:lang w:eastAsia="fr-FR"/>
        </w:rPr>
      </w:pPr>
    </w:p>
    <w:p w14:paraId="4AEDC9BC" w14:textId="77777777" w:rsidR="007C0DBF" w:rsidRDefault="007C0DBF" w:rsidP="00891F69">
      <w:pPr>
        <w:pStyle w:val="Sansinterligne"/>
        <w:rPr>
          <w:rFonts w:ascii="Times New Roman" w:eastAsia="Times New Roman" w:hAnsi="Times New Roman" w:cs="Times New Roman"/>
          <w:b/>
          <w:bCs/>
          <w:sz w:val="26"/>
          <w:szCs w:val="26"/>
          <w:highlight w:val="green"/>
          <w:u w:val="single"/>
          <w:lang w:eastAsia="fr-FR"/>
        </w:rPr>
      </w:pPr>
    </w:p>
    <w:p w14:paraId="64191796" w14:textId="412120C9" w:rsidR="00F20461" w:rsidRPr="00891F69" w:rsidRDefault="00890483" w:rsidP="00891F69">
      <w:pPr>
        <w:pStyle w:val="Sansinterligne"/>
        <w:numPr>
          <w:ilvl w:val="0"/>
          <w:numId w:val="1"/>
        </w:numPr>
        <w:ind w:left="284" w:hanging="284"/>
        <w:rPr>
          <w:rFonts w:ascii="Times New Roman" w:eastAsia="Times New Roman" w:hAnsi="Times New Roman" w:cs="Times New Roman"/>
          <w:b/>
          <w:bCs/>
          <w:sz w:val="26"/>
          <w:szCs w:val="26"/>
          <w:u w:val="single"/>
          <w:lang w:eastAsia="fr-FR"/>
        </w:rPr>
      </w:pPr>
      <w:r w:rsidRPr="00891F69">
        <w:rPr>
          <w:rFonts w:ascii="Times New Roman" w:eastAsia="Times New Roman" w:hAnsi="Times New Roman" w:cs="Times New Roman"/>
          <w:b/>
          <w:bCs/>
          <w:sz w:val="26"/>
          <w:szCs w:val="26"/>
          <w:u w:val="single"/>
          <w:lang w:eastAsia="fr-FR"/>
        </w:rPr>
        <w:t>Livrables</w:t>
      </w:r>
      <w:r w:rsidR="00F20461" w:rsidRPr="00891F69">
        <w:rPr>
          <w:rFonts w:ascii="Times New Roman" w:eastAsia="Times New Roman" w:hAnsi="Times New Roman" w:cs="Times New Roman"/>
          <w:b/>
          <w:bCs/>
          <w:sz w:val="26"/>
          <w:szCs w:val="26"/>
          <w:u w:val="single"/>
          <w:lang w:eastAsia="fr-FR"/>
        </w:rPr>
        <w:t xml:space="preserve"> (sur </w:t>
      </w:r>
      <w:r w:rsidR="00891F69">
        <w:rPr>
          <w:rFonts w:ascii="Times New Roman" w:eastAsia="Times New Roman" w:hAnsi="Times New Roman" w:cs="Times New Roman"/>
          <w:b/>
          <w:bCs/>
          <w:sz w:val="26"/>
          <w:szCs w:val="26"/>
          <w:u w:val="single"/>
          <w:lang w:eastAsia="fr-FR"/>
        </w:rPr>
        <w:t>5</w:t>
      </w:r>
      <w:r w:rsidR="00F20461" w:rsidRPr="00891F69">
        <w:rPr>
          <w:rFonts w:ascii="Times New Roman" w:eastAsia="Times New Roman" w:hAnsi="Times New Roman" w:cs="Times New Roman"/>
          <w:b/>
          <w:bCs/>
          <w:sz w:val="26"/>
          <w:szCs w:val="26"/>
          <w:u w:val="single"/>
          <w:lang w:eastAsia="fr-FR"/>
        </w:rPr>
        <w:t xml:space="preserve"> points)</w:t>
      </w:r>
    </w:p>
    <w:p w14:paraId="31AAB327" w14:textId="77777777" w:rsidR="00F20461" w:rsidRPr="00F20461" w:rsidRDefault="00F20461" w:rsidP="00F20461">
      <w:pPr>
        <w:pStyle w:val="Sansinterligne"/>
        <w:rPr>
          <w:rFonts w:ascii="Times New Roman" w:eastAsia="Times New Roman" w:hAnsi="Times New Roman" w:cs="Times New Roman"/>
          <w:b/>
          <w:bCs/>
          <w:sz w:val="26"/>
          <w:szCs w:val="26"/>
          <w:u w:val="single"/>
          <w:lang w:eastAsia="fr-FR"/>
        </w:rPr>
      </w:pPr>
    </w:p>
    <w:p w14:paraId="27862B55" w14:textId="08408E73" w:rsidR="004620E0" w:rsidRPr="00891F69" w:rsidRDefault="00891F69" w:rsidP="00891F69">
      <w:pPr>
        <w:widowControl/>
        <w:shd w:val="clear" w:color="auto" w:fill="auto"/>
        <w:suppressAutoHyphens w:val="0"/>
        <w:jc w:val="both"/>
        <w:rPr>
          <w:lang w:eastAsia="fr-FR"/>
        </w:rPr>
      </w:pPr>
      <w:r w:rsidRPr="00891F69">
        <w:rPr>
          <w:lang w:eastAsia="fr-FR"/>
        </w:rPr>
        <w:t xml:space="preserve">Le candidat fournira un exemple de dossier environnemental d’autorisation ou d’évaluation environnemental </w:t>
      </w:r>
      <w:proofErr w:type="spellStart"/>
      <w:r w:rsidRPr="00891F69">
        <w:rPr>
          <w:lang w:eastAsia="fr-FR"/>
        </w:rPr>
        <w:t>anonymisé</w:t>
      </w:r>
      <w:proofErr w:type="spellEnd"/>
      <w:r w:rsidRPr="00891F69">
        <w:rPr>
          <w:lang w:eastAsia="fr-FR"/>
        </w:rPr>
        <w:t xml:space="preserve"> déjà réalisé </w:t>
      </w:r>
      <w:r w:rsidRPr="00891F69">
        <w:rPr>
          <w:b/>
          <w:lang w:eastAsia="fr-FR"/>
        </w:rPr>
        <w:t>de moins de cinq ans</w:t>
      </w:r>
      <w:r w:rsidRPr="00891F69">
        <w:rPr>
          <w:lang w:eastAsia="fr-FR"/>
        </w:rPr>
        <w:t>.</w:t>
      </w:r>
    </w:p>
    <w:sectPr w:rsidR="004620E0" w:rsidRPr="00891F6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A43FE" w14:textId="77777777" w:rsidR="00891018" w:rsidRDefault="00891018" w:rsidP="002F3FB3">
      <w:r>
        <w:separator/>
      </w:r>
    </w:p>
  </w:endnote>
  <w:endnote w:type="continuationSeparator" w:id="0">
    <w:p w14:paraId="095948B5" w14:textId="77777777" w:rsidR="00891018" w:rsidRDefault="00891018" w:rsidP="002F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2901124"/>
      <w:docPartObj>
        <w:docPartGallery w:val="Page Numbers (Bottom of Page)"/>
        <w:docPartUnique/>
      </w:docPartObj>
    </w:sdtPr>
    <w:sdtEndPr/>
    <w:sdtContent>
      <w:sdt>
        <w:sdtPr>
          <w:id w:val="1728636285"/>
          <w:docPartObj>
            <w:docPartGallery w:val="Page Numbers (Top of Page)"/>
            <w:docPartUnique/>
          </w:docPartObj>
        </w:sdtPr>
        <w:sdtEndPr/>
        <w:sdtContent>
          <w:p w14:paraId="2ABB65AD" w14:textId="32D1E3DF" w:rsidR="002F3FB3" w:rsidRDefault="002F3FB3">
            <w:pPr>
              <w:pStyle w:val="Pieddepage"/>
              <w:jc w:val="center"/>
            </w:pPr>
            <w:r>
              <w:t xml:space="preserve">Page </w:t>
            </w:r>
            <w:r>
              <w:rPr>
                <w:b/>
                <w:bCs/>
                <w:sz w:val="24"/>
              </w:rPr>
              <w:fldChar w:fldCharType="begin"/>
            </w:r>
            <w:r>
              <w:rPr>
                <w:b/>
                <w:bCs/>
              </w:rPr>
              <w:instrText>PAGE</w:instrText>
            </w:r>
            <w:r>
              <w:rPr>
                <w:b/>
                <w:bCs/>
                <w:sz w:val="24"/>
              </w:rPr>
              <w:fldChar w:fldCharType="separate"/>
            </w:r>
            <w:r w:rsidR="00C3486B">
              <w:rPr>
                <w:b/>
                <w:bCs/>
                <w:noProof/>
              </w:rPr>
              <w:t>3</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C3486B">
              <w:rPr>
                <w:b/>
                <w:bCs/>
                <w:noProof/>
              </w:rPr>
              <w:t>3</w:t>
            </w:r>
            <w:r>
              <w:rPr>
                <w:b/>
                <w:bCs/>
                <w:sz w:val="24"/>
              </w:rPr>
              <w:fldChar w:fldCharType="end"/>
            </w:r>
          </w:p>
        </w:sdtContent>
      </w:sdt>
    </w:sdtContent>
  </w:sdt>
  <w:p w14:paraId="72385717" w14:textId="77777777" w:rsidR="002F3FB3" w:rsidRDefault="002F3F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C339F" w14:textId="77777777" w:rsidR="00891018" w:rsidRDefault="00891018" w:rsidP="002F3FB3">
      <w:r>
        <w:separator/>
      </w:r>
    </w:p>
  </w:footnote>
  <w:footnote w:type="continuationSeparator" w:id="0">
    <w:p w14:paraId="683DBD25" w14:textId="77777777" w:rsidR="00891018" w:rsidRDefault="00891018" w:rsidP="002F3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BB93" w14:textId="77777777" w:rsidR="002F3FB3" w:rsidRDefault="002F3FB3">
    <w:pPr>
      <w:pStyle w:val="En-tte"/>
    </w:pPr>
    <w:r>
      <w:t xml:space="preserve">                                                                  Mémoire technique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0DA"/>
    <w:multiLevelType w:val="hybridMultilevel"/>
    <w:tmpl w:val="56AC937E"/>
    <w:lvl w:ilvl="0" w:tplc="040C0011">
      <w:start w:val="1"/>
      <w:numFmt w:val="decimal"/>
      <w:lvlText w:val="%1)"/>
      <w:lvlJc w:val="left"/>
      <w:pPr>
        <w:ind w:left="2563" w:hanging="360"/>
      </w:pPr>
    </w:lvl>
    <w:lvl w:ilvl="1" w:tplc="040C0019" w:tentative="1">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tentative="1">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1" w15:restartNumberingAfterBreak="0">
    <w:nsid w:val="101C4652"/>
    <w:multiLevelType w:val="hybridMultilevel"/>
    <w:tmpl w:val="80F81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E508E"/>
    <w:multiLevelType w:val="hybridMultilevel"/>
    <w:tmpl w:val="1F008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9D09AF"/>
    <w:multiLevelType w:val="hybridMultilevel"/>
    <w:tmpl w:val="B2B69FD8"/>
    <w:lvl w:ilvl="0" w:tplc="040C0011">
      <w:start w:val="1"/>
      <w:numFmt w:val="decimal"/>
      <w:lvlText w:val="%1)"/>
      <w:lvlJc w:val="left"/>
      <w:pPr>
        <w:ind w:left="0" w:hanging="360"/>
      </w:pPr>
    </w:lvl>
    <w:lvl w:ilvl="1" w:tplc="040C0019">
      <w:start w:val="1"/>
      <w:numFmt w:val="lowerLetter"/>
      <w:lvlText w:val="%2."/>
      <w:lvlJc w:val="left"/>
      <w:pPr>
        <w:ind w:left="502"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4" w15:restartNumberingAfterBreak="0">
    <w:nsid w:val="4C115F40"/>
    <w:multiLevelType w:val="hybridMultilevel"/>
    <w:tmpl w:val="A3F2ED08"/>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CC769C"/>
    <w:multiLevelType w:val="hybridMultilevel"/>
    <w:tmpl w:val="AB3EE408"/>
    <w:lvl w:ilvl="0" w:tplc="DD8036B2">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5D446C"/>
    <w:multiLevelType w:val="hybridMultilevel"/>
    <w:tmpl w:val="5F0CC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8B44A9"/>
    <w:multiLevelType w:val="hybridMultilevel"/>
    <w:tmpl w:val="77B24682"/>
    <w:lvl w:ilvl="0" w:tplc="0000000C">
      <w:numFmt w:val="bullet"/>
      <w:lvlText w:val="-"/>
      <w:lvlJc w:val="left"/>
      <w:pPr>
        <w:ind w:left="720" w:hanging="360"/>
      </w:pPr>
      <w:rPr>
        <w:rFonts w:ascii="StarSymbol" w:hAnsi="Star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3A8"/>
    <w:rsid w:val="002F3FB3"/>
    <w:rsid w:val="003106C0"/>
    <w:rsid w:val="0034754A"/>
    <w:rsid w:val="003B43A8"/>
    <w:rsid w:val="003D2B67"/>
    <w:rsid w:val="00440A48"/>
    <w:rsid w:val="004620E0"/>
    <w:rsid w:val="00577DF0"/>
    <w:rsid w:val="005F2ADD"/>
    <w:rsid w:val="00610970"/>
    <w:rsid w:val="006811FB"/>
    <w:rsid w:val="006E3EA7"/>
    <w:rsid w:val="00710F24"/>
    <w:rsid w:val="007C0DBF"/>
    <w:rsid w:val="00890483"/>
    <w:rsid w:val="00891018"/>
    <w:rsid w:val="00891F69"/>
    <w:rsid w:val="00931F09"/>
    <w:rsid w:val="009E0348"/>
    <w:rsid w:val="00A73A9F"/>
    <w:rsid w:val="00B40045"/>
    <w:rsid w:val="00BA6DEE"/>
    <w:rsid w:val="00C3486B"/>
    <w:rsid w:val="00D74954"/>
    <w:rsid w:val="00E24AAE"/>
    <w:rsid w:val="00E35F6B"/>
    <w:rsid w:val="00F204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F7582"/>
  <w15:chartTrackingRefBased/>
  <w15:docId w15:val="{843098D8-1906-427F-BD71-AC2816F8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3A8"/>
    <w:pPr>
      <w:widowControl w:val="0"/>
      <w:shd w:val="clear" w:color="auto" w:fill="FFFFFF"/>
      <w:suppressAutoHyphens/>
      <w:spacing w:after="0" w:line="240" w:lineRule="auto"/>
    </w:pPr>
    <w:rPr>
      <w:rFonts w:ascii="Times New Roman" w:eastAsia="Times New Roman" w:hAnsi="Times New Roman" w:cs="Times New Roman"/>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dex">
    <w:name w:val="Index"/>
    <w:basedOn w:val="Normal"/>
    <w:rsid w:val="003B43A8"/>
    <w:pPr>
      <w:suppressLineNumbers/>
    </w:pPr>
  </w:style>
  <w:style w:type="paragraph" w:styleId="TM1">
    <w:name w:val="toc 1"/>
    <w:basedOn w:val="Normal"/>
    <w:next w:val="Normal"/>
    <w:uiPriority w:val="39"/>
    <w:rsid w:val="003B43A8"/>
    <w:pPr>
      <w:spacing w:before="120" w:after="120"/>
    </w:pPr>
    <w:rPr>
      <w:b/>
      <w:bCs/>
      <w:caps/>
      <w:sz w:val="20"/>
      <w:szCs w:val="20"/>
    </w:rPr>
  </w:style>
  <w:style w:type="paragraph" w:styleId="Sansinterligne">
    <w:name w:val="No Spacing"/>
    <w:uiPriority w:val="1"/>
    <w:qFormat/>
    <w:rsid w:val="004620E0"/>
    <w:pPr>
      <w:spacing w:after="0" w:line="240" w:lineRule="auto"/>
    </w:pPr>
  </w:style>
  <w:style w:type="paragraph" w:styleId="Paragraphedeliste">
    <w:name w:val="List Paragraph"/>
    <w:basedOn w:val="Normal"/>
    <w:uiPriority w:val="34"/>
    <w:qFormat/>
    <w:rsid w:val="004620E0"/>
    <w:pPr>
      <w:ind w:left="720"/>
      <w:contextualSpacing/>
    </w:pPr>
  </w:style>
  <w:style w:type="paragraph" w:styleId="En-tte">
    <w:name w:val="header"/>
    <w:basedOn w:val="Normal"/>
    <w:link w:val="En-tteCar"/>
    <w:uiPriority w:val="99"/>
    <w:unhideWhenUsed/>
    <w:rsid w:val="002F3FB3"/>
    <w:pPr>
      <w:tabs>
        <w:tab w:val="center" w:pos="4536"/>
        <w:tab w:val="right" w:pos="9072"/>
      </w:tabs>
    </w:pPr>
  </w:style>
  <w:style w:type="character" w:customStyle="1" w:styleId="En-tteCar">
    <w:name w:val="En-tête Car"/>
    <w:basedOn w:val="Policepardfaut"/>
    <w:link w:val="En-tte"/>
    <w:uiPriority w:val="99"/>
    <w:rsid w:val="002F3FB3"/>
    <w:rPr>
      <w:rFonts w:ascii="Times New Roman" w:eastAsia="Times New Roman" w:hAnsi="Times New Roman" w:cs="Times New Roman"/>
      <w:szCs w:val="24"/>
      <w:shd w:val="clear" w:color="auto" w:fill="FFFFFF"/>
      <w:lang w:eastAsia="ar-SA"/>
    </w:rPr>
  </w:style>
  <w:style w:type="paragraph" w:styleId="Pieddepage">
    <w:name w:val="footer"/>
    <w:basedOn w:val="Normal"/>
    <w:link w:val="PieddepageCar"/>
    <w:uiPriority w:val="99"/>
    <w:unhideWhenUsed/>
    <w:rsid w:val="002F3FB3"/>
    <w:pPr>
      <w:tabs>
        <w:tab w:val="center" w:pos="4536"/>
        <w:tab w:val="right" w:pos="9072"/>
      </w:tabs>
    </w:pPr>
  </w:style>
  <w:style w:type="character" w:customStyle="1" w:styleId="PieddepageCar">
    <w:name w:val="Pied de page Car"/>
    <w:basedOn w:val="Policepardfaut"/>
    <w:link w:val="Pieddepage"/>
    <w:uiPriority w:val="99"/>
    <w:rsid w:val="002F3FB3"/>
    <w:rPr>
      <w:rFonts w:ascii="Times New Roman" w:eastAsia="Times New Roman" w:hAnsi="Times New Roman" w:cs="Times New Roman"/>
      <w:szCs w:val="24"/>
      <w:shd w:val="clear" w:color="auto" w:fill="FFFFFF"/>
      <w:lang w:eastAsia="ar-SA"/>
    </w:rPr>
  </w:style>
  <w:style w:type="character" w:styleId="Marquedecommentaire">
    <w:name w:val="annotation reference"/>
    <w:basedOn w:val="Policepardfaut"/>
    <w:semiHidden/>
    <w:unhideWhenUsed/>
    <w:rsid w:val="00610970"/>
    <w:rPr>
      <w:sz w:val="16"/>
      <w:szCs w:val="16"/>
    </w:rPr>
  </w:style>
  <w:style w:type="paragraph" w:styleId="Commentaire">
    <w:name w:val="annotation text"/>
    <w:basedOn w:val="Normal"/>
    <w:link w:val="CommentaireCar"/>
    <w:uiPriority w:val="99"/>
    <w:semiHidden/>
    <w:unhideWhenUsed/>
    <w:rsid w:val="00610970"/>
    <w:rPr>
      <w:sz w:val="20"/>
      <w:szCs w:val="20"/>
    </w:rPr>
  </w:style>
  <w:style w:type="character" w:customStyle="1" w:styleId="CommentaireCar">
    <w:name w:val="Commentaire Car"/>
    <w:basedOn w:val="Policepardfaut"/>
    <w:link w:val="Commentaire"/>
    <w:uiPriority w:val="99"/>
    <w:semiHidden/>
    <w:rsid w:val="00610970"/>
    <w:rPr>
      <w:rFonts w:ascii="Times New Roman" w:eastAsia="Times New Roman" w:hAnsi="Times New Roman" w:cs="Times New Roman"/>
      <w:sz w:val="20"/>
      <w:szCs w:val="20"/>
      <w:shd w:val="clear" w:color="auto" w:fill="FFFFFF"/>
      <w:lang w:eastAsia="ar-SA"/>
    </w:rPr>
  </w:style>
  <w:style w:type="paragraph" w:styleId="Objetducommentaire">
    <w:name w:val="annotation subject"/>
    <w:basedOn w:val="Commentaire"/>
    <w:next w:val="Commentaire"/>
    <w:link w:val="ObjetducommentaireCar"/>
    <w:uiPriority w:val="99"/>
    <w:semiHidden/>
    <w:unhideWhenUsed/>
    <w:rsid w:val="00610970"/>
    <w:rPr>
      <w:b/>
      <w:bCs/>
    </w:rPr>
  </w:style>
  <w:style w:type="character" w:customStyle="1" w:styleId="ObjetducommentaireCar">
    <w:name w:val="Objet du commentaire Car"/>
    <w:basedOn w:val="CommentaireCar"/>
    <w:link w:val="Objetducommentaire"/>
    <w:uiPriority w:val="99"/>
    <w:semiHidden/>
    <w:rsid w:val="00610970"/>
    <w:rPr>
      <w:rFonts w:ascii="Times New Roman" w:eastAsia="Times New Roman" w:hAnsi="Times New Roman" w:cs="Times New Roman"/>
      <w:b/>
      <w:bCs/>
      <w:sz w:val="20"/>
      <w:szCs w:val="20"/>
      <w:shd w:val="clear" w:color="auto" w:fill="FFFFFF"/>
      <w:lang w:eastAsia="ar-SA"/>
    </w:rPr>
  </w:style>
  <w:style w:type="paragraph" w:styleId="Textedebulles">
    <w:name w:val="Balloon Text"/>
    <w:basedOn w:val="Normal"/>
    <w:link w:val="TextedebullesCar"/>
    <w:uiPriority w:val="99"/>
    <w:semiHidden/>
    <w:unhideWhenUsed/>
    <w:rsid w:val="006109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0970"/>
    <w:rPr>
      <w:rFonts w:ascii="Segoe UI" w:eastAsia="Times New Roman" w:hAnsi="Segoe UI" w:cs="Segoe UI"/>
      <w:sz w:val="18"/>
      <w:szCs w:val="18"/>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53FD5-DA70-4DFB-9C9E-5EECE84E9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688</Words>
  <Characters>3784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OLIER Lucile ASC NIV 2 OA</dc:creator>
  <cp:keywords/>
  <dc:description/>
  <cp:lastModifiedBy>KLEIN Cecilia SA CS MINDEF</cp:lastModifiedBy>
  <cp:revision>6</cp:revision>
  <dcterms:created xsi:type="dcterms:W3CDTF">2024-07-24T14:57:00Z</dcterms:created>
  <dcterms:modified xsi:type="dcterms:W3CDTF">2024-11-25T09:51:00Z</dcterms:modified>
</cp:coreProperties>
</file>