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jpeg" ContentType="image/jpeg"/>
  <Override PartName="/word/media/image3.png" ContentType="image/png"/>
  <Override PartName="/word/media/image2.jpeg" ContentType="image/jpeg"/>
  <Override PartName="/word/media/image7.wmf" ContentType="image/x-wmf"/>
  <Override PartName="/word/media/image8.png" ContentType="image/png"/>
  <Override PartName="/word/media/image4.jpeg" ContentType="image/jpeg"/>
  <Override PartName="/word/media/image16.wmf" ContentType="image/x-wmf"/>
  <Override PartName="/word/media/image5.png" ContentType="image/png"/>
  <Override PartName="/word/media/image6.png" ContentType="image/png"/>
  <Override PartName="/word/media/image9.png" ContentType="image/png"/>
  <Override PartName="/word/media/image10.png" ContentType="image/png"/>
  <Override PartName="/word/media/image11.png" ContentType="image/png"/>
  <Override PartName="/word/media/image12.png" ContentType="image/png"/>
  <Override PartName="/word/media/image24.wmf" ContentType="image/x-wmf"/>
  <Override PartName="/word/media/image13.png" ContentType="image/png"/>
  <Override PartName="/word/media/image14.png" ContentType="image/png"/>
  <Override PartName="/word/media/image15.wmf" ContentType="image/x-wmf"/>
  <Override PartName="/word/media/image17.png" ContentType="image/png"/>
  <Override PartName="/word/media/image18.png" ContentType="image/png"/>
  <Override PartName="/word/media/image19.png" ContentType="image/png"/>
  <Override PartName="/word/media/image20.wmf" ContentType="image/x-wmf"/>
  <Override PartName="/word/media/image21.wmf" ContentType="image/x-wmf"/>
  <Override PartName="/word/media/image22.png" ContentType="image/png"/>
  <Override PartName="/word/media/image23.png" ContentType="image/png"/>
  <Override PartName="/word/media/image25.emf" ContentType="image/x-emf"/>
  <Override PartName="/word/footer4.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footer3.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xlsx" ContentType="application/vnd.openxmlformats-officedocument.spreadsheetml.sheet"/>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footer1.xml.rels" ContentType="application/vnd.openxmlformats-package.relationships+xml"/>
  <Override PartName="/word/_rels/document.xml.rels" ContentType="application/vnd.openxmlformats-package.relationships+xml"/>
  <Override PartName="/word/_rels/footer4.xml.rels" ContentType="application/vnd.openxmlformats-package.relationships+xml"/>
  <Override PartName="/word/_rels/footer3.xml.rels" ContentType="application/vnd.openxmlformats-package.relationships+xml"/>
  <Override PartName="/word/_rels/footer2.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tbl>
      <w:tblPr>
        <w:tblW w:w="9639" w:type="dxa"/>
        <w:jc w:val="left"/>
        <w:tblInd w:w="0" w:type="dxa"/>
        <w:tblLayout w:type="fixed"/>
        <w:tblCellMar>
          <w:top w:w="0" w:type="dxa"/>
          <w:left w:w="0" w:type="dxa"/>
          <w:bottom w:w="0" w:type="dxa"/>
          <w:right w:w="0" w:type="dxa"/>
        </w:tblCellMar>
        <w:tblLook w:firstRow="1" w:noVBand="1" w:lastRow="0" w:firstColumn="1" w:lastColumn="0" w:noHBand="0" w:val="04a0"/>
      </w:tblPr>
      <w:tblGrid>
        <w:gridCol w:w="709"/>
        <w:gridCol w:w="1418"/>
        <w:gridCol w:w="567"/>
        <w:gridCol w:w="1133"/>
        <w:gridCol w:w="568"/>
        <w:gridCol w:w="5244"/>
      </w:tblGrid>
      <w:tr>
        <w:trPr>
          <w:trHeight w:val="1304" w:hRule="exact"/>
        </w:trPr>
        <w:tc>
          <w:tcPr>
            <w:tcW w:w="9639" w:type="dxa"/>
            <w:gridSpan w:val="6"/>
            <w:tcBorders>
              <w:bottom w:val="single" w:sz="24" w:space="0" w:color="6EAA00"/>
            </w:tcBorders>
            <w:shd w:color="auto" w:fill="auto" w:val="clear"/>
          </w:tcPr>
          <w:p>
            <w:pPr>
              <w:pStyle w:val="Normal"/>
              <w:widowControl w:val="false"/>
              <w:jc w:val="center"/>
              <w:rPr/>
            </w:pPr>
            <w:r>
              <w:rPr/>
              <w:drawing>
                <wp:inline distT="0" distB="0" distL="0" distR="0">
                  <wp:extent cx="1781175" cy="581025"/>
                  <wp:effectExtent l="0" t="0" r="0" b="0"/>
                  <wp:docPr id="1" name="Image 2" descr="Description : Description : Description : Logo ARTE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descr="Description : Description : Description : Logo ARTELIA"/>
                          <pic:cNvPicPr>
                            <a:picLocks noChangeAspect="1" noChangeArrowheads="1"/>
                          </pic:cNvPicPr>
                        </pic:nvPicPr>
                        <pic:blipFill>
                          <a:blip r:embed="rId2"/>
                          <a:stretch>
                            <a:fillRect/>
                          </a:stretch>
                        </pic:blipFill>
                        <pic:spPr bwMode="auto">
                          <a:xfrm>
                            <a:off x="0" y="0"/>
                            <a:ext cx="1781175" cy="581025"/>
                          </a:xfrm>
                          <a:prstGeom prst="rect">
                            <a:avLst/>
                          </a:prstGeom>
                        </pic:spPr>
                      </pic:pic>
                    </a:graphicData>
                  </a:graphic>
                </wp:inline>
              </w:drawing>
            </w:r>
          </w:p>
        </w:tc>
      </w:tr>
      <w:tr>
        <w:trPr>
          <w:trHeight w:val="851" w:hRule="exact"/>
        </w:trPr>
        <w:tc>
          <w:tcPr>
            <w:tcW w:w="9639" w:type="dxa"/>
            <w:gridSpan w:val="6"/>
            <w:tcBorders>
              <w:top w:val="single" w:sz="24" w:space="0" w:color="6EAA00"/>
            </w:tcBorders>
            <w:shd w:color="auto" w:fill="auto" w:val="clear"/>
          </w:tcPr>
          <w:p>
            <w:pPr>
              <w:pStyle w:val="Sentence"/>
              <w:widowControl w:val="false"/>
              <w:spacing w:before="40" w:after="0"/>
              <w:rPr/>
            </w:pPr>
            <w:r>
              <w:rPr/>
            </w:r>
          </w:p>
        </w:tc>
      </w:tr>
      <w:tr>
        <w:trPr>
          <w:trHeight w:val="9929" w:hRule="atLeast"/>
        </w:trPr>
        <w:tc>
          <w:tcPr>
            <w:tcW w:w="9639" w:type="dxa"/>
            <w:gridSpan w:val="6"/>
            <w:tcBorders/>
            <w:shd w:color="auto" w:fill="auto" w:val="clear"/>
            <w:vAlign w:val="center"/>
          </w:tcPr>
          <w:p>
            <w:pPr>
              <w:pStyle w:val="PDG2"/>
              <w:widowControl w:val="false"/>
              <w:spacing w:before="600" w:after="0"/>
              <w:rPr/>
            </w:pPr>
            <w:r>
              <w:rPr/>
              <w:t>Etudes de Projet</w:t>
            </w:r>
          </w:p>
          <w:p>
            <w:pPr>
              <w:pStyle w:val="PDG2"/>
              <w:widowControl w:val="false"/>
              <w:rPr/>
            </w:pPr>
            <w:r>
              <w:rPr/>
              <w:fldChar w:fldCharType="begin"/>
            </w:r>
            <w:r>
              <w:rPr/>
              <w:instrText> FILLIN ""</w:instrText>
            </w:r>
            <w:r>
              <w:rPr/>
              <w:fldChar w:fldCharType="separate"/>
            </w:r>
            <w:r>
              <w:rPr/>
              <w:t>PCTT de la DIRIF</w:t>
            </w:r>
            <w:r>
              <w:rPr/>
              <w:fldChar w:fldCharType="end"/>
            </w:r>
            <w:r>
              <w:rPr/>
              <w:t xml:space="preserve"> – Salle d’exploitation et zones associées</w:t>
            </w:r>
          </w:p>
          <w:p>
            <w:pPr>
              <w:pStyle w:val="PDG4"/>
              <w:widowControl w:val="false"/>
              <w:spacing w:before="600" w:after="0"/>
              <w:rPr>
                <w:bCs/>
              </w:rPr>
            </w:pPr>
            <w:r>
              <w:rPr/>
              <w:fldChar w:fldCharType="begin"/>
            </w:r>
            <w:r>
              <w:rPr/>
              <w:instrText> FILLIN ""</w:instrText>
            </w:r>
            <w:r>
              <w:rPr/>
              <w:fldChar w:fldCharType="separate"/>
            </w:r>
            <w:r>
              <w:rPr/>
              <w:t>PCTT de Nanterre</w:t>
            </w:r>
            <w:r>
              <w:rPr/>
              <w:fldChar w:fldCharType="end"/>
            </w:r>
            <w:r>
              <w:rPr/>
              <w:t xml:space="preserve"> - Cahier explicatif du dossier projet</w:t>
            </w:r>
          </w:p>
        </w:tc>
      </w:tr>
      <w:tr>
        <w:trPr>
          <w:trHeight w:val="1985" w:hRule="exact"/>
        </w:trPr>
        <w:tc>
          <w:tcPr>
            <w:tcW w:w="4395" w:type="dxa"/>
            <w:gridSpan w:val="5"/>
            <w:tcBorders/>
            <w:shd w:color="auto" w:fill="auto" w:val="clear"/>
            <w:vAlign w:val="bottom"/>
          </w:tcPr>
          <w:p>
            <w:pPr>
              <w:pStyle w:val="PDG5"/>
              <w:widowControl w:val="false"/>
              <w:rPr/>
            </w:pPr>
            <w:r>
              <w:rPr/>
              <w:fldChar w:fldCharType="begin"/>
            </w:r>
            <w:r>
              <w:rPr/>
              <w:instrText> FILLIN ""</w:instrText>
            </w:r>
            <w:r>
              <w:rPr/>
              <w:fldChar w:fldCharType="separate"/>
            </w:r>
            <w:r>
              <w:rPr/>
              <w:t>ARTELIA Ville &amp; Transport</w:t>
            </w:r>
            <w:r>
              <w:rPr/>
              <w:fldChar w:fldCharType="end"/>
            </w:r>
          </w:p>
          <w:p>
            <w:pPr>
              <w:pStyle w:val="PDG6"/>
              <w:widowControl w:val="false"/>
              <w:rPr/>
            </w:pPr>
            <w:r>
              <w:rPr/>
              <w:fldChar w:fldCharType="begin"/>
            </w:r>
            <w:r>
              <w:rPr/>
              <w:instrText> FILLIN ""</w:instrText>
            </w:r>
            <w:r>
              <w:rPr/>
              <w:fldChar w:fldCharType="separate"/>
            </w:r>
            <w:r>
              <w:rPr/>
              <w:t>Choisy le Roi</w:t>
            </w:r>
            <w:r>
              <w:rPr/>
              <w:fldChar w:fldCharType="end"/>
            </w:r>
          </w:p>
          <w:p>
            <w:pPr>
              <w:pStyle w:val="AG"/>
              <w:widowControl w:val="false"/>
              <w:spacing w:before="20" w:after="0"/>
              <w:rPr/>
            </w:pPr>
            <w:r>
              <w:rPr/>
              <w:t>47 Avenue de Lugo</w:t>
            </w:r>
          </w:p>
          <w:p>
            <w:pPr>
              <w:pStyle w:val="AG"/>
              <w:widowControl w:val="false"/>
              <w:spacing w:before="20" w:after="0"/>
              <w:rPr/>
            </w:pPr>
            <w:r>
              <w:rPr/>
              <w:t>94600 Choisy le Roi</w:t>
            </w:r>
          </w:p>
          <w:p>
            <w:pPr>
              <w:pStyle w:val="AG"/>
              <w:widowControl w:val="false"/>
              <w:rPr/>
            </w:pPr>
            <w:r>
              <w:rPr/>
              <w:t>Tel. : +33 (0)1 77 93 78 14</w:t>
            </w:r>
          </w:p>
          <w:p>
            <w:pPr>
              <w:pStyle w:val="AG"/>
              <w:widowControl w:val="false"/>
              <w:spacing w:before="20" w:after="0"/>
              <w:rPr>
                <w:b/>
                <w:b/>
                <w:bCs w:val="false"/>
              </w:rPr>
            </w:pPr>
            <w:r>
              <w:rPr/>
              <w:t>Fax : +33 (0)1 77 93 77 99</w:t>
            </w:r>
          </w:p>
        </w:tc>
        <w:tc>
          <w:tcPr>
            <w:tcW w:w="5244" w:type="dxa"/>
            <w:tcBorders/>
            <w:shd w:color="auto" w:fill="auto" w:val="clear"/>
            <w:vAlign w:val="bottom"/>
          </w:tcPr>
          <w:p>
            <w:pPr>
              <w:pStyle w:val="PDG0"/>
              <w:widowControl w:val="false"/>
              <w:jc w:val="right"/>
              <w:rPr/>
            </w:pPr>
            <w:r>
              <w:rPr/>
              <w:fldChar w:fldCharType="begin"/>
            </w:r>
            <w:r>
              <w:rPr/>
              <w:instrText> FILLIN ""</w:instrText>
            </w:r>
            <w:r>
              <w:rPr/>
              <w:fldChar w:fldCharType="separate"/>
            </w:r>
            <w:r>
              <w:rPr/>
              <w:t>DRIEA IF</w:t>
              <w:br/>
              <w:t>DIRIF</w:t>
            </w:r>
            <w:r>
              <w:rPr/>
              <w:fldChar w:fldCharType="end"/>
            </w:r>
          </w:p>
          <w:p>
            <w:pPr>
              <w:pStyle w:val="PDG1"/>
              <w:widowControl w:val="false"/>
              <w:jc w:val="right"/>
              <w:rPr/>
            </w:pPr>
            <w:r>
              <w:rPr/>
            </w:r>
          </w:p>
        </w:tc>
      </w:tr>
      <w:tr>
        <w:trPr>
          <w:trHeight w:val="170" w:hRule="exact"/>
        </w:trPr>
        <w:tc>
          <w:tcPr>
            <w:tcW w:w="4395" w:type="dxa"/>
            <w:gridSpan w:val="5"/>
            <w:tcBorders>
              <w:bottom w:val="single" w:sz="24" w:space="0" w:color="6EAA00"/>
            </w:tcBorders>
            <w:shd w:color="auto" w:fill="auto" w:val="clear"/>
          </w:tcPr>
          <w:p>
            <w:pPr>
              <w:pStyle w:val="PDG7"/>
              <w:widowControl w:val="false"/>
              <w:rPr/>
            </w:pPr>
            <w:r>
              <w:rPr/>
            </w:r>
          </w:p>
        </w:tc>
        <w:tc>
          <w:tcPr>
            <w:tcW w:w="5244" w:type="dxa"/>
            <w:tcBorders>
              <w:bottom w:val="single" w:sz="24" w:space="0" w:color="6EAA00"/>
            </w:tcBorders>
            <w:shd w:color="auto" w:fill="auto" w:val="clear"/>
            <w:vAlign w:val="bottom"/>
          </w:tcPr>
          <w:p>
            <w:pPr>
              <w:pStyle w:val="PDG7"/>
              <w:widowControl w:val="false"/>
              <w:rPr/>
            </w:pPr>
            <w:r>
              <w:rPr/>
            </w:r>
          </w:p>
        </w:tc>
      </w:tr>
      <w:tr>
        <w:trPr>
          <w:trHeight w:val="170" w:hRule="exact"/>
        </w:trPr>
        <w:tc>
          <w:tcPr>
            <w:tcW w:w="3827" w:type="dxa"/>
            <w:gridSpan w:val="4"/>
            <w:tcBorders>
              <w:top w:val="single" w:sz="24" w:space="0" w:color="6EAA00"/>
            </w:tcBorders>
            <w:shd w:color="auto" w:fill="auto" w:val="clear"/>
            <w:vAlign w:val="center"/>
          </w:tcPr>
          <w:p>
            <w:pPr>
              <w:pStyle w:val="PDG7"/>
              <w:widowControl w:val="false"/>
              <w:rPr/>
            </w:pPr>
            <w:r>
              <w:rPr/>
            </w:r>
          </w:p>
        </w:tc>
        <w:tc>
          <w:tcPr>
            <w:tcW w:w="5812" w:type="dxa"/>
            <w:gridSpan w:val="2"/>
            <w:tcBorders>
              <w:top w:val="single" w:sz="24" w:space="0" w:color="6EAA00"/>
            </w:tcBorders>
            <w:shd w:color="auto" w:fill="auto" w:val="clear"/>
            <w:vAlign w:val="center"/>
          </w:tcPr>
          <w:p>
            <w:pPr>
              <w:pStyle w:val="PDG7"/>
              <w:widowControl w:val="false"/>
              <w:rPr/>
            </w:pPr>
            <w:r>
              <w:rPr/>
            </w:r>
          </w:p>
        </w:tc>
      </w:tr>
      <w:tr>
        <w:trPr/>
        <w:tc>
          <w:tcPr>
            <w:tcW w:w="709" w:type="dxa"/>
            <w:tcBorders/>
            <w:shd w:color="auto" w:fill="auto" w:val="clear"/>
            <w:vAlign w:val="center"/>
          </w:tcPr>
          <w:p>
            <w:pPr>
              <w:pStyle w:val="S0"/>
              <w:widowControl w:val="false"/>
              <w:rPr/>
            </w:pPr>
            <w:r>
              <w:rPr/>
              <w:t>date :</w:t>
            </w:r>
          </w:p>
        </w:tc>
        <w:tc>
          <w:tcPr>
            <w:tcW w:w="1418" w:type="dxa"/>
            <w:tcBorders/>
            <w:shd w:color="auto" w:fill="auto" w:val="clear"/>
            <w:vAlign w:val="center"/>
          </w:tcPr>
          <w:p>
            <w:pPr>
              <w:pStyle w:val="PDG7"/>
              <w:widowControl w:val="false"/>
              <w:rPr>
                <w:b/>
                <w:b/>
              </w:rPr>
            </w:pPr>
            <w:r>
              <w:rPr/>
              <w:t>février 2020</w:t>
            </w:r>
          </w:p>
        </w:tc>
        <w:tc>
          <w:tcPr>
            <w:tcW w:w="567" w:type="dxa"/>
            <w:tcBorders/>
            <w:shd w:color="auto" w:fill="auto" w:val="clear"/>
            <w:vAlign w:val="center"/>
          </w:tcPr>
          <w:p>
            <w:pPr>
              <w:pStyle w:val="S0"/>
              <w:widowControl w:val="false"/>
              <w:rPr/>
            </w:pPr>
            <w:r>
              <w:rPr/>
              <w:t>REF :</w:t>
            </w:r>
          </w:p>
        </w:tc>
        <w:tc>
          <w:tcPr>
            <w:tcW w:w="1701" w:type="dxa"/>
            <w:gridSpan w:val="2"/>
            <w:tcBorders/>
            <w:shd w:color="auto" w:fill="auto" w:val="clear"/>
            <w:vAlign w:val="center"/>
          </w:tcPr>
          <w:p>
            <w:pPr>
              <w:pStyle w:val="PDG8"/>
              <w:widowControl w:val="false"/>
              <w:rPr/>
            </w:pPr>
            <w:r>
              <w:rPr/>
              <w:fldChar w:fldCharType="begin"/>
            </w:r>
            <w:r>
              <w:rPr/>
              <w:instrText> FILLIN ""</w:instrText>
            </w:r>
            <w:r>
              <w:rPr/>
              <w:fldChar w:fldCharType="separate"/>
            </w:r>
            <w:r>
              <w:rPr/>
              <w:t>494</w:t>
            </w:r>
            <w:r>
              <w:rPr/>
              <w:fldChar w:fldCharType="end"/>
            </w:r>
            <w:r>
              <w:rPr/>
              <w:t>0043 PROv2</w:t>
            </w:r>
          </w:p>
        </w:tc>
        <w:tc>
          <w:tcPr>
            <w:tcW w:w="5244" w:type="dxa"/>
            <w:tcBorders/>
            <w:shd w:color="auto" w:fill="auto" w:val="clear"/>
            <w:vAlign w:val="center"/>
          </w:tcPr>
          <w:p>
            <w:pPr>
              <w:pStyle w:val="Sentence"/>
              <w:widowControl w:val="false"/>
              <w:spacing w:beforeAutospacing="1" w:after="0"/>
              <w:rPr/>
            </w:pPr>
            <w:r>
              <w:rPr/>
              <w:t>ARTELIA, L’union de Coteba et Sogreah</w:t>
            </w:r>
          </w:p>
        </w:tc>
      </w:tr>
    </w:tbl>
    <w:p>
      <w:pPr>
        <w:sectPr>
          <w:type w:val="nextPage"/>
          <w:pgSz w:w="11906" w:h="16838"/>
          <w:pgMar w:left="1134" w:right="1134" w:gutter="0" w:header="0" w:top="1134" w:footer="0" w:bottom="851"/>
          <w:pgNumType w:start="1" w:fmt="decimal"/>
          <w:formProt w:val="false"/>
          <w:textDirection w:val="lrTb"/>
          <w:docGrid w:type="default" w:linePitch="272" w:charSpace="8192"/>
        </w:sectPr>
        <w:pStyle w:val="Normal"/>
        <w:rPr/>
      </w:pPr>
      <w:r>
        <w:rPr/>
      </w:r>
      <w:bookmarkStart w:id="0" w:name="_Toc311649019"/>
      <w:bookmarkStart w:id="1" w:name="_Toc311649019"/>
      <w:bookmarkEnd w:id="1"/>
    </w:p>
    <w:tbl>
      <w:tblPr>
        <w:tblW w:w="9072" w:type="dxa"/>
        <w:jc w:val="center"/>
        <w:tblInd w:w="0" w:type="dxa"/>
        <w:tblLayout w:type="fixed"/>
        <w:tblCellMar>
          <w:top w:w="0" w:type="dxa"/>
          <w:left w:w="70" w:type="dxa"/>
          <w:bottom w:w="0" w:type="dxa"/>
          <w:right w:w="70" w:type="dxa"/>
        </w:tblCellMar>
        <w:tblLook w:firstRow="0" w:noVBand="0" w:lastRow="0" w:firstColumn="0" w:lastColumn="0" w:noHBand="0" w:val="0000"/>
      </w:tblPr>
      <w:tblGrid>
        <w:gridCol w:w="811"/>
        <w:gridCol w:w="1261"/>
        <w:gridCol w:w="1405"/>
        <w:gridCol w:w="1481"/>
        <w:gridCol w:w="1540"/>
        <w:gridCol w:w="2573"/>
      </w:tblGrid>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k</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j</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i</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h</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g</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f</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e</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d</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11/02/2020</w:t>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JFU</w:t>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CJD</w:t>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CJD</w:t>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Prise en compte des évolutions depuis 2015</w:t>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c</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02/11/2015</w:t>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JFU</w:t>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CJD</w:t>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PGR</w:t>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Prise en compte des remarques MOA</w:t>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b</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18/09/2015</w:t>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JFU</w:t>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CJD</w:t>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PGR</w:t>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Prise en compte des remarques MOA</w:t>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caps/>
              </w:rPr>
            </w:pPr>
            <w:r>
              <w:rPr>
                <w:caps/>
              </w:rPr>
              <w:t>a</w:t>
            </w:r>
          </w:p>
        </w:tc>
        <w:tc>
          <w:tcPr>
            <w:tcW w:w="126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26/06/2015</w:t>
            </w:r>
          </w:p>
        </w:tc>
        <w:tc>
          <w:tcPr>
            <w:tcW w:w="1405"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JFU</w:t>
            </w:r>
          </w:p>
        </w:tc>
        <w:tc>
          <w:tcPr>
            <w:tcW w:w="1481"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CJD</w:t>
            </w:r>
          </w:p>
        </w:tc>
        <w:tc>
          <w:tcPr>
            <w:tcW w:w="1540"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PGR</w:t>
            </w:r>
          </w:p>
        </w:tc>
        <w:tc>
          <w:tcPr>
            <w:tcW w:w="2573" w:type="dxa"/>
            <w:tcBorders>
              <w:top w:val="single" w:sz="6" w:space="0" w:color="808080"/>
              <w:left w:val="single" w:sz="6" w:space="0" w:color="808080"/>
              <w:bottom w:val="single" w:sz="6" w:space="0" w:color="808080"/>
              <w:right w:val="single" w:sz="6" w:space="0" w:color="808080"/>
            </w:tcBorders>
            <w:vAlign w:val="center"/>
          </w:tcPr>
          <w:p>
            <w:pPr>
              <w:pStyle w:val="Normal"/>
              <w:widowControl w:val="false"/>
              <w:jc w:val="center"/>
              <w:rPr/>
            </w:pPr>
            <w:r>
              <w:rPr/>
              <w:t>Emission dossier PRO</w:t>
            </w:r>
          </w:p>
        </w:tc>
      </w:tr>
      <w:tr>
        <w:trPr>
          <w:trHeight w:val="851" w:hRule="exact"/>
          <w:cantSplit w:val="true"/>
        </w:trPr>
        <w:tc>
          <w:tcPr>
            <w:tcW w:w="81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b/>
                <w:b/>
              </w:rPr>
            </w:pPr>
            <w:r>
              <w:rPr>
                <w:b/>
              </w:rPr>
              <w:t>Indice</w:t>
            </w:r>
          </w:p>
        </w:tc>
        <w:tc>
          <w:tcPr>
            <w:tcW w:w="126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b/>
                <w:b/>
              </w:rPr>
            </w:pPr>
            <w:r>
              <w:rPr>
                <w:b/>
              </w:rPr>
              <w:t>Date</w:t>
            </w:r>
          </w:p>
        </w:tc>
        <w:tc>
          <w:tcPr>
            <w:tcW w:w="1405"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b/>
                <w:b/>
              </w:rPr>
            </w:pPr>
            <w:r>
              <w:rPr>
                <w:b/>
              </w:rPr>
              <w:t>Rédacteur</w:t>
            </w:r>
          </w:p>
        </w:tc>
        <w:tc>
          <w:tcPr>
            <w:tcW w:w="1481"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b/>
                <w:b/>
              </w:rPr>
            </w:pPr>
            <w:r>
              <w:rPr>
                <w:b/>
              </w:rPr>
              <w:t>Vérificateur</w:t>
            </w:r>
          </w:p>
        </w:tc>
        <w:tc>
          <w:tcPr>
            <w:tcW w:w="1540"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b/>
                <w:b/>
              </w:rPr>
            </w:pPr>
            <w:r>
              <w:rPr>
                <w:b/>
              </w:rPr>
              <w:t>Approbateur</w:t>
            </w:r>
          </w:p>
        </w:tc>
        <w:tc>
          <w:tcPr>
            <w:tcW w:w="2573" w:type="dxa"/>
            <w:tcBorders>
              <w:top w:val="single" w:sz="6" w:space="0" w:color="808080"/>
              <w:left w:val="single" w:sz="6" w:space="0" w:color="808080"/>
              <w:bottom w:val="single" w:sz="6" w:space="0" w:color="808080"/>
              <w:right w:val="single" w:sz="6" w:space="0" w:color="808080"/>
            </w:tcBorders>
            <w:shd w:color="auto" w:fill="E6E6E6" w:val="clear"/>
            <w:vAlign w:val="center"/>
          </w:tcPr>
          <w:p>
            <w:pPr>
              <w:pStyle w:val="Normal"/>
              <w:widowControl w:val="false"/>
              <w:jc w:val="center"/>
              <w:rPr>
                <w:b/>
                <w:b/>
              </w:rPr>
            </w:pPr>
            <w:r>
              <w:rPr>
                <w:b/>
              </w:rPr>
              <w:t>Description</w:t>
            </w:r>
          </w:p>
        </w:tc>
      </w:tr>
    </w:tbl>
    <w:p>
      <w:pPr>
        <w:pStyle w:val="TSOM"/>
        <w:spacing w:before="240" w:after="360"/>
        <w:jc w:val="center"/>
        <w:rPr>
          <w:rFonts w:ascii="Arial" w:hAnsi="Arial" w:cs="Arial"/>
          <w:sz w:val="28"/>
          <w:szCs w:val="28"/>
        </w:rPr>
      </w:pPr>
      <w:r>
        <w:rPr>
          <w:rFonts w:cs="Arial" w:ascii="Arial" w:hAnsi="Arial"/>
          <w:sz w:val="28"/>
          <w:szCs w:val="28"/>
        </w:rPr>
      </w:r>
    </w:p>
    <w:p>
      <w:pPr>
        <w:pStyle w:val="TSOM"/>
        <w:spacing w:before="240" w:after="360"/>
        <w:jc w:val="center"/>
        <w:rPr>
          <w:rFonts w:ascii="Arial" w:hAnsi="Arial" w:cs="Arial"/>
          <w:sz w:val="28"/>
          <w:szCs w:val="28"/>
        </w:rPr>
      </w:pPr>
      <w:r>
        <w:rPr>
          <w:rFonts w:cs="Arial" w:ascii="Arial" w:hAnsi="Arial"/>
          <w:sz w:val="28"/>
          <w:szCs w:val="28"/>
        </w:rPr>
      </w:r>
    </w:p>
    <w:p>
      <w:pPr>
        <w:pStyle w:val="TSOM"/>
        <w:spacing w:before="240" w:after="360"/>
        <w:jc w:val="center"/>
        <w:rPr>
          <w:rFonts w:ascii="Arial" w:hAnsi="Arial" w:cs="Arial"/>
          <w:sz w:val="28"/>
          <w:szCs w:val="28"/>
        </w:rPr>
      </w:pPr>
      <w:r>
        <w:rPr>
          <w:rFonts w:cs="Arial" w:ascii="Arial" w:hAnsi="Arial"/>
          <w:sz w:val="28"/>
          <w:szCs w:val="28"/>
        </w:rPr>
      </w:r>
    </w:p>
    <w:p>
      <w:pPr>
        <w:pStyle w:val="TSOM"/>
        <w:spacing w:before="240" w:after="360"/>
        <w:jc w:val="center"/>
        <w:rPr>
          <w:rFonts w:ascii="Arial" w:hAnsi="Arial" w:cs="Arial"/>
          <w:sz w:val="28"/>
          <w:szCs w:val="28"/>
        </w:rPr>
      </w:pPr>
      <w:r>
        <w:rPr>
          <w:rFonts w:cs="Arial" w:ascii="Arial" w:hAnsi="Arial"/>
          <w:sz w:val="28"/>
          <w:szCs w:val="28"/>
        </w:rPr>
      </w:r>
    </w:p>
    <w:p>
      <w:pPr>
        <w:pStyle w:val="TSOM"/>
        <w:spacing w:before="240" w:after="360"/>
        <w:jc w:val="center"/>
        <w:rPr>
          <w:rFonts w:ascii="Arial" w:hAnsi="Arial" w:cs="Arial"/>
          <w:sz w:val="28"/>
          <w:szCs w:val="28"/>
        </w:rPr>
      </w:pPr>
      <w:r>
        <w:rPr>
          <w:rFonts w:cs="Arial" w:ascii="Arial" w:hAnsi="Arial"/>
          <w:sz w:val="28"/>
          <w:szCs w:val="28"/>
        </w:rPr>
        <w:t>GLOSSAIRE</w:t>
      </w:r>
    </w:p>
    <w:tbl>
      <w:tblPr>
        <w:tblW w:w="8942" w:type="dxa"/>
        <w:jc w:val="center"/>
        <w:tblInd w:w="0" w:type="dxa"/>
        <w:tblLayout w:type="fixed"/>
        <w:tblCellMar>
          <w:top w:w="0" w:type="dxa"/>
          <w:left w:w="70" w:type="dxa"/>
          <w:bottom w:w="0" w:type="dxa"/>
          <w:right w:w="70" w:type="dxa"/>
        </w:tblCellMar>
        <w:tblLook w:firstRow="0" w:noVBand="0" w:lastRow="0" w:firstColumn="0" w:lastColumn="0" w:noHBand="0" w:val="0000"/>
      </w:tblPr>
      <w:tblGrid>
        <w:gridCol w:w="2923"/>
        <w:gridCol w:w="6018"/>
      </w:tblGrid>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AEV</w:t>
            </w:r>
          </w:p>
        </w:tc>
        <w:tc>
          <w:tcPr>
            <w:tcW w:w="6018" w:type="dxa"/>
            <w:tcBorders/>
            <w:vAlign w:val="center"/>
          </w:tcPr>
          <w:p>
            <w:pPr>
              <w:pStyle w:val="Normal"/>
              <w:widowControl w:val="false"/>
              <w:spacing w:before="120" w:after="120"/>
              <w:rPr>
                <w:sz w:val="18"/>
                <w:szCs w:val="18"/>
              </w:rPr>
            </w:pPr>
            <w:r>
              <w:rPr>
                <w:sz w:val="18"/>
                <w:szCs w:val="18"/>
              </w:rPr>
              <w:t>Auto-Evacuation</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BT</w:t>
            </w:r>
          </w:p>
        </w:tc>
        <w:tc>
          <w:tcPr>
            <w:tcW w:w="6018" w:type="dxa"/>
            <w:tcBorders/>
            <w:vAlign w:val="center"/>
          </w:tcPr>
          <w:p>
            <w:pPr>
              <w:pStyle w:val="Normal"/>
              <w:widowControl w:val="false"/>
              <w:spacing w:before="120" w:after="120"/>
              <w:rPr>
                <w:sz w:val="18"/>
                <w:szCs w:val="18"/>
              </w:rPr>
            </w:pPr>
            <w:r>
              <w:rPr>
                <w:sz w:val="18"/>
                <w:szCs w:val="18"/>
              </w:rPr>
              <w:t>Basse Tension</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CRS</w:t>
            </w:r>
          </w:p>
        </w:tc>
        <w:tc>
          <w:tcPr>
            <w:tcW w:w="6018" w:type="dxa"/>
            <w:tcBorders/>
            <w:vAlign w:val="center"/>
          </w:tcPr>
          <w:p>
            <w:pPr>
              <w:pStyle w:val="Normal"/>
              <w:widowControl w:val="false"/>
              <w:spacing w:before="120" w:after="120"/>
              <w:rPr>
                <w:sz w:val="18"/>
                <w:szCs w:val="18"/>
              </w:rPr>
            </w:pPr>
            <w:r>
              <w:rPr>
                <w:bCs/>
                <w:sz w:val="18"/>
                <w:szCs w:val="18"/>
              </w:rPr>
              <w:t>Compagnie Républicaine de Sécurité</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DAI</w:t>
            </w:r>
          </w:p>
        </w:tc>
        <w:tc>
          <w:tcPr>
            <w:tcW w:w="6018" w:type="dxa"/>
            <w:tcBorders/>
            <w:vAlign w:val="center"/>
          </w:tcPr>
          <w:p>
            <w:pPr>
              <w:pStyle w:val="Normal"/>
              <w:widowControl w:val="false"/>
              <w:spacing w:before="120" w:after="120"/>
              <w:rPr>
                <w:sz w:val="18"/>
                <w:szCs w:val="18"/>
              </w:rPr>
            </w:pPr>
            <w:r>
              <w:rPr>
                <w:sz w:val="18"/>
                <w:szCs w:val="18"/>
              </w:rPr>
              <w:t>Détection Automatique d’Incidents</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DIRIF</w:t>
            </w:r>
          </w:p>
        </w:tc>
        <w:tc>
          <w:tcPr>
            <w:tcW w:w="6018" w:type="dxa"/>
            <w:tcBorders/>
            <w:vAlign w:val="center"/>
          </w:tcPr>
          <w:p>
            <w:pPr>
              <w:pStyle w:val="Normal"/>
              <w:widowControl w:val="false"/>
              <w:spacing w:before="120" w:after="120"/>
              <w:rPr>
                <w:sz w:val="18"/>
                <w:szCs w:val="18"/>
              </w:rPr>
            </w:pPr>
            <w:r>
              <w:rPr>
                <w:sz w:val="18"/>
                <w:szCs w:val="18"/>
              </w:rPr>
              <w:t>Direction Interdépartementale des Routes d’Ile de France</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DVI</w:t>
            </w:r>
          </w:p>
        </w:tc>
        <w:tc>
          <w:tcPr>
            <w:tcW w:w="6018" w:type="dxa"/>
            <w:tcBorders/>
            <w:vAlign w:val="center"/>
          </w:tcPr>
          <w:p>
            <w:pPr>
              <w:pStyle w:val="Normal"/>
              <w:widowControl w:val="false"/>
              <w:spacing w:before="120" w:after="120"/>
              <w:rPr>
                <w:caps/>
                <w:sz w:val="18"/>
                <w:szCs w:val="18"/>
              </w:rPr>
            </w:pPr>
            <w:r>
              <w:rPr>
                <w:sz w:val="18"/>
                <w:szCs w:val="18"/>
              </w:rPr>
              <w:t>Digital Visual Interface</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FP</w:t>
            </w:r>
          </w:p>
        </w:tc>
        <w:tc>
          <w:tcPr>
            <w:tcW w:w="6018" w:type="dxa"/>
            <w:tcBorders/>
            <w:vAlign w:val="center"/>
          </w:tcPr>
          <w:p>
            <w:pPr>
              <w:pStyle w:val="Normal"/>
              <w:widowControl w:val="false"/>
              <w:spacing w:before="120" w:after="120"/>
              <w:rPr>
                <w:sz w:val="18"/>
                <w:szCs w:val="18"/>
              </w:rPr>
            </w:pPr>
            <w:r>
              <w:rPr>
                <w:sz w:val="18"/>
                <w:szCs w:val="18"/>
              </w:rPr>
              <w:t>Fermeture Physique</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GC</w:t>
            </w:r>
          </w:p>
        </w:tc>
        <w:tc>
          <w:tcPr>
            <w:tcW w:w="6018" w:type="dxa"/>
            <w:tcBorders/>
            <w:vAlign w:val="center"/>
          </w:tcPr>
          <w:p>
            <w:pPr>
              <w:pStyle w:val="Normal"/>
              <w:widowControl w:val="false"/>
              <w:spacing w:before="120" w:after="120"/>
              <w:rPr>
                <w:sz w:val="18"/>
                <w:szCs w:val="18"/>
              </w:rPr>
            </w:pPr>
            <w:r>
              <w:rPr>
                <w:sz w:val="18"/>
                <w:szCs w:val="18"/>
              </w:rPr>
              <w:t>Génie Civil</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GTC</w:t>
            </w:r>
          </w:p>
        </w:tc>
        <w:tc>
          <w:tcPr>
            <w:tcW w:w="6018" w:type="dxa"/>
            <w:tcBorders/>
            <w:vAlign w:val="center"/>
          </w:tcPr>
          <w:p>
            <w:pPr>
              <w:pStyle w:val="Normal"/>
              <w:widowControl w:val="false"/>
              <w:spacing w:before="120" w:after="120"/>
              <w:rPr>
                <w:sz w:val="18"/>
                <w:szCs w:val="18"/>
              </w:rPr>
            </w:pPr>
            <w:r>
              <w:rPr>
                <w:sz w:val="18"/>
                <w:szCs w:val="18"/>
              </w:rPr>
              <w:t>Gestion Technique Centralisée</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HT</w:t>
            </w:r>
          </w:p>
        </w:tc>
        <w:tc>
          <w:tcPr>
            <w:tcW w:w="6018" w:type="dxa"/>
            <w:tcBorders/>
            <w:vAlign w:val="center"/>
          </w:tcPr>
          <w:p>
            <w:pPr>
              <w:pStyle w:val="Normal"/>
              <w:widowControl w:val="false"/>
              <w:spacing w:before="120" w:after="120"/>
              <w:rPr>
                <w:sz w:val="18"/>
                <w:szCs w:val="18"/>
              </w:rPr>
            </w:pPr>
            <w:r>
              <w:rPr>
                <w:sz w:val="18"/>
                <w:szCs w:val="18"/>
              </w:rPr>
              <w:t>Haute Tension</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OPR</w:t>
            </w:r>
          </w:p>
        </w:tc>
        <w:tc>
          <w:tcPr>
            <w:tcW w:w="6018" w:type="dxa"/>
            <w:tcBorders/>
            <w:vAlign w:val="center"/>
          </w:tcPr>
          <w:p>
            <w:pPr>
              <w:pStyle w:val="Normal"/>
              <w:widowControl w:val="false"/>
              <w:spacing w:before="120" w:after="120"/>
              <w:rPr>
                <w:sz w:val="18"/>
                <w:szCs w:val="18"/>
              </w:rPr>
            </w:pPr>
            <w:r>
              <w:rPr>
                <w:sz w:val="18"/>
                <w:szCs w:val="18"/>
              </w:rPr>
              <w:t>Opération Préalable à la Réception</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OST</w:t>
            </w:r>
          </w:p>
        </w:tc>
        <w:tc>
          <w:tcPr>
            <w:tcW w:w="6018" w:type="dxa"/>
            <w:tcBorders/>
            <w:vAlign w:val="center"/>
          </w:tcPr>
          <w:p>
            <w:pPr>
              <w:pStyle w:val="Normal"/>
              <w:widowControl w:val="false"/>
              <w:spacing w:before="120" w:after="120"/>
              <w:rPr>
                <w:sz w:val="18"/>
                <w:szCs w:val="18"/>
              </w:rPr>
            </w:pPr>
            <w:r>
              <w:rPr>
                <w:sz w:val="18"/>
                <w:szCs w:val="18"/>
              </w:rPr>
              <w:t>Opérateur Sécurité Trafic</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PAU</w:t>
            </w:r>
          </w:p>
        </w:tc>
        <w:tc>
          <w:tcPr>
            <w:tcW w:w="6018" w:type="dxa"/>
            <w:tcBorders/>
            <w:vAlign w:val="center"/>
          </w:tcPr>
          <w:p>
            <w:pPr>
              <w:pStyle w:val="Normal"/>
              <w:widowControl w:val="false"/>
              <w:spacing w:before="120" w:after="120"/>
              <w:rPr>
                <w:sz w:val="18"/>
                <w:szCs w:val="18"/>
              </w:rPr>
            </w:pPr>
            <w:r>
              <w:rPr>
                <w:sz w:val="18"/>
                <w:szCs w:val="18"/>
              </w:rPr>
              <w:t>Poste d’Appel d’Urgence</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PC</w:t>
            </w:r>
          </w:p>
        </w:tc>
        <w:tc>
          <w:tcPr>
            <w:tcW w:w="6018" w:type="dxa"/>
            <w:tcBorders/>
            <w:vAlign w:val="center"/>
          </w:tcPr>
          <w:p>
            <w:pPr>
              <w:pStyle w:val="Normal"/>
              <w:widowControl w:val="false"/>
              <w:spacing w:before="120" w:after="120"/>
              <w:rPr>
                <w:sz w:val="18"/>
                <w:szCs w:val="18"/>
              </w:rPr>
            </w:pPr>
            <w:r>
              <w:rPr>
                <w:sz w:val="18"/>
                <w:szCs w:val="18"/>
              </w:rPr>
              <w:t>Prise de courant</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PCTT</w:t>
            </w:r>
          </w:p>
        </w:tc>
        <w:tc>
          <w:tcPr>
            <w:tcW w:w="6018" w:type="dxa"/>
            <w:tcBorders/>
            <w:vAlign w:val="center"/>
          </w:tcPr>
          <w:p>
            <w:pPr>
              <w:pStyle w:val="Normal"/>
              <w:widowControl w:val="false"/>
              <w:spacing w:before="120" w:after="120"/>
              <w:rPr>
                <w:sz w:val="18"/>
                <w:szCs w:val="18"/>
              </w:rPr>
            </w:pPr>
            <w:r>
              <w:rPr>
                <w:bCs/>
                <w:sz w:val="18"/>
                <w:szCs w:val="18"/>
              </w:rPr>
              <w:t>Poste de Contrôle Trafic Tunnel</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PMV</w:t>
            </w:r>
          </w:p>
        </w:tc>
        <w:tc>
          <w:tcPr>
            <w:tcW w:w="6018" w:type="dxa"/>
            <w:tcBorders/>
            <w:vAlign w:val="center"/>
          </w:tcPr>
          <w:p>
            <w:pPr>
              <w:pStyle w:val="Normal"/>
              <w:widowControl w:val="false"/>
              <w:spacing w:before="120" w:after="120"/>
              <w:rPr>
                <w:sz w:val="18"/>
                <w:szCs w:val="18"/>
              </w:rPr>
            </w:pPr>
            <w:r>
              <w:rPr>
                <w:sz w:val="18"/>
                <w:szCs w:val="18"/>
              </w:rPr>
              <w:t>Panneau à Messages Variables</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PST</w:t>
            </w:r>
          </w:p>
        </w:tc>
        <w:tc>
          <w:tcPr>
            <w:tcW w:w="6018" w:type="dxa"/>
            <w:tcBorders/>
            <w:vAlign w:val="center"/>
          </w:tcPr>
          <w:p>
            <w:pPr>
              <w:pStyle w:val="Normal"/>
              <w:widowControl w:val="false"/>
              <w:spacing w:before="120" w:after="120"/>
              <w:rPr>
                <w:sz w:val="18"/>
                <w:szCs w:val="18"/>
              </w:rPr>
            </w:pPr>
            <w:r>
              <w:rPr>
                <w:sz w:val="18"/>
                <w:szCs w:val="18"/>
              </w:rPr>
              <w:t>Point de Service Tunnel</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RTHD</w:t>
            </w:r>
          </w:p>
        </w:tc>
        <w:tc>
          <w:tcPr>
            <w:tcW w:w="6018" w:type="dxa"/>
            <w:tcBorders/>
            <w:vAlign w:val="center"/>
          </w:tcPr>
          <w:p>
            <w:pPr>
              <w:pStyle w:val="Normal"/>
              <w:widowControl w:val="false"/>
              <w:spacing w:before="120" w:after="120"/>
              <w:rPr>
                <w:sz w:val="18"/>
                <w:szCs w:val="18"/>
              </w:rPr>
            </w:pPr>
            <w:r>
              <w:rPr>
                <w:sz w:val="18"/>
                <w:szCs w:val="18"/>
              </w:rPr>
              <w:t>Réseau Très Haut Débit</w:t>
            </w:r>
          </w:p>
        </w:tc>
      </w:tr>
      <w:tr>
        <w:trPr>
          <w:trHeight w:val="447" w:hRule="atLeast"/>
          <w:cantSplit w:val="true"/>
        </w:trPr>
        <w:tc>
          <w:tcPr>
            <w:tcW w:w="2923" w:type="dxa"/>
            <w:tcBorders/>
            <w:shd w:color="auto" w:fill="auto" w:val="clear"/>
            <w:vAlign w:val="center"/>
          </w:tcPr>
          <w:p>
            <w:pPr>
              <w:pStyle w:val="Normal"/>
              <w:widowControl w:val="false"/>
              <w:spacing w:before="120" w:after="120"/>
              <w:rPr>
                <w:sz w:val="18"/>
                <w:szCs w:val="18"/>
              </w:rPr>
            </w:pPr>
            <w:r>
              <w:rPr>
                <w:caps/>
                <w:sz w:val="18"/>
                <w:szCs w:val="18"/>
              </w:rPr>
              <w:t>SAGT</w:t>
            </w:r>
            <w:r>
              <w:rPr>
                <w:sz w:val="18"/>
                <w:szCs w:val="18"/>
              </w:rPr>
              <w:t>u</w:t>
            </w:r>
          </w:p>
        </w:tc>
        <w:tc>
          <w:tcPr>
            <w:tcW w:w="6018" w:type="dxa"/>
            <w:tcBorders/>
            <w:vAlign w:val="center"/>
          </w:tcPr>
          <w:p>
            <w:pPr>
              <w:pStyle w:val="Normal"/>
              <w:widowControl w:val="false"/>
              <w:spacing w:before="120" w:after="120"/>
              <w:rPr>
                <w:sz w:val="18"/>
                <w:szCs w:val="18"/>
              </w:rPr>
            </w:pPr>
            <w:r>
              <w:rPr>
                <w:sz w:val="18"/>
                <w:szCs w:val="18"/>
              </w:rPr>
              <w:t>Système d’Aide à la Gestion des Tunnels</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SAV</w:t>
            </w:r>
          </w:p>
        </w:tc>
        <w:tc>
          <w:tcPr>
            <w:tcW w:w="6018" w:type="dxa"/>
            <w:tcBorders/>
            <w:vAlign w:val="center"/>
          </w:tcPr>
          <w:p>
            <w:pPr>
              <w:pStyle w:val="Normal"/>
              <w:widowControl w:val="false"/>
              <w:spacing w:before="120" w:after="120"/>
              <w:rPr>
                <w:sz w:val="18"/>
                <w:szCs w:val="18"/>
              </w:rPr>
            </w:pPr>
            <w:r>
              <w:rPr>
                <w:sz w:val="18"/>
                <w:szCs w:val="18"/>
              </w:rPr>
              <w:t>Signaux d’Affectation des Voies</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SI</w:t>
            </w:r>
          </w:p>
        </w:tc>
        <w:tc>
          <w:tcPr>
            <w:tcW w:w="6018" w:type="dxa"/>
            <w:tcBorders/>
            <w:vAlign w:val="center"/>
          </w:tcPr>
          <w:p>
            <w:pPr>
              <w:pStyle w:val="Normal"/>
              <w:widowControl w:val="false"/>
              <w:spacing w:before="120" w:after="120"/>
              <w:rPr>
                <w:sz w:val="18"/>
                <w:szCs w:val="18"/>
              </w:rPr>
            </w:pPr>
            <w:r>
              <w:rPr>
                <w:sz w:val="18"/>
                <w:szCs w:val="18"/>
              </w:rPr>
              <w:t>Système d’Information</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SIRIUS</w:t>
            </w:r>
          </w:p>
        </w:tc>
        <w:tc>
          <w:tcPr>
            <w:tcW w:w="6018" w:type="dxa"/>
            <w:tcBorders/>
            <w:vAlign w:val="center"/>
          </w:tcPr>
          <w:p>
            <w:pPr>
              <w:pStyle w:val="Normal"/>
              <w:widowControl w:val="false"/>
              <w:spacing w:before="120" w:after="120"/>
              <w:rPr>
                <w:sz w:val="18"/>
                <w:szCs w:val="18"/>
              </w:rPr>
            </w:pPr>
            <w:r>
              <w:rPr/>
              <w:t>Service d'Information Routière Intelligible aux Usagers</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TDM</w:t>
            </w:r>
          </w:p>
        </w:tc>
        <w:tc>
          <w:tcPr>
            <w:tcW w:w="6018" w:type="dxa"/>
            <w:tcBorders/>
            <w:vAlign w:val="center"/>
          </w:tcPr>
          <w:p>
            <w:pPr>
              <w:pStyle w:val="Normal"/>
              <w:widowControl w:val="false"/>
              <w:spacing w:before="120" w:after="120"/>
              <w:rPr>
                <w:sz w:val="18"/>
                <w:szCs w:val="18"/>
              </w:rPr>
            </w:pPr>
            <w:r>
              <w:rPr>
                <w:sz w:val="18"/>
                <w:szCs w:val="18"/>
              </w:rPr>
              <w:t>Technicien Diagnostic Maintenance</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rFonts w:cs="Arial"/>
              </w:rPr>
              <w:t>TGBT</w:t>
            </w:r>
          </w:p>
        </w:tc>
        <w:tc>
          <w:tcPr>
            <w:tcW w:w="6018" w:type="dxa"/>
            <w:tcBorders/>
            <w:vAlign w:val="center"/>
          </w:tcPr>
          <w:p>
            <w:pPr>
              <w:pStyle w:val="Normal"/>
              <w:widowControl w:val="false"/>
              <w:spacing w:before="120" w:after="120"/>
              <w:rPr>
                <w:sz w:val="18"/>
                <w:szCs w:val="18"/>
              </w:rPr>
            </w:pPr>
            <w:r>
              <w:rPr>
                <w:sz w:val="18"/>
                <w:szCs w:val="18"/>
              </w:rPr>
              <w:t>Tableau Général Basse Tension</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TSE</w:t>
            </w:r>
          </w:p>
        </w:tc>
        <w:tc>
          <w:tcPr>
            <w:tcW w:w="6018" w:type="dxa"/>
            <w:tcBorders/>
            <w:vAlign w:val="center"/>
          </w:tcPr>
          <w:p>
            <w:pPr>
              <w:pStyle w:val="Normal"/>
              <w:widowControl w:val="false"/>
              <w:spacing w:before="120" w:after="120"/>
              <w:rPr>
                <w:sz w:val="18"/>
                <w:szCs w:val="18"/>
              </w:rPr>
            </w:pPr>
            <w:r>
              <w:rPr>
                <w:sz w:val="18"/>
                <w:szCs w:val="18"/>
              </w:rPr>
              <w:t>Téléphone de Sécurité</w:t>
            </w:r>
          </w:p>
        </w:tc>
      </w:tr>
      <w:tr>
        <w:trPr>
          <w:trHeight w:val="447" w:hRule="atLeast"/>
          <w:cantSplit w:val="true"/>
        </w:trPr>
        <w:tc>
          <w:tcPr>
            <w:tcW w:w="2923" w:type="dxa"/>
            <w:tcBorders/>
            <w:shd w:color="auto" w:fill="auto" w:val="clear"/>
            <w:vAlign w:val="center"/>
          </w:tcPr>
          <w:p>
            <w:pPr>
              <w:pStyle w:val="Normal"/>
              <w:widowControl w:val="false"/>
              <w:spacing w:before="120" w:after="120"/>
              <w:rPr>
                <w:caps/>
                <w:sz w:val="18"/>
                <w:szCs w:val="18"/>
              </w:rPr>
            </w:pPr>
            <w:r>
              <w:rPr>
                <w:caps/>
                <w:sz w:val="18"/>
                <w:szCs w:val="18"/>
              </w:rPr>
              <w:t>VSR</w:t>
            </w:r>
          </w:p>
        </w:tc>
        <w:tc>
          <w:tcPr>
            <w:tcW w:w="6018" w:type="dxa"/>
            <w:tcBorders/>
            <w:vAlign w:val="center"/>
          </w:tcPr>
          <w:p>
            <w:pPr>
              <w:pStyle w:val="Normal"/>
              <w:widowControl w:val="false"/>
              <w:spacing w:before="120" w:after="120"/>
              <w:rPr>
                <w:sz w:val="18"/>
                <w:szCs w:val="18"/>
              </w:rPr>
            </w:pPr>
            <w:r>
              <w:rPr>
                <w:sz w:val="18"/>
                <w:szCs w:val="18"/>
              </w:rPr>
              <w:t>Vérification du Service Régulier</w:t>
            </w:r>
          </w:p>
        </w:tc>
      </w:tr>
    </w:tbl>
    <w:p>
      <w:pPr>
        <w:pStyle w:val="TSOM"/>
        <w:spacing w:before="240" w:after="360"/>
        <w:jc w:val="center"/>
        <w:rPr>
          <w:rFonts w:ascii="Arial" w:hAnsi="Arial" w:cs="Arial"/>
          <w:sz w:val="28"/>
          <w:szCs w:val="28"/>
        </w:rPr>
      </w:pPr>
      <w:r>
        <w:rPr>
          <w:rFonts w:cs="Arial" w:ascii="Arial" w:hAnsi="Arial"/>
          <w:sz w:val="28"/>
          <w:szCs w:val="28"/>
        </w:rPr>
      </w:r>
    </w:p>
    <w:p>
      <w:pPr>
        <w:pStyle w:val="TSOM"/>
        <w:spacing w:before="240" w:after="360"/>
        <w:jc w:val="center"/>
        <w:rPr>
          <w:rFonts w:ascii="Arial" w:hAnsi="Arial" w:cs="Arial"/>
          <w:sz w:val="28"/>
          <w:szCs w:val="28"/>
        </w:rPr>
      </w:pPr>
      <w:r>
        <w:rPr>
          <w:rFonts w:cs="Arial" w:ascii="Arial" w:hAnsi="Arial"/>
          <w:sz w:val="28"/>
          <w:szCs w:val="28"/>
        </w:rPr>
        <w:t>SOMMAIRE</w:t>
      </w:r>
    </w:p>
    <w:sdt>
      <w:sdtPr>
        <w:docPartObj>
          <w:docPartGallery w:val="Table of Contents"/>
          <w:docPartUnique w:val="true"/>
        </w:docPartObj>
      </w:sdtPr>
      <w:sdtContent>
        <w:p>
          <w:pPr>
            <w:pStyle w:val="Tabledesmatiresniveau1"/>
            <w:tabs>
              <w:tab w:val="clear" w:pos="708"/>
              <w:tab w:val="left" w:pos="400" w:leader="none"/>
              <w:tab w:val="right" w:pos="9629" w:leader="dot"/>
            </w:tabs>
            <w:rPr>
              <w:rFonts w:eastAsia="" w:cs="" w:cstheme="minorBidi" w:eastAsiaTheme="minorEastAsia"/>
              <w:b w:val="false"/>
              <w:b w:val="false"/>
              <w:bCs w:val="false"/>
              <w:caps w:val="false"/>
              <w:smallCaps w:val="false"/>
              <w:sz w:val="22"/>
              <w:szCs w:val="22"/>
            </w:rPr>
          </w:pPr>
          <w:r>
            <w:fldChar w:fldCharType="begin"/>
          </w:r>
          <w:r>
            <w:rPr>
              <w:webHidden/>
              <w:rStyle w:val="Sautdindex"/>
              <w:rFonts w:cs="Times New Roman"/>
            </w:rPr>
            <w:instrText> TOC \z \o "1-4" \u \h</w:instrText>
          </w:r>
          <w:r>
            <w:rPr>
              <w:webHidden/>
              <w:rStyle w:val="Sautdindex"/>
              <w:rFonts w:cs="Times New Roman"/>
            </w:rPr>
            <w:fldChar w:fldCharType="separate"/>
          </w:r>
          <w:hyperlink w:anchor="_Toc32334490">
            <w:r>
              <w:rPr>
                <w:webHidden/>
                <w:rStyle w:val="Sautdindex"/>
                <w:rFonts w:cs="Times New Roman"/>
              </w:rPr>
              <w:t>1.</w:t>
            </w:r>
            <w:r>
              <w:rPr>
                <w:rStyle w:val="Sautdindex"/>
                <w:rFonts w:eastAsia="" w:cs="" w:cstheme="minorBidi" w:eastAsiaTheme="minorEastAsia"/>
                <w:b w:val="false"/>
                <w:bCs w:val="false"/>
                <w:caps w:val="false"/>
                <w:smallCaps w:val="false"/>
                <w:sz w:val="22"/>
                <w:szCs w:val="22"/>
              </w:rPr>
              <w:tab/>
            </w:r>
            <w:r>
              <w:rPr>
                <w:rStyle w:val="Sautdindex"/>
              </w:rPr>
              <w:t>présentation générale</w:t>
            </w:r>
            <w:r>
              <w:rPr>
                <w:webHidden/>
              </w:rPr>
              <w:fldChar w:fldCharType="begin"/>
            </w:r>
            <w:r>
              <w:rPr>
                <w:webHidden/>
              </w:rPr>
              <w:instrText>PAGEREF _Toc32334490 \h</w:instrText>
            </w:r>
            <w:r>
              <w:rPr>
                <w:webHidden/>
              </w:rPr>
              <w:fldChar w:fldCharType="separate"/>
            </w:r>
            <w:r>
              <w:rPr>
                <w:rStyle w:val="Sautdindex"/>
                <w:vanish w:val="false"/>
              </w:rPr>
              <w:tab/>
              <w:t>14</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491">
            <w:r>
              <w:rPr>
                <w:webHidden/>
                <w:rStyle w:val="Sautdindex"/>
                <w:b/>
              </w:rPr>
              <w:t>1.1.</w:t>
            </w:r>
            <w:r>
              <w:rPr>
                <w:rStyle w:val="Sautdindex"/>
                <w:rFonts w:eastAsia="" w:cs="" w:cstheme="minorBidi" w:eastAsiaTheme="minorEastAsia"/>
                <w:caps w:val="false"/>
                <w:smallCaps w:val="false"/>
                <w:sz w:val="22"/>
                <w:szCs w:val="22"/>
              </w:rPr>
              <w:tab/>
            </w:r>
            <w:r>
              <w:rPr>
                <w:rStyle w:val="Sautdindex"/>
              </w:rPr>
              <w:t>objet du projet</w:t>
            </w:r>
            <w:r>
              <w:rPr>
                <w:webHidden/>
              </w:rPr>
              <w:fldChar w:fldCharType="begin"/>
            </w:r>
            <w:r>
              <w:rPr>
                <w:webHidden/>
              </w:rPr>
              <w:instrText>PAGEREF _Toc32334491 \h</w:instrText>
            </w:r>
            <w:r>
              <w:rPr>
                <w:webHidden/>
              </w:rPr>
              <w:fldChar w:fldCharType="separate"/>
            </w:r>
            <w:r>
              <w:rPr>
                <w:rStyle w:val="Sautdindex"/>
                <w:vanish w:val="false"/>
              </w:rPr>
              <w:tab/>
              <w:t>14</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492">
            <w:r>
              <w:rPr>
                <w:webHidden/>
                <w:rStyle w:val="Sautdindex"/>
                <w:b/>
              </w:rPr>
              <w:t>1.2.</w:t>
            </w:r>
            <w:r>
              <w:rPr>
                <w:rStyle w:val="Sautdindex"/>
                <w:rFonts w:eastAsia="" w:cs="" w:cstheme="minorBidi" w:eastAsiaTheme="minorEastAsia"/>
                <w:caps w:val="false"/>
                <w:smallCaps w:val="false"/>
                <w:sz w:val="22"/>
                <w:szCs w:val="22"/>
              </w:rPr>
              <w:tab/>
            </w:r>
            <w:r>
              <w:rPr>
                <w:rStyle w:val="Sautdindex"/>
              </w:rPr>
              <w:t>Contexte</w:t>
            </w:r>
            <w:r>
              <w:rPr>
                <w:webHidden/>
              </w:rPr>
              <w:fldChar w:fldCharType="begin"/>
            </w:r>
            <w:r>
              <w:rPr>
                <w:webHidden/>
              </w:rPr>
              <w:instrText>PAGEREF _Toc32334492 \h</w:instrText>
            </w:r>
            <w:r>
              <w:rPr>
                <w:webHidden/>
              </w:rPr>
              <w:fldChar w:fldCharType="separate"/>
            </w:r>
            <w:r>
              <w:rPr>
                <w:rStyle w:val="Sautdindex"/>
                <w:vanish w:val="false"/>
              </w:rPr>
              <w:tab/>
              <w:t>16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493">
            <w:r>
              <w:rPr>
                <w:webHidden/>
                <w:rStyle w:val="Sautdindex"/>
                <w:rFonts w:cs="Times New Roman"/>
                <w14:scene3d>
                  <w14:camera w14:prst="orthographicFront"/>
                  <w14:lightRig w14:rig="threePt" w14:dir="t">
                    <w14:rot w14:lat="0" w14:lon="0" w14:rev="0"/>
                  </w14:lightRig>
                </w14:scene3d>
              </w:rPr>
              <w:t>1.2.1.</w:t>
            </w:r>
            <w:r>
              <w:rPr>
                <w:rStyle w:val="Sautdindex"/>
                <w:rFonts w:eastAsia="" w:cs="" w:cstheme="minorBidi" w:eastAsiaTheme="minorEastAsia"/>
                <w:i w:val="false"/>
                <w:iCs w:val="false"/>
                <w:sz w:val="22"/>
                <w:szCs w:val="22"/>
              </w:rPr>
              <w:tab/>
            </w:r>
            <w:r>
              <w:rPr>
                <w:rStyle w:val="Sautdindex"/>
              </w:rPr>
              <w:t>Présentation de l’opération</w:t>
            </w:r>
            <w:r>
              <w:rPr>
                <w:webHidden/>
              </w:rPr>
              <w:fldChar w:fldCharType="begin"/>
            </w:r>
            <w:r>
              <w:rPr>
                <w:webHidden/>
              </w:rPr>
              <w:instrText>PAGEREF _Toc32334493 \h</w:instrText>
            </w:r>
            <w:r>
              <w:rPr>
                <w:webHidden/>
              </w:rPr>
              <w:fldChar w:fldCharType="separate"/>
            </w:r>
            <w:r>
              <w:rPr>
                <w:rStyle w:val="Sautdindex"/>
                <w:vanish w:val="false"/>
              </w:rPr>
              <w:tab/>
              <w:t>16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494">
            <w:r>
              <w:rPr>
                <w:webHidden/>
                <w:rStyle w:val="Sautdindex"/>
                <w:rFonts w:cs="Times New Roman"/>
                <w14:scene3d>
                  <w14:camera w14:prst="orthographicFront"/>
                  <w14:lightRig w14:rig="threePt" w14:dir="t">
                    <w14:rot w14:lat="0" w14:lon="0" w14:rev="0"/>
                  </w14:lightRig>
                </w14:scene3d>
              </w:rPr>
              <w:t>1.2.2.</w:t>
            </w:r>
            <w:r>
              <w:rPr>
                <w:rStyle w:val="Sautdindex"/>
                <w:rFonts w:eastAsia="" w:cs="" w:cstheme="minorBidi" w:eastAsiaTheme="minorEastAsia"/>
                <w:i w:val="false"/>
                <w:iCs w:val="false"/>
                <w:sz w:val="22"/>
                <w:szCs w:val="22"/>
              </w:rPr>
              <w:tab/>
            </w:r>
            <w:r>
              <w:rPr>
                <w:rStyle w:val="Sautdindex"/>
              </w:rPr>
              <w:t>Objectifs de l’opération</w:t>
            </w:r>
            <w:r>
              <w:rPr>
                <w:webHidden/>
              </w:rPr>
              <w:fldChar w:fldCharType="begin"/>
            </w:r>
            <w:r>
              <w:rPr>
                <w:webHidden/>
              </w:rPr>
              <w:instrText>PAGEREF _Toc32334494 \h</w:instrText>
            </w:r>
            <w:r>
              <w:rPr>
                <w:webHidden/>
              </w:rPr>
              <w:fldChar w:fldCharType="separate"/>
            </w:r>
            <w:r>
              <w:rPr>
                <w:rStyle w:val="Sautdindex"/>
                <w:vanish w:val="false"/>
              </w:rPr>
              <w:tab/>
              <w:t>17</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495">
            <w:r>
              <w:rPr>
                <w:webHidden/>
                <w:rStyle w:val="Sautdindex"/>
                <w:b/>
              </w:rPr>
              <w:t>1.3.</w:t>
            </w:r>
            <w:r>
              <w:rPr>
                <w:rStyle w:val="Sautdindex"/>
                <w:rFonts w:eastAsia="" w:cs="" w:cstheme="minorBidi" w:eastAsiaTheme="minorEastAsia"/>
                <w:caps w:val="false"/>
                <w:smallCaps w:val="false"/>
                <w:sz w:val="22"/>
                <w:szCs w:val="22"/>
              </w:rPr>
              <w:tab/>
            </w:r>
            <w:r>
              <w:rPr>
                <w:rStyle w:val="Sautdindex"/>
              </w:rPr>
              <w:t>Intervenants</w:t>
            </w:r>
            <w:r>
              <w:rPr>
                <w:webHidden/>
              </w:rPr>
              <w:fldChar w:fldCharType="begin"/>
            </w:r>
            <w:r>
              <w:rPr>
                <w:webHidden/>
              </w:rPr>
              <w:instrText>PAGEREF _Toc32334495 \h</w:instrText>
            </w:r>
            <w:r>
              <w:rPr>
                <w:webHidden/>
              </w:rPr>
              <w:fldChar w:fldCharType="separate"/>
            </w:r>
            <w:r>
              <w:rPr>
                <w:rStyle w:val="Sautdindex"/>
                <w:vanish w:val="false"/>
              </w:rPr>
              <w:tab/>
              <w:t>17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496">
            <w:r>
              <w:rPr>
                <w:webHidden/>
                <w:rStyle w:val="Sautdindex"/>
                <w:rFonts w:cs="Times New Roman"/>
                <w14:scene3d>
                  <w14:camera w14:prst="orthographicFront"/>
                  <w14:lightRig w14:rig="threePt" w14:dir="t">
                    <w14:rot w14:lat="0" w14:lon="0" w14:rev="0"/>
                  </w14:lightRig>
                </w14:scene3d>
              </w:rPr>
              <w:t>1.3.1.</w:t>
            </w:r>
            <w:r>
              <w:rPr>
                <w:rStyle w:val="Sautdindex"/>
                <w:rFonts w:eastAsia="" w:cs="" w:cstheme="minorBidi" w:eastAsiaTheme="minorEastAsia"/>
                <w:i w:val="false"/>
                <w:iCs w:val="false"/>
                <w:sz w:val="22"/>
                <w:szCs w:val="22"/>
              </w:rPr>
              <w:tab/>
            </w:r>
            <w:r>
              <w:rPr>
                <w:rStyle w:val="Sautdindex"/>
              </w:rPr>
              <w:t>Le maître de l'ouvrage et son représentant</w:t>
            </w:r>
            <w:r>
              <w:rPr>
                <w:webHidden/>
              </w:rPr>
              <w:fldChar w:fldCharType="begin"/>
            </w:r>
            <w:r>
              <w:rPr>
                <w:webHidden/>
              </w:rPr>
              <w:instrText>PAGEREF _Toc32334496 \h</w:instrText>
            </w:r>
            <w:r>
              <w:rPr>
                <w:webHidden/>
              </w:rPr>
              <w:fldChar w:fldCharType="separate"/>
            </w:r>
            <w:r>
              <w:rPr>
                <w:rStyle w:val="Sautdindex"/>
                <w:vanish w:val="false"/>
              </w:rPr>
              <w:tab/>
              <w:t>17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497">
            <w:r>
              <w:rPr>
                <w:webHidden/>
                <w:rStyle w:val="Sautdindex"/>
                <w:rFonts w:cs="Times New Roman"/>
                <w14:scene3d>
                  <w14:camera w14:prst="orthographicFront"/>
                  <w14:lightRig w14:rig="threePt" w14:dir="t">
                    <w14:rot w14:lat="0" w14:lon="0" w14:rev="0"/>
                  </w14:lightRig>
                </w14:scene3d>
              </w:rPr>
              <w:t>1.3.2.</w:t>
            </w:r>
            <w:r>
              <w:rPr>
                <w:rStyle w:val="Sautdindex"/>
                <w:rFonts w:eastAsia="" w:cs="" w:cstheme="minorBidi" w:eastAsiaTheme="minorEastAsia"/>
                <w:i w:val="false"/>
                <w:iCs w:val="false"/>
                <w:sz w:val="22"/>
                <w:szCs w:val="22"/>
              </w:rPr>
              <w:tab/>
            </w:r>
            <w:r>
              <w:rPr>
                <w:rStyle w:val="Sautdindex"/>
              </w:rPr>
              <w:t>Représentant du pouvoir adjudicateur pour l'exécution du marché</w:t>
            </w:r>
            <w:r>
              <w:rPr>
                <w:webHidden/>
              </w:rPr>
              <w:fldChar w:fldCharType="begin"/>
            </w:r>
            <w:r>
              <w:rPr>
                <w:webHidden/>
              </w:rPr>
              <w:instrText>PAGEREF _Toc32334497 \h</w:instrText>
            </w:r>
            <w:r>
              <w:rPr>
                <w:webHidden/>
              </w:rPr>
              <w:fldChar w:fldCharType="separate"/>
            </w:r>
            <w:r>
              <w:rPr>
                <w:rStyle w:val="Sautdindex"/>
                <w:vanish w:val="false"/>
              </w:rPr>
              <w:tab/>
              <w:t>17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498">
            <w:r>
              <w:rPr>
                <w:webHidden/>
                <w:rStyle w:val="Sautdindex"/>
                <w:rFonts w:cs="Times New Roman"/>
                <w14:scene3d>
                  <w14:camera w14:prst="orthographicFront"/>
                  <w14:lightRig w14:rig="threePt" w14:dir="t">
                    <w14:rot w14:lat="0" w14:lon="0" w14:rev="0"/>
                  </w14:lightRig>
                </w14:scene3d>
              </w:rPr>
              <w:t>1.3.3.</w:t>
            </w:r>
            <w:r>
              <w:rPr>
                <w:rStyle w:val="Sautdindex"/>
                <w:rFonts w:eastAsia="" w:cs="" w:cstheme="minorBidi" w:eastAsiaTheme="minorEastAsia"/>
                <w:i w:val="false"/>
                <w:iCs w:val="false"/>
                <w:sz w:val="22"/>
                <w:szCs w:val="22"/>
              </w:rPr>
              <w:tab/>
            </w:r>
            <w:r>
              <w:rPr>
                <w:rStyle w:val="Sautdindex"/>
              </w:rPr>
              <w:t>Conduite d'opération</w:t>
            </w:r>
            <w:r>
              <w:rPr>
                <w:webHidden/>
              </w:rPr>
              <w:fldChar w:fldCharType="begin"/>
            </w:r>
            <w:r>
              <w:rPr>
                <w:webHidden/>
              </w:rPr>
              <w:instrText>PAGEREF _Toc32334498 \h</w:instrText>
            </w:r>
            <w:r>
              <w:rPr>
                <w:webHidden/>
              </w:rPr>
              <w:fldChar w:fldCharType="separate"/>
            </w:r>
            <w:r>
              <w:rPr>
                <w:rStyle w:val="Sautdindex"/>
                <w:vanish w:val="false"/>
              </w:rPr>
              <w:tab/>
              <w:t>17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499">
            <w:r>
              <w:rPr>
                <w:webHidden/>
                <w:rStyle w:val="Sautdindex"/>
                <w:rFonts w:cs="Times New Roman"/>
                <w14:scene3d>
                  <w14:camera w14:prst="orthographicFront"/>
                  <w14:lightRig w14:rig="threePt" w14:dir="t">
                    <w14:rot w14:lat="0" w14:lon="0" w14:rev="0"/>
                  </w14:lightRig>
                </w14:scene3d>
              </w:rPr>
              <w:t>1.3.4.</w:t>
            </w:r>
            <w:r>
              <w:rPr>
                <w:rStyle w:val="Sautdindex"/>
                <w:rFonts w:eastAsia="" w:cs="" w:cstheme="minorBidi" w:eastAsiaTheme="minorEastAsia"/>
                <w:i w:val="false"/>
                <w:iCs w:val="false"/>
                <w:sz w:val="22"/>
                <w:szCs w:val="22"/>
              </w:rPr>
              <w:tab/>
            </w:r>
            <w:r>
              <w:rPr>
                <w:rStyle w:val="Sautdindex"/>
              </w:rPr>
              <w:t>Maitrise d’œuvre</w:t>
            </w:r>
            <w:r>
              <w:rPr>
                <w:webHidden/>
              </w:rPr>
              <w:fldChar w:fldCharType="begin"/>
            </w:r>
            <w:r>
              <w:rPr>
                <w:webHidden/>
              </w:rPr>
              <w:instrText>PAGEREF _Toc32334499 \h</w:instrText>
            </w:r>
            <w:r>
              <w:rPr>
                <w:webHidden/>
              </w:rPr>
              <w:fldChar w:fldCharType="separate"/>
            </w:r>
            <w:r>
              <w:rPr>
                <w:rStyle w:val="Sautdindex"/>
                <w:vanish w:val="false"/>
              </w:rPr>
              <w:tab/>
              <w:t>18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00">
            <w:r>
              <w:rPr>
                <w:webHidden/>
                <w:rStyle w:val="Sautdindex"/>
                <w:rFonts w:cs="Times New Roman"/>
                <w14:scene3d>
                  <w14:camera w14:prst="orthographicFront"/>
                  <w14:lightRig w14:rig="threePt" w14:dir="t">
                    <w14:rot w14:lat="0" w14:lon="0" w14:rev="0"/>
                  </w14:lightRig>
                </w14:scene3d>
              </w:rPr>
              <w:t>1.3.5.</w:t>
            </w:r>
            <w:r>
              <w:rPr>
                <w:rStyle w:val="Sautdindex"/>
                <w:rFonts w:eastAsia="" w:cs="" w:cstheme="minorBidi" w:eastAsiaTheme="minorEastAsia"/>
                <w:i w:val="false"/>
                <w:iCs w:val="false"/>
                <w:sz w:val="22"/>
                <w:szCs w:val="22"/>
              </w:rPr>
              <w:tab/>
            </w:r>
            <w:r>
              <w:rPr>
                <w:rStyle w:val="Sautdindex"/>
              </w:rPr>
              <w:t>Autres intervenants</w:t>
            </w:r>
            <w:r>
              <w:rPr>
                <w:webHidden/>
              </w:rPr>
              <w:fldChar w:fldCharType="begin"/>
            </w:r>
            <w:r>
              <w:rPr>
                <w:webHidden/>
              </w:rPr>
              <w:instrText>PAGEREF _Toc32334500 \h</w:instrText>
            </w:r>
            <w:r>
              <w:rPr>
                <w:webHidden/>
              </w:rPr>
              <w:fldChar w:fldCharType="separate"/>
            </w:r>
            <w:r>
              <w:rPr>
                <w:rStyle w:val="Sautdindex"/>
                <w:vanish w:val="false"/>
              </w:rPr>
              <w:tab/>
              <w:t>18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01">
            <w:r>
              <w:rPr>
                <w:webHidden/>
                <w:rStyle w:val="Sautdindex"/>
                <w:rFonts w:cs="Times New Roman"/>
                <w14:scene3d>
                  <w14:camera w14:prst="orthographicFront"/>
                  <w14:lightRig w14:rig="threePt" w14:dir="t">
                    <w14:rot w14:lat="0" w14:lon="0" w14:rev="0"/>
                  </w14:lightRig>
                </w14:scene3d>
              </w:rPr>
              <w:t>1.3.6.</w:t>
            </w:r>
            <w:r>
              <w:rPr>
                <w:rStyle w:val="Sautdindex"/>
                <w:rFonts w:eastAsia="" w:cs="" w:cstheme="minorBidi" w:eastAsiaTheme="minorEastAsia"/>
                <w:i w:val="false"/>
                <w:iCs w:val="false"/>
                <w:sz w:val="22"/>
                <w:szCs w:val="22"/>
              </w:rPr>
              <w:tab/>
            </w:r>
            <w:r>
              <w:rPr>
                <w:rStyle w:val="Sautdindex"/>
              </w:rPr>
              <w:t>Coordination en matière de Sécurité et de Protection de la Santé des travailleurs (SPS)</w:t>
            </w:r>
            <w:r>
              <w:rPr>
                <w:webHidden/>
              </w:rPr>
              <w:fldChar w:fldCharType="begin"/>
            </w:r>
            <w:r>
              <w:rPr>
                <w:webHidden/>
              </w:rPr>
              <w:instrText>PAGEREF _Toc32334501 \h</w:instrText>
            </w:r>
            <w:r>
              <w:rPr>
                <w:webHidden/>
              </w:rPr>
              <w:fldChar w:fldCharType="separate"/>
            </w:r>
            <w:r>
              <w:rPr>
                <w:rStyle w:val="Sautdindex"/>
                <w:vanish w:val="false"/>
              </w:rPr>
              <w:tab/>
              <w:t>18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02">
            <w:r>
              <w:rPr>
                <w:webHidden/>
                <w:rStyle w:val="Sautdindex"/>
                <w:rFonts w:cs="Times New Roman"/>
                <w14:scene3d>
                  <w14:camera w14:prst="orthographicFront"/>
                  <w14:lightRig w14:rig="threePt" w14:dir="t">
                    <w14:rot w14:lat="0" w14:lon="0" w14:rev="0"/>
                  </w14:lightRig>
                </w14:scene3d>
              </w:rPr>
              <w:t>1.3.7.</w:t>
            </w:r>
            <w:r>
              <w:rPr>
                <w:rStyle w:val="Sautdindex"/>
                <w:rFonts w:eastAsia="" w:cs="" w:cstheme="minorBidi" w:eastAsiaTheme="minorEastAsia"/>
                <w:i w:val="false"/>
                <w:iCs w:val="false"/>
                <w:sz w:val="22"/>
                <w:szCs w:val="22"/>
              </w:rPr>
              <w:tab/>
            </w:r>
            <w:r>
              <w:rPr>
                <w:rStyle w:val="Sautdindex"/>
              </w:rPr>
              <w:t>Contrôle technique</w:t>
            </w:r>
            <w:r>
              <w:rPr>
                <w:webHidden/>
              </w:rPr>
              <w:fldChar w:fldCharType="begin"/>
            </w:r>
            <w:r>
              <w:rPr>
                <w:webHidden/>
              </w:rPr>
              <w:instrText>PAGEREF _Toc32334502 \h</w:instrText>
            </w:r>
            <w:r>
              <w:rPr>
                <w:webHidden/>
              </w:rPr>
              <w:fldChar w:fldCharType="separate"/>
            </w:r>
            <w:r>
              <w:rPr>
                <w:rStyle w:val="Sautdindex"/>
                <w:vanish w:val="false"/>
              </w:rPr>
              <w:tab/>
              <w:t>18</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03">
            <w:r>
              <w:rPr>
                <w:webHidden/>
                <w:rStyle w:val="Sautdindex"/>
                <w:b/>
              </w:rPr>
              <w:t>1.4.</w:t>
            </w:r>
            <w:r>
              <w:rPr>
                <w:rStyle w:val="Sautdindex"/>
                <w:rFonts w:eastAsia="" w:cs="" w:cstheme="minorBidi" w:eastAsiaTheme="minorEastAsia"/>
                <w:caps w:val="false"/>
                <w:smallCaps w:val="false"/>
                <w:sz w:val="22"/>
                <w:szCs w:val="22"/>
              </w:rPr>
              <w:tab/>
            </w:r>
            <w:r>
              <w:rPr>
                <w:rStyle w:val="Sautdindex"/>
              </w:rPr>
              <w:t>Périmètre de l’étude</w:t>
            </w:r>
            <w:r>
              <w:rPr>
                <w:webHidden/>
              </w:rPr>
              <w:fldChar w:fldCharType="begin"/>
            </w:r>
            <w:r>
              <w:rPr>
                <w:webHidden/>
              </w:rPr>
              <w:instrText>PAGEREF _Toc32334503 \h</w:instrText>
            </w:r>
            <w:r>
              <w:rPr>
                <w:webHidden/>
              </w:rPr>
              <w:fldChar w:fldCharType="separate"/>
            </w:r>
            <w:r>
              <w:rPr>
                <w:rStyle w:val="Sautdindex"/>
                <w:vanish w:val="false"/>
              </w:rPr>
              <w:tab/>
              <w:t>18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04">
            <w:r>
              <w:rPr>
                <w:webHidden/>
                <w:rStyle w:val="Sautdindex"/>
                <w:rFonts w:cs="Times New Roman"/>
                <w14:scene3d>
                  <w14:camera w14:prst="orthographicFront"/>
                  <w14:lightRig w14:rig="threePt" w14:dir="t">
                    <w14:rot w14:lat="0" w14:lon="0" w14:rev="0"/>
                  </w14:lightRig>
                </w14:scene3d>
              </w:rPr>
              <w:t>1.4.1.</w:t>
            </w:r>
            <w:r>
              <w:rPr>
                <w:rStyle w:val="Sautdindex"/>
                <w:rFonts w:eastAsia="" w:cs="" w:cstheme="minorBidi" w:eastAsiaTheme="minorEastAsia"/>
                <w:i w:val="false"/>
                <w:iCs w:val="false"/>
                <w:sz w:val="22"/>
                <w:szCs w:val="22"/>
              </w:rPr>
              <w:tab/>
            </w:r>
            <w:r>
              <w:rPr>
                <w:rStyle w:val="Sautdindex"/>
              </w:rPr>
              <w:t>Généralités</w:t>
            </w:r>
            <w:r>
              <w:rPr>
                <w:webHidden/>
              </w:rPr>
              <w:fldChar w:fldCharType="begin"/>
            </w:r>
            <w:r>
              <w:rPr>
                <w:webHidden/>
              </w:rPr>
              <w:instrText>PAGEREF _Toc32334504 \h</w:instrText>
            </w:r>
            <w:r>
              <w:rPr>
                <w:webHidden/>
              </w:rPr>
              <w:fldChar w:fldCharType="separate"/>
            </w:r>
            <w:r>
              <w:rPr>
                <w:rStyle w:val="Sautdindex"/>
                <w:vanish w:val="false"/>
              </w:rPr>
              <w:tab/>
              <w:t>18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05">
            <w:r>
              <w:rPr>
                <w:webHidden/>
                <w:rStyle w:val="Sautdindex"/>
                <w:rFonts w:cs="Times New Roman"/>
                <w14:scene3d>
                  <w14:camera w14:prst="orthographicFront"/>
                  <w14:lightRig w14:rig="threePt" w14:dir="t">
                    <w14:rot w14:lat="0" w14:lon="0" w14:rev="0"/>
                  </w14:lightRig>
                </w14:scene3d>
              </w:rPr>
              <w:t>1.4.2.</w:t>
            </w:r>
            <w:r>
              <w:rPr>
                <w:rStyle w:val="Sautdindex"/>
                <w:rFonts w:eastAsia="" w:cs="" w:cstheme="minorBidi" w:eastAsiaTheme="minorEastAsia"/>
                <w:i w:val="false"/>
                <w:iCs w:val="false"/>
                <w:sz w:val="22"/>
                <w:szCs w:val="22"/>
              </w:rPr>
              <w:tab/>
            </w:r>
            <w:r>
              <w:rPr>
                <w:rStyle w:val="Sautdindex"/>
              </w:rPr>
              <w:t>Documents de référence</w:t>
            </w:r>
            <w:r>
              <w:rPr>
                <w:webHidden/>
              </w:rPr>
              <w:fldChar w:fldCharType="begin"/>
            </w:r>
            <w:r>
              <w:rPr>
                <w:webHidden/>
              </w:rPr>
              <w:instrText>PAGEREF _Toc32334505 \h</w:instrText>
            </w:r>
            <w:r>
              <w:rPr>
                <w:webHidden/>
              </w:rPr>
              <w:fldChar w:fldCharType="separate"/>
            </w:r>
            <w:r>
              <w:rPr>
                <w:rStyle w:val="Sautdindex"/>
                <w:vanish w:val="false"/>
              </w:rPr>
              <w:tab/>
              <w:t>19</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06">
            <w:r>
              <w:rPr>
                <w:webHidden/>
                <w:rStyle w:val="Sautdindex"/>
                <w:b/>
              </w:rPr>
              <w:t>1.5.</w:t>
            </w:r>
            <w:r>
              <w:rPr>
                <w:rStyle w:val="Sautdindex"/>
                <w:rFonts w:eastAsia="" w:cs="" w:cstheme="minorBidi" w:eastAsiaTheme="minorEastAsia"/>
                <w:caps w:val="false"/>
                <w:smallCaps w:val="false"/>
                <w:sz w:val="22"/>
                <w:szCs w:val="22"/>
              </w:rPr>
              <w:tab/>
            </w:r>
            <w:r>
              <w:rPr>
                <w:rStyle w:val="Sautdindex"/>
              </w:rPr>
              <w:t>Etudes antérieures</w:t>
            </w:r>
            <w:r>
              <w:rPr>
                <w:webHidden/>
              </w:rPr>
              <w:fldChar w:fldCharType="begin"/>
            </w:r>
            <w:r>
              <w:rPr>
                <w:webHidden/>
              </w:rPr>
              <w:instrText>PAGEREF _Toc32334506 \h</w:instrText>
            </w:r>
            <w:r>
              <w:rPr>
                <w:webHidden/>
              </w:rPr>
              <w:fldChar w:fldCharType="separate"/>
            </w:r>
            <w:r>
              <w:rPr>
                <w:rStyle w:val="Sautdindex"/>
                <w:vanish w:val="false"/>
              </w:rPr>
              <w:tab/>
              <w:t>20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07">
            <w:r>
              <w:rPr>
                <w:webHidden/>
                <w:rStyle w:val="Sautdindex"/>
                <w:rFonts w:cs="Times New Roman"/>
                <w14:scene3d>
                  <w14:camera w14:prst="orthographicFront"/>
                  <w14:lightRig w14:rig="threePt" w14:dir="t">
                    <w14:rot w14:lat="0" w14:lon="0" w14:rev="0"/>
                  </w14:lightRig>
                </w14:scene3d>
              </w:rPr>
              <w:t>1.5.1.</w:t>
            </w:r>
            <w:r>
              <w:rPr>
                <w:rStyle w:val="Sautdindex"/>
                <w:rFonts w:eastAsia="" w:cs="" w:cstheme="minorBidi" w:eastAsiaTheme="minorEastAsia"/>
                <w:i w:val="false"/>
                <w:iCs w:val="false"/>
                <w:sz w:val="22"/>
                <w:szCs w:val="22"/>
              </w:rPr>
              <w:tab/>
            </w:r>
            <w:r>
              <w:rPr>
                <w:rStyle w:val="Sautdindex"/>
              </w:rPr>
              <w:t>Le programme</w:t>
            </w:r>
            <w:r>
              <w:rPr>
                <w:webHidden/>
              </w:rPr>
              <w:fldChar w:fldCharType="begin"/>
            </w:r>
            <w:r>
              <w:rPr>
                <w:webHidden/>
              </w:rPr>
              <w:instrText>PAGEREF _Toc32334507 \h</w:instrText>
            </w:r>
            <w:r>
              <w:rPr>
                <w:webHidden/>
              </w:rPr>
              <w:fldChar w:fldCharType="separate"/>
            </w:r>
            <w:r>
              <w:rPr>
                <w:rStyle w:val="Sautdindex"/>
                <w:vanish w:val="false"/>
              </w:rPr>
              <w:tab/>
              <w:t>20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08">
            <w:r>
              <w:rPr>
                <w:webHidden/>
                <w:rStyle w:val="Sautdindex"/>
                <w:rFonts w:cs="Times New Roman"/>
                <w14:scene3d>
                  <w14:camera w14:prst="orthographicFront"/>
                  <w14:lightRig w14:rig="threePt" w14:dir="t">
                    <w14:rot w14:lat="0" w14:lon="0" w14:rev="0"/>
                  </w14:lightRig>
                </w14:scene3d>
              </w:rPr>
              <w:t>1.5.2.</w:t>
            </w:r>
            <w:r>
              <w:rPr>
                <w:rStyle w:val="Sautdindex"/>
                <w:rFonts w:eastAsia="" w:cs="" w:cstheme="minorBidi" w:eastAsiaTheme="minorEastAsia"/>
                <w:i w:val="false"/>
                <w:iCs w:val="false"/>
                <w:sz w:val="22"/>
                <w:szCs w:val="22"/>
              </w:rPr>
              <w:tab/>
            </w:r>
            <w:r>
              <w:rPr>
                <w:rStyle w:val="Sautdindex"/>
              </w:rPr>
              <w:t>Le diagnostic</w:t>
            </w:r>
            <w:r>
              <w:rPr>
                <w:webHidden/>
              </w:rPr>
              <w:fldChar w:fldCharType="begin"/>
            </w:r>
            <w:r>
              <w:rPr>
                <w:webHidden/>
              </w:rPr>
              <w:instrText>PAGEREF _Toc32334508 \h</w:instrText>
            </w:r>
            <w:r>
              <w:rPr>
                <w:webHidden/>
              </w:rPr>
              <w:fldChar w:fldCharType="separate"/>
            </w:r>
            <w:r>
              <w:rPr>
                <w:rStyle w:val="Sautdindex"/>
                <w:vanish w:val="false"/>
              </w:rPr>
              <w:tab/>
              <w:t>20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09">
            <w:r>
              <w:rPr>
                <w:webHidden/>
                <w:rStyle w:val="Sautdindex"/>
                <w:rFonts w:cs="Times New Roman"/>
                <w14:scene3d>
                  <w14:camera w14:prst="orthographicFront"/>
                  <w14:lightRig w14:rig="threePt" w14:dir="t">
                    <w14:rot w14:lat="0" w14:lon="0" w14:rev="0"/>
                  </w14:lightRig>
                </w14:scene3d>
              </w:rPr>
              <w:t>1.5.3.</w:t>
            </w:r>
            <w:r>
              <w:rPr>
                <w:rStyle w:val="Sautdindex"/>
                <w:rFonts w:eastAsia="" w:cs="" w:cstheme="minorBidi" w:eastAsiaTheme="minorEastAsia"/>
                <w:i w:val="false"/>
                <w:iCs w:val="false"/>
                <w:sz w:val="22"/>
                <w:szCs w:val="22"/>
              </w:rPr>
              <w:tab/>
            </w:r>
            <w:r>
              <w:rPr>
                <w:rStyle w:val="Sautdindex"/>
              </w:rPr>
              <w:t>L’Avant-Projet Sommaire (APS)</w:t>
            </w:r>
            <w:r>
              <w:rPr>
                <w:webHidden/>
              </w:rPr>
              <w:fldChar w:fldCharType="begin"/>
            </w:r>
            <w:r>
              <w:rPr>
                <w:webHidden/>
              </w:rPr>
              <w:instrText>PAGEREF _Toc32334509 \h</w:instrText>
            </w:r>
            <w:r>
              <w:rPr>
                <w:webHidden/>
              </w:rPr>
              <w:fldChar w:fldCharType="separate"/>
            </w:r>
            <w:r>
              <w:rPr>
                <w:rStyle w:val="Sautdindex"/>
                <w:vanish w:val="false"/>
              </w:rPr>
              <w:tab/>
              <w:t>21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10">
            <w:r>
              <w:rPr>
                <w:webHidden/>
                <w:rStyle w:val="Sautdindex"/>
                <w:rFonts w:cs="Times New Roman"/>
              </w:rPr>
              <w:t>1.5.3.1.</w:t>
            </w:r>
            <w:r>
              <w:rPr>
                <w:rStyle w:val="Sautdindex"/>
                <w:rFonts w:eastAsia="" w:cs="" w:cstheme="minorBidi" w:eastAsiaTheme="minorEastAsia"/>
                <w:sz w:val="22"/>
                <w:szCs w:val="22"/>
              </w:rPr>
              <w:tab/>
            </w:r>
            <w:r>
              <w:rPr>
                <w:rStyle w:val="Sautdindex"/>
              </w:rPr>
              <w:t>Adaptations apportées au programme par l’APS</w:t>
            </w:r>
            <w:r>
              <w:rPr>
                <w:webHidden/>
              </w:rPr>
              <w:fldChar w:fldCharType="begin"/>
            </w:r>
            <w:r>
              <w:rPr>
                <w:webHidden/>
              </w:rPr>
              <w:instrText>PAGEREF _Toc32334510 \h</w:instrText>
            </w:r>
            <w:r>
              <w:rPr>
                <w:webHidden/>
              </w:rPr>
              <w:fldChar w:fldCharType="separate"/>
            </w:r>
            <w:r>
              <w:rPr>
                <w:rStyle w:val="Sautdindex"/>
                <w:vanish w:val="false"/>
              </w:rPr>
              <w:tab/>
              <w:t>21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11">
            <w:r>
              <w:rPr>
                <w:webHidden/>
                <w:rStyle w:val="Sautdindex"/>
                <w:rFonts w:cs="Times New Roman"/>
              </w:rPr>
              <w:t>1.5.3.2.</w:t>
            </w:r>
            <w:r>
              <w:rPr>
                <w:rStyle w:val="Sautdindex"/>
                <w:rFonts w:eastAsia="" w:cs="" w:cstheme="minorBidi" w:eastAsiaTheme="minorEastAsia"/>
                <w:sz w:val="22"/>
                <w:szCs w:val="22"/>
              </w:rPr>
              <w:tab/>
            </w:r>
            <w:r>
              <w:rPr>
                <w:rStyle w:val="Sautdindex"/>
              </w:rPr>
              <w:t>Bilan des observations formulées sur l’APS</w:t>
            </w:r>
            <w:r>
              <w:rPr>
                <w:webHidden/>
              </w:rPr>
              <w:fldChar w:fldCharType="begin"/>
            </w:r>
            <w:r>
              <w:rPr>
                <w:webHidden/>
              </w:rPr>
              <w:instrText>PAGEREF _Toc32334511 \h</w:instrText>
            </w:r>
            <w:r>
              <w:rPr>
                <w:webHidden/>
              </w:rPr>
              <w:fldChar w:fldCharType="separate"/>
            </w:r>
            <w:r>
              <w:rPr>
                <w:rStyle w:val="Sautdindex"/>
                <w:vanish w:val="false"/>
              </w:rPr>
              <w:tab/>
              <w:t>22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12">
            <w:r>
              <w:rPr>
                <w:webHidden/>
                <w:rStyle w:val="Sautdindex"/>
                <w:rFonts w:cs="Times New Roman"/>
              </w:rPr>
              <w:t>1.5.3.3.</w:t>
            </w:r>
            <w:r>
              <w:rPr>
                <w:rStyle w:val="Sautdindex"/>
                <w:rFonts w:eastAsia="" w:cs="" w:cstheme="minorBidi" w:eastAsiaTheme="minorEastAsia"/>
                <w:sz w:val="22"/>
                <w:szCs w:val="22"/>
              </w:rPr>
              <w:tab/>
            </w:r>
            <w:r>
              <w:rPr>
                <w:rStyle w:val="Sautdindex"/>
              </w:rPr>
              <w:t>Adaptations apportées à l’APS par l’APD</w:t>
            </w:r>
            <w:r>
              <w:rPr>
                <w:webHidden/>
              </w:rPr>
              <w:fldChar w:fldCharType="begin"/>
            </w:r>
            <w:r>
              <w:rPr>
                <w:webHidden/>
              </w:rPr>
              <w:instrText>PAGEREF _Toc32334512 \h</w:instrText>
            </w:r>
            <w:r>
              <w:rPr>
                <w:webHidden/>
              </w:rPr>
              <w:fldChar w:fldCharType="separate"/>
            </w:r>
            <w:r>
              <w:rPr>
                <w:rStyle w:val="Sautdindex"/>
                <w:vanish w:val="false"/>
              </w:rPr>
              <w:tab/>
              <w:t>22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13">
            <w:r>
              <w:rPr>
                <w:webHidden/>
                <w:rStyle w:val="Sautdindex"/>
                <w:rFonts w:cs="Times New Roman"/>
                <w14:scene3d>
                  <w14:camera w14:prst="orthographicFront"/>
                  <w14:lightRig w14:rig="threePt" w14:dir="t">
                    <w14:rot w14:lat="0" w14:lon="0" w14:rev="0"/>
                  </w14:lightRig>
                </w14:scene3d>
              </w:rPr>
              <w:t>1.5.4.</w:t>
            </w:r>
            <w:r>
              <w:rPr>
                <w:rStyle w:val="Sautdindex"/>
                <w:rFonts w:eastAsia="" w:cs="" w:cstheme="minorBidi" w:eastAsiaTheme="minorEastAsia"/>
                <w:i w:val="false"/>
                <w:iCs w:val="false"/>
                <w:sz w:val="22"/>
                <w:szCs w:val="22"/>
              </w:rPr>
              <w:tab/>
            </w:r>
            <w:r>
              <w:rPr>
                <w:rStyle w:val="Sautdindex"/>
              </w:rPr>
              <w:t>L’Avant-Projet Définitif (APD)</w:t>
            </w:r>
            <w:r>
              <w:rPr>
                <w:webHidden/>
              </w:rPr>
              <w:fldChar w:fldCharType="begin"/>
            </w:r>
            <w:r>
              <w:rPr>
                <w:webHidden/>
              </w:rPr>
              <w:instrText>PAGEREF _Toc32334513 \h</w:instrText>
            </w:r>
            <w:r>
              <w:rPr>
                <w:webHidden/>
              </w:rPr>
              <w:fldChar w:fldCharType="separate"/>
            </w:r>
            <w:r>
              <w:rPr>
                <w:rStyle w:val="Sautdindex"/>
                <w:vanish w:val="false"/>
              </w:rPr>
              <w:tab/>
              <w:t>22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14">
            <w:r>
              <w:rPr>
                <w:webHidden/>
                <w:rStyle w:val="Sautdindex"/>
                <w:rFonts w:cs="Times New Roman"/>
              </w:rPr>
              <w:t>1.5.4.1.</w:t>
            </w:r>
            <w:r>
              <w:rPr>
                <w:rStyle w:val="Sautdindex"/>
                <w:rFonts w:eastAsia="" w:cs="" w:cstheme="minorBidi" w:eastAsiaTheme="minorEastAsia"/>
                <w:sz w:val="22"/>
                <w:szCs w:val="22"/>
              </w:rPr>
              <w:tab/>
            </w:r>
            <w:r>
              <w:rPr>
                <w:rStyle w:val="Sautdindex"/>
              </w:rPr>
              <w:t>Bilan des observations formulées sur l’APD</w:t>
            </w:r>
            <w:r>
              <w:rPr>
                <w:webHidden/>
              </w:rPr>
              <w:fldChar w:fldCharType="begin"/>
            </w:r>
            <w:r>
              <w:rPr>
                <w:webHidden/>
              </w:rPr>
              <w:instrText>PAGEREF _Toc32334514 \h</w:instrText>
            </w:r>
            <w:r>
              <w:rPr>
                <w:webHidden/>
              </w:rPr>
              <w:fldChar w:fldCharType="separate"/>
            </w:r>
            <w:r>
              <w:rPr>
                <w:rStyle w:val="Sautdindex"/>
                <w:vanish w:val="false"/>
              </w:rPr>
              <w:tab/>
              <w:t>22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15">
            <w:r>
              <w:rPr>
                <w:webHidden/>
                <w:rStyle w:val="Sautdindex"/>
                <w:rFonts w:cs="Times New Roman"/>
              </w:rPr>
              <w:t>1.5.4.2.</w:t>
            </w:r>
            <w:r>
              <w:rPr>
                <w:rStyle w:val="Sautdindex"/>
                <w:rFonts w:eastAsia="" w:cs="" w:cstheme="minorBidi" w:eastAsiaTheme="minorEastAsia"/>
                <w:sz w:val="22"/>
                <w:szCs w:val="22"/>
              </w:rPr>
              <w:tab/>
            </w:r>
            <w:r>
              <w:rPr>
                <w:rStyle w:val="Sautdindex"/>
              </w:rPr>
              <w:t>Adaptations apportées à l’APD par le PROv1</w:t>
            </w:r>
            <w:r>
              <w:rPr>
                <w:webHidden/>
              </w:rPr>
              <w:fldChar w:fldCharType="begin"/>
            </w:r>
            <w:r>
              <w:rPr>
                <w:webHidden/>
              </w:rPr>
              <w:instrText>PAGEREF _Toc32334515 \h</w:instrText>
            </w:r>
            <w:r>
              <w:rPr>
                <w:webHidden/>
              </w:rPr>
              <w:fldChar w:fldCharType="separate"/>
            </w:r>
            <w:r>
              <w:rPr>
                <w:rStyle w:val="Sautdindex"/>
                <w:vanish w:val="false"/>
              </w:rPr>
              <w:tab/>
              <w:t>24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16">
            <w:r>
              <w:rPr>
                <w:webHidden/>
                <w:rStyle w:val="Sautdindex"/>
                <w:rFonts w:cs="Times New Roman"/>
              </w:rPr>
              <w:t>1.5.4.3.</w:t>
            </w:r>
            <w:r>
              <w:rPr>
                <w:rStyle w:val="Sautdindex"/>
                <w:rFonts w:eastAsia="" w:cs="" w:cstheme="minorBidi" w:eastAsiaTheme="minorEastAsia"/>
                <w:sz w:val="22"/>
                <w:szCs w:val="22"/>
              </w:rPr>
              <w:tab/>
            </w:r>
            <w:r>
              <w:rPr>
                <w:rStyle w:val="Sautdindex"/>
              </w:rPr>
              <w:t>Adaptations apportées au PROv1 par le PROv2</w:t>
            </w:r>
            <w:r>
              <w:rPr>
                <w:webHidden/>
              </w:rPr>
              <w:fldChar w:fldCharType="begin"/>
            </w:r>
            <w:r>
              <w:rPr>
                <w:webHidden/>
              </w:rPr>
              <w:instrText>PAGEREF _Toc32334516 \h</w:instrText>
            </w:r>
            <w:r>
              <w:rPr>
                <w:webHidden/>
              </w:rPr>
              <w:fldChar w:fldCharType="separate"/>
            </w:r>
            <w:r>
              <w:rPr>
                <w:rStyle w:val="Sautdindex"/>
                <w:vanish w:val="false"/>
              </w:rPr>
              <w:tab/>
              <w:t>24</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17">
            <w:r>
              <w:rPr>
                <w:webHidden/>
                <w:rStyle w:val="Sautdindex"/>
                <w:b/>
              </w:rPr>
              <w:t>1.6.</w:t>
            </w:r>
            <w:r>
              <w:rPr>
                <w:rStyle w:val="Sautdindex"/>
                <w:rFonts w:eastAsia="" w:cs="" w:cstheme="minorBidi" w:eastAsiaTheme="minorEastAsia"/>
                <w:caps w:val="false"/>
                <w:smallCaps w:val="false"/>
                <w:sz w:val="22"/>
                <w:szCs w:val="22"/>
              </w:rPr>
              <w:tab/>
            </w:r>
            <w:r>
              <w:rPr>
                <w:rStyle w:val="Sautdindex"/>
              </w:rPr>
              <w:t>Présentation du PCTT de Nanterre</w:t>
            </w:r>
            <w:r>
              <w:rPr>
                <w:webHidden/>
              </w:rPr>
              <w:fldChar w:fldCharType="begin"/>
            </w:r>
            <w:r>
              <w:rPr>
                <w:webHidden/>
              </w:rPr>
              <w:instrText>PAGEREF _Toc32334517 \h</w:instrText>
            </w:r>
            <w:r>
              <w:rPr>
                <w:webHidden/>
              </w:rPr>
              <w:fldChar w:fldCharType="separate"/>
            </w:r>
            <w:r>
              <w:rPr>
                <w:rStyle w:val="Sautdindex"/>
                <w:vanish w:val="false"/>
              </w:rPr>
              <w:tab/>
              <w:t>25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18">
            <w:r>
              <w:rPr>
                <w:webHidden/>
                <w:rStyle w:val="Sautdindex"/>
                <w:rFonts w:cs="Times New Roman"/>
                <w14:scene3d>
                  <w14:camera w14:prst="orthographicFront"/>
                  <w14:lightRig w14:rig="threePt" w14:dir="t">
                    <w14:rot w14:lat="0" w14:lon="0" w14:rev="0"/>
                  </w14:lightRig>
                </w14:scene3d>
              </w:rPr>
              <w:t>1.6.1.</w:t>
            </w:r>
            <w:r>
              <w:rPr>
                <w:rStyle w:val="Sautdindex"/>
                <w:rFonts w:eastAsia="" w:cs="" w:cstheme="minorBidi" w:eastAsiaTheme="minorEastAsia"/>
                <w:i w:val="false"/>
                <w:iCs w:val="false"/>
                <w:sz w:val="22"/>
                <w:szCs w:val="22"/>
              </w:rPr>
              <w:tab/>
            </w:r>
            <w:r>
              <w:rPr>
                <w:rStyle w:val="Sautdindex"/>
              </w:rPr>
              <w:t>Localisation</w:t>
            </w:r>
            <w:r>
              <w:rPr>
                <w:webHidden/>
              </w:rPr>
              <w:fldChar w:fldCharType="begin"/>
            </w:r>
            <w:r>
              <w:rPr>
                <w:webHidden/>
              </w:rPr>
              <w:instrText>PAGEREF _Toc32334518 \h</w:instrText>
            </w:r>
            <w:r>
              <w:rPr>
                <w:webHidden/>
              </w:rPr>
              <w:fldChar w:fldCharType="separate"/>
            </w:r>
            <w:r>
              <w:rPr>
                <w:rStyle w:val="Sautdindex"/>
                <w:vanish w:val="false"/>
              </w:rPr>
              <w:tab/>
              <w:t>25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19">
            <w:r>
              <w:rPr>
                <w:webHidden/>
                <w:rStyle w:val="Sautdindex"/>
                <w:rFonts w:cs="Times New Roman"/>
                <w14:scene3d>
                  <w14:camera w14:prst="orthographicFront"/>
                  <w14:lightRig w14:rig="threePt" w14:dir="t">
                    <w14:rot w14:lat="0" w14:lon="0" w14:rev="0"/>
                  </w14:lightRig>
                </w14:scene3d>
              </w:rPr>
              <w:t>1.6.2.</w:t>
            </w:r>
            <w:r>
              <w:rPr>
                <w:rStyle w:val="Sautdindex"/>
                <w:rFonts w:eastAsia="" w:cs="" w:cstheme="minorBidi" w:eastAsiaTheme="minorEastAsia"/>
                <w:i w:val="false"/>
                <w:iCs w:val="false"/>
                <w:sz w:val="22"/>
                <w:szCs w:val="22"/>
              </w:rPr>
              <w:tab/>
            </w:r>
            <w:r>
              <w:rPr>
                <w:rStyle w:val="Sautdindex"/>
              </w:rPr>
              <w:t>Aménagement actuel</w:t>
            </w:r>
            <w:r>
              <w:rPr>
                <w:webHidden/>
              </w:rPr>
              <w:fldChar w:fldCharType="begin"/>
            </w:r>
            <w:r>
              <w:rPr>
                <w:webHidden/>
              </w:rPr>
              <w:instrText>PAGEREF _Toc32334519 \h</w:instrText>
            </w:r>
            <w:r>
              <w:rPr>
                <w:webHidden/>
              </w:rPr>
              <w:fldChar w:fldCharType="separate"/>
            </w:r>
            <w:r>
              <w:rPr>
                <w:rStyle w:val="Sautdindex"/>
                <w:vanish w:val="false"/>
              </w:rPr>
              <w:tab/>
              <w:t>26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20">
            <w:r>
              <w:rPr>
                <w:webHidden/>
                <w:rStyle w:val="Sautdindex"/>
                <w:rFonts w:cs="Times New Roman"/>
                <w14:scene3d>
                  <w14:camera w14:prst="orthographicFront"/>
                  <w14:lightRig w14:rig="threePt" w14:dir="t">
                    <w14:rot w14:lat="0" w14:lon="0" w14:rev="0"/>
                  </w14:lightRig>
                </w14:scene3d>
              </w:rPr>
              <w:t>1.6.3.</w:t>
            </w:r>
            <w:r>
              <w:rPr>
                <w:rStyle w:val="Sautdindex"/>
                <w:rFonts w:eastAsia="" w:cs="" w:cstheme="minorBidi" w:eastAsiaTheme="minorEastAsia"/>
                <w:i w:val="false"/>
                <w:iCs w:val="false"/>
                <w:sz w:val="22"/>
                <w:szCs w:val="22"/>
              </w:rPr>
              <w:tab/>
            </w:r>
            <w:r>
              <w:rPr>
                <w:rStyle w:val="Sautdindex"/>
              </w:rPr>
              <w:t>Principaux dysfonctionnements</w:t>
            </w:r>
            <w:r>
              <w:rPr>
                <w:webHidden/>
              </w:rPr>
              <w:fldChar w:fldCharType="begin"/>
            </w:r>
            <w:r>
              <w:rPr>
                <w:webHidden/>
              </w:rPr>
              <w:instrText>PAGEREF _Toc32334520 \h</w:instrText>
            </w:r>
            <w:r>
              <w:rPr>
                <w:webHidden/>
              </w:rPr>
              <w:fldChar w:fldCharType="separate"/>
            </w:r>
            <w:r>
              <w:rPr>
                <w:rStyle w:val="Sautdindex"/>
                <w:vanish w:val="false"/>
              </w:rPr>
              <w:tab/>
              <w:t>26</w:t>
            </w:r>
            <w:r>
              <w:rPr>
                <w:webHidden/>
              </w:rPr>
              <w:fldChar w:fldCharType="end"/>
            </w:r>
          </w:hyperlink>
        </w:p>
        <w:p>
          <w:pPr>
            <w:pStyle w:val="Tabledesmatiresniveau1"/>
            <w:tabs>
              <w:tab w:val="clear" w:pos="708"/>
              <w:tab w:val="left" w:pos="400" w:leader="none"/>
              <w:tab w:val="right" w:pos="9629" w:leader="dot"/>
            </w:tabs>
            <w:rPr>
              <w:rFonts w:eastAsia="" w:cs="" w:cstheme="minorBidi" w:eastAsiaTheme="minorEastAsia"/>
              <w:b w:val="false"/>
              <w:b w:val="false"/>
              <w:bCs w:val="false"/>
              <w:caps w:val="false"/>
              <w:smallCaps w:val="false"/>
              <w:sz w:val="22"/>
              <w:szCs w:val="22"/>
            </w:rPr>
          </w:pPr>
          <w:hyperlink w:anchor="_Toc32334521">
            <w:r>
              <w:rPr>
                <w:webHidden/>
                <w:rStyle w:val="Sautdindex"/>
                <w:rFonts w:cs="Times New Roman"/>
              </w:rPr>
              <w:t>2.</w:t>
            </w:r>
            <w:r>
              <w:rPr>
                <w:rStyle w:val="Sautdindex"/>
                <w:rFonts w:eastAsia="" w:cs="" w:cstheme="minorBidi" w:eastAsiaTheme="minorEastAsia"/>
                <w:b w:val="false"/>
                <w:bCs w:val="false"/>
                <w:caps w:val="false"/>
                <w:smallCaps w:val="false"/>
                <w:sz w:val="22"/>
                <w:szCs w:val="22"/>
              </w:rPr>
              <w:tab/>
            </w:r>
            <w:r>
              <w:rPr>
                <w:rStyle w:val="Sautdindex"/>
              </w:rPr>
              <w:t>Description des Dispositions projetées</w:t>
            </w:r>
            <w:r>
              <w:rPr>
                <w:webHidden/>
              </w:rPr>
              <w:fldChar w:fldCharType="begin"/>
            </w:r>
            <w:r>
              <w:rPr>
                <w:webHidden/>
              </w:rPr>
              <w:instrText>PAGEREF _Toc32334521 \h</w:instrText>
            </w:r>
            <w:r>
              <w:rPr>
                <w:webHidden/>
              </w:rPr>
              <w:fldChar w:fldCharType="separate"/>
            </w:r>
            <w:r>
              <w:rPr>
                <w:rStyle w:val="Sautdindex"/>
                <w:vanish w:val="false"/>
              </w:rPr>
              <w:tab/>
              <w:t>28</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22">
            <w:r>
              <w:rPr>
                <w:webHidden/>
                <w:rStyle w:val="Sautdindex"/>
                <w:b/>
              </w:rPr>
              <w:t>2.1.</w:t>
            </w:r>
            <w:r>
              <w:rPr>
                <w:rStyle w:val="Sautdindex"/>
                <w:rFonts w:eastAsia="" w:cs="" w:cstheme="minorBidi" w:eastAsiaTheme="minorEastAsia"/>
                <w:caps w:val="false"/>
                <w:smallCaps w:val="false"/>
                <w:sz w:val="22"/>
                <w:szCs w:val="22"/>
              </w:rPr>
              <w:tab/>
            </w:r>
            <w:r>
              <w:rPr>
                <w:rStyle w:val="Sautdindex"/>
              </w:rPr>
              <w:t>Descriptif fonctionnel des locaux</w:t>
            </w:r>
            <w:r>
              <w:rPr>
                <w:webHidden/>
              </w:rPr>
              <w:fldChar w:fldCharType="begin"/>
            </w:r>
            <w:r>
              <w:rPr>
                <w:webHidden/>
              </w:rPr>
              <w:instrText>PAGEREF _Toc32334522 \h</w:instrText>
            </w:r>
            <w:r>
              <w:rPr>
                <w:webHidden/>
              </w:rPr>
              <w:fldChar w:fldCharType="separate"/>
            </w:r>
            <w:r>
              <w:rPr>
                <w:rStyle w:val="Sautdindex"/>
                <w:vanish w:val="false"/>
              </w:rPr>
              <w:tab/>
              <w:t>28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23">
            <w:r>
              <w:rPr>
                <w:webHidden/>
                <w:rStyle w:val="Sautdindex"/>
                <w:rFonts w:cs="Times New Roman"/>
                <w14:scene3d>
                  <w14:camera w14:prst="orthographicFront"/>
                  <w14:lightRig w14:rig="threePt" w14:dir="t">
                    <w14:rot w14:lat="0" w14:lon="0" w14:rev="0"/>
                  </w14:lightRig>
                </w14:scene3d>
              </w:rPr>
              <w:t>2.1.1.</w:t>
            </w:r>
            <w:r>
              <w:rPr>
                <w:rStyle w:val="Sautdindex"/>
                <w:rFonts w:eastAsia="" w:cs="" w:cstheme="minorBidi" w:eastAsiaTheme="minorEastAsia"/>
                <w:i w:val="false"/>
                <w:iCs w:val="false"/>
                <w:sz w:val="22"/>
                <w:szCs w:val="22"/>
              </w:rPr>
              <w:tab/>
            </w:r>
            <w:r>
              <w:rPr>
                <w:rStyle w:val="Sautdindex"/>
              </w:rPr>
              <w:t>Schémas fonctionnels des locaux</w:t>
            </w:r>
            <w:r>
              <w:rPr>
                <w:webHidden/>
              </w:rPr>
              <w:fldChar w:fldCharType="begin"/>
            </w:r>
            <w:r>
              <w:rPr>
                <w:webHidden/>
              </w:rPr>
              <w:instrText>PAGEREF _Toc32334523 \h</w:instrText>
            </w:r>
            <w:r>
              <w:rPr>
                <w:webHidden/>
              </w:rPr>
              <w:fldChar w:fldCharType="separate"/>
            </w:r>
            <w:r>
              <w:rPr>
                <w:rStyle w:val="Sautdindex"/>
                <w:vanish w:val="false"/>
              </w:rPr>
              <w:tab/>
              <w:t>28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24">
            <w:r>
              <w:rPr>
                <w:webHidden/>
                <w:rStyle w:val="Sautdindex"/>
                <w:rFonts w:cs="Times New Roman"/>
                <w14:scene3d>
                  <w14:camera w14:prst="orthographicFront"/>
                  <w14:lightRig w14:rig="threePt" w14:dir="t">
                    <w14:rot w14:lat="0" w14:lon="0" w14:rev="0"/>
                  </w14:lightRig>
                </w14:scene3d>
              </w:rPr>
              <w:t>2.1.2.</w:t>
            </w:r>
            <w:r>
              <w:rPr>
                <w:rStyle w:val="Sautdindex"/>
                <w:rFonts w:eastAsia="" w:cs="" w:cstheme="minorBidi" w:eastAsiaTheme="minorEastAsia"/>
                <w:i w:val="false"/>
                <w:iCs w:val="false"/>
                <w:sz w:val="22"/>
                <w:szCs w:val="22"/>
              </w:rPr>
              <w:tab/>
            </w:r>
            <w:r>
              <w:rPr>
                <w:rStyle w:val="Sautdindex"/>
              </w:rPr>
              <w:t>Situation d’exploitation actuelle</w:t>
            </w:r>
            <w:r>
              <w:rPr>
                <w:webHidden/>
              </w:rPr>
              <w:fldChar w:fldCharType="begin"/>
            </w:r>
            <w:r>
              <w:rPr>
                <w:webHidden/>
              </w:rPr>
              <w:instrText>PAGEREF _Toc32334524 \h</w:instrText>
            </w:r>
            <w:r>
              <w:rPr>
                <w:webHidden/>
              </w:rPr>
              <w:fldChar w:fldCharType="separate"/>
            </w:r>
            <w:r>
              <w:rPr>
                <w:rStyle w:val="Sautdindex"/>
                <w:vanish w:val="false"/>
              </w:rPr>
              <w:tab/>
              <w:t>28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25">
            <w:r>
              <w:rPr>
                <w:webHidden/>
                <w:rStyle w:val="Sautdindex"/>
                <w:rFonts w:cs="Times New Roman"/>
                <w14:scene3d>
                  <w14:camera w14:prst="orthographicFront"/>
                  <w14:lightRig w14:rig="threePt" w14:dir="t">
                    <w14:rot w14:lat="0" w14:lon="0" w14:rev="0"/>
                  </w14:lightRig>
                </w14:scene3d>
              </w:rPr>
              <w:t>2.1.3.</w:t>
            </w:r>
            <w:r>
              <w:rPr>
                <w:rStyle w:val="Sautdindex"/>
                <w:rFonts w:eastAsia="" w:cs="" w:cstheme="minorBidi" w:eastAsiaTheme="minorEastAsia"/>
                <w:i w:val="false"/>
                <w:iCs w:val="false"/>
                <w:sz w:val="22"/>
                <w:szCs w:val="22"/>
              </w:rPr>
              <w:tab/>
            </w:r>
            <w:r>
              <w:rPr>
                <w:rStyle w:val="Sautdindex"/>
              </w:rPr>
              <w:t>Situation d’exploitation provisoire</w:t>
            </w:r>
            <w:r>
              <w:rPr>
                <w:webHidden/>
              </w:rPr>
              <w:fldChar w:fldCharType="begin"/>
            </w:r>
            <w:r>
              <w:rPr>
                <w:webHidden/>
              </w:rPr>
              <w:instrText>PAGEREF _Toc32334525 \h</w:instrText>
            </w:r>
            <w:r>
              <w:rPr>
                <w:webHidden/>
              </w:rPr>
              <w:fldChar w:fldCharType="separate"/>
            </w:r>
            <w:r>
              <w:rPr>
                <w:rStyle w:val="Sautdindex"/>
                <w:vanish w:val="false"/>
              </w:rPr>
              <w:tab/>
              <w:t>30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26">
            <w:r>
              <w:rPr>
                <w:webHidden/>
                <w:rStyle w:val="Sautdindex"/>
                <w:rFonts w:cs="Times New Roman"/>
                <w14:scene3d>
                  <w14:camera w14:prst="orthographicFront"/>
                  <w14:lightRig w14:rig="threePt" w14:dir="t">
                    <w14:rot w14:lat="0" w14:lon="0" w14:rev="0"/>
                  </w14:lightRig>
                </w14:scene3d>
              </w:rPr>
              <w:t>2.1.4.</w:t>
            </w:r>
            <w:r>
              <w:rPr>
                <w:rStyle w:val="Sautdindex"/>
                <w:rFonts w:eastAsia="" w:cs="" w:cstheme="minorBidi" w:eastAsiaTheme="minorEastAsia"/>
                <w:i w:val="false"/>
                <w:iCs w:val="false"/>
                <w:sz w:val="22"/>
                <w:szCs w:val="22"/>
              </w:rPr>
              <w:tab/>
            </w:r>
            <w:r>
              <w:rPr>
                <w:rStyle w:val="Sautdindex"/>
              </w:rPr>
              <w:t>Situation d’exploitation définitive</w:t>
            </w:r>
            <w:r>
              <w:rPr>
                <w:webHidden/>
              </w:rPr>
              <w:fldChar w:fldCharType="begin"/>
            </w:r>
            <w:r>
              <w:rPr>
                <w:webHidden/>
              </w:rPr>
              <w:instrText>PAGEREF _Toc32334526 \h</w:instrText>
            </w:r>
            <w:r>
              <w:rPr>
                <w:webHidden/>
              </w:rPr>
              <w:fldChar w:fldCharType="separate"/>
            </w:r>
            <w:r>
              <w:rPr>
                <w:rStyle w:val="Sautdindex"/>
                <w:vanish w:val="false"/>
              </w:rPr>
              <w:tab/>
              <w:t>31</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27">
            <w:r>
              <w:rPr>
                <w:webHidden/>
                <w:rStyle w:val="Sautdindex"/>
                <w:b/>
              </w:rPr>
              <w:t>2.2.</w:t>
            </w:r>
            <w:r>
              <w:rPr>
                <w:rStyle w:val="Sautdindex"/>
                <w:rFonts w:eastAsia="" w:cs="" w:cstheme="minorBidi" w:eastAsiaTheme="minorEastAsia"/>
                <w:caps w:val="false"/>
                <w:smallCaps w:val="false"/>
                <w:sz w:val="22"/>
                <w:szCs w:val="22"/>
              </w:rPr>
              <w:tab/>
            </w:r>
            <w:r>
              <w:rPr>
                <w:rStyle w:val="Sautdindex"/>
              </w:rPr>
              <w:t>Bilan des surfaces</w:t>
            </w:r>
            <w:r>
              <w:rPr>
                <w:webHidden/>
              </w:rPr>
              <w:fldChar w:fldCharType="begin"/>
            </w:r>
            <w:r>
              <w:rPr>
                <w:webHidden/>
              </w:rPr>
              <w:instrText>PAGEREF _Toc32334527 \h</w:instrText>
            </w:r>
            <w:r>
              <w:rPr>
                <w:webHidden/>
              </w:rPr>
              <w:fldChar w:fldCharType="separate"/>
            </w:r>
            <w:r>
              <w:rPr>
                <w:rStyle w:val="Sautdindex"/>
                <w:vanish w:val="false"/>
              </w:rPr>
              <w:tab/>
              <w:t>33</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28">
            <w:r>
              <w:rPr>
                <w:webHidden/>
                <w:rStyle w:val="Sautdindex"/>
                <w:b/>
              </w:rPr>
              <w:t>2.3.</w:t>
            </w:r>
            <w:r>
              <w:rPr>
                <w:rStyle w:val="Sautdindex"/>
                <w:rFonts w:eastAsia="" w:cs="" w:cstheme="minorBidi" w:eastAsiaTheme="minorEastAsia"/>
                <w:caps w:val="false"/>
                <w:smallCaps w:val="false"/>
                <w:sz w:val="22"/>
                <w:szCs w:val="22"/>
              </w:rPr>
              <w:tab/>
            </w:r>
            <w:r>
              <w:rPr>
                <w:rStyle w:val="Sautdindex"/>
              </w:rPr>
              <w:t>Descriptif du projet architectural</w:t>
            </w:r>
            <w:r>
              <w:rPr>
                <w:webHidden/>
              </w:rPr>
              <w:fldChar w:fldCharType="begin"/>
            </w:r>
            <w:r>
              <w:rPr>
                <w:webHidden/>
              </w:rPr>
              <w:instrText>PAGEREF _Toc32334528 \h</w:instrText>
            </w:r>
            <w:r>
              <w:rPr>
                <w:webHidden/>
              </w:rPr>
              <w:fldChar w:fldCharType="separate"/>
            </w:r>
            <w:r>
              <w:rPr>
                <w:rStyle w:val="Sautdindex"/>
                <w:vanish w:val="false"/>
              </w:rPr>
              <w:tab/>
              <w:t>33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29">
            <w:r>
              <w:rPr>
                <w:webHidden/>
                <w:rStyle w:val="Sautdindex"/>
                <w:rFonts w:cs="Times New Roman"/>
                <w14:scene3d>
                  <w14:camera w14:prst="orthographicFront"/>
                  <w14:lightRig w14:rig="threePt" w14:dir="t">
                    <w14:rot w14:lat="0" w14:lon="0" w14:rev="0"/>
                  </w14:lightRig>
                </w14:scene3d>
              </w:rPr>
              <w:t>2.3.1.</w:t>
            </w:r>
            <w:r>
              <w:rPr>
                <w:rStyle w:val="Sautdindex"/>
                <w:rFonts w:eastAsia="" w:cs="" w:cstheme="minorBidi" w:eastAsiaTheme="minorEastAsia"/>
                <w:i w:val="false"/>
                <w:iCs w:val="false"/>
                <w:sz w:val="22"/>
                <w:szCs w:val="22"/>
              </w:rPr>
              <w:tab/>
            </w:r>
            <w:r>
              <w:rPr>
                <w:rStyle w:val="Sautdindex"/>
              </w:rPr>
              <w:t>Salle d’exploitation</w:t>
            </w:r>
            <w:r>
              <w:rPr>
                <w:webHidden/>
              </w:rPr>
              <w:fldChar w:fldCharType="begin"/>
            </w:r>
            <w:r>
              <w:rPr>
                <w:webHidden/>
              </w:rPr>
              <w:instrText>PAGEREF _Toc32334529 \h</w:instrText>
            </w:r>
            <w:r>
              <w:rPr>
                <w:webHidden/>
              </w:rPr>
              <w:fldChar w:fldCharType="separate"/>
            </w:r>
            <w:r>
              <w:rPr>
                <w:rStyle w:val="Sautdindex"/>
                <w:vanish w:val="false"/>
              </w:rPr>
              <w:tab/>
              <w:t>34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30">
            <w:r>
              <w:rPr>
                <w:webHidden/>
                <w:rStyle w:val="Sautdindex"/>
                <w:rFonts w:cs="Times New Roman"/>
              </w:rPr>
              <w:t>2.3.1.1.</w:t>
            </w:r>
            <w:r>
              <w:rPr>
                <w:rStyle w:val="Sautdindex"/>
                <w:rFonts w:eastAsia="" w:cs="" w:cstheme="minorBidi" w:eastAsiaTheme="minorEastAsia"/>
                <w:sz w:val="22"/>
                <w:szCs w:val="22"/>
              </w:rPr>
              <w:tab/>
            </w:r>
            <w:r>
              <w:rPr>
                <w:rStyle w:val="Sautdindex"/>
              </w:rPr>
              <w:t>Réaménagement des locaux</w:t>
            </w:r>
            <w:r>
              <w:rPr>
                <w:webHidden/>
              </w:rPr>
              <w:fldChar w:fldCharType="begin"/>
            </w:r>
            <w:r>
              <w:rPr>
                <w:webHidden/>
              </w:rPr>
              <w:instrText>PAGEREF _Toc32334530 \h</w:instrText>
            </w:r>
            <w:r>
              <w:rPr>
                <w:webHidden/>
              </w:rPr>
              <w:fldChar w:fldCharType="separate"/>
            </w:r>
            <w:r>
              <w:rPr>
                <w:rStyle w:val="Sautdindex"/>
                <w:vanish w:val="false"/>
              </w:rPr>
              <w:tab/>
              <w:t>34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31">
            <w:r>
              <w:rPr>
                <w:webHidden/>
                <w:rStyle w:val="Sautdindex"/>
                <w:rFonts w:cs="Times New Roman"/>
              </w:rPr>
              <w:t>2.3.1.2.</w:t>
            </w:r>
            <w:r>
              <w:rPr>
                <w:rStyle w:val="Sautdindex"/>
                <w:rFonts w:eastAsia="" w:cs="" w:cstheme="minorBidi" w:eastAsiaTheme="minorEastAsia"/>
                <w:sz w:val="22"/>
                <w:szCs w:val="22"/>
              </w:rPr>
              <w:tab/>
            </w:r>
            <w:r>
              <w:rPr>
                <w:rStyle w:val="Sautdindex"/>
              </w:rPr>
              <w:t>Pupitres d’exploitation</w:t>
            </w:r>
            <w:r>
              <w:rPr>
                <w:webHidden/>
              </w:rPr>
              <w:fldChar w:fldCharType="begin"/>
            </w:r>
            <w:r>
              <w:rPr>
                <w:webHidden/>
              </w:rPr>
              <w:instrText>PAGEREF _Toc32334531 \h</w:instrText>
            </w:r>
            <w:r>
              <w:rPr>
                <w:webHidden/>
              </w:rPr>
              <w:fldChar w:fldCharType="separate"/>
            </w:r>
            <w:r>
              <w:rPr>
                <w:rStyle w:val="Sautdindex"/>
                <w:vanish w:val="false"/>
              </w:rPr>
              <w:tab/>
              <w:t>34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32">
            <w:r>
              <w:rPr>
                <w:webHidden/>
                <w:rStyle w:val="Sautdindex"/>
                <w:rFonts w:cs="Times New Roman"/>
                <w14:scene3d>
                  <w14:camera w14:prst="orthographicFront"/>
                  <w14:lightRig w14:rig="threePt" w14:dir="t">
                    <w14:rot w14:lat="0" w14:lon="0" w14:rev="0"/>
                  </w14:lightRig>
                </w14:scene3d>
              </w:rPr>
              <w:t>2.3.2.</w:t>
            </w:r>
            <w:r>
              <w:rPr>
                <w:rStyle w:val="Sautdindex"/>
                <w:rFonts w:eastAsia="" w:cs="" w:cstheme="minorBidi" w:eastAsiaTheme="minorEastAsia"/>
                <w:i w:val="false"/>
                <w:iCs w:val="false"/>
                <w:sz w:val="22"/>
                <w:szCs w:val="22"/>
              </w:rPr>
              <w:tab/>
            </w:r>
            <w:r>
              <w:rPr>
                <w:rStyle w:val="Sautdindex"/>
              </w:rPr>
              <w:t>Le mur d’image</w:t>
            </w:r>
            <w:r>
              <w:rPr>
                <w:webHidden/>
              </w:rPr>
              <w:fldChar w:fldCharType="begin"/>
            </w:r>
            <w:r>
              <w:rPr>
                <w:webHidden/>
              </w:rPr>
              <w:instrText>PAGEREF _Toc32334532 \h</w:instrText>
            </w:r>
            <w:r>
              <w:rPr>
                <w:webHidden/>
              </w:rPr>
              <w:fldChar w:fldCharType="separate"/>
            </w:r>
            <w:r>
              <w:rPr>
                <w:rStyle w:val="Sautdindex"/>
                <w:vanish w:val="false"/>
              </w:rPr>
              <w:tab/>
              <w:t>34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33">
            <w:r>
              <w:rPr>
                <w:webHidden/>
                <w:rStyle w:val="Sautdindex"/>
                <w:rFonts w:cs="Times New Roman"/>
                <w14:scene3d>
                  <w14:camera w14:prst="orthographicFront"/>
                  <w14:lightRig w14:rig="threePt" w14:dir="t">
                    <w14:rot w14:lat="0" w14:lon="0" w14:rev="0"/>
                  </w14:lightRig>
                </w14:scene3d>
              </w:rPr>
              <w:t>2.3.3.</w:t>
            </w:r>
            <w:r>
              <w:rPr>
                <w:rStyle w:val="Sautdindex"/>
                <w:rFonts w:eastAsia="" w:cs="" w:cstheme="minorBidi" w:eastAsiaTheme="minorEastAsia"/>
                <w:i w:val="false"/>
                <w:iCs w:val="false"/>
                <w:sz w:val="22"/>
                <w:szCs w:val="22"/>
              </w:rPr>
              <w:tab/>
            </w:r>
            <w:r>
              <w:rPr>
                <w:rStyle w:val="Sautdindex"/>
              </w:rPr>
              <w:t>La salle de crise</w:t>
            </w:r>
            <w:r>
              <w:rPr>
                <w:webHidden/>
              </w:rPr>
              <w:fldChar w:fldCharType="begin"/>
            </w:r>
            <w:r>
              <w:rPr>
                <w:webHidden/>
              </w:rPr>
              <w:instrText>PAGEREF _Toc32334533 \h</w:instrText>
            </w:r>
            <w:r>
              <w:rPr>
                <w:webHidden/>
              </w:rPr>
              <w:fldChar w:fldCharType="separate"/>
            </w:r>
            <w:r>
              <w:rPr>
                <w:rStyle w:val="Sautdindex"/>
                <w:vanish w:val="false"/>
              </w:rPr>
              <w:tab/>
              <w:t>35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34">
            <w:r>
              <w:rPr>
                <w:webHidden/>
                <w:rStyle w:val="Sautdindex"/>
                <w:rFonts w:cs="Times New Roman"/>
                <w14:scene3d>
                  <w14:camera w14:prst="orthographicFront"/>
                  <w14:lightRig w14:rig="threePt" w14:dir="t">
                    <w14:rot w14:lat="0" w14:lon="0" w14:rev="0"/>
                  </w14:lightRig>
                </w14:scene3d>
              </w:rPr>
              <w:t>2.3.4.</w:t>
            </w:r>
            <w:r>
              <w:rPr>
                <w:rStyle w:val="Sautdindex"/>
                <w:rFonts w:eastAsia="" w:cs="" w:cstheme="minorBidi" w:eastAsiaTheme="minorEastAsia"/>
                <w:i w:val="false"/>
                <w:iCs w:val="false"/>
                <w:sz w:val="22"/>
                <w:szCs w:val="22"/>
              </w:rPr>
              <w:tab/>
            </w:r>
            <w:r>
              <w:rPr>
                <w:rStyle w:val="Sautdindex"/>
              </w:rPr>
              <w:t>L’espace de vie</w:t>
            </w:r>
            <w:r>
              <w:rPr>
                <w:webHidden/>
              </w:rPr>
              <w:fldChar w:fldCharType="begin"/>
            </w:r>
            <w:r>
              <w:rPr>
                <w:webHidden/>
              </w:rPr>
              <w:instrText>PAGEREF _Toc32334534 \h</w:instrText>
            </w:r>
            <w:r>
              <w:rPr>
                <w:webHidden/>
              </w:rPr>
              <w:fldChar w:fldCharType="separate"/>
            </w:r>
            <w:r>
              <w:rPr>
                <w:rStyle w:val="Sautdindex"/>
                <w:vanish w:val="false"/>
              </w:rPr>
              <w:tab/>
              <w:t>35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35">
            <w:r>
              <w:rPr>
                <w:webHidden/>
                <w:rStyle w:val="Sautdindex"/>
                <w:rFonts w:cs="Times New Roman"/>
                <w14:scene3d>
                  <w14:camera w14:prst="orthographicFront"/>
                  <w14:lightRig w14:rig="threePt" w14:dir="t">
                    <w14:rot w14:lat="0" w14:lon="0" w14:rev="0"/>
                  </w14:lightRig>
                </w14:scene3d>
              </w:rPr>
              <w:t>2.3.5.</w:t>
            </w:r>
            <w:r>
              <w:rPr>
                <w:rStyle w:val="Sautdindex"/>
                <w:rFonts w:eastAsia="" w:cs="" w:cstheme="minorBidi" w:eastAsiaTheme="minorEastAsia"/>
                <w:i w:val="false"/>
                <w:iCs w:val="false"/>
                <w:sz w:val="22"/>
                <w:szCs w:val="22"/>
              </w:rPr>
              <w:tab/>
            </w:r>
            <w:r>
              <w:rPr>
                <w:rStyle w:val="Sautdindex"/>
              </w:rPr>
              <w:t>Les sanitaires</w:t>
            </w:r>
            <w:r>
              <w:rPr>
                <w:webHidden/>
              </w:rPr>
              <w:fldChar w:fldCharType="begin"/>
            </w:r>
            <w:r>
              <w:rPr>
                <w:webHidden/>
              </w:rPr>
              <w:instrText>PAGEREF _Toc32334535 \h</w:instrText>
            </w:r>
            <w:r>
              <w:rPr>
                <w:webHidden/>
              </w:rPr>
              <w:fldChar w:fldCharType="separate"/>
            </w:r>
            <w:r>
              <w:rPr>
                <w:rStyle w:val="Sautdindex"/>
                <w:vanish w:val="false"/>
              </w:rPr>
              <w:tab/>
              <w:t>35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36">
            <w:r>
              <w:rPr>
                <w:webHidden/>
                <w:rStyle w:val="Sautdindex"/>
                <w:rFonts w:cs="Times New Roman"/>
                <w14:scene3d>
                  <w14:camera w14:prst="orthographicFront"/>
                  <w14:lightRig w14:rig="threePt" w14:dir="t">
                    <w14:rot w14:lat="0" w14:lon="0" w14:rev="0"/>
                  </w14:lightRig>
                </w14:scene3d>
              </w:rPr>
              <w:t>2.3.6.</w:t>
            </w:r>
            <w:r>
              <w:rPr>
                <w:rStyle w:val="Sautdindex"/>
                <w:rFonts w:eastAsia="" w:cs="" w:cstheme="minorBidi" w:eastAsiaTheme="minorEastAsia"/>
                <w:i w:val="false"/>
                <w:iCs w:val="false"/>
                <w:sz w:val="22"/>
                <w:szCs w:val="22"/>
              </w:rPr>
              <w:tab/>
            </w:r>
            <w:r>
              <w:rPr>
                <w:rStyle w:val="Sautdindex"/>
              </w:rPr>
              <w:t>La zone des casiers</w:t>
            </w:r>
            <w:r>
              <w:rPr>
                <w:webHidden/>
              </w:rPr>
              <w:fldChar w:fldCharType="begin"/>
            </w:r>
            <w:r>
              <w:rPr>
                <w:webHidden/>
              </w:rPr>
              <w:instrText>PAGEREF _Toc32334536 \h</w:instrText>
            </w:r>
            <w:r>
              <w:rPr>
                <w:webHidden/>
              </w:rPr>
              <w:fldChar w:fldCharType="separate"/>
            </w:r>
            <w:r>
              <w:rPr>
                <w:rStyle w:val="Sautdindex"/>
                <w:vanish w:val="false"/>
              </w:rPr>
              <w:tab/>
              <w:t>36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37">
            <w:r>
              <w:rPr>
                <w:webHidden/>
                <w:rStyle w:val="Sautdindex"/>
                <w:rFonts w:cs="Times New Roman"/>
                <w14:scene3d>
                  <w14:camera w14:prst="orthographicFront"/>
                  <w14:lightRig w14:rig="threePt" w14:dir="t">
                    <w14:rot w14:lat="0" w14:lon="0" w14:rev="0"/>
                  </w14:lightRig>
                </w14:scene3d>
              </w:rPr>
              <w:t>2.3.7.</w:t>
            </w:r>
            <w:r>
              <w:rPr>
                <w:rStyle w:val="Sautdindex"/>
                <w:rFonts w:eastAsia="" w:cs="" w:cstheme="minorBidi" w:eastAsiaTheme="minorEastAsia"/>
                <w:i w:val="false"/>
                <w:iCs w:val="false"/>
                <w:sz w:val="22"/>
                <w:szCs w:val="22"/>
              </w:rPr>
              <w:tab/>
            </w:r>
            <w:r>
              <w:rPr>
                <w:rStyle w:val="Sautdindex"/>
              </w:rPr>
              <w:t>Local reproduction</w:t>
            </w:r>
            <w:r>
              <w:rPr>
                <w:webHidden/>
              </w:rPr>
              <w:fldChar w:fldCharType="begin"/>
            </w:r>
            <w:r>
              <w:rPr>
                <w:webHidden/>
              </w:rPr>
              <w:instrText>PAGEREF _Toc32334537 \h</w:instrText>
            </w:r>
            <w:r>
              <w:rPr>
                <w:webHidden/>
              </w:rPr>
              <w:fldChar w:fldCharType="separate"/>
            </w:r>
            <w:r>
              <w:rPr>
                <w:rStyle w:val="Sautdindex"/>
                <w:vanish w:val="false"/>
              </w:rPr>
              <w:tab/>
              <w:t>36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38">
            <w:r>
              <w:rPr>
                <w:webHidden/>
                <w:rStyle w:val="Sautdindex"/>
                <w:rFonts w:cs="Times New Roman"/>
                <w14:scene3d>
                  <w14:camera w14:prst="orthographicFront"/>
                  <w14:lightRig w14:rig="threePt" w14:dir="t">
                    <w14:rot w14:lat="0" w14:lon="0" w14:rev="0"/>
                  </w14:lightRig>
                </w14:scene3d>
              </w:rPr>
              <w:t>2.3.8.</w:t>
            </w:r>
            <w:r>
              <w:rPr>
                <w:rStyle w:val="Sautdindex"/>
                <w:rFonts w:eastAsia="" w:cs="" w:cstheme="minorBidi" w:eastAsiaTheme="minorEastAsia"/>
                <w:i w:val="false"/>
                <w:iCs w:val="false"/>
                <w:sz w:val="22"/>
                <w:szCs w:val="22"/>
              </w:rPr>
              <w:tab/>
            </w:r>
            <w:r>
              <w:rPr>
                <w:rStyle w:val="Sautdindex"/>
              </w:rPr>
              <w:t>Salle de réunion</w:t>
            </w:r>
            <w:r>
              <w:rPr>
                <w:webHidden/>
              </w:rPr>
              <w:fldChar w:fldCharType="begin"/>
            </w:r>
            <w:r>
              <w:rPr>
                <w:webHidden/>
              </w:rPr>
              <w:instrText>PAGEREF _Toc32334538 \h</w:instrText>
            </w:r>
            <w:r>
              <w:rPr>
                <w:webHidden/>
              </w:rPr>
              <w:fldChar w:fldCharType="separate"/>
            </w:r>
            <w:r>
              <w:rPr>
                <w:rStyle w:val="Sautdindex"/>
                <w:vanish w:val="false"/>
              </w:rPr>
              <w:tab/>
              <w:t>36</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39">
            <w:r>
              <w:rPr>
                <w:webHidden/>
                <w:rStyle w:val="Sautdindex"/>
                <w:b/>
              </w:rPr>
              <w:t>2.4.</w:t>
            </w:r>
            <w:r>
              <w:rPr>
                <w:rStyle w:val="Sautdindex"/>
                <w:rFonts w:eastAsia="" w:cs="" w:cstheme="minorBidi" w:eastAsiaTheme="minorEastAsia"/>
                <w:caps w:val="false"/>
                <w:smallCaps w:val="false"/>
                <w:sz w:val="22"/>
                <w:szCs w:val="22"/>
              </w:rPr>
              <w:tab/>
            </w:r>
            <w:r>
              <w:rPr>
                <w:rStyle w:val="Sautdindex"/>
              </w:rPr>
              <w:t>Mobiliers</w:t>
            </w:r>
            <w:r>
              <w:rPr>
                <w:webHidden/>
              </w:rPr>
              <w:fldChar w:fldCharType="begin"/>
            </w:r>
            <w:r>
              <w:rPr>
                <w:webHidden/>
              </w:rPr>
              <w:instrText>PAGEREF _Toc32334539 \h</w:instrText>
            </w:r>
            <w:r>
              <w:rPr>
                <w:webHidden/>
              </w:rPr>
              <w:fldChar w:fldCharType="separate"/>
            </w:r>
            <w:r>
              <w:rPr>
                <w:rStyle w:val="Sautdindex"/>
                <w:vanish w:val="false"/>
              </w:rPr>
              <w:tab/>
              <w:t>36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40">
            <w:r>
              <w:rPr>
                <w:webHidden/>
                <w:rStyle w:val="Sautdindex"/>
                <w:rFonts w:cs="Times New Roman"/>
                <w14:scene3d>
                  <w14:camera w14:prst="orthographicFront"/>
                  <w14:lightRig w14:rig="threePt" w14:dir="t">
                    <w14:rot w14:lat="0" w14:lon="0" w14:rev="0"/>
                  </w14:lightRig>
                </w14:scene3d>
              </w:rPr>
              <w:t>2.4.1.</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_Toc32334540 \h</w:instrText>
            </w:r>
            <w:r>
              <w:rPr>
                <w:webHidden/>
              </w:rPr>
              <w:fldChar w:fldCharType="separate"/>
            </w:r>
            <w:r>
              <w:rPr>
                <w:rStyle w:val="Sautdindex"/>
                <w:vanish w:val="false"/>
              </w:rPr>
              <w:tab/>
              <w:t>36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41">
            <w:r>
              <w:rPr>
                <w:webHidden/>
                <w:rStyle w:val="Sautdindex"/>
                <w:rFonts w:cs="Times New Roman"/>
                <w14:scene3d>
                  <w14:camera w14:prst="orthographicFront"/>
                  <w14:lightRig w14:rig="threePt" w14:dir="t">
                    <w14:rot w14:lat="0" w14:lon="0" w14:rev="0"/>
                  </w14:lightRig>
                </w14:scene3d>
              </w:rPr>
              <w:t>2.4.2.</w:t>
            </w:r>
            <w:r>
              <w:rPr>
                <w:rStyle w:val="Sautdindex"/>
                <w:rFonts w:eastAsia="" w:cs="" w:cstheme="minorBidi" w:eastAsiaTheme="minorEastAsia"/>
                <w:i w:val="false"/>
                <w:iCs w:val="false"/>
                <w:sz w:val="22"/>
                <w:szCs w:val="22"/>
              </w:rPr>
              <w:tab/>
            </w:r>
            <w:r>
              <w:rPr>
                <w:rStyle w:val="Sautdindex"/>
              </w:rPr>
              <w:t>Salle d’exploitation</w:t>
            </w:r>
            <w:r>
              <w:rPr>
                <w:webHidden/>
              </w:rPr>
              <w:fldChar w:fldCharType="begin"/>
            </w:r>
            <w:r>
              <w:rPr>
                <w:webHidden/>
              </w:rPr>
              <w:instrText>PAGEREF _Toc32334541 \h</w:instrText>
            </w:r>
            <w:r>
              <w:rPr>
                <w:webHidden/>
              </w:rPr>
              <w:fldChar w:fldCharType="separate"/>
            </w:r>
            <w:r>
              <w:rPr>
                <w:rStyle w:val="Sautdindex"/>
                <w:vanish w:val="false"/>
              </w:rPr>
              <w:tab/>
              <w:t>37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42">
            <w:r>
              <w:rPr>
                <w:webHidden/>
                <w:rStyle w:val="Sautdindex"/>
                <w:rFonts w:cs="Times New Roman"/>
              </w:rPr>
              <w:t>2.4.2.1.</w:t>
            </w:r>
            <w:r>
              <w:rPr>
                <w:rStyle w:val="Sautdindex"/>
                <w:rFonts w:eastAsia="" w:cs="" w:cstheme="minorBidi" w:eastAsiaTheme="minorEastAsia"/>
                <w:sz w:val="22"/>
                <w:szCs w:val="22"/>
              </w:rPr>
              <w:tab/>
            </w:r>
            <w:r>
              <w:rPr>
                <w:rStyle w:val="Sautdindex"/>
              </w:rPr>
              <w:t>Mobiliers provisoires standard</w:t>
            </w:r>
            <w:r>
              <w:rPr>
                <w:webHidden/>
              </w:rPr>
              <w:fldChar w:fldCharType="begin"/>
            </w:r>
            <w:r>
              <w:rPr>
                <w:webHidden/>
              </w:rPr>
              <w:instrText>PAGEREF _Toc32334542 \h</w:instrText>
            </w:r>
            <w:r>
              <w:rPr>
                <w:webHidden/>
              </w:rPr>
              <w:fldChar w:fldCharType="separate"/>
            </w:r>
            <w:r>
              <w:rPr>
                <w:rStyle w:val="Sautdindex"/>
                <w:vanish w:val="false"/>
              </w:rPr>
              <w:tab/>
              <w:t>37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43">
            <w:r>
              <w:rPr>
                <w:webHidden/>
                <w:rStyle w:val="Sautdindex"/>
                <w:rFonts w:cs="Times New Roman"/>
              </w:rPr>
              <w:t>2.4.2.2.</w:t>
            </w:r>
            <w:r>
              <w:rPr>
                <w:rStyle w:val="Sautdindex"/>
                <w:rFonts w:eastAsia="" w:cs="" w:cstheme="minorBidi" w:eastAsiaTheme="minorEastAsia"/>
                <w:sz w:val="22"/>
                <w:szCs w:val="22"/>
              </w:rPr>
              <w:tab/>
            </w:r>
            <w:r>
              <w:rPr>
                <w:rStyle w:val="Sautdindex"/>
              </w:rPr>
              <w:t>Mobiliers définitifs sur mesure</w:t>
            </w:r>
            <w:r>
              <w:rPr>
                <w:webHidden/>
              </w:rPr>
              <w:fldChar w:fldCharType="begin"/>
            </w:r>
            <w:r>
              <w:rPr>
                <w:webHidden/>
              </w:rPr>
              <w:instrText>PAGEREF _Toc32334543 \h</w:instrText>
            </w:r>
            <w:r>
              <w:rPr>
                <w:webHidden/>
              </w:rPr>
              <w:fldChar w:fldCharType="separate"/>
            </w:r>
            <w:r>
              <w:rPr>
                <w:rStyle w:val="Sautdindex"/>
                <w:vanish w:val="false"/>
              </w:rPr>
              <w:tab/>
              <w:t>37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44">
            <w:r>
              <w:rPr>
                <w:webHidden/>
                <w:rStyle w:val="Sautdindex"/>
                <w:rFonts w:cs="Times New Roman"/>
              </w:rPr>
              <w:t>2.4.2.3.</w:t>
            </w:r>
            <w:r>
              <w:rPr>
                <w:rStyle w:val="Sautdindex"/>
                <w:rFonts w:eastAsia="" w:cs="" w:cstheme="minorBidi" w:eastAsiaTheme="minorEastAsia"/>
                <w:sz w:val="22"/>
                <w:szCs w:val="22"/>
              </w:rPr>
              <w:tab/>
            </w:r>
            <w:r>
              <w:rPr>
                <w:rStyle w:val="Sautdindex"/>
              </w:rPr>
              <w:t>Mobiliers définitifs standards</w:t>
            </w:r>
            <w:r>
              <w:rPr>
                <w:webHidden/>
              </w:rPr>
              <w:fldChar w:fldCharType="begin"/>
            </w:r>
            <w:r>
              <w:rPr>
                <w:webHidden/>
              </w:rPr>
              <w:instrText>PAGEREF _Toc32334544 \h</w:instrText>
            </w:r>
            <w:r>
              <w:rPr>
                <w:webHidden/>
              </w:rPr>
              <w:fldChar w:fldCharType="separate"/>
            </w:r>
            <w:r>
              <w:rPr>
                <w:rStyle w:val="Sautdindex"/>
                <w:vanish w:val="false"/>
              </w:rPr>
              <w:tab/>
              <w:t>37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45">
            <w:r>
              <w:rPr>
                <w:webHidden/>
                <w:rStyle w:val="Sautdindex"/>
                <w:rFonts w:cs="Times New Roman"/>
                <w14:scene3d>
                  <w14:camera w14:prst="orthographicFront"/>
                  <w14:lightRig w14:rig="threePt" w14:dir="t">
                    <w14:rot w14:lat="0" w14:lon="0" w14:rev="0"/>
                  </w14:lightRig>
                </w14:scene3d>
              </w:rPr>
              <w:t>2.4.3.</w:t>
            </w:r>
            <w:r>
              <w:rPr>
                <w:rStyle w:val="Sautdindex"/>
                <w:rFonts w:eastAsia="" w:cs="" w:cstheme="minorBidi" w:eastAsiaTheme="minorEastAsia"/>
                <w:i w:val="false"/>
                <w:iCs w:val="false"/>
                <w:sz w:val="22"/>
                <w:szCs w:val="22"/>
              </w:rPr>
              <w:tab/>
            </w:r>
            <w:r>
              <w:rPr>
                <w:rStyle w:val="Sautdindex"/>
              </w:rPr>
              <w:t>Mobiliers des locaux annexes</w:t>
            </w:r>
            <w:r>
              <w:rPr>
                <w:webHidden/>
              </w:rPr>
              <w:fldChar w:fldCharType="begin"/>
            </w:r>
            <w:r>
              <w:rPr>
                <w:webHidden/>
              </w:rPr>
              <w:instrText>PAGEREF _Toc32334545 \h</w:instrText>
            </w:r>
            <w:r>
              <w:rPr>
                <w:webHidden/>
              </w:rPr>
              <w:fldChar w:fldCharType="separate"/>
            </w:r>
            <w:r>
              <w:rPr>
                <w:rStyle w:val="Sautdindex"/>
                <w:vanish w:val="false"/>
              </w:rPr>
              <w:tab/>
              <w:t>37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46">
            <w:r>
              <w:rPr>
                <w:webHidden/>
                <w:rStyle w:val="Sautdindex"/>
                <w:rFonts w:cs="Times New Roman"/>
                <w14:scene3d>
                  <w14:camera w14:prst="orthographicFront"/>
                  <w14:lightRig w14:rig="threePt" w14:dir="t">
                    <w14:rot w14:lat="0" w14:lon="0" w14:rev="0"/>
                  </w14:lightRig>
                </w14:scene3d>
              </w:rPr>
              <w:t>2.4.4.</w:t>
            </w:r>
            <w:r>
              <w:rPr>
                <w:rStyle w:val="Sautdindex"/>
                <w:rFonts w:eastAsia="" w:cs="" w:cstheme="minorBidi" w:eastAsiaTheme="minorEastAsia"/>
                <w:i w:val="false"/>
                <w:iCs w:val="false"/>
                <w:sz w:val="22"/>
                <w:szCs w:val="22"/>
              </w:rPr>
              <w:tab/>
            </w:r>
            <w:r>
              <w:rPr>
                <w:rStyle w:val="Sautdindex"/>
              </w:rPr>
              <w:t>Consistance des travaux</w:t>
            </w:r>
            <w:r>
              <w:rPr>
                <w:webHidden/>
              </w:rPr>
              <w:fldChar w:fldCharType="begin"/>
            </w:r>
            <w:r>
              <w:rPr>
                <w:webHidden/>
              </w:rPr>
              <w:instrText>PAGEREF _Toc32334546 \h</w:instrText>
            </w:r>
            <w:r>
              <w:rPr>
                <w:webHidden/>
              </w:rPr>
              <w:fldChar w:fldCharType="separate"/>
            </w:r>
            <w:r>
              <w:rPr>
                <w:rStyle w:val="Sautdindex"/>
                <w:vanish w:val="false"/>
              </w:rPr>
              <w:tab/>
              <w:t>38</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47">
            <w:r>
              <w:rPr>
                <w:webHidden/>
                <w:rStyle w:val="Sautdindex"/>
                <w:rFonts w:cs="Times New Roman"/>
              </w:rPr>
              <w:t>2.4.4.1.</w:t>
            </w:r>
            <w:r>
              <w:rPr>
                <w:rStyle w:val="Sautdindex"/>
                <w:rFonts w:eastAsia="" w:cs="" w:cstheme="minorBidi" w:eastAsiaTheme="minorEastAsia"/>
                <w:sz w:val="22"/>
                <w:szCs w:val="22"/>
              </w:rPr>
              <w:tab/>
            </w:r>
            <w:r>
              <w:rPr>
                <w:rStyle w:val="Sautdindex"/>
              </w:rPr>
              <w:t>Mobiliers définitifs sur mesures</w:t>
            </w:r>
            <w:r>
              <w:rPr>
                <w:webHidden/>
              </w:rPr>
              <w:fldChar w:fldCharType="begin"/>
            </w:r>
            <w:r>
              <w:rPr>
                <w:webHidden/>
              </w:rPr>
              <w:instrText>PAGEREF _Toc32334547 \h</w:instrText>
            </w:r>
            <w:r>
              <w:rPr>
                <w:webHidden/>
              </w:rPr>
              <w:fldChar w:fldCharType="separate"/>
            </w:r>
            <w:r>
              <w:rPr>
                <w:rStyle w:val="Sautdindex"/>
                <w:vanish w:val="false"/>
              </w:rPr>
              <w:tab/>
              <w:t>38</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48">
            <w:r>
              <w:rPr>
                <w:webHidden/>
                <w:rStyle w:val="Sautdindex"/>
                <w:rFonts w:cs="Times New Roman"/>
              </w:rPr>
              <w:t>2.4.4.2.</w:t>
            </w:r>
            <w:r>
              <w:rPr>
                <w:rStyle w:val="Sautdindex"/>
                <w:rFonts w:eastAsia="" w:cs="" w:cstheme="minorBidi" w:eastAsiaTheme="minorEastAsia"/>
                <w:sz w:val="22"/>
                <w:szCs w:val="22"/>
              </w:rPr>
              <w:tab/>
            </w:r>
            <w:r>
              <w:rPr>
                <w:rStyle w:val="Sautdindex"/>
              </w:rPr>
              <w:t>Mobiliers définitifs standards</w:t>
            </w:r>
            <w:r>
              <w:rPr>
                <w:webHidden/>
              </w:rPr>
              <w:fldChar w:fldCharType="begin"/>
            </w:r>
            <w:r>
              <w:rPr>
                <w:webHidden/>
              </w:rPr>
              <w:instrText>PAGEREF _Toc32334548 \h</w:instrText>
            </w:r>
            <w:r>
              <w:rPr>
                <w:webHidden/>
              </w:rPr>
              <w:fldChar w:fldCharType="separate"/>
            </w:r>
            <w:r>
              <w:rPr>
                <w:rStyle w:val="Sautdindex"/>
                <w:vanish w:val="false"/>
              </w:rPr>
              <w:tab/>
              <w:t>38</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49">
            <w:r>
              <w:rPr>
                <w:webHidden/>
                <w:rStyle w:val="Sautdindex"/>
                <w:rFonts w:cs="Times New Roman"/>
              </w:rPr>
              <w:t>2.4.4.3.</w:t>
            </w:r>
            <w:r>
              <w:rPr>
                <w:rStyle w:val="Sautdindex"/>
                <w:rFonts w:eastAsia="" w:cs="" w:cstheme="minorBidi" w:eastAsiaTheme="minorEastAsia"/>
                <w:sz w:val="22"/>
                <w:szCs w:val="22"/>
              </w:rPr>
              <w:tab/>
            </w:r>
            <w:r>
              <w:rPr>
                <w:rStyle w:val="Sautdindex"/>
              </w:rPr>
              <w:t>Mobiliers provisoires</w:t>
            </w:r>
            <w:r>
              <w:rPr>
                <w:webHidden/>
              </w:rPr>
              <w:fldChar w:fldCharType="begin"/>
            </w:r>
            <w:r>
              <w:rPr>
                <w:webHidden/>
              </w:rPr>
              <w:instrText>PAGEREF _Toc32334549 \h</w:instrText>
            </w:r>
            <w:r>
              <w:rPr>
                <w:webHidden/>
              </w:rPr>
              <w:fldChar w:fldCharType="separate"/>
            </w:r>
            <w:r>
              <w:rPr>
                <w:rStyle w:val="Sautdindex"/>
                <w:vanish w:val="false"/>
              </w:rPr>
              <w:tab/>
              <w:t>39</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50">
            <w:r>
              <w:rPr>
                <w:webHidden/>
                <w:rStyle w:val="Sautdindex"/>
                <w:rFonts w:cs="Times New Roman"/>
              </w:rPr>
              <w:t>2.4.4.4.</w:t>
            </w:r>
            <w:r>
              <w:rPr>
                <w:rStyle w:val="Sautdindex"/>
                <w:rFonts w:eastAsia="" w:cs="" w:cstheme="minorBidi" w:eastAsiaTheme="minorEastAsia"/>
                <w:sz w:val="22"/>
                <w:szCs w:val="22"/>
              </w:rPr>
              <w:tab/>
            </w:r>
            <w:r>
              <w:rPr>
                <w:rStyle w:val="Sautdindex"/>
              </w:rPr>
              <w:t>Equipements annexes</w:t>
            </w:r>
            <w:r>
              <w:rPr>
                <w:webHidden/>
              </w:rPr>
              <w:fldChar w:fldCharType="begin"/>
            </w:r>
            <w:r>
              <w:rPr>
                <w:webHidden/>
              </w:rPr>
              <w:instrText>PAGEREF _Toc32334550 \h</w:instrText>
            </w:r>
            <w:r>
              <w:rPr>
                <w:webHidden/>
              </w:rPr>
              <w:fldChar w:fldCharType="separate"/>
            </w:r>
            <w:r>
              <w:rPr>
                <w:rStyle w:val="Sautdindex"/>
                <w:vanish w:val="false"/>
              </w:rPr>
              <w:tab/>
              <w:t>39</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51">
            <w:r>
              <w:rPr>
                <w:webHidden/>
                <w:rStyle w:val="Sautdindex"/>
                <w:b/>
              </w:rPr>
              <w:t>2.5.</w:t>
            </w:r>
            <w:r>
              <w:rPr>
                <w:rStyle w:val="Sautdindex"/>
                <w:rFonts w:eastAsia="" w:cs="" w:cstheme="minorBidi" w:eastAsiaTheme="minorEastAsia"/>
                <w:caps w:val="false"/>
                <w:smallCaps w:val="false"/>
                <w:sz w:val="22"/>
                <w:szCs w:val="22"/>
              </w:rPr>
              <w:tab/>
            </w:r>
            <w:r>
              <w:rPr>
                <w:rStyle w:val="Sautdindex"/>
              </w:rPr>
              <w:t>Distribution électrique</w:t>
            </w:r>
            <w:r>
              <w:rPr>
                <w:webHidden/>
              </w:rPr>
              <w:fldChar w:fldCharType="begin"/>
            </w:r>
            <w:r>
              <w:rPr>
                <w:webHidden/>
              </w:rPr>
              <w:instrText>PAGEREF _Toc32334551 \h</w:instrText>
            </w:r>
            <w:r>
              <w:rPr>
                <w:webHidden/>
              </w:rPr>
              <w:fldChar w:fldCharType="separate"/>
            </w:r>
            <w:r>
              <w:rPr>
                <w:rStyle w:val="Sautdindex"/>
                <w:vanish w:val="false"/>
              </w:rPr>
              <w:tab/>
              <w:t>39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52">
            <w:r>
              <w:rPr>
                <w:webHidden/>
                <w:rStyle w:val="Sautdindex"/>
                <w:rFonts w:cs="Times New Roman"/>
                <w14:scene3d>
                  <w14:camera w14:prst="orthographicFront"/>
                  <w14:lightRig w14:rig="threePt" w14:dir="t">
                    <w14:rot w14:lat="0" w14:lon="0" w14:rev="0"/>
                  </w14:lightRig>
                </w14:scene3d>
              </w:rPr>
              <w:t>2.5.1.</w:t>
            </w:r>
            <w:r>
              <w:rPr>
                <w:rStyle w:val="Sautdindex"/>
                <w:rFonts w:eastAsia="" w:cs="" w:cstheme="minorBidi" w:eastAsiaTheme="minorEastAsia"/>
                <w:i w:val="false"/>
                <w:iCs w:val="false"/>
                <w:sz w:val="22"/>
                <w:szCs w:val="22"/>
              </w:rPr>
              <w:tab/>
            </w:r>
            <w:r>
              <w:rPr>
                <w:rStyle w:val="Sautdindex"/>
              </w:rPr>
              <w:t>Présentation des installations existantes</w:t>
            </w:r>
            <w:r>
              <w:rPr>
                <w:webHidden/>
              </w:rPr>
              <w:fldChar w:fldCharType="begin"/>
            </w:r>
            <w:r>
              <w:rPr>
                <w:webHidden/>
              </w:rPr>
              <w:instrText>PAGEREF _Toc32334552 \h</w:instrText>
            </w:r>
            <w:r>
              <w:rPr>
                <w:webHidden/>
              </w:rPr>
              <w:fldChar w:fldCharType="separate"/>
            </w:r>
            <w:r>
              <w:rPr>
                <w:rStyle w:val="Sautdindex"/>
                <w:vanish w:val="false"/>
              </w:rPr>
              <w:tab/>
              <w:t>39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53">
            <w:r>
              <w:rPr>
                <w:webHidden/>
                <w:rStyle w:val="Sautdindex"/>
                <w:rFonts w:cs="Times New Roman"/>
                <w14:scene3d>
                  <w14:camera w14:prst="orthographicFront"/>
                  <w14:lightRig w14:rig="threePt" w14:dir="t">
                    <w14:rot w14:lat="0" w14:lon="0" w14:rev="0"/>
                  </w14:lightRig>
                </w14:scene3d>
              </w:rPr>
              <w:t>2.5.2.</w:t>
            </w:r>
            <w:r>
              <w:rPr>
                <w:rStyle w:val="Sautdindex"/>
                <w:rFonts w:eastAsia="" w:cs="" w:cstheme="minorBidi" w:eastAsiaTheme="minorEastAsia"/>
                <w:i w:val="false"/>
                <w:iCs w:val="false"/>
                <w:sz w:val="22"/>
                <w:szCs w:val="22"/>
              </w:rPr>
              <w:tab/>
            </w:r>
            <w:r>
              <w:rPr>
                <w:rStyle w:val="Sautdindex"/>
              </w:rPr>
              <w:t>Identification des liaisons existantes</w:t>
            </w:r>
            <w:r>
              <w:rPr>
                <w:webHidden/>
              </w:rPr>
              <w:fldChar w:fldCharType="begin"/>
            </w:r>
            <w:r>
              <w:rPr>
                <w:webHidden/>
              </w:rPr>
              <w:instrText>PAGEREF _Toc32334553 \h</w:instrText>
            </w:r>
            <w:r>
              <w:rPr>
                <w:webHidden/>
              </w:rPr>
              <w:fldChar w:fldCharType="separate"/>
            </w:r>
            <w:r>
              <w:rPr>
                <w:rStyle w:val="Sautdindex"/>
                <w:vanish w:val="false"/>
              </w:rPr>
              <w:tab/>
              <w:t>40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54">
            <w:r>
              <w:rPr>
                <w:webHidden/>
                <w:rStyle w:val="Sautdindex"/>
                <w:rFonts w:cs="Times New Roman"/>
                <w14:scene3d>
                  <w14:camera w14:prst="orthographicFront"/>
                  <w14:lightRig w14:rig="threePt" w14:dir="t">
                    <w14:rot w14:lat="0" w14:lon="0" w14:rev="0"/>
                  </w14:lightRig>
                </w14:scene3d>
              </w:rPr>
              <w:t>2.5.3.</w:t>
            </w:r>
            <w:r>
              <w:rPr>
                <w:rStyle w:val="Sautdindex"/>
                <w:rFonts w:eastAsia="" w:cs="" w:cstheme="minorBidi" w:eastAsiaTheme="minorEastAsia"/>
                <w:i w:val="false"/>
                <w:iCs w:val="false"/>
                <w:sz w:val="22"/>
                <w:szCs w:val="22"/>
              </w:rPr>
              <w:tab/>
            </w:r>
            <w:r>
              <w:rPr>
                <w:rStyle w:val="Sautdindex"/>
              </w:rPr>
              <w:t>Distribution haute tension</w:t>
            </w:r>
            <w:r>
              <w:rPr>
                <w:webHidden/>
              </w:rPr>
              <w:fldChar w:fldCharType="begin"/>
            </w:r>
            <w:r>
              <w:rPr>
                <w:webHidden/>
              </w:rPr>
              <w:instrText>PAGEREF _Toc32334554 \h</w:instrText>
            </w:r>
            <w:r>
              <w:rPr>
                <w:webHidden/>
              </w:rPr>
              <w:fldChar w:fldCharType="separate"/>
            </w:r>
            <w:r>
              <w:rPr>
                <w:rStyle w:val="Sautdindex"/>
                <w:vanish w:val="false"/>
              </w:rPr>
              <w:tab/>
              <w:t>40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55">
            <w:r>
              <w:rPr>
                <w:webHidden/>
                <w:rStyle w:val="Sautdindex"/>
                <w:rFonts w:cs="Times New Roman"/>
                <w14:scene3d>
                  <w14:camera w14:prst="orthographicFront"/>
                  <w14:lightRig w14:rig="threePt" w14:dir="t">
                    <w14:rot w14:lat="0" w14:lon="0" w14:rev="0"/>
                  </w14:lightRig>
                </w14:scene3d>
              </w:rPr>
              <w:t>2.5.4.</w:t>
            </w:r>
            <w:r>
              <w:rPr>
                <w:rStyle w:val="Sautdindex"/>
                <w:rFonts w:eastAsia="" w:cs="" w:cstheme="minorBidi" w:eastAsiaTheme="minorEastAsia"/>
                <w:i w:val="false"/>
                <w:iCs w:val="false"/>
                <w:sz w:val="22"/>
                <w:szCs w:val="22"/>
              </w:rPr>
              <w:tab/>
            </w:r>
            <w:r>
              <w:rPr>
                <w:rStyle w:val="Sautdindex"/>
              </w:rPr>
              <w:t>Distribution basse tension</w:t>
            </w:r>
            <w:r>
              <w:rPr>
                <w:webHidden/>
              </w:rPr>
              <w:fldChar w:fldCharType="begin"/>
            </w:r>
            <w:r>
              <w:rPr>
                <w:webHidden/>
              </w:rPr>
              <w:instrText>PAGEREF _Toc32334555 \h</w:instrText>
            </w:r>
            <w:r>
              <w:rPr>
                <w:webHidden/>
              </w:rPr>
              <w:fldChar w:fldCharType="separate"/>
            </w:r>
            <w:r>
              <w:rPr>
                <w:rStyle w:val="Sautdindex"/>
                <w:vanish w:val="false"/>
              </w:rPr>
              <w:tab/>
              <w:t>40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56">
            <w:r>
              <w:rPr>
                <w:webHidden/>
                <w:rStyle w:val="Sautdindex"/>
                <w:rFonts w:cs="Times New Roman"/>
                <w14:scene3d>
                  <w14:camera w14:prst="orthographicFront"/>
                  <w14:lightRig w14:rig="threePt" w14:dir="t">
                    <w14:rot w14:lat="0" w14:lon="0" w14:rev="0"/>
                  </w14:lightRig>
                </w14:scene3d>
              </w:rPr>
              <w:t>2.5.5.</w:t>
            </w:r>
            <w:r>
              <w:rPr>
                <w:rStyle w:val="Sautdindex"/>
                <w:rFonts w:eastAsia="" w:cs="" w:cstheme="minorBidi" w:eastAsiaTheme="minorEastAsia"/>
                <w:i w:val="false"/>
                <w:iCs w:val="false"/>
                <w:sz w:val="22"/>
                <w:szCs w:val="22"/>
              </w:rPr>
              <w:tab/>
            </w:r>
            <w:r>
              <w:rPr>
                <w:rStyle w:val="Sautdindex"/>
              </w:rPr>
              <w:t>Solution proposée</w:t>
            </w:r>
            <w:r>
              <w:rPr>
                <w:webHidden/>
              </w:rPr>
              <w:fldChar w:fldCharType="begin"/>
            </w:r>
            <w:r>
              <w:rPr>
                <w:webHidden/>
              </w:rPr>
              <w:instrText>PAGEREF _Toc32334556 \h</w:instrText>
            </w:r>
            <w:r>
              <w:rPr>
                <w:webHidden/>
              </w:rPr>
              <w:fldChar w:fldCharType="separate"/>
            </w:r>
            <w:r>
              <w:rPr>
                <w:rStyle w:val="Sautdindex"/>
                <w:vanish w:val="false"/>
              </w:rPr>
              <w:tab/>
              <w:t>41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57">
            <w:r>
              <w:rPr>
                <w:webHidden/>
                <w:rStyle w:val="Sautdindex"/>
                <w:rFonts w:cs="Times New Roman"/>
                <w14:scene3d>
                  <w14:camera w14:prst="orthographicFront"/>
                  <w14:lightRig w14:rig="threePt" w14:dir="t">
                    <w14:rot w14:lat="0" w14:lon="0" w14:rev="0"/>
                  </w14:lightRig>
                </w14:scene3d>
              </w:rPr>
              <w:t>2.5.6.</w:t>
            </w:r>
            <w:r>
              <w:rPr>
                <w:rStyle w:val="Sautdindex"/>
                <w:rFonts w:eastAsia="" w:cs="" w:cstheme="minorBidi" w:eastAsiaTheme="minorEastAsia"/>
                <w:i w:val="false"/>
                <w:iCs w:val="false"/>
                <w:sz w:val="22"/>
                <w:szCs w:val="22"/>
              </w:rPr>
              <w:tab/>
            </w:r>
            <w:r>
              <w:rPr>
                <w:rStyle w:val="Sautdindex"/>
              </w:rPr>
              <w:t>Distribution électrique du 1er niveau du bâtiment</w:t>
            </w:r>
            <w:r>
              <w:rPr>
                <w:webHidden/>
              </w:rPr>
              <w:fldChar w:fldCharType="begin"/>
            </w:r>
            <w:r>
              <w:rPr>
                <w:webHidden/>
              </w:rPr>
              <w:instrText>PAGEREF _Toc32334557 \h</w:instrText>
            </w:r>
            <w:r>
              <w:rPr>
                <w:webHidden/>
              </w:rPr>
              <w:fldChar w:fldCharType="separate"/>
            </w:r>
            <w:r>
              <w:rPr>
                <w:rStyle w:val="Sautdindex"/>
                <w:vanish w:val="false"/>
              </w:rPr>
              <w:tab/>
              <w:t>41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58">
            <w:r>
              <w:rPr>
                <w:webHidden/>
                <w:rStyle w:val="Sautdindex"/>
                <w:rFonts w:cs="Times New Roman"/>
              </w:rPr>
              <w:t>2.5.6.1.</w:t>
            </w:r>
            <w:r>
              <w:rPr>
                <w:rStyle w:val="Sautdindex"/>
                <w:rFonts w:eastAsia="" w:cs="" w:cstheme="minorBidi" w:eastAsiaTheme="minorEastAsia"/>
                <w:sz w:val="22"/>
                <w:szCs w:val="22"/>
              </w:rPr>
              <w:tab/>
            </w:r>
            <w:r>
              <w:rPr>
                <w:rStyle w:val="Sautdindex"/>
              </w:rPr>
              <w:t>Situation existante</w:t>
            </w:r>
            <w:r>
              <w:rPr>
                <w:webHidden/>
              </w:rPr>
              <w:fldChar w:fldCharType="begin"/>
            </w:r>
            <w:r>
              <w:rPr>
                <w:webHidden/>
              </w:rPr>
              <w:instrText>PAGEREF _Toc32334558 \h</w:instrText>
            </w:r>
            <w:r>
              <w:rPr>
                <w:webHidden/>
              </w:rPr>
              <w:fldChar w:fldCharType="separate"/>
            </w:r>
            <w:r>
              <w:rPr>
                <w:rStyle w:val="Sautdindex"/>
                <w:vanish w:val="false"/>
              </w:rPr>
              <w:tab/>
              <w:t>41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59">
            <w:r>
              <w:rPr>
                <w:webHidden/>
                <w:rStyle w:val="Sautdindex"/>
                <w:rFonts w:cs="Times New Roman"/>
              </w:rPr>
              <w:t>2.5.6.2.</w:t>
            </w:r>
            <w:r>
              <w:rPr>
                <w:rStyle w:val="Sautdindex"/>
                <w:rFonts w:eastAsia="" w:cs="" w:cstheme="minorBidi" w:eastAsiaTheme="minorEastAsia"/>
                <w:sz w:val="22"/>
                <w:szCs w:val="22"/>
              </w:rPr>
              <w:tab/>
            </w:r>
            <w:r>
              <w:rPr>
                <w:rStyle w:val="Sautdindex"/>
              </w:rPr>
              <w:t>Solution proposée</w:t>
            </w:r>
            <w:r>
              <w:rPr>
                <w:webHidden/>
              </w:rPr>
              <w:fldChar w:fldCharType="begin"/>
            </w:r>
            <w:r>
              <w:rPr>
                <w:webHidden/>
              </w:rPr>
              <w:instrText>PAGEREF _Toc32334559 \h</w:instrText>
            </w:r>
            <w:r>
              <w:rPr>
                <w:webHidden/>
              </w:rPr>
              <w:fldChar w:fldCharType="separate"/>
            </w:r>
            <w:r>
              <w:rPr>
                <w:rStyle w:val="Sautdindex"/>
                <w:vanish w:val="false"/>
              </w:rPr>
              <w:tab/>
              <w:t>41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60">
            <w:r>
              <w:rPr>
                <w:webHidden/>
                <w:rStyle w:val="Sautdindex"/>
                <w:rFonts w:cs="Times New Roman"/>
                <w14:scene3d>
                  <w14:camera w14:prst="orthographicFront"/>
                  <w14:lightRig w14:rig="threePt" w14:dir="t">
                    <w14:rot w14:lat="0" w14:lon="0" w14:rev="0"/>
                  </w14:lightRig>
                </w14:scene3d>
              </w:rPr>
              <w:t>2.5.7.</w:t>
            </w:r>
            <w:r>
              <w:rPr>
                <w:rStyle w:val="Sautdindex"/>
                <w:rFonts w:eastAsia="" w:cs="" w:cstheme="minorBidi" w:eastAsiaTheme="minorEastAsia"/>
                <w:i w:val="false"/>
                <w:iCs w:val="false"/>
                <w:sz w:val="22"/>
                <w:szCs w:val="22"/>
              </w:rPr>
              <w:tab/>
            </w:r>
            <w:r>
              <w:rPr>
                <w:rStyle w:val="Sautdindex"/>
              </w:rPr>
              <w:t>Consistance des travaux d’alimentation électrique</w:t>
            </w:r>
            <w:r>
              <w:rPr>
                <w:webHidden/>
              </w:rPr>
              <w:fldChar w:fldCharType="begin"/>
            </w:r>
            <w:r>
              <w:rPr>
                <w:webHidden/>
              </w:rPr>
              <w:instrText>PAGEREF _Toc32334560 \h</w:instrText>
            </w:r>
            <w:r>
              <w:rPr>
                <w:webHidden/>
              </w:rPr>
              <w:fldChar w:fldCharType="separate"/>
            </w:r>
            <w:r>
              <w:rPr>
                <w:rStyle w:val="Sautdindex"/>
                <w:vanish w:val="false"/>
              </w:rPr>
              <w:tab/>
              <w:t>41</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61">
            <w:r>
              <w:rPr>
                <w:webHidden/>
                <w:rStyle w:val="Sautdindex"/>
                <w:b/>
              </w:rPr>
              <w:t>2.6.</w:t>
            </w:r>
            <w:r>
              <w:rPr>
                <w:rStyle w:val="Sautdindex"/>
                <w:rFonts w:eastAsia="" w:cs="" w:cstheme="minorBidi" w:eastAsiaTheme="minorEastAsia"/>
                <w:caps w:val="false"/>
                <w:smallCaps w:val="false"/>
                <w:sz w:val="22"/>
                <w:szCs w:val="22"/>
              </w:rPr>
              <w:tab/>
            </w:r>
            <w:r>
              <w:rPr>
                <w:rStyle w:val="Sautdindex"/>
              </w:rPr>
              <w:t>Réseaux téléphoniques et informatiques</w:t>
            </w:r>
            <w:r>
              <w:rPr>
                <w:webHidden/>
              </w:rPr>
              <w:fldChar w:fldCharType="begin"/>
            </w:r>
            <w:r>
              <w:rPr>
                <w:webHidden/>
              </w:rPr>
              <w:instrText>PAGEREF _Toc32334561 \h</w:instrText>
            </w:r>
            <w:r>
              <w:rPr>
                <w:webHidden/>
              </w:rPr>
              <w:fldChar w:fldCharType="separate"/>
            </w:r>
            <w:r>
              <w:rPr>
                <w:rStyle w:val="Sautdindex"/>
                <w:vanish w:val="false"/>
              </w:rPr>
              <w:tab/>
              <w:t>42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62">
            <w:r>
              <w:rPr>
                <w:webHidden/>
                <w:rStyle w:val="Sautdindex"/>
                <w:rFonts w:cs="Times New Roman"/>
                <w14:scene3d>
                  <w14:camera w14:prst="orthographicFront"/>
                  <w14:lightRig w14:rig="threePt" w14:dir="t">
                    <w14:rot w14:lat="0" w14:lon="0" w14:rev="0"/>
                  </w14:lightRig>
                </w14:scene3d>
              </w:rPr>
              <w:t>2.6.1.</w:t>
            </w:r>
            <w:r>
              <w:rPr>
                <w:rStyle w:val="Sautdindex"/>
                <w:rFonts w:eastAsia="" w:cs="" w:cstheme="minorBidi" w:eastAsiaTheme="minorEastAsia"/>
                <w:i w:val="false"/>
                <w:iCs w:val="false"/>
                <w:sz w:val="22"/>
                <w:szCs w:val="22"/>
              </w:rPr>
              <w:tab/>
            </w:r>
            <w:r>
              <w:rPr>
                <w:rStyle w:val="Sautdindex"/>
              </w:rPr>
              <w:t>Présentation des installations DiRIF existantes</w:t>
            </w:r>
            <w:r>
              <w:rPr>
                <w:webHidden/>
              </w:rPr>
              <w:fldChar w:fldCharType="begin"/>
            </w:r>
            <w:r>
              <w:rPr>
                <w:webHidden/>
              </w:rPr>
              <w:instrText>PAGEREF _Toc32334562 \h</w:instrText>
            </w:r>
            <w:r>
              <w:rPr>
                <w:webHidden/>
              </w:rPr>
              <w:fldChar w:fldCharType="separate"/>
            </w:r>
            <w:r>
              <w:rPr>
                <w:rStyle w:val="Sautdindex"/>
                <w:vanish w:val="false"/>
              </w:rPr>
              <w:tab/>
              <w:t>42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63">
            <w:r>
              <w:rPr>
                <w:webHidden/>
                <w:rStyle w:val="Sautdindex"/>
                <w:rFonts w:cs="Times New Roman"/>
              </w:rPr>
              <w:t>2.6.1.1.</w:t>
            </w:r>
            <w:r>
              <w:rPr>
                <w:rStyle w:val="Sautdindex"/>
                <w:rFonts w:eastAsia="" w:cs="" w:cstheme="minorBidi" w:eastAsiaTheme="minorEastAsia"/>
                <w:sz w:val="22"/>
                <w:szCs w:val="22"/>
              </w:rPr>
              <w:tab/>
            </w:r>
            <w:r>
              <w:rPr>
                <w:rStyle w:val="Sautdindex"/>
              </w:rPr>
              <w:t>Réseau bureautique</w:t>
            </w:r>
            <w:r>
              <w:rPr>
                <w:webHidden/>
              </w:rPr>
              <w:fldChar w:fldCharType="begin"/>
            </w:r>
            <w:r>
              <w:rPr>
                <w:webHidden/>
              </w:rPr>
              <w:instrText>PAGEREF _Toc32334563 \h</w:instrText>
            </w:r>
            <w:r>
              <w:rPr>
                <w:webHidden/>
              </w:rPr>
              <w:fldChar w:fldCharType="separate"/>
            </w:r>
            <w:r>
              <w:rPr>
                <w:rStyle w:val="Sautdindex"/>
                <w:vanish w:val="false"/>
              </w:rPr>
              <w:tab/>
              <w:t>42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64">
            <w:r>
              <w:rPr>
                <w:webHidden/>
                <w:rStyle w:val="Sautdindex"/>
                <w:rFonts w:cs="Times New Roman"/>
              </w:rPr>
              <w:t>2.6.1.2.</w:t>
            </w:r>
            <w:r>
              <w:rPr>
                <w:rStyle w:val="Sautdindex"/>
                <w:rFonts w:eastAsia="" w:cs="" w:cstheme="minorBidi" w:eastAsiaTheme="minorEastAsia"/>
                <w:sz w:val="22"/>
                <w:szCs w:val="22"/>
              </w:rPr>
              <w:tab/>
            </w:r>
            <w:r>
              <w:rPr>
                <w:rStyle w:val="Sautdindex"/>
              </w:rPr>
              <w:t>Réseau technique</w:t>
            </w:r>
            <w:r>
              <w:rPr>
                <w:webHidden/>
              </w:rPr>
              <w:fldChar w:fldCharType="begin"/>
            </w:r>
            <w:r>
              <w:rPr>
                <w:webHidden/>
              </w:rPr>
              <w:instrText>PAGEREF _Toc32334564 \h</w:instrText>
            </w:r>
            <w:r>
              <w:rPr>
                <w:webHidden/>
              </w:rPr>
              <w:fldChar w:fldCharType="separate"/>
            </w:r>
            <w:r>
              <w:rPr>
                <w:rStyle w:val="Sautdindex"/>
                <w:vanish w:val="false"/>
              </w:rPr>
              <w:tab/>
              <w:t>43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65">
            <w:r>
              <w:rPr>
                <w:webHidden/>
                <w:rStyle w:val="Sautdindex"/>
                <w:rFonts w:cs="Times New Roman"/>
              </w:rPr>
              <w:t>2.6.1.3.</w:t>
            </w:r>
            <w:r>
              <w:rPr>
                <w:rStyle w:val="Sautdindex"/>
                <w:rFonts w:eastAsia="" w:cs="" w:cstheme="minorBidi" w:eastAsiaTheme="minorEastAsia"/>
                <w:sz w:val="22"/>
                <w:szCs w:val="22"/>
              </w:rPr>
              <w:tab/>
            </w:r>
            <w:r>
              <w:rPr>
                <w:rStyle w:val="Sautdindex"/>
              </w:rPr>
              <w:t>Réseau RTHD</w:t>
            </w:r>
            <w:r>
              <w:rPr>
                <w:webHidden/>
              </w:rPr>
              <w:fldChar w:fldCharType="begin"/>
            </w:r>
            <w:r>
              <w:rPr>
                <w:webHidden/>
              </w:rPr>
              <w:instrText>PAGEREF _Toc32334565 \h</w:instrText>
            </w:r>
            <w:r>
              <w:rPr>
                <w:webHidden/>
              </w:rPr>
              <w:fldChar w:fldCharType="separate"/>
            </w:r>
            <w:r>
              <w:rPr>
                <w:rStyle w:val="Sautdindex"/>
                <w:vanish w:val="false"/>
              </w:rPr>
              <w:tab/>
              <w:t>43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66">
            <w:r>
              <w:rPr>
                <w:webHidden/>
                <w:rStyle w:val="Sautdindex"/>
                <w:rFonts w:cs="Times New Roman"/>
              </w:rPr>
              <w:t>2.6.1.4.</w:t>
            </w:r>
            <w:r>
              <w:rPr>
                <w:rStyle w:val="Sautdindex"/>
                <w:rFonts w:eastAsia="" w:cs="" w:cstheme="minorBidi" w:eastAsiaTheme="minorEastAsia"/>
                <w:sz w:val="22"/>
                <w:szCs w:val="22"/>
              </w:rPr>
              <w:tab/>
            </w:r>
            <w:r>
              <w:rPr>
                <w:rStyle w:val="Sautdindex"/>
              </w:rPr>
              <w:t>Réseau contrôles d’accès</w:t>
            </w:r>
            <w:r>
              <w:rPr>
                <w:webHidden/>
              </w:rPr>
              <w:fldChar w:fldCharType="begin"/>
            </w:r>
            <w:r>
              <w:rPr>
                <w:webHidden/>
              </w:rPr>
              <w:instrText>PAGEREF _Toc32334566 \h</w:instrText>
            </w:r>
            <w:r>
              <w:rPr>
                <w:webHidden/>
              </w:rPr>
              <w:fldChar w:fldCharType="separate"/>
            </w:r>
            <w:r>
              <w:rPr>
                <w:rStyle w:val="Sautdindex"/>
                <w:vanish w:val="false"/>
              </w:rPr>
              <w:tab/>
              <w:t>44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67">
            <w:r>
              <w:rPr>
                <w:webHidden/>
                <w:rStyle w:val="Sautdindex"/>
                <w:rFonts w:cs="Times New Roman"/>
              </w:rPr>
              <w:t>2.6.1.5.</w:t>
            </w:r>
            <w:r>
              <w:rPr>
                <w:rStyle w:val="Sautdindex"/>
                <w:rFonts w:eastAsia="" w:cs="" w:cstheme="minorBidi" w:eastAsiaTheme="minorEastAsia"/>
                <w:sz w:val="22"/>
                <w:szCs w:val="22"/>
              </w:rPr>
              <w:tab/>
            </w:r>
            <w:r>
              <w:rPr>
                <w:rStyle w:val="Sautdindex"/>
              </w:rPr>
              <w:t>Réseau COFIROUTE</w:t>
            </w:r>
            <w:r>
              <w:rPr>
                <w:webHidden/>
              </w:rPr>
              <w:fldChar w:fldCharType="begin"/>
            </w:r>
            <w:r>
              <w:rPr>
                <w:webHidden/>
              </w:rPr>
              <w:instrText>PAGEREF _Toc32334567 \h</w:instrText>
            </w:r>
            <w:r>
              <w:rPr>
                <w:webHidden/>
              </w:rPr>
              <w:fldChar w:fldCharType="separate"/>
            </w:r>
            <w:r>
              <w:rPr>
                <w:rStyle w:val="Sautdindex"/>
                <w:vanish w:val="false"/>
              </w:rPr>
              <w:tab/>
              <w:t>44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68">
            <w:r>
              <w:rPr>
                <w:webHidden/>
                <w:rStyle w:val="Sautdindex"/>
                <w:rFonts w:cs="Times New Roman"/>
              </w:rPr>
              <w:t>2.6.1.6.</w:t>
            </w:r>
            <w:r>
              <w:rPr>
                <w:rStyle w:val="Sautdindex"/>
                <w:rFonts w:eastAsia="" w:cs="" w:cstheme="minorBidi" w:eastAsiaTheme="minorEastAsia"/>
                <w:sz w:val="22"/>
                <w:szCs w:val="22"/>
              </w:rPr>
              <w:tab/>
            </w:r>
            <w:r>
              <w:rPr>
                <w:rStyle w:val="Sautdindex"/>
              </w:rPr>
              <w:t>Réseau GTC (78 et 92)</w:t>
            </w:r>
            <w:r>
              <w:rPr>
                <w:webHidden/>
              </w:rPr>
              <w:fldChar w:fldCharType="begin"/>
            </w:r>
            <w:r>
              <w:rPr>
                <w:webHidden/>
              </w:rPr>
              <w:instrText>PAGEREF _Toc32334568 \h</w:instrText>
            </w:r>
            <w:r>
              <w:rPr>
                <w:webHidden/>
              </w:rPr>
              <w:fldChar w:fldCharType="separate"/>
            </w:r>
            <w:r>
              <w:rPr>
                <w:rStyle w:val="Sautdindex"/>
                <w:vanish w:val="false"/>
              </w:rPr>
              <w:tab/>
              <w:t>44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69">
            <w:r>
              <w:rPr>
                <w:webHidden/>
                <w:rStyle w:val="Sautdindex"/>
                <w:rFonts w:cs="Times New Roman"/>
              </w:rPr>
              <w:t>2.6.1.7.</w:t>
            </w:r>
            <w:r>
              <w:rPr>
                <w:rStyle w:val="Sautdindex"/>
                <w:rFonts w:eastAsia="" w:cs="" w:cstheme="minorBidi" w:eastAsiaTheme="minorEastAsia"/>
                <w:sz w:val="22"/>
                <w:szCs w:val="22"/>
              </w:rPr>
              <w:tab/>
            </w:r>
            <w:r>
              <w:rPr>
                <w:rStyle w:val="Sautdindex"/>
              </w:rPr>
              <w:t>Réseau TDM</w:t>
            </w:r>
            <w:r>
              <w:rPr>
                <w:webHidden/>
              </w:rPr>
              <w:fldChar w:fldCharType="begin"/>
            </w:r>
            <w:r>
              <w:rPr>
                <w:webHidden/>
              </w:rPr>
              <w:instrText>PAGEREF _Toc32334569 \h</w:instrText>
            </w:r>
            <w:r>
              <w:rPr>
                <w:webHidden/>
              </w:rPr>
              <w:fldChar w:fldCharType="separate"/>
            </w:r>
            <w:r>
              <w:rPr>
                <w:rStyle w:val="Sautdindex"/>
                <w:vanish w:val="false"/>
              </w:rPr>
              <w:tab/>
              <w:t>44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70">
            <w:r>
              <w:rPr>
                <w:webHidden/>
                <w:rStyle w:val="Sautdindex"/>
                <w:rFonts w:cs="Times New Roman"/>
              </w:rPr>
              <w:t>2.6.1.8.</w:t>
            </w:r>
            <w:r>
              <w:rPr>
                <w:rStyle w:val="Sautdindex"/>
                <w:rFonts w:eastAsia="" w:cs="" w:cstheme="minorBidi" w:eastAsiaTheme="minorEastAsia"/>
                <w:sz w:val="22"/>
                <w:szCs w:val="22"/>
              </w:rPr>
              <w:tab/>
            </w:r>
            <w:r>
              <w:rPr>
                <w:rStyle w:val="Sautdindex"/>
              </w:rPr>
              <w:t>Réseau d’appel d’urgence</w:t>
            </w:r>
            <w:r>
              <w:rPr>
                <w:webHidden/>
              </w:rPr>
              <w:fldChar w:fldCharType="begin"/>
            </w:r>
            <w:r>
              <w:rPr>
                <w:webHidden/>
              </w:rPr>
              <w:instrText>PAGEREF _Toc32334570 \h</w:instrText>
            </w:r>
            <w:r>
              <w:rPr>
                <w:webHidden/>
              </w:rPr>
              <w:fldChar w:fldCharType="separate"/>
            </w:r>
            <w:r>
              <w:rPr>
                <w:rStyle w:val="Sautdindex"/>
                <w:vanish w:val="false"/>
              </w:rPr>
              <w:tab/>
              <w:t>45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71">
            <w:r>
              <w:rPr>
                <w:webHidden/>
                <w:rStyle w:val="Sautdindex"/>
                <w:rFonts w:cs="Times New Roman"/>
              </w:rPr>
              <w:t>2.6.1.9.</w:t>
            </w:r>
            <w:r>
              <w:rPr>
                <w:rStyle w:val="Sautdindex"/>
                <w:rFonts w:eastAsia="" w:cs="" w:cstheme="minorBidi" w:eastAsiaTheme="minorEastAsia"/>
                <w:sz w:val="22"/>
                <w:szCs w:val="22"/>
              </w:rPr>
              <w:tab/>
            </w:r>
            <w:r>
              <w:rPr>
                <w:rStyle w:val="Sautdindex"/>
              </w:rPr>
              <w:t>Téléphonie de sécurité tunnel</w:t>
            </w:r>
            <w:r>
              <w:rPr>
                <w:webHidden/>
              </w:rPr>
              <w:fldChar w:fldCharType="begin"/>
            </w:r>
            <w:r>
              <w:rPr>
                <w:webHidden/>
              </w:rPr>
              <w:instrText>PAGEREF _Toc32334571 \h</w:instrText>
            </w:r>
            <w:r>
              <w:rPr>
                <w:webHidden/>
              </w:rPr>
              <w:fldChar w:fldCharType="separate"/>
            </w:r>
            <w:r>
              <w:rPr>
                <w:rStyle w:val="Sautdindex"/>
                <w:vanish w:val="false"/>
              </w:rPr>
              <w:tab/>
              <w:t>45</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572">
            <w:r>
              <w:rPr>
                <w:webHidden/>
                <w:rStyle w:val="Sautdindex"/>
                <w:rFonts w:cs="Times New Roman"/>
              </w:rPr>
              <w:t>2.6.1.10.</w:t>
            </w:r>
            <w:r>
              <w:rPr>
                <w:rStyle w:val="Sautdindex"/>
                <w:rFonts w:eastAsia="" w:cs="" w:cstheme="minorBidi" w:eastAsiaTheme="minorEastAsia"/>
                <w:sz w:val="22"/>
                <w:szCs w:val="22"/>
              </w:rPr>
              <w:tab/>
            </w:r>
            <w:r>
              <w:rPr>
                <w:rStyle w:val="Sautdindex"/>
              </w:rPr>
              <w:t>Téléphonie du bâtiment</w:t>
            </w:r>
            <w:r>
              <w:rPr>
                <w:webHidden/>
              </w:rPr>
              <w:fldChar w:fldCharType="begin"/>
            </w:r>
            <w:r>
              <w:rPr>
                <w:webHidden/>
              </w:rPr>
              <w:instrText>PAGEREF _Toc32334572 \h</w:instrText>
            </w:r>
            <w:r>
              <w:rPr>
                <w:webHidden/>
              </w:rPr>
              <w:fldChar w:fldCharType="separate"/>
            </w:r>
            <w:r>
              <w:rPr>
                <w:rStyle w:val="Sautdindex"/>
                <w:vanish w:val="false"/>
              </w:rPr>
              <w:tab/>
              <w:t>45</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573">
            <w:r>
              <w:rPr>
                <w:webHidden/>
                <w:rStyle w:val="Sautdindex"/>
                <w:rFonts w:cs="Times New Roman"/>
              </w:rPr>
              <w:t>2.6.1.11.</w:t>
            </w:r>
            <w:r>
              <w:rPr>
                <w:rStyle w:val="Sautdindex"/>
                <w:rFonts w:eastAsia="" w:cs="" w:cstheme="minorBidi" w:eastAsiaTheme="minorEastAsia"/>
                <w:sz w:val="22"/>
                <w:szCs w:val="22"/>
              </w:rPr>
              <w:tab/>
            </w:r>
            <w:r>
              <w:rPr>
                <w:rStyle w:val="Sautdindex"/>
              </w:rPr>
              <w:t>Murs d’images</w:t>
            </w:r>
            <w:r>
              <w:rPr>
                <w:webHidden/>
              </w:rPr>
              <w:fldChar w:fldCharType="begin"/>
            </w:r>
            <w:r>
              <w:rPr>
                <w:webHidden/>
              </w:rPr>
              <w:instrText>PAGEREF _Toc32334573 \h</w:instrText>
            </w:r>
            <w:r>
              <w:rPr>
                <w:webHidden/>
              </w:rPr>
              <w:fldChar w:fldCharType="separate"/>
            </w:r>
            <w:r>
              <w:rPr>
                <w:rStyle w:val="Sautdindex"/>
                <w:vanish w:val="false"/>
              </w:rPr>
              <w:tab/>
              <w:t>45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74">
            <w:r>
              <w:rPr>
                <w:webHidden/>
                <w:rStyle w:val="Sautdindex"/>
                <w:rFonts w:cs="Times New Roman"/>
                <w14:scene3d>
                  <w14:camera w14:prst="orthographicFront"/>
                  <w14:lightRig w14:rig="threePt" w14:dir="t">
                    <w14:rot w14:lat="0" w14:lon="0" w14:rev="0"/>
                  </w14:lightRig>
                </w14:scene3d>
              </w:rPr>
              <w:t>2.6.2.</w:t>
            </w:r>
            <w:r>
              <w:rPr>
                <w:rStyle w:val="Sautdindex"/>
                <w:rFonts w:eastAsia="" w:cs="" w:cstheme="minorBidi" w:eastAsiaTheme="minorEastAsia"/>
                <w:i w:val="false"/>
                <w:iCs w:val="false"/>
                <w:sz w:val="22"/>
                <w:szCs w:val="22"/>
              </w:rPr>
              <w:tab/>
            </w:r>
            <w:r>
              <w:rPr>
                <w:rStyle w:val="Sautdindex"/>
              </w:rPr>
              <w:t>Présentation des installations CRS existantes</w:t>
            </w:r>
            <w:r>
              <w:rPr>
                <w:webHidden/>
              </w:rPr>
              <w:fldChar w:fldCharType="begin"/>
            </w:r>
            <w:r>
              <w:rPr>
                <w:webHidden/>
              </w:rPr>
              <w:instrText>PAGEREF _Toc32334574 \h</w:instrText>
            </w:r>
            <w:r>
              <w:rPr>
                <w:webHidden/>
              </w:rPr>
              <w:fldChar w:fldCharType="separate"/>
            </w:r>
            <w:r>
              <w:rPr>
                <w:rStyle w:val="Sautdindex"/>
                <w:vanish w:val="false"/>
              </w:rPr>
              <w:tab/>
              <w:t>45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75">
            <w:r>
              <w:rPr>
                <w:webHidden/>
                <w:rStyle w:val="Sautdindex"/>
                <w:rFonts w:cs="Times New Roman"/>
              </w:rPr>
              <w:t>2.6.2.1.</w:t>
            </w:r>
            <w:r>
              <w:rPr>
                <w:rStyle w:val="Sautdindex"/>
                <w:rFonts w:eastAsia="" w:cs="" w:cstheme="minorBidi" w:eastAsiaTheme="minorEastAsia"/>
                <w:sz w:val="22"/>
                <w:szCs w:val="22"/>
              </w:rPr>
              <w:tab/>
            </w:r>
            <w:r>
              <w:rPr>
                <w:rStyle w:val="Sautdindex"/>
              </w:rPr>
              <w:t>Généralités</w:t>
            </w:r>
            <w:r>
              <w:rPr>
                <w:webHidden/>
              </w:rPr>
              <w:fldChar w:fldCharType="begin"/>
            </w:r>
            <w:r>
              <w:rPr>
                <w:webHidden/>
              </w:rPr>
              <w:instrText>PAGEREF _Toc32334575 \h</w:instrText>
            </w:r>
            <w:r>
              <w:rPr>
                <w:webHidden/>
              </w:rPr>
              <w:fldChar w:fldCharType="separate"/>
            </w:r>
            <w:r>
              <w:rPr>
                <w:rStyle w:val="Sautdindex"/>
                <w:vanish w:val="false"/>
              </w:rPr>
              <w:tab/>
              <w:t>45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76">
            <w:r>
              <w:rPr>
                <w:webHidden/>
                <w:rStyle w:val="Sautdindex"/>
                <w:rFonts w:cs="Times New Roman"/>
              </w:rPr>
              <w:t>2.6.2.2.</w:t>
            </w:r>
            <w:r>
              <w:rPr>
                <w:rStyle w:val="Sautdindex"/>
                <w:rFonts w:eastAsia="" w:cs="" w:cstheme="minorBidi" w:eastAsiaTheme="minorEastAsia"/>
                <w:sz w:val="22"/>
                <w:szCs w:val="22"/>
              </w:rPr>
              <w:tab/>
            </w:r>
            <w:r>
              <w:rPr>
                <w:rStyle w:val="Sautdindex"/>
              </w:rPr>
              <w:t>Local technique CRS rez-de-chaussée</w:t>
            </w:r>
            <w:r>
              <w:rPr>
                <w:webHidden/>
              </w:rPr>
              <w:fldChar w:fldCharType="begin"/>
            </w:r>
            <w:r>
              <w:rPr>
                <w:webHidden/>
              </w:rPr>
              <w:instrText>PAGEREF _Toc32334576 \h</w:instrText>
            </w:r>
            <w:r>
              <w:rPr>
                <w:webHidden/>
              </w:rPr>
              <w:fldChar w:fldCharType="separate"/>
            </w:r>
            <w:r>
              <w:rPr>
                <w:rStyle w:val="Sautdindex"/>
                <w:vanish w:val="false"/>
              </w:rPr>
              <w:tab/>
              <w:t>46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77">
            <w:r>
              <w:rPr>
                <w:webHidden/>
                <w:rStyle w:val="Sautdindex"/>
                <w:rFonts w:cs="Times New Roman"/>
              </w:rPr>
              <w:t>2.6.2.3.</w:t>
            </w:r>
            <w:r>
              <w:rPr>
                <w:rStyle w:val="Sautdindex"/>
                <w:rFonts w:eastAsia="" w:cs="" w:cstheme="minorBidi" w:eastAsiaTheme="minorEastAsia"/>
                <w:sz w:val="22"/>
                <w:szCs w:val="22"/>
              </w:rPr>
              <w:tab/>
            </w:r>
            <w:r>
              <w:rPr>
                <w:rStyle w:val="Sautdindex"/>
              </w:rPr>
              <w:t>Téléphonie</w:t>
            </w:r>
            <w:r>
              <w:rPr>
                <w:webHidden/>
              </w:rPr>
              <w:fldChar w:fldCharType="begin"/>
            </w:r>
            <w:r>
              <w:rPr>
                <w:webHidden/>
              </w:rPr>
              <w:instrText>PAGEREF _Toc32334577 \h</w:instrText>
            </w:r>
            <w:r>
              <w:rPr>
                <w:webHidden/>
              </w:rPr>
              <w:fldChar w:fldCharType="separate"/>
            </w:r>
            <w:r>
              <w:rPr>
                <w:rStyle w:val="Sautdindex"/>
                <w:vanish w:val="false"/>
              </w:rPr>
              <w:tab/>
              <w:t>46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78">
            <w:r>
              <w:rPr>
                <w:webHidden/>
                <w:rStyle w:val="Sautdindex"/>
                <w:rFonts w:cs="Times New Roman"/>
              </w:rPr>
              <w:t>2.6.2.4.</w:t>
            </w:r>
            <w:r>
              <w:rPr>
                <w:rStyle w:val="Sautdindex"/>
                <w:rFonts w:eastAsia="" w:cs="" w:cstheme="minorBidi" w:eastAsiaTheme="minorEastAsia"/>
                <w:sz w:val="22"/>
                <w:szCs w:val="22"/>
              </w:rPr>
              <w:tab/>
            </w:r>
            <w:r>
              <w:rPr>
                <w:rStyle w:val="Sautdindex"/>
              </w:rPr>
              <w:t>Réseau informatique</w:t>
            </w:r>
            <w:r>
              <w:rPr>
                <w:webHidden/>
              </w:rPr>
              <w:fldChar w:fldCharType="begin"/>
            </w:r>
            <w:r>
              <w:rPr>
                <w:webHidden/>
              </w:rPr>
              <w:instrText>PAGEREF _Toc32334578 \h</w:instrText>
            </w:r>
            <w:r>
              <w:rPr>
                <w:webHidden/>
              </w:rPr>
              <w:fldChar w:fldCharType="separate"/>
            </w:r>
            <w:r>
              <w:rPr>
                <w:rStyle w:val="Sautdindex"/>
                <w:vanish w:val="false"/>
              </w:rPr>
              <w:tab/>
              <w:t>46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79">
            <w:r>
              <w:rPr>
                <w:webHidden/>
                <w:rStyle w:val="Sautdindex"/>
                <w:rFonts w:cs="Times New Roman"/>
              </w:rPr>
              <w:t>2.6.2.5.</w:t>
            </w:r>
            <w:r>
              <w:rPr>
                <w:rStyle w:val="Sautdindex"/>
                <w:rFonts w:eastAsia="" w:cs="" w:cstheme="minorBidi" w:eastAsiaTheme="minorEastAsia"/>
                <w:sz w:val="22"/>
                <w:szCs w:val="22"/>
              </w:rPr>
              <w:tab/>
            </w:r>
            <w:r>
              <w:rPr>
                <w:rStyle w:val="Sautdindex"/>
              </w:rPr>
              <w:t>Liaisons câbles téléphoniques</w:t>
            </w:r>
            <w:r>
              <w:rPr>
                <w:webHidden/>
              </w:rPr>
              <w:fldChar w:fldCharType="begin"/>
            </w:r>
            <w:r>
              <w:rPr>
                <w:webHidden/>
              </w:rPr>
              <w:instrText>PAGEREF _Toc32334579 \h</w:instrText>
            </w:r>
            <w:r>
              <w:rPr>
                <w:webHidden/>
              </w:rPr>
              <w:fldChar w:fldCharType="separate"/>
            </w:r>
            <w:r>
              <w:rPr>
                <w:rStyle w:val="Sautdindex"/>
                <w:vanish w:val="false"/>
              </w:rPr>
              <w:tab/>
              <w:t>46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80">
            <w:r>
              <w:rPr>
                <w:webHidden/>
                <w:rStyle w:val="Sautdindex"/>
                <w:rFonts w:cs="Times New Roman"/>
              </w:rPr>
              <w:t>2.6.2.6.</w:t>
            </w:r>
            <w:r>
              <w:rPr>
                <w:rStyle w:val="Sautdindex"/>
                <w:rFonts w:eastAsia="" w:cs="" w:cstheme="minorBidi" w:eastAsiaTheme="minorEastAsia"/>
                <w:sz w:val="22"/>
                <w:szCs w:val="22"/>
              </w:rPr>
              <w:tab/>
            </w:r>
            <w:r>
              <w:rPr>
                <w:rStyle w:val="Sautdindex"/>
              </w:rPr>
              <w:t>Installation radio</w:t>
            </w:r>
            <w:r>
              <w:rPr>
                <w:webHidden/>
              </w:rPr>
              <w:fldChar w:fldCharType="begin"/>
            </w:r>
            <w:r>
              <w:rPr>
                <w:webHidden/>
              </w:rPr>
              <w:instrText>PAGEREF _Toc32334580 \h</w:instrText>
            </w:r>
            <w:r>
              <w:rPr>
                <w:webHidden/>
              </w:rPr>
              <w:fldChar w:fldCharType="separate"/>
            </w:r>
            <w:r>
              <w:rPr>
                <w:rStyle w:val="Sautdindex"/>
                <w:vanish w:val="false"/>
              </w:rPr>
              <w:tab/>
              <w:t>47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81">
            <w:r>
              <w:rPr>
                <w:webHidden/>
                <w:rStyle w:val="Sautdindex"/>
                <w:rFonts w:cs="Times New Roman"/>
                <w14:scene3d>
                  <w14:camera w14:prst="orthographicFront"/>
                  <w14:lightRig w14:rig="threePt" w14:dir="t">
                    <w14:rot w14:lat="0" w14:lon="0" w14:rev="0"/>
                  </w14:lightRig>
                </w14:scene3d>
              </w:rPr>
              <w:t>2.6.3.</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_Toc32334581 \h</w:instrText>
            </w:r>
            <w:r>
              <w:rPr>
                <w:webHidden/>
              </w:rPr>
              <w:fldChar w:fldCharType="separate"/>
            </w:r>
            <w:r>
              <w:rPr>
                <w:rStyle w:val="Sautdindex"/>
                <w:vanish w:val="false"/>
              </w:rPr>
              <w:tab/>
              <w:t>48</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82">
            <w:r>
              <w:rPr>
                <w:webHidden/>
                <w:rStyle w:val="Sautdindex"/>
                <w:rFonts w:cs="Times New Roman"/>
              </w:rPr>
              <w:t>2.6.3.1.</w:t>
            </w:r>
            <w:r>
              <w:rPr>
                <w:rStyle w:val="Sautdindex"/>
                <w:rFonts w:eastAsia="" w:cs="" w:cstheme="minorBidi" w:eastAsiaTheme="minorEastAsia"/>
                <w:sz w:val="22"/>
                <w:szCs w:val="22"/>
              </w:rPr>
              <w:tab/>
            </w:r>
            <w:r>
              <w:rPr>
                <w:rStyle w:val="Sautdindex"/>
              </w:rPr>
              <w:t>Présentation</w:t>
            </w:r>
            <w:r>
              <w:rPr>
                <w:webHidden/>
              </w:rPr>
              <w:fldChar w:fldCharType="begin"/>
            </w:r>
            <w:r>
              <w:rPr>
                <w:webHidden/>
              </w:rPr>
              <w:instrText>PAGEREF _Toc32334582 \h</w:instrText>
            </w:r>
            <w:r>
              <w:rPr>
                <w:webHidden/>
              </w:rPr>
              <w:fldChar w:fldCharType="separate"/>
            </w:r>
            <w:r>
              <w:rPr>
                <w:rStyle w:val="Sautdindex"/>
                <w:vanish w:val="false"/>
              </w:rPr>
              <w:tab/>
              <w:t>48</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83">
            <w:r>
              <w:rPr>
                <w:webHidden/>
                <w:rStyle w:val="Sautdindex"/>
                <w:rFonts w:cs="Times New Roman"/>
              </w:rPr>
              <w:t>2.6.3.2.</w:t>
            </w:r>
            <w:r>
              <w:rPr>
                <w:rStyle w:val="Sautdindex"/>
                <w:rFonts w:eastAsia="" w:cs="" w:cstheme="minorBidi" w:eastAsiaTheme="minorEastAsia"/>
                <w:sz w:val="22"/>
                <w:szCs w:val="22"/>
              </w:rPr>
              <w:tab/>
            </w:r>
            <w:r>
              <w:rPr>
                <w:rStyle w:val="Sautdindex"/>
              </w:rPr>
              <w:t>RTHD</w:t>
            </w:r>
            <w:r>
              <w:rPr>
                <w:webHidden/>
              </w:rPr>
              <w:fldChar w:fldCharType="begin"/>
            </w:r>
            <w:r>
              <w:rPr>
                <w:webHidden/>
              </w:rPr>
              <w:instrText>PAGEREF _Toc32334583 \h</w:instrText>
            </w:r>
            <w:r>
              <w:rPr>
                <w:webHidden/>
              </w:rPr>
              <w:fldChar w:fldCharType="separate"/>
            </w:r>
            <w:r>
              <w:rPr>
                <w:rStyle w:val="Sautdindex"/>
                <w:vanish w:val="false"/>
              </w:rPr>
              <w:tab/>
              <w:t>49</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84">
            <w:r>
              <w:rPr>
                <w:webHidden/>
                <w:rStyle w:val="Sautdindex"/>
                <w:rFonts w:cs="Times New Roman"/>
              </w:rPr>
              <w:t>2.6.3.3.</w:t>
            </w:r>
            <w:r>
              <w:rPr>
                <w:rStyle w:val="Sautdindex"/>
                <w:rFonts w:eastAsia="" w:cs="" w:cstheme="minorBidi" w:eastAsiaTheme="minorEastAsia"/>
                <w:sz w:val="22"/>
                <w:szCs w:val="22"/>
              </w:rPr>
              <w:tab/>
            </w:r>
            <w:r>
              <w:rPr>
                <w:rStyle w:val="Sautdindex"/>
              </w:rPr>
              <w:t>Bureautique</w:t>
            </w:r>
            <w:r>
              <w:rPr>
                <w:webHidden/>
              </w:rPr>
              <w:fldChar w:fldCharType="begin"/>
            </w:r>
            <w:r>
              <w:rPr>
                <w:webHidden/>
              </w:rPr>
              <w:instrText>PAGEREF _Toc32334584 \h</w:instrText>
            </w:r>
            <w:r>
              <w:rPr>
                <w:webHidden/>
              </w:rPr>
              <w:fldChar w:fldCharType="separate"/>
            </w:r>
            <w:r>
              <w:rPr>
                <w:rStyle w:val="Sautdindex"/>
                <w:vanish w:val="false"/>
              </w:rPr>
              <w:tab/>
              <w:t>49</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85">
            <w:r>
              <w:rPr>
                <w:webHidden/>
                <w:rStyle w:val="Sautdindex"/>
                <w:rFonts w:cs="Times New Roman"/>
              </w:rPr>
              <w:t>2.6.3.4.</w:t>
            </w:r>
            <w:r>
              <w:rPr>
                <w:rStyle w:val="Sautdindex"/>
                <w:rFonts w:eastAsia="" w:cs="" w:cstheme="minorBidi" w:eastAsiaTheme="minorEastAsia"/>
                <w:sz w:val="22"/>
                <w:szCs w:val="22"/>
              </w:rPr>
              <w:tab/>
            </w:r>
            <w:r>
              <w:rPr>
                <w:rStyle w:val="Sautdindex"/>
              </w:rPr>
              <w:t>Réseau technique</w:t>
            </w:r>
            <w:r>
              <w:rPr>
                <w:webHidden/>
              </w:rPr>
              <w:fldChar w:fldCharType="begin"/>
            </w:r>
            <w:r>
              <w:rPr>
                <w:webHidden/>
              </w:rPr>
              <w:instrText>PAGEREF _Toc32334585 \h</w:instrText>
            </w:r>
            <w:r>
              <w:rPr>
                <w:webHidden/>
              </w:rPr>
              <w:fldChar w:fldCharType="separate"/>
            </w:r>
            <w:r>
              <w:rPr>
                <w:rStyle w:val="Sautdindex"/>
                <w:vanish w:val="false"/>
              </w:rPr>
              <w:tab/>
              <w:t>49</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86">
            <w:r>
              <w:rPr>
                <w:webHidden/>
                <w:rStyle w:val="Sautdindex"/>
                <w:rFonts w:cs="Times New Roman"/>
              </w:rPr>
              <w:t>2.6.3.5.</w:t>
            </w:r>
            <w:r>
              <w:rPr>
                <w:rStyle w:val="Sautdindex"/>
                <w:rFonts w:eastAsia="" w:cs="" w:cstheme="minorBidi" w:eastAsiaTheme="minorEastAsia"/>
                <w:sz w:val="22"/>
                <w:szCs w:val="22"/>
              </w:rPr>
              <w:tab/>
            </w:r>
            <w:r>
              <w:rPr>
                <w:rStyle w:val="Sautdindex"/>
              </w:rPr>
              <w:t>Caractéristiques des liaisons optiques et de leurs extrémités</w:t>
            </w:r>
            <w:r>
              <w:rPr>
                <w:webHidden/>
              </w:rPr>
              <w:fldChar w:fldCharType="begin"/>
            </w:r>
            <w:r>
              <w:rPr>
                <w:webHidden/>
              </w:rPr>
              <w:instrText>PAGEREF _Toc32334586 \h</w:instrText>
            </w:r>
            <w:r>
              <w:rPr>
                <w:webHidden/>
              </w:rPr>
              <w:fldChar w:fldCharType="separate"/>
            </w:r>
            <w:r>
              <w:rPr>
                <w:rStyle w:val="Sautdindex"/>
                <w:vanish w:val="false"/>
              </w:rPr>
              <w:tab/>
              <w:t>49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87">
            <w:r>
              <w:rPr>
                <w:webHidden/>
                <w:rStyle w:val="Sautdindex"/>
                <w:rFonts w:cs="Times New Roman"/>
                <w14:scene3d>
                  <w14:camera w14:prst="orthographicFront"/>
                  <w14:lightRig w14:rig="threePt" w14:dir="t">
                    <w14:rot w14:lat="0" w14:lon="0" w14:rev="0"/>
                  </w14:lightRig>
                </w14:scene3d>
              </w:rPr>
              <w:t>2.6.4.</w:t>
            </w:r>
            <w:r>
              <w:rPr>
                <w:rStyle w:val="Sautdindex"/>
                <w:rFonts w:eastAsia="" w:cs="" w:cstheme="minorBidi" w:eastAsiaTheme="minorEastAsia"/>
                <w:i w:val="false"/>
                <w:iCs w:val="false"/>
                <w:sz w:val="22"/>
                <w:szCs w:val="22"/>
              </w:rPr>
              <w:tab/>
            </w:r>
            <w:r>
              <w:rPr>
                <w:rStyle w:val="Sautdindex"/>
              </w:rPr>
              <w:t>Phasage des travaux</w:t>
            </w:r>
            <w:r>
              <w:rPr>
                <w:webHidden/>
              </w:rPr>
              <w:fldChar w:fldCharType="begin"/>
            </w:r>
            <w:r>
              <w:rPr>
                <w:webHidden/>
              </w:rPr>
              <w:instrText>PAGEREF _Toc32334587 \h</w:instrText>
            </w:r>
            <w:r>
              <w:rPr>
                <w:webHidden/>
              </w:rPr>
              <w:fldChar w:fldCharType="separate"/>
            </w:r>
            <w:r>
              <w:rPr>
                <w:rStyle w:val="Sautdindex"/>
                <w:vanish w:val="false"/>
              </w:rPr>
              <w:tab/>
              <w:t>50</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88">
            <w:r>
              <w:rPr>
                <w:webHidden/>
                <w:rStyle w:val="Sautdindex"/>
                <w:rFonts w:cs="Times New Roman"/>
              </w:rPr>
              <w:t>2.6.4.1.</w:t>
            </w:r>
            <w:r>
              <w:rPr>
                <w:rStyle w:val="Sautdindex"/>
                <w:rFonts w:eastAsia="" w:cs="" w:cstheme="minorBidi" w:eastAsiaTheme="minorEastAsia"/>
                <w:sz w:val="22"/>
                <w:szCs w:val="22"/>
              </w:rPr>
              <w:tab/>
            </w:r>
            <w:r>
              <w:rPr>
                <w:rStyle w:val="Sautdindex"/>
              </w:rPr>
              <w:t>Le mur d’image</w:t>
            </w:r>
            <w:r>
              <w:rPr>
                <w:webHidden/>
              </w:rPr>
              <w:fldChar w:fldCharType="begin"/>
            </w:r>
            <w:r>
              <w:rPr>
                <w:webHidden/>
              </w:rPr>
              <w:instrText>PAGEREF _Toc32334588 \h</w:instrText>
            </w:r>
            <w:r>
              <w:rPr>
                <w:webHidden/>
              </w:rPr>
              <w:fldChar w:fldCharType="separate"/>
            </w:r>
            <w:r>
              <w:rPr>
                <w:rStyle w:val="Sautdindex"/>
                <w:vanish w:val="false"/>
              </w:rPr>
              <w:tab/>
              <w:t>50</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89">
            <w:r>
              <w:rPr>
                <w:webHidden/>
                <w:rStyle w:val="Sautdindex"/>
                <w:rFonts w:cs="Times New Roman"/>
              </w:rPr>
              <w:t>2.6.4.2.</w:t>
            </w:r>
            <w:r>
              <w:rPr>
                <w:rStyle w:val="Sautdindex"/>
                <w:rFonts w:eastAsia="" w:cs="" w:cstheme="minorBidi" w:eastAsiaTheme="minorEastAsia"/>
                <w:sz w:val="22"/>
                <w:szCs w:val="22"/>
              </w:rPr>
              <w:tab/>
            </w:r>
            <w:r>
              <w:rPr>
                <w:rStyle w:val="Sautdindex"/>
              </w:rPr>
              <w:t>Réseaux transmission –communication</w:t>
            </w:r>
            <w:r>
              <w:rPr>
                <w:webHidden/>
              </w:rPr>
              <w:fldChar w:fldCharType="begin"/>
            </w:r>
            <w:r>
              <w:rPr>
                <w:webHidden/>
              </w:rPr>
              <w:instrText>PAGEREF _Toc32334589 \h</w:instrText>
            </w:r>
            <w:r>
              <w:rPr>
                <w:webHidden/>
              </w:rPr>
              <w:fldChar w:fldCharType="separate"/>
            </w:r>
            <w:r>
              <w:rPr>
                <w:rStyle w:val="Sautdindex"/>
                <w:vanish w:val="false"/>
              </w:rPr>
              <w:tab/>
              <w:t>50</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90">
            <w:r>
              <w:rPr>
                <w:webHidden/>
                <w:rStyle w:val="Sautdindex"/>
                <w:rFonts w:cs="Times New Roman"/>
              </w:rPr>
              <w:t>2.6.4.3.</w:t>
            </w:r>
            <w:r>
              <w:rPr>
                <w:rStyle w:val="Sautdindex"/>
                <w:rFonts w:eastAsia="" w:cs="" w:cstheme="minorBidi" w:eastAsiaTheme="minorEastAsia"/>
                <w:sz w:val="22"/>
                <w:szCs w:val="22"/>
              </w:rPr>
              <w:tab/>
            </w:r>
            <w:r>
              <w:rPr>
                <w:rStyle w:val="Sautdindex"/>
              </w:rPr>
              <w:t>Installations spécifiques CRS</w:t>
            </w:r>
            <w:r>
              <w:rPr>
                <w:webHidden/>
              </w:rPr>
              <w:fldChar w:fldCharType="begin"/>
            </w:r>
            <w:r>
              <w:rPr>
                <w:webHidden/>
              </w:rPr>
              <w:instrText>PAGEREF _Toc32334590 \h</w:instrText>
            </w:r>
            <w:r>
              <w:rPr>
                <w:webHidden/>
              </w:rPr>
              <w:fldChar w:fldCharType="separate"/>
            </w:r>
            <w:r>
              <w:rPr>
                <w:rStyle w:val="Sautdindex"/>
                <w:vanish w:val="false"/>
              </w:rPr>
              <w:tab/>
              <w:t>58</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91">
            <w:r>
              <w:rPr>
                <w:webHidden/>
                <w:rStyle w:val="Sautdindex"/>
                <w:rFonts w:cs="Times New Roman"/>
              </w:rPr>
              <w:t>2.6.4.4.</w:t>
            </w:r>
            <w:r>
              <w:rPr>
                <w:rStyle w:val="Sautdindex"/>
                <w:rFonts w:eastAsia="" w:cs="" w:cstheme="minorBidi" w:eastAsiaTheme="minorEastAsia"/>
                <w:sz w:val="22"/>
                <w:szCs w:val="22"/>
              </w:rPr>
              <w:tab/>
            </w:r>
            <w:r>
              <w:rPr>
                <w:rStyle w:val="Sautdindex"/>
              </w:rPr>
              <w:t>Impact sur l’exploitation</w:t>
            </w:r>
            <w:r>
              <w:rPr>
                <w:webHidden/>
              </w:rPr>
              <w:fldChar w:fldCharType="begin"/>
            </w:r>
            <w:r>
              <w:rPr>
                <w:webHidden/>
              </w:rPr>
              <w:instrText>PAGEREF _Toc32334591 \h</w:instrText>
            </w:r>
            <w:r>
              <w:rPr>
                <w:webHidden/>
              </w:rPr>
              <w:fldChar w:fldCharType="separate"/>
            </w:r>
            <w:r>
              <w:rPr>
                <w:rStyle w:val="Sautdindex"/>
                <w:vanish w:val="false"/>
              </w:rPr>
              <w:tab/>
              <w:t>60</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92">
            <w:r>
              <w:rPr>
                <w:webHidden/>
                <w:rStyle w:val="Sautdindex"/>
                <w:rFonts w:cs="Times New Roman"/>
              </w:rPr>
              <w:t>2.6.4.5.</w:t>
            </w:r>
            <w:r>
              <w:rPr>
                <w:rStyle w:val="Sautdindex"/>
                <w:rFonts w:eastAsia="" w:cs="" w:cstheme="minorBidi" w:eastAsiaTheme="minorEastAsia"/>
                <w:sz w:val="22"/>
                <w:szCs w:val="22"/>
              </w:rPr>
              <w:tab/>
            </w:r>
            <w:r>
              <w:rPr>
                <w:rStyle w:val="Sautdindex"/>
              </w:rPr>
              <w:t>Mise en service des outils définitifs</w:t>
            </w:r>
            <w:r>
              <w:rPr>
                <w:webHidden/>
              </w:rPr>
              <w:fldChar w:fldCharType="begin"/>
            </w:r>
            <w:r>
              <w:rPr>
                <w:webHidden/>
              </w:rPr>
              <w:instrText>PAGEREF _Toc32334592 \h</w:instrText>
            </w:r>
            <w:r>
              <w:rPr>
                <w:webHidden/>
              </w:rPr>
              <w:fldChar w:fldCharType="separate"/>
            </w:r>
            <w:r>
              <w:rPr>
                <w:rStyle w:val="Sautdindex"/>
                <w:vanish w:val="false"/>
              </w:rPr>
              <w:tab/>
              <w:t>60</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593">
            <w:r>
              <w:rPr>
                <w:webHidden/>
                <w:rStyle w:val="Sautdindex"/>
                <w:rFonts w:cs="Times New Roman"/>
              </w:rPr>
              <w:t>2.6.4.6.</w:t>
            </w:r>
            <w:r>
              <w:rPr>
                <w:rStyle w:val="Sautdindex"/>
                <w:rFonts w:eastAsia="" w:cs="" w:cstheme="minorBidi" w:eastAsiaTheme="minorEastAsia"/>
                <w:sz w:val="22"/>
                <w:szCs w:val="22"/>
              </w:rPr>
              <w:tab/>
            </w:r>
            <w:r>
              <w:rPr>
                <w:rStyle w:val="Sautdindex"/>
              </w:rPr>
              <w:t>Basculement de l’exploitation</w:t>
            </w:r>
            <w:r>
              <w:rPr>
                <w:webHidden/>
              </w:rPr>
              <w:fldChar w:fldCharType="begin"/>
            </w:r>
            <w:r>
              <w:rPr>
                <w:webHidden/>
              </w:rPr>
              <w:instrText>PAGEREF _Toc32334593 \h</w:instrText>
            </w:r>
            <w:r>
              <w:rPr>
                <w:webHidden/>
              </w:rPr>
              <w:fldChar w:fldCharType="separate"/>
            </w:r>
            <w:r>
              <w:rPr>
                <w:rStyle w:val="Sautdindex"/>
                <w:vanish w:val="false"/>
              </w:rPr>
              <w:tab/>
              <w:t>60</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94">
            <w:r>
              <w:rPr>
                <w:webHidden/>
                <w:rStyle w:val="Sautdindex"/>
                <w:b/>
              </w:rPr>
              <w:t>2.7.</w:t>
            </w:r>
            <w:r>
              <w:rPr>
                <w:rStyle w:val="Sautdindex"/>
                <w:rFonts w:eastAsia="" w:cs="" w:cstheme="minorBidi" w:eastAsiaTheme="minorEastAsia"/>
                <w:caps w:val="false"/>
                <w:smallCaps w:val="false"/>
                <w:sz w:val="22"/>
                <w:szCs w:val="22"/>
              </w:rPr>
              <w:tab/>
            </w:r>
            <w:r>
              <w:rPr>
                <w:rStyle w:val="Sautdindex"/>
              </w:rPr>
              <w:t>Virtualisation des outils d’exploitation</w:t>
            </w:r>
            <w:r>
              <w:rPr>
                <w:webHidden/>
              </w:rPr>
              <w:fldChar w:fldCharType="begin"/>
            </w:r>
            <w:r>
              <w:rPr>
                <w:webHidden/>
              </w:rPr>
              <w:instrText>PAGEREF _Toc32334594 \h</w:instrText>
            </w:r>
            <w:r>
              <w:rPr>
                <w:webHidden/>
              </w:rPr>
              <w:fldChar w:fldCharType="separate"/>
            </w:r>
            <w:r>
              <w:rPr>
                <w:rStyle w:val="Sautdindex"/>
                <w:vanish w:val="false"/>
              </w:rPr>
              <w:tab/>
              <w:t>61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95">
            <w:r>
              <w:rPr>
                <w:webHidden/>
                <w:rStyle w:val="Sautdindex"/>
                <w:rFonts w:cs="Times New Roman"/>
                <w14:scene3d>
                  <w14:camera w14:prst="orthographicFront"/>
                  <w14:lightRig w14:rig="threePt" w14:dir="t">
                    <w14:rot w14:lat="0" w14:lon="0" w14:rev="0"/>
                  </w14:lightRig>
                </w14:scene3d>
              </w:rPr>
              <w:t>2.7.1.</w:t>
            </w:r>
            <w:r>
              <w:rPr>
                <w:rStyle w:val="Sautdindex"/>
                <w:rFonts w:eastAsia="" w:cs="" w:cstheme="minorBidi" w:eastAsiaTheme="minorEastAsia"/>
                <w:i w:val="false"/>
                <w:iCs w:val="false"/>
                <w:sz w:val="22"/>
                <w:szCs w:val="22"/>
              </w:rPr>
              <w:tab/>
            </w:r>
            <w:r>
              <w:rPr>
                <w:rStyle w:val="Sautdindex"/>
              </w:rPr>
              <w:t>Présentation de la virtualisation</w:t>
            </w:r>
            <w:r>
              <w:rPr>
                <w:webHidden/>
              </w:rPr>
              <w:fldChar w:fldCharType="begin"/>
            </w:r>
            <w:r>
              <w:rPr>
                <w:webHidden/>
              </w:rPr>
              <w:instrText>PAGEREF _Toc32334595 \h</w:instrText>
            </w:r>
            <w:r>
              <w:rPr>
                <w:webHidden/>
              </w:rPr>
              <w:fldChar w:fldCharType="separate"/>
            </w:r>
            <w:r>
              <w:rPr>
                <w:rStyle w:val="Sautdindex"/>
                <w:vanish w:val="false"/>
              </w:rPr>
              <w:tab/>
              <w:t>61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96">
            <w:r>
              <w:rPr>
                <w:webHidden/>
                <w:rStyle w:val="Sautdindex"/>
                <w:rFonts w:cs="Times New Roman"/>
                <w14:scene3d>
                  <w14:camera w14:prst="orthographicFront"/>
                  <w14:lightRig w14:rig="threePt" w14:dir="t">
                    <w14:rot w14:lat="0" w14:lon="0" w14:rev="0"/>
                  </w14:lightRig>
                </w14:scene3d>
              </w:rPr>
              <w:t>2.7.2.</w:t>
            </w:r>
            <w:r>
              <w:rPr>
                <w:rStyle w:val="Sautdindex"/>
                <w:rFonts w:eastAsia="" w:cs="" w:cstheme="minorBidi" w:eastAsiaTheme="minorEastAsia"/>
                <w:i w:val="false"/>
                <w:iCs w:val="false"/>
                <w:sz w:val="22"/>
                <w:szCs w:val="22"/>
              </w:rPr>
              <w:tab/>
            </w:r>
            <w:r>
              <w:rPr>
                <w:rStyle w:val="Sautdindex"/>
              </w:rPr>
              <w:t>Impact de la virtualisation sur le projet</w:t>
            </w:r>
            <w:r>
              <w:rPr>
                <w:webHidden/>
              </w:rPr>
              <w:fldChar w:fldCharType="begin"/>
            </w:r>
            <w:r>
              <w:rPr>
                <w:webHidden/>
              </w:rPr>
              <w:instrText>PAGEREF _Toc32334596 \h</w:instrText>
            </w:r>
            <w:r>
              <w:rPr>
                <w:webHidden/>
              </w:rPr>
              <w:fldChar w:fldCharType="separate"/>
            </w:r>
            <w:r>
              <w:rPr>
                <w:rStyle w:val="Sautdindex"/>
                <w:vanish w:val="false"/>
              </w:rPr>
              <w:tab/>
              <w:t>61</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597">
            <w:r>
              <w:rPr>
                <w:webHidden/>
                <w:rStyle w:val="Sautdindex"/>
                <w:b/>
              </w:rPr>
              <w:t>2.8.</w:t>
            </w:r>
            <w:r>
              <w:rPr>
                <w:rStyle w:val="Sautdindex"/>
                <w:rFonts w:eastAsia="" w:cs="" w:cstheme="minorBidi" w:eastAsiaTheme="minorEastAsia"/>
                <w:caps w:val="false"/>
                <w:smallCaps w:val="false"/>
                <w:sz w:val="22"/>
                <w:szCs w:val="22"/>
              </w:rPr>
              <w:tab/>
            </w:r>
            <w:r>
              <w:rPr>
                <w:rStyle w:val="Sautdindex"/>
              </w:rPr>
              <w:t>Contrôles d’accès</w:t>
            </w:r>
            <w:r>
              <w:rPr>
                <w:webHidden/>
              </w:rPr>
              <w:fldChar w:fldCharType="begin"/>
            </w:r>
            <w:r>
              <w:rPr>
                <w:webHidden/>
              </w:rPr>
              <w:instrText>PAGEREF _Toc32334597 \h</w:instrText>
            </w:r>
            <w:r>
              <w:rPr>
                <w:webHidden/>
              </w:rPr>
              <w:fldChar w:fldCharType="separate"/>
            </w:r>
            <w:r>
              <w:rPr>
                <w:rStyle w:val="Sautdindex"/>
                <w:vanish w:val="false"/>
              </w:rPr>
              <w:tab/>
              <w:t>63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98">
            <w:r>
              <w:rPr>
                <w:webHidden/>
                <w:rStyle w:val="Sautdindex"/>
                <w:rFonts w:cs="Times New Roman"/>
                <w14:scene3d>
                  <w14:camera w14:prst="orthographicFront"/>
                  <w14:lightRig w14:rig="threePt" w14:dir="t">
                    <w14:rot w14:lat="0" w14:lon="0" w14:rev="0"/>
                  </w14:lightRig>
                </w14:scene3d>
              </w:rPr>
              <w:t>2.8.1.</w:t>
            </w:r>
            <w:r>
              <w:rPr>
                <w:rStyle w:val="Sautdindex"/>
                <w:rFonts w:eastAsia="" w:cs="" w:cstheme="minorBidi" w:eastAsiaTheme="minorEastAsia"/>
                <w:i w:val="false"/>
                <w:iCs w:val="false"/>
                <w:sz w:val="22"/>
                <w:szCs w:val="22"/>
              </w:rPr>
              <w:tab/>
            </w:r>
            <w:r>
              <w:rPr>
                <w:rStyle w:val="Sautdindex"/>
              </w:rPr>
              <w:t>Description des installations existantes</w:t>
            </w:r>
            <w:r>
              <w:rPr>
                <w:webHidden/>
              </w:rPr>
              <w:fldChar w:fldCharType="begin"/>
            </w:r>
            <w:r>
              <w:rPr>
                <w:webHidden/>
              </w:rPr>
              <w:instrText>PAGEREF _Toc32334598 \h</w:instrText>
            </w:r>
            <w:r>
              <w:rPr>
                <w:webHidden/>
              </w:rPr>
              <w:fldChar w:fldCharType="separate"/>
            </w:r>
            <w:r>
              <w:rPr>
                <w:rStyle w:val="Sautdindex"/>
                <w:vanish w:val="false"/>
              </w:rPr>
              <w:tab/>
              <w:t>63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599">
            <w:r>
              <w:rPr>
                <w:webHidden/>
                <w:rStyle w:val="Sautdindex"/>
                <w:rFonts w:cs="Times New Roman"/>
                <w14:scene3d>
                  <w14:camera w14:prst="orthographicFront"/>
                  <w14:lightRig w14:rig="threePt" w14:dir="t">
                    <w14:rot w14:lat="0" w14:lon="0" w14:rev="0"/>
                  </w14:lightRig>
                </w14:scene3d>
              </w:rPr>
              <w:t>2.8.2.</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_Toc32334599 \h</w:instrText>
            </w:r>
            <w:r>
              <w:rPr>
                <w:webHidden/>
              </w:rPr>
              <w:fldChar w:fldCharType="separate"/>
            </w:r>
            <w:r>
              <w:rPr>
                <w:rStyle w:val="Sautdindex"/>
                <w:vanish w:val="false"/>
              </w:rPr>
              <w:tab/>
              <w:t>63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00">
            <w:r>
              <w:rPr>
                <w:webHidden/>
                <w:rStyle w:val="Sautdindex"/>
                <w:rFonts w:cs="Times New Roman"/>
              </w:rPr>
              <w:t>2.8.2.1.</w:t>
            </w:r>
            <w:r>
              <w:rPr>
                <w:rStyle w:val="Sautdindex"/>
                <w:rFonts w:eastAsia="" w:cs="" w:cstheme="minorBidi" w:eastAsiaTheme="minorEastAsia"/>
                <w:sz w:val="22"/>
                <w:szCs w:val="22"/>
              </w:rPr>
              <w:tab/>
            </w:r>
            <w:r>
              <w:rPr>
                <w:rStyle w:val="Sautdindex"/>
              </w:rPr>
              <w:t>Badges</w:t>
            </w:r>
            <w:r>
              <w:rPr>
                <w:webHidden/>
              </w:rPr>
              <w:fldChar w:fldCharType="begin"/>
            </w:r>
            <w:r>
              <w:rPr>
                <w:webHidden/>
              </w:rPr>
              <w:instrText>PAGEREF _Toc32334600 \h</w:instrText>
            </w:r>
            <w:r>
              <w:rPr>
                <w:webHidden/>
              </w:rPr>
              <w:fldChar w:fldCharType="separate"/>
            </w:r>
            <w:r>
              <w:rPr>
                <w:rStyle w:val="Sautdindex"/>
                <w:vanish w:val="false"/>
              </w:rPr>
              <w:tab/>
              <w:t>63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01">
            <w:r>
              <w:rPr>
                <w:webHidden/>
                <w:rStyle w:val="Sautdindex"/>
                <w:rFonts w:cs="Times New Roman"/>
              </w:rPr>
              <w:t>2.8.2.2.</w:t>
            </w:r>
            <w:r>
              <w:rPr>
                <w:rStyle w:val="Sautdindex"/>
                <w:rFonts w:eastAsia="" w:cs="" w:cstheme="minorBidi" w:eastAsiaTheme="minorEastAsia"/>
                <w:sz w:val="22"/>
                <w:szCs w:val="22"/>
              </w:rPr>
              <w:tab/>
            </w:r>
            <w:r>
              <w:rPr>
                <w:rStyle w:val="Sautdindex"/>
              </w:rPr>
              <w:t>Informatique</w:t>
            </w:r>
            <w:r>
              <w:rPr>
                <w:webHidden/>
              </w:rPr>
              <w:fldChar w:fldCharType="begin"/>
            </w:r>
            <w:r>
              <w:rPr>
                <w:webHidden/>
              </w:rPr>
              <w:instrText>PAGEREF _Toc32334601 \h</w:instrText>
            </w:r>
            <w:r>
              <w:rPr>
                <w:webHidden/>
              </w:rPr>
              <w:fldChar w:fldCharType="separate"/>
            </w:r>
            <w:r>
              <w:rPr>
                <w:rStyle w:val="Sautdindex"/>
                <w:vanish w:val="false"/>
              </w:rPr>
              <w:tab/>
              <w:t>63</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602">
            <w:r>
              <w:rPr>
                <w:webHidden/>
                <w:rStyle w:val="Sautdindex"/>
                <w:b/>
              </w:rPr>
              <w:t>2.9.</w:t>
            </w:r>
            <w:r>
              <w:rPr>
                <w:rStyle w:val="Sautdindex"/>
                <w:rFonts w:eastAsia="" w:cs="" w:cstheme="minorBidi" w:eastAsiaTheme="minorEastAsia"/>
                <w:caps w:val="false"/>
                <w:smallCaps w:val="false"/>
                <w:sz w:val="22"/>
                <w:szCs w:val="22"/>
              </w:rPr>
              <w:tab/>
            </w:r>
            <w:r>
              <w:rPr>
                <w:rStyle w:val="Sautdindex"/>
              </w:rPr>
              <w:t>Détection incendie</w:t>
            </w:r>
            <w:r>
              <w:rPr>
                <w:webHidden/>
              </w:rPr>
              <w:fldChar w:fldCharType="begin"/>
            </w:r>
            <w:r>
              <w:rPr>
                <w:webHidden/>
              </w:rPr>
              <w:instrText>PAGEREF _Toc32334602 \h</w:instrText>
            </w:r>
            <w:r>
              <w:rPr>
                <w:webHidden/>
              </w:rPr>
              <w:fldChar w:fldCharType="separate"/>
            </w:r>
            <w:r>
              <w:rPr>
                <w:rStyle w:val="Sautdindex"/>
                <w:vanish w:val="false"/>
              </w:rPr>
              <w:tab/>
              <w:t>63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03">
            <w:r>
              <w:rPr>
                <w:webHidden/>
                <w:rStyle w:val="Sautdindex"/>
                <w:rFonts w:cs="Times New Roman"/>
                <w14:scene3d>
                  <w14:camera w14:prst="orthographicFront"/>
                  <w14:lightRig w14:rig="threePt" w14:dir="t">
                    <w14:rot w14:lat="0" w14:lon="0" w14:rev="0"/>
                  </w14:lightRig>
                </w14:scene3d>
              </w:rPr>
              <w:t>2.9.1.</w:t>
            </w:r>
            <w:r>
              <w:rPr>
                <w:rStyle w:val="Sautdindex"/>
                <w:rFonts w:eastAsia="" w:cs="" w:cstheme="minorBidi" w:eastAsiaTheme="minorEastAsia"/>
                <w:i w:val="false"/>
                <w:iCs w:val="false"/>
                <w:sz w:val="22"/>
                <w:szCs w:val="22"/>
              </w:rPr>
              <w:tab/>
            </w:r>
            <w:r>
              <w:rPr>
                <w:rStyle w:val="Sautdindex"/>
              </w:rPr>
              <w:t>Contexte</w:t>
            </w:r>
            <w:r>
              <w:rPr>
                <w:webHidden/>
              </w:rPr>
              <w:fldChar w:fldCharType="begin"/>
            </w:r>
            <w:r>
              <w:rPr>
                <w:webHidden/>
              </w:rPr>
              <w:instrText>PAGEREF _Toc32334603 \h</w:instrText>
            </w:r>
            <w:r>
              <w:rPr>
                <w:webHidden/>
              </w:rPr>
              <w:fldChar w:fldCharType="separate"/>
            </w:r>
            <w:r>
              <w:rPr>
                <w:rStyle w:val="Sautdindex"/>
                <w:vanish w:val="false"/>
              </w:rPr>
              <w:tab/>
              <w:t>63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04">
            <w:r>
              <w:rPr>
                <w:webHidden/>
                <w:rStyle w:val="Sautdindex"/>
                <w:rFonts w:cs="Times New Roman"/>
                <w14:scene3d>
                  <w14:camera w14:prst="orthographicFront"/>
                  <w14:lightRig w14:rig="threePt" w14:dir="t">
                    <w14:rot w14:lat="0" w14:lon="0" w14:rev="0"/>
                  </w14:lightRig>
                </w14:scene3d>
              </w:rPr>
              <w:t>2.9.2.</w:t>
            </w:r>
            <w:r>
              <w:rPr>
                <w:rStyle w:val="Sautdindex"/>
                <w:rFonts w:eastAsia="" w:cs="" w:cstheme="minorBidi" w:eastAsiaTheme="minorEastAsia"/>
                <w:i w:val="false"/>
                <w:iCs w:val="false"/>
                <w:sz w:val="22"/>
                <w:szCs w:val="22"/>
              </w:rPr>
              <w:tab/>
            </w:r>
            <w:r>
              <w:rPr>
                <w:rStyle w:val="Sautdindex"/>
              </w:rPr>
              <w:t>Description des installations existantes</w:t>
            </w:r>
            <w:r>
              <w:rPr>
                <w:webHidden/>
              </w:rPr>
              <w:fldChar w:fldCharType="begin"/>
            </w:r>
            <w:r>
              <w:rPr>
                <w:webHidden/>
              </w:rPr>
              <w:instrText>PAGEREF _Toc32334604 \h</w:instrText>
            </w:r>
            <w:r>
              <w:rPr>
                <w:webHidden/>
              </w:rPr>
              <w:fldChar w:fldCharType="separate"/>
            </w:r>
            <w:r>
              <w:rPr>
                <w:rStyle w:val="Sautdindex"/>
                <w:vanish w:val="false"/>
              </w:rPr>
              <w:tab/>
              <w:t>64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05">
            <w:r>
              <w:rPr>
                <w:webHidden/>
                <w:rStyle w:val="Sautdindex"/>
                <w:rFonts w:cs="Times New Roman"/>
                <w14:scene3d>
                  <w14:camera w14:prst="orthographicFront"/>
                  <w14:lightRig w14:rig="threePt" w14:dir="t">
                    <w14:rot w14:lat="0" w14:lon="0" w14:rev="0"/>
                  </w14:lightRig>
                </w14:scene3d>
              </w:rPr>
              <w:t>2.9.3.</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_Toc32334605 \h</w:instrText>
            </w:r>
            <w:r>
              <w:rPr>
                <w:webHidden/>
              </w:rPr>
              <w:fldChar w:fldCharType="separate"/>
            </w:r>
            <w:r>
              <w:rPr>
                <w:rStyle w:val="Sautdindex"/>
                <w:vanish w:val="false"/>
              </w:rPr>
              <w:tab/>
              <w:t>64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06">
            <w:r>
              <w:rPr>
                <w:webHidden/>
                <w:rStyle w:val="Sautdindex"/>
                <w:rFonts w:cs="Times New Roman"/>
              </w:rPr>
              <w:t>2.9.3.1.</w:t>
            </w:r>
            <w:r>
              <w:rPr>
                <w:rStyle w:val="Sautdindex"/>
                <w:rFonts w:eastAsia="" w:cs="" w:cstheme="minorBidi" w:eastAsiaTheme="minorEastAsia"/>
                <w:sz w:val="22"/>
                <w:szCs w:val="22"/>
              </w:rPr>
              <w:tab/>
            </w:r>
            <w:r>
              <w:rPr>
                <w:rStyle w:val="Sautdindex"/>
              </w:rPr>
              <w:t>Détecteurs Automatique d’Incendie</w:t>
            </w:r>
            <w:r>
              <w:rPr>
                <w:webHidden/>
              </w:rPr>
              <w:fldChar w:fldCharType="begin"/>
            </w:r>
            <w:r>
              <w:rPr>
                <w:webHidden/>
              </w:rPr>
              <w:instrText>PAGEREF _Toc32334606 \h</w:instrText>
            </w:r>
            <w:r>
              <w:rPr>
                <w:webHidden/>
              </w:rPr>
              <w:fldChar w:fldCharType="separate"/>
            </w:r>
            <w:r>
              <w:rPr>
                <w:rStyle w:val="Sautdindex"/>
                <w:vanish w:val="false"/>
              </w:rPr>
              <w:tab/>
              <w:t>64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07">
            <w:r>
              <w:rPr>
                <w:webHidden/>
                <w:rStyle w:val="Sautdindex"/>
                <w:rFonts w:cs="Times New Roman"/>
              </w:rPr>
              <w:t>2.9.3.2.</w:t>
            </w:r>
            <w:r>
              <w:rPr>
                <w:rStyle w:val="Sautdindex"/>
                <w:rFonts w:eastAsia="" w:cs="" w:cstheme="minorBidi" w:eastAsiaTheme="minorEastAsia"/>
                <w:sz w:val="22"/>
                <w:szCs w:val="22"/>
              </w:rPr>
              <w:tab/>
            </w:r>
            <w:r>
              <w:rPr>
                <w:rStyle w:val="Sautdindex"/>
              </w:rPr>
              <w:t>Éclairage de sécurité</w:t>
            </w:r>
            <w:r>
              <w:rPr>
                <w:webHidden/>
              </w:rPr>
              <w:fldChar w:fldCharType="begin"/>
            </w:r>
            <w:r>
              <w:rPr>
                <w:webHidden/>
              </w:rPr>
              <w:instrText>PAGEREF _Toc32334607 \h</w:instrText>
            </w:r>
            <w:r>
              <w:rPr>
                <w:webHidden/>
              </w:rPr>
              <w:fldChar w:fldCharType="separate"/>
            </w:r>
            <w:r>
              <w:rPr>
                <w:rStyle w:val="Sautdindex"/>
                <w:vanish w:val="false"/>
              </w:rPr>
              <w:tab/>
              <w:t>65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08">
            <w:r>
              <w:rPr>
                <w:webHidden/>
                <w:rStyle w:val="Sautdindex"/>
                <w:rFonts w:cs="Times New Roman"/>
              </w:rPr>
              <w:t>2.9.3.3.</w:t>
            </w:r>
            <w:r>
              <w:rPr>
                <w:rStyle w:val="Sautdindex"/>
                <w:rFonts w:eastAsia="" w:cs="" w:cstheme="minorBidi" w:eastAsiaTheme="minorEastAsia"/>
                <w:sz w:val="22"/>
                <w:szCs w:val="22"/>
              </w:rPr>
              <w:tab/>
            </w:r>
            <w:r>
              <w:rPr>
                <w:rStyle w:val="Sautdindex"/>
              </w:rPr>
              <w:t>Moyens d’extinction</w:t>
            </w:r>
            <w:r>
              <w:rPr>
                <w:webHidden/>
              </w:rPr>
              <w:fldChar w:fldCharType="begin"/>
            </w:r>
            <w:r>
              <w:rPr>
                <w:webHidden/>
              </w:rPr>
              <w:instrText>PAGEREF _Toc32334608 \h</w:instrText>
            </w:r>
            <w:r>
              <w:rPr>
                <w:webHidden/>
              </w:rPr>
              <w:fldChar w:fldCharType="separate"/>
            </w:r>
            <w:r>
              <w:rPr>
                <w:rStyle w:val="Sautdindex"/>
                <w:vanish w:val="false"/>
              </w:rPr>
              <w:tab/>
              <w:t>65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09">
            <w:r>
              <w:rPr>
                <w:webHidden/>
                <w:rStyle w:val="Sautdindex"/>
                <w:rFonts w:cs="Times New Roman"/>
              </w:rPr>
              <w:t>2.9.3.4.</w:t>
            </w:r>
            <w:r>
              <w:rPr>
                <w:rStyle w:val="Sautdindex"/>
                <w:rFonts w:eastAsia="" w:cs="" w:cstheme="minorBidi" w:eastAsiaTheme="minorEastAsia"/>
                <w:sz w:val="22"/>
                <w:szCs w:val="22"/>
              </w:rPr>
              <w:tab/>
            </w:r>
            <w:r>
              <w:rPr>
                <w:rStyle w:val="Sautdindex"/>
              </w:rPr>
              <w:t>Câblage d’alimentation</w:t>
            </w:r>
            <w:r>
              <w:rPr>
                <w:webHidden/>
              </w:rPr>
              <w:fldChar w:fldCharType="begin"/>
            </w:r>
            <w:r>
              <w:rPr>
                <w:webHidden/>
              </w:rPr>
              <w:instrText>PAGEREF _Toc32334609 \h</w:instrText>
            </w:r>
            <w:r>
              <w:rPr>
                <w:webHidden/>
              </w:rPr>
              <w:fldChar w:fldCharType="separate"/>
            </w:r>
            <w:r>
              <w:rPr>
                <w:rStyle w:val="Sautdindex"/>
                <w:vanish w:val="false"/>
              </w:rPr>
              <w:tab/>
              <w:t>65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10">
            <w:r>
              <w:rPr>
                <w:webHidden/>
                <w:rStyle w:val="Sautdindex"/>
                <w:rFonts w:cs="Times New Roman"/>
                <w14:scene3d>
                  <w14:camera w14:prst="orthographicFront"/>
                  <w14:lightRig w14:rig="threePt" w14:dir="t">
                    <w14:rot w14:lat="0" w14:lon="0" w14:rev="0"/>
                  </w14:lightRig>
                </w14:scene3d>
              </w:rPr>
              <w:t>2.9.4.</w:t>
            </w:r>
            <w:r>
              <w:rPr>
                <w:rStyle w:val="Sautdindex"/>
                <w:rFonts w:eastAsia="" w:cs="" w:cstheme="minorBidi" w:eastAsiaTheme="minorEastAsia"/>
                <w:i w:val="false"/>
                <w:iCs w:val="false"/>
                <w:sz w:val="22"/>
                <w:szCs w:val="22"/>
              </w:rPr>
              <w:tab/>
            </w:r>
            <w:r>
              <w:rPr>
                <w:rStyle w:val="Sautdindex"/>
              </w:rPr>
              <w:t>Consistance des travaux</w:t>
            </w:r>
            <w:r>
              <w:rPr>
                <w:webHidden/>
              </w:rPr>
              <w:fldChar w:fldCharType="begin"/>
            </w:r>
            <w:r>
              <w:rPr>
                <w:webHidden/>
              </w:rPr>
              <w:instrText>PAGEREF _Toc32334610 \h</w:instrText>
            </w:r>
            <w:r>
              <w:rPr>
                <w:webHidden/>
              </w:rPr>
              <w:fldChar w:fldCharType="separate"/>
            </w:r>
            <w:r>
              <w:rPr>
                <w:rStyle w:val="Sautdindex"/>
                <w:vanish w:val="false"/>
              </w:rPr>
              <w:tab/>
              <w:t>66</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11">
            <w:r>
              <w:rPr>
                <w:webHidden/>
                <w:rStyle w:val="Sautdindex"/>
                <w:b/>
              </w:rPr>
              <w:t>2.10.</w:t>
            </w:r>
            <w:r>
              <w:rPr>
                <w:rStyle w:val="Sautdindex"/>
                <w:rFonts w:eastAsia="" w:cs="" w:cstheme="minorBidi" w:eastAsiaTheme="minorEastAsia"/>
                <w:caps w:val="false"/>
                <w:smallCaps w:val="false"/>
                <w:sz w:val="22"/>
                <w:szCs w:val="22"/>
              </w:rPr>
              <w:tab/>
            </w:r>
            <w:r>
              <w:rPr>
                <w:rStyle w:val="Sautdindex"/>
              </w:rPr>
              <w:t>Climatisation chauffage</w:t>
            </w:r>
            <w:r>
              <w:rPr>
                <w:webHidden/>
              </w:rPr>
              <w:fldChar w:fldCharType="begin"/>
            </w:r>
            <w:r>
              <w:rPr>
                <w:webHidden/>
              </w:rPr>
              <w:instrText>PAGEREF _Toc32334611 \h</w:instrText>
            </w:r>
            <w:r>
              <w:rPr>
                <w:webHidden/>
              </w:rPr>
              <w:fldChar w:fldCharType="separate"/>
            </w:r>
            <w:r>
              <w:rPr>
                <w:rStyle w:val="Sautdindex"/>
                <w:vanish w:val="false"/>
              </w:rPr>
              <w:tab/>
              <w:t>67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12">
            <w:r>
              <w:rPr>
                <w:webHidden/>
                <w:rStyle w:val="Sautdindex"/>
                <w:rFonts w:cs="Times New Roman"/>
                <w14:scene3d>
                  <w14:camera w14:prst="orthographicFront"/>
                  <w14:lightRig w14:rig="threePt" w14:dir="t">
                    <w14:rot w14:lat="0" w14:lon="0" w14:rev="0"/>
                  </w14:lightRig>
                </w14:scene3d>
              </w:rPr>
              <w:t>2.10.1.</w:t>
            </w:r>
            <w:r>
              <w:rPr>
                <w:rStyle w:val="Sautdindex"/>
                <w:rFonts w:eastAsia="" w:cs="" w:cstheme="minorBidi" w:eastAsiaTheme="minorEastAsia"/>
                <w:i w:val="false"/>
                <w:iCs w:val="false"/>
                <w:sz w:val="22"/>
                <w:szCs w:val="22"/>
              </w:rPr>
              <w:tab/>
            </w:r>
            <w:r>
              <w:rPr>
                <w:rStyle w:val="Sautdindex"/>
              </w:rPr>
              <w:t>Description des installations existantes</w:t>
            </w:r>
            <w:r>
              <w:rPr>
                <w:webHidden/>
              </w:rPr>
              <w:fldChar w:fldCharType="begin"/>
            </w:r>
            <w:r>
              <w:rPr>
                <w:webHidden/>
              </w:rPr>
              <w:instrText>PAGEREF _Toc32334612 \h</w:instrText>
            </w:r>
            <w:r>
              <w:rPr>
                <w:webHidden/>
              </w:rPr>
              <w:fldChar w:fldCharType="separate"/>
            </w:r>
            <w:r>
              <w:rPr>
                <w:rStyle w:val="Sautdindex"/>
                <w:vanish w:val="false"/>
              </w:rPr>
              <w:tab/>
              <w:t>67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13">
            <w:r>
              <w:rPr>
                <w:webHidden/>
                <w:rStyle w:val="Sautdindex"/>
                <w:rFonts w:cs="Times New Roman"/>
                <w14:scene3d>
                  <w14:camera w14:prst="orthographicFront"/>
                  <w14:lightRig w14:rig="threePt" w14:dir="t">
                    <w14:rot w14:lat="0" w14:lon="0" w14:rev="0"/>
                  </w14:lightRig>
                </w14:scene3d>
              </w:rPr>
              <w:t>2.10.2.</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_Toc32334613 \h</w:instrText>
            </w:r>
            <w:r>
              <w:rPr>
                <w:webHidden/>
              </w:rPr>
              <w:fldChar w:fldCharType="separate"/>
            </w:r>
            <w:r>
              <w:rPr>
                <w:rStyle w:val="Sautdindex"/>
                <w:vanish w:val="false"/>
              </w:rPr>
              <w:tab/>
              <w:t>67</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14">
            <w:r>
              <w:rPr>
                <w:webHidden/>
                <w:rStyle w:val="Sautdindex"/>
                <w:rFonts w:cs="Times New Roman"/>
              </w:rPr>
              <w:t>2.10.2.1.</w:t>
            </w:r>
            <w:r>
              <w:rPr>
                <w:rStyle w:val="Sautdindex"/>
                <w:rFonts w:eastAsia="" w:cs="" w:cstheme="minorBidi" w:eastAsiaTheme="minorEastAsia"/>
                <w:sz w:val="22"/>
                <w:szCs w:val="22"/>
              </w:rPr>
              <w:tab/>
            </w:r>
            <w:r>
              <w:rPr>
                <w:rStyle w:val="Sautdindex"/>
              </w:rPr>
              <w:t>Présentation</w:t>
            </w:r>
            <w:r>
              <w:rPr>
                <w:webHidden/>
              </w:rPr>
              <w:fldChar w:fldCharType="begin"/>
            </w:r>
            <w:r>
              <w:rPr>
                <w:webHidden/>
              </w:rPr>
              <w:instrText>PAGEREF _Toc32334614 \h</w:instrText>
            </w:r>
            <w:r>
              <w:rPr>
                <w:webHidden/>
              </w:rPr>
              <w:fldChar w:fldCharType="separate"/>
            </w:r>
            <w:r>
              <w:rPr>
                <w:rStyle w:val="Sautdindex"/>
                <w:vanish w:val="false"/>
              </w:rPr>
              <w:tab/>
              <w:t>67</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15">
            <w:r>
              <w:rPr>
                <w:webHidden/>
                <w:rStyle w:val="Sautdindex"/>
                <w:rFonts w:cs="Times New Roman"/>
              </w:rPr>
              <w:t>2.10.2.2.</w:t>
            </w:r>
            <w:r>
              <w:rPr>
                <w:rStyle w:val="Sautdindex"/>
                <w:rFonts w:eastAsia="" w:cs="" w:cstheme="minorBidi" w:eastAsiaTheme="minorEastAsia"/>
                <w:sz w:val="22"/>
                <w:szCs w:val="22"/>
              </w:rPr>
              <w:tab/>
            </w:r>
            <w:r>
              <w:rPr>
                <w:rStyle w:val="Sautdindex"/>
              </w:rPr>
              <w:t>Salle d’exploitation</w:t>
            </w:r>
            <w:r>
              <w:rPr>
                <w:webHidden/>
              </w:rPr>
              <w:fldChar w:fldCharType="begin"/>
            </w:r>
            <w:r>
              <w:rPr>
                <w:webHidden/>
              </w:rPr>
              <w:instrText>PAGEREF _Toc32334615 \h</w:instrText>
            </w:r>
            <w:r>
              <w:rPr>
                <w:webHidden/>
              </w:rPr>
              <w:fldChar w:fldCharType="separate"/>
            </w:r>
            <w:r>
              <w:rPr>
                <w:rStyle w:val="Sautdindex"/>
                <w:vanish w:val="false"/>
              </w:rPr>
              <w:tab/>
              <w:t>67</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16">
            <w:r>
              <w:rPr>
                <w:webHidden/>
                <w:rStyle w:val="Sautdindex"/>
                <w:rFonts w:cs="Times New Roman"/>
              </w:rPr>
              <w:t>2.10.2.3.</w:t>
            </w:r>
            <w:r>
              <w:rPr>
                <w:rStyle w:val="Sautdindex"/>
                <w:rFonts w:eastAsia="" w:cs="" w:cstheme="minorBidi" w:eastAsiaTheme="minorEastAsia"/>
                <w:sz w:val="22"/>
                <w:szCs w:val="22"/>
              </w:rPr>
              <w:tab/>
            </w:r>
            <w:r>
              <w:rPr>
                <w:rStyle w:val="Sautdindex"/>
              </w:rPr>
              <w:t>Salle de crise</w:t>
            </w:r>
            <w:r>
              <w:rPr>
                <w:webHidden/>
              </w:rPr>
              <w:fldChar w:fldCharType="begin"/>
            </w:r>
            <w:r>
              <w:rPr>
                <w:webHidden/>
              </w:rPr>
              <w:instrText>PAGEREF _Toc32334616 \h</w:instrText>
            </w:r>
            <w:r>
              <w:rPr>
                <w:webHidden/>
              </w:rPr>
              <w:fldChar w:fldCharType="separate"/>
            </w:r>
            <w:r>
              <w:rPr>
                <w:rStyle w:val="Sautdindex"/>
                <w:vanish w:val="false"/>
              </w:rPr>
              <w:tab/>
              <w:t>68</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17">
            <w:r>
              <w:rPr>
                <w:webHidden/>
                <w:rStyle w:val="Sautdindex"/>
                <w:rFonts w:cs="Times New Roman"/>
              </w:rPr>
              <w:t>2.10.2.4.</w:t>
            </w:r>
            <w:r>
              <w:rPr>
                <w:rStyle w:val="Sautdindex"/>
                <w:rFonts w:eastAsia="" w:cs="" w:cstheme="minorBidi" w:eastAsiaTheme="minorEastAsia"/>
                <w:sz w:val="22"/>
                <w:szCs w:val="22"/>
              </w:rPr>
              <w:tab/>
            </w:r>
            <w:r>
              <w:rPr>
                <w:rStyle w:val="Sautdindex"/>
              </w:rPr>
              <w:t>Local de reproduction</w:t>
            </w:r>
            <w:r>
              <w:rPr>
                <w:webHidden/>
              </w:rPr>
              <w:fldChar w:fldCharType="begin"/>
            </w:r>
            <w:r>
              <w:rPr>
                <w:webHidden/>
              </w:rPr>
              <w:instrText>PAGEREF _Toc32334617 \h</w:instrText>
            </w:r>
            <w:r>
              <w:rPr>
                <w:webHidden/>
              </w:rPr>
              <w:fldChar w:fldCharType="separate"/>
            </w:r>
            <w:r>
              <w:rPr>
                <w:rStyle w:val="Sautdindex"/>
                <w:vanish w:val="false"/>
              </w:rPr>
              <w:tab/>
              <w:t>69</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18">
            <w:r>
              <w:rPr>
                <w:webHidden/>
                <w:rStyle w:val="Sautdindex"/>
                <w:rFonts w:cs="Times New Roman"/>
              </w:rPr>
              <w:t>2.10.2.5.</w:t>
            </w:r>
            <w:r>
              <w:rPr>
                <w:rStyle w:val="Sautdindex"/>
                <w:rFonts w:eastAsia="" w:cs="" w:cstheme="minorBidi" w:eastAsiaTheme="minorEastAsia"/>
                <w:sz w:val="22"/>
                <w:szCs w:val="22"/>
              </w:rPr>
              <w:tab/>
            </w:r>
            <w:r>
              <w:rPr>
                <w:rStyle w:val="Sautdindex"/>
              </w:rPr>
              <w:t>Local technique Mur d’images</w:t>
            </w:r>
            <w:r>
              <w:rPr>
                <w:webHidden/>
              </w:rPr>
              <w:fldChar w:fldCharType="begin"/>
            </w:r>
            <w:r>
              <w:rPr>
                <w:webHidden/>
              </w:rPr>
              <w:instrText>PAGEREF _Toc32334618 \h</w:instrText>
            </w:r>
            <w:r>
              <w:rPr>
                <w:webHidden/>
              </w:rPr>
              <w:fldChar w:fldCharType="separate"/>
            </w:r>
            <w:r>
              <w:rPr>
                <w:rStyle w:val="Sautdindex"/>
                <w:vanish w:val="false"/>
              </w:rPr>
              <w:tab/>
              <w:t>69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19">
            <w:r>
              <w:rPr>
                <w:webHidden/>
                <w:rStyle w:val="Sautdindex"/>
                <w:rFonts w:cs="Times New Roman"/>
                <w14:scene3d>
                  <w14:camera w14:prst="orthographicFront"/>
                  <w14:lightRig w14:rig="threePt" w14:dir="t">
                    <w14:rot w14:lat="0" w14:lon="0" w14:rev="0"/>
                  </w14:lightRig>
                </w14:scene3d>
              </w:rPr>
              <w:t>2.10.3.</w:t>
            </w:r>
            <w:r>
              <w:rPr>
                <w:rStyle w:val="Sautdindex"/>
                <w:rFonts w:eastAsia="" w:cs="" w:cstheme="minorBidi" w:eastAsiaTheme="minorEastAsia"/>
                <w:i w:val="false"/>
                <w:iCs w:val="false"/>
                <w:sz w:val="22"/>
                <w:szCs w:val="22"/>
              </w:rPr>
              <w:tab/>
            </w:r>
            <w:r>
              <w:rPr>
                <w:rStyle w:val="Sautdindex"/>
              </w:rPr>
              <w:t>Calcul des charges de climatisation et principes d’installation</w:t>
            </w:r>
            <w:r>
              <w:rPr>
                <w:webHidden/>
              </w:rPr>
              <w:fldChar w:fldCharType="begin"/>
            </w:r>
            <w:r>
              <w:rPr>
                <w:webHidden/>
              </w:rPr>
              <w:instrText>PAGEREF _Toc32334619 \h</w:instrText>
            </w:r>
            <w:r>
              <w:rPr>
                <w:webHidden/>
              </w:rPr>
              <w:fldChar w:fldCharType="separate"/>
            </w:r>
            <w:r>
              <w:rPr>
                <w:rStyle w:val="Sautdindex"/>
                <w:vanish w:val="false"/>
              </w:rPr>
              <w:tab/>
              <w:t>69</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20">
            <w:r>
              <w:rPr>
                <w:webHidden/>
                <w:rStyle w:val="Sautdindex"/>
                <w:rFonts w:cs="Times New Roman"/>
              </w:rPr>
              <w:t>2.10.3.1.</w:t>
            </w:r>
            <w:r>
              <w:rPr>
                <w:rStyle w:val="Sautdindex"/>
                <w:rFonts w:eastAsia="" w:cs="" w:cstheme="minorBidi" w:eastAsiaTheme="minorEastAsia"/>
                <w:sz w:val="22"/>
                <w:szCs w:val="22"/>
              </w:rPr>
              <w:tab/>
            </w:r>
            <w:r>
              <w:rPr>
                <w:rStyle w:val="Sautdindex"/>
              </w:rPr>
              <w:t>Méthode de calcul des installations</w:t>
            </w:r>
            <w:r>
              <w:rPr>
                <w:webHidden/>
              </w:rPr>
              <w:fldChar w:fldCharType="begin"/>
            </w:r>
            <w:r>
              <w:rPr>
                <w:webHidden/>
              </w:rPr>
              <w:instrText>PAGEREF _Toc32334620 \h</w:instrText>
            </w:r>
            <w:r>
              <w:rPr>
                <w:webHidden/>
              </w:rPr>
              <w:fldChar w:fldCharType="separate"/>
            </w:r>
            <w:r>
              <w:rPr>
                <w:rStyle w:val="Sautdindex"/>
                <w:vanish w:val="false"/>
              </w:rPr>
              <w:tab/>
              <w:t>69</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21">
            <w:r>
              <w:rPr>
                <w:webHidden/>
                <w:rStyle w:val="Sautdindex"/>
                <w:rFonts w:cs="Times New Roman"/>
              </w:rPr>
              <w:t>2.10.3.2.</w:t>
            </w:r>
            <w:r>
              <w:rPr>
                <w:rStyle w:val="Sautdindex"/>
                <w:rFonts w:eastAsia="" w:cs="" w:cstheme="minorBidi" w:eastAsiaTheme="minorEastAsia"/>
                <w:sz w:val="22"/>
                <w:szCs w:val="22"/>
              </w:rPr>
              <w:tab/>
            </w:r>
            <w:r>
              <w:rPr>
                <w:rStyle w:val="Sautdindex"/>
              </w:rPr>
              <w:t>Salle d’exploitation</w:t>
            </w:r>
            <w:r>
              <w:rPr>
                <w:webHidden/>
              </w:rPr>
              <w:fldChar w:fldCharType="begin"/>
            </w:r>
            <w:r>
              <w:rPr>
                <w:webHidden/>
              </w:rPr>
              <w:instrText>PAGEREF _Toc32334621 \h</w:instrText>
            </w:r>
            <w:r>
              <w:rPr>
                <w:webHidden/>
              </w:rPr>
              <w:fldChar w:fldCharType="separate"/>
            </w:r>
            <w:r>
              <w:rPr>
                <w:rStyle w:val="Sautdindex"/>
                <w:vanish w:val="false"/>
              </w:rPr>
              <w:tab/>
              <w:t>70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22">
            <w:r>
              <w:rPr>
                <w:webHidden/>
                <w:rStyle w:val="Sautdindex"/>
                <w:rFonts w:cs="Times New Roman"/>
              </w:rPr>
              <w:t>2.10.3.3.</w:t>
            </w:r>
            <w:r>
              <w:rPr>
                <w:rStyle w:val="Sautdindex"/>
                <w:rFonts w:eastAsia="" w:cs="" w:cstheme="minorBidi" w:eastAsiaTheme="minorEastAsia"/>
                <w:sz w:val="22"/>
                <w:szCs w:val="22"/>
              </w:rPr>
              <w:tab/>
            </w:r>
            <w:r>
              <w:rPr>
                <w:rStyle w:val="Sautdindex"/>
              </w:rPr>
              <w:t>Salle de crise</w:t>
            </w:r>
            <w:r>
              <w:rPr>
                <w:webHidden/>
              </w:rPr>
              <w:fldChar w:fldCharType="begin"/>
            </w:r>
            <w:r>
              <w:rPr>
                <w:webHidden/>
              </w:rPr>
              <w:instrText>PAGEREF _Toc32334622 \h</w:instrText>
            </w:r>
            <w:r>
              <w:rPr>
                <w:webHidden/>
              </w:rPr>
              <w:fldChar w:fldCharType="separate"/>
            </w:r>
            <w:r>
              <w:rPr>
                <w:rStyle w:val="Sautdindex"/>
                <w:vanish w:val="false"/>
              </w:rPr>
              <w:tab/>
              <w:t>70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23">
            <w:r>
              <w:rPr>
                <w:webHidden/>
                <w:rStyle w:val="Sautdindex"/>
                <w:rFonts w:cs="Times New Roman"/>
              </w:rPr>
              <w:t>2.10.3.4.</w:t>
            </w:r>
            <w:r>
              <w:rPr>
                <w:rStyle w:val="Sautdindex"/>
                <w:rFonts w:eastAsia="" w:cs="" w:cstheme="minorBidi" w:eastAsiaTheme="minorEastAsia"/>
                <w:sz w:val="22"/>
                <w:szCs w:val="22"/>
              </w:rPr>
              <w:tab/>
            </w:r>
            <w:r>
              <w:rPr>
                <w:rStyle w:val="Sautdindex"/>
              </w:rPr>
              <w:t>Local technique mur d’images</w:t>
            </w:r>
            <w:r>
              <w:rPr>
                <w:webHidden/>
              </w:rPr>
              <w:fldChar w:fldCharType="begin"/>
            </w:r>
            <w:r>
              <w:rPr>
                <w:webHidden/>
              </w:rPr>
              <w:instrText>PAGEREF _Toc32334623 \h</w:instrText>
            </w:r>
            <w:r>
              <w:rPr>
                <w:webHidden/>
              </w:rPr>
              <w:fldChar w:fldCharType="separate"/>
            </w:r>
            <w:r>
              <w:rPr>
                <w:rStyle w:val="Sautdindex"/>
                <w:vanish w:val="false"/>
              </w:rPr>
              <w:tab/>
              <w:t>70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24">
            <w:r>
              <w:rPr>
                <w:webHidden/>
                <w:rStyle w:val="Sautdindex"/>
                <w:rFonts w:cs="Times New Roman"/>
              </w:rPr>
              <w:t>2.10.3.5.</w:t>
            </w:r>
            <w:r>
              <w:rPr>
                <w:rStyle w:val="Sautdindex"/>
                <w:rFonts w:eastAsia="" w:cs="" w:cstheme="minorBidi" w:eastAsiaTheme="minorEastAsia"/>
                <w:sz w:val="22"/>
                <w:szCs w:val="22"/>
              </w:rPr>
              <w:tab/>
            </w:r>
            <w:r>
              <w:rPr>
                <w:rStyle w:val="Sautdindex"/>
              </w:rPr>
              <w:t>Local reproduction</w:t>
            </w:r>
            <w:r>
              <w:rPr>
                <w:webHidden/>
              </w:rPr>
              <w:fldChar w:fldCharType="begin"/>
            </w:r>
            <w:r>
              <w:rPr>
                <w:webHidden/>
              </w:rPr>
              <w:instrText>PAGEREF _Toc32334624 \h</w:instrText>
            </w:r>
            <w:r>
              <w:rPr>
                <w:webHidden/>
              </w:rPr>
              <w:fldChar w:fldCharType="separate"/>
            </w:r>
            <w:r>
              <w:rPr>
                <w:rStyle w:val="Sautdindex"/>
                <w:vanish w:val="false"/>
              </w:rPr>
              <w:tab/>
              <w:t>70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25">
            <w:r>
              <w:rPr>
                <w:webHidden/>
                <w:rStyle w:val="Sautdindex"/>
                <w:rFonts w:cs="Times New Roman"/>
                <w14:scene3d>
                  <w14:camera w14:prst="orthographicFront"/>
                  <w14:lightRig w14:rig="threePt" w14:dir="t">
                    <w14:rot w14:lat="0" w14:lon="0" w14:rev="0"/>
                  </w14:lightRig>
                </w14:scene3d>
              </w:rPr>
              <w:t>2.10.4.</w:t>
            </w:r>
            <w:r>
              <w:rPr>
                <w:rStyle w:val="Sautdindex"/>
                <w:rFonts w:eastAsia="" w:cs="" w:cstheme="minorBidi" w:eastAsiaTheme="minorEastAsia"/>
                <w:i w:val="false"/>
                <w:iCs w:val="false"/>
                <w:sz w:val="22"/>
                <w:szCs w:val="22"/>
              </w:rPr>
              <w:tab/>
            </w:r>
            <w:r>
              <w:rPr>
                <w:rStyle w:val="Sautdindex"/>
              </w:rPr>
              <w:t>Air neuf</w:t>
            </w:r>
            <w:r>
              <w:rPr>
                <w:webHidden/>
              </w:rPr>
              <w:fldChar w:fldCharType="begin"/>
            </w:r>
            <w:r>
              <w:rPr>
                <w:webHidden/>
              </w:rPr>
              <w:instrText>PAGEREF _Toc32334625 \h</w:instrText>
            </w:r>
            <w:r>
              <w:rPr>
                <w:webHidden/>
              </w:rPr>
              <w:fldChar w:fldCharType="separate"/>
            </w:r>
            <w:r>
              <w:rPr>
                <w:rStyle w:val="Sautdindex"/>
                <w:vanish w:val="false"/>
              </w:rPr>
              <w:tab/>
              <w:t>71</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26">
            <w:r>
              <w:rPr>
                <w:webHidden/>
                <w:rStyle w:val="Sautdindex"/>
                <w:rFonts w:cs="Times New Roman"/>
              </w:rPr>
              <w:t>2.10.4.1.</w:t>
            </w:r>
            <w:r>
              <w:rPr>
                <w:rStyle w:val="Sautdindex"/>
                <w:rFonts w:eastAsia="" w:cs="" w:cstheme="minorBidi" w:eastAsiaTheme="minorEastAsia"/>
                <w:sz w:val="22"/>
                <w:szCs w:val="22"/>
              </w:rPr>
              <w:tab/>
            </w:r>
            <w:r>
              <w:rPr>
                <w:rStyle w:val="Sautdindex"/>
              </w:rPr>
              <w:t>Dispositions projetées</w:t>
            </w:r>
            <w:r>
              <w:rPr>
                <w:webHidden/>
              </w:rPr>
              <w:fldChar w:fldCharType="begin"/>
            </w:r>
            <w:r>
              <w:rPr>
                <w:webHidden/>
              </w:rPr>
              <w:instrText>PAGEREF _Toc32334626 \h</w:instrText>
            </w:r>
            <w:r>
              <w:rPr>
                <w:webHidden/>
              </w:rPr>
              <w:fldChar w:fldCharType="separate"/>
            </w:r>
            <w:r>
              <w:rPr>
                <w:rStyle w:val="Sautdindex"/>
                <w:vanish w:val="false"/>
              </w:rPr>
              <w:tab/>
              <w:t>71</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27">
            <w:r>
              <w:rPr>
                <w:webHidden/>
                <w:rStyle w:val="Sautdindex"/>
                <w:rFonts w:cs="Times New Roman"/>
              </w:rPr>
              <w:t>2.10.4.2.</w:t>
            </w:r>
            <w:r>
              <w:rPr>
                <w:rStyle w:val="Sautdindex"/>
                <w:rFonts w:eastAsia="" w:cs="" w:cstheme="minorBidi" w:eastAsiaTheme="minorEastAsia"/>
                <w:sz w:val="22"/>
                <w:szCs w:val="22"/>
              </w:rPr>
              <w:tab/>
            </w:r>
            <w:r>
              <w:rPr>
                <w:rStyle w:val="Sautdindex"/>
              </w:rPr>
              <w:t>Salle d’exploitation</w:t>
            </w:r>
            <w:r>
              <w:rPr>
                <w:webHidden/>
              </w:rPr>
              <w:fldChar w:fldCharType="begin"/>
            </w:r>
            <w:r>
              <w:rPr>
                <w:webHidden/>
              </w:rPr>
              <w:instrText>PAGEREF _Toc32334627 \h</w:instrText>
            </w:r>
            <w:r>
              <w:rPr>
                <w:webHidden/>
              </w:rPr>
              <w:fldChar w:fldCharType="separate"/>
            </w:r>
            <w:r>
              <w:rPr>
                <w:rStyle w:val="Sautdindex"/>
                <w:vanish w:val="false"/>
              </w:rPr>
              <w:tab/>
              <w:t>71</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28">
            <w:r>
              <w:rPr>
                <w:webHidden/>
                <w:rStyle w:val="Sautdindex"/>
                <w:rFonts w:cs="Times New Roman"/>
              </w:rPr>
              <w:t>2.10.4.3.</w:t>
            </w:r>
            <w:r>
              <w:rPr>
                <w:rStyle w:val="Sautdindex"/>
                <w:rFonts w:eastAsia="" w:cs="" w:cstheme="minorBidi" w:eastAsiaTheme="minorEastAsia"/>
                <w:sz w:val="22"/>
                <w:szCs w:val="22"/>
              </w:rPr>
              <w:tab/>
            </w:r>
            <w:r>
              <w:rPr>
                <w:rStyle w:val="Sautdindex"/>
              </w:rPr>
              <w:t>Salle de crise</w:t>
            </w:r>
            <w:r>
              <w:rPr>
                <w:webHidden/>
              </w:rPr>
              <w:fldChar w:fldCharType="begin"/>
            </w:r>
            <w:r>
              <w:rPr>
                <w:webHidden/>
              </w:rPr>
              <w:instrText>PAGEREF _Toc32334628 \h</w:instrText>
            </w:r>
            <w:r>
              <w:rPr>
                <w:webHidden/>
              </w:rPr>
              <w:fldChar w:fldCharType="separate"/>
            </w:r>
            <w:r>
              <w:rPr>
                <w:rStyle w:val="Sautdindex"/>
                <w:vanish w:val="false"/>
              </w:rPr>
              <w:tab/>
              <w:t>71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29">
            <w:r>
              <w:rPr>
                <w:webHidden/>
                <w:rStyle w:val="Sautdindex"/>
                <w:rFonts w:cs="Times New Roman"/>
                <w14:scene3d>
                  <w14:camera w14:prst="orthographicFront"/>
                  <w14:lightRig w14:rig="threePt" w14:dir="t">
                    <w14:rot w14:lat="0" w14:lon="0" w14:rev="0"/>
                  </w14:lightRig>
                </w14:scene3d>
              </w:rPr>
              <w:t>2.10.5.</w:t>
            </w:r>
            <w:r>
              <w:rPr>
                <w:rStyle w:val="Sautdindex"/>
                <w:rFonts w:eastAsia="" w:cs="" w:cstheme="minorBidi" w:eastAsiaTheme="minorEastAsia"/>
                <w:i w:val="false"/>
                <w:iCs w:val="false"/>
                <w:sz w:val="22"/>
                <w:szCs w:val="22"/>
              </w:rPr>
              <w:tab/>
            </w:r>
            <w:r>
              <w:rPr>
                <w:rStyle w:val="Sautdindex"/>
              </w:rPr>
              <w:t>Spécifications particulières des équipements</w:t>
            </w:r>
            <w:r>
              <w:rPr>
                <w:webHidden/>
              </w:rPr>
              <w:fldChar w:fldCharType="begin"/>
            </w:r>
            <w:r>
              <w:rPr>
                <w:webHidden/>
              </w:rPr>
              <w:instrText>PAGEREF _Toc32334629 \h</w:instrText>
            </w:r>
            <w:r>
              <w:rPr>
                <w:webHidden/>
              </w:rPr>
              <w:fldChar w:fldCharType="separate"/>
            </w:r>
            <w:r>
              <w:rPr>
                <w:rStyle w:val="Sautdindex"/>
                <w:vanish w:val="false"/>
              </w:rPr>
              <w:tab/>
              <w:t>71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30">
            <w:r>
              <w:rPr>
                <w:webHidden/>
                <w:rStyle w:val="Sautdindex"/>
                <w:rFonts w:cs="Times New Roman"/>
              </w:rPr>
              <w:t>1.1.1.1.</w:t>
            </w:r>
            <w:r>
              <w:rPr>
                <w:rStyle w:val="Sautdindex"/>
                <w:rFonts w:eastAsia="" w:cs="" w:cstheme="minorBidi" w:eastAsiaTheme="minorEastAsia"/>
                <w:sz w:val="22"/>
                <w:szCs w:val="22"/>
              </w:rPr>
              <w:tab/>
            </w:r>
            <w:r>
              <w:rPr>
                <w:rStyle w:val="Sautdindex"/>
              </w:rPr>
              <w:t>Système de climatisation</w:t>
            </w:r>
            <w:r>
              <w:rPr>
                <w:webHidden/>
              </w:rPr>
              <w:fldChar w:fldCharType="begin"/>
            </w:r>
            <w:r>
              <w:rPr>
                <w:webHidden/>
              </w:rPr>
              <w:instrText>PAGEREF _Toc32334630 \h</w:instrText>
            </w:r>
            <w:r>
              <w:rPr>
                <w:webHidden/>
              </w:rPr>
              <w:fldChar w:fldCharType="separate"/>
            </w:r>
            <w:r>
              <w:rPr>
                <w:rStyle w:val="Sautdindex"/>
                <w:vanish w:val="false"/>
              </w:rPr>
              <w:tab/>
              <w:t>71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31">
            <w:r>
              <w:rPr>
                <w:webHidden/>
                <w:rStyle w:val="Sautdindex"/>
                <w:rFonts w:cs="Times New Roman"/>
              </w:rPr>
              <w:t>1.1.1.2.</w:t>
            </w:r>
            <w:r>
              <w:rPr>
                <w:rStyle w:val="Sautdindex"/>
                <w:rFonts w:eastAsia="" w:cs="" w:cstheme="minorBidi" w:eastAsiaTheme="minorEastAsia"/>
                <w:sz w:val="22"/>
                <w:szCs w:val="22"/>
              </w:rPr>
              <w:tab/>
            </w:r>
            <w:r>
              <w:rPr>
                <w:rStyle w:val="Sautdindex"/>
              </w:rPr>
              <w:t>Gaines</w:t>
            </w:r>
            <w:r>
              <w:rPr>
                <w:webHidden/>
              </w:rPr>
              <w:fldChar w:fldCharType="begin"/>
            </w:r>
            <w:r>
              <w:rPr>
                <w:webHidden/>
              </w:rPr>
              <w:instrText>PAGEREF _Toc32334631 \h</w:instrText>
            </w:r>
            <w:r>
              <w:rPr>
                <w:webHidden/>
              </w:rPr>
              <w:fldChar w:fldCharType="separate"/>
            </w:r>
            <w:r>
              <w:rPr>
                <w:rStyle w:val="Sautdindex"/>
                <w:vanish w:val="false"/>
              </w:rPr>
              <w:tab/>
              <w:t>72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32">
            <w:r>
              <w:rPr>
                <w:webHidden/>
                <w:rStyle w:val="Sautdindex"/>
                <w:rFonts w:cs="Times New Roman"/>
                <w14:scene3d>
                  <w14:camera w14:prst="orthographicFront"/>
                  <w14:lightRig w14:rig="threePt" w14:dir="t">
                    <w14:rot w14:lat="0" w14:lon="0" w14:rev="0"/>
                  </w14:lightRig>
                </w14:scene3d>
              </w:rPr>
              <w:t>2.10.6.</w:t>
            </w:r>
            <w:r>
              <w:rPr>
                <w:rStyle w:val="Sautdindex"/>
                <w:rFonts w:eastAsia="" w:cs="" w:cstheme="minorBidi" w:eastAsiaTheme="minorEastAsia"/>
                <w:i w:val="false"/>
                <w:iCs w:val="false"/>
                <w:sz w:val="22"/>
                <w:szCs w:val="22"/>
              </w:rPr>
              <w:tab/>
            </w:r>
            <w:r>
              <w:rPr>
                <w:rStyle w:val="Sautdindex"/>
              </w:rPr>
              <w:t>Dépose et modifications des équipements existants</w:t>
            </w:r>
            <w:r>
              <w:rPr>
                <w:webHidden/>
              </w:rPr>
              <w:fldChar w:fldCharType="begin"/>
            </w:r>
            <w:r>
              <w:rPr>
                <w:webHidden/>
              </w:rPr>
              <w:instrText>PAGEREF _Toc32334632 \h</w:instrText>
            </w:r>
            <w:r>
              <w:rPr>
                <w:webHidden/>
              </w:rPr>
              <w:fldChar w:fldCharType="separate"/>
            </w:r>
            <w:r>
              <w:rPr>
                <w:rStyle w:val="Sautdindex"/>
                <w:vanish w:val="false"/>
              </w:rPr>
              <w:tab/>
              <w:t>73</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33">
            <w:r>
              <w:rPr>
                <w:webHidden/>
                <w:rStyle w:val="Sautdindex"/>
                <w:rFonts w:cs="Times New Roman"/>
              </w:rPr>
              <w:t>2.10.6.1.</w:t>
            </w:r>
            <w:r>
              <w:rPr>
                <w:rStyle w:val="Sautdindex"/>
                <w:rFonts w:eastAsia="" w:cs="" w:cstheme="minorBidi" w:eastAsiaTheme="minorEastAsia"/>
                <w:sz w:val="22"/>
                <w:szCs w:val="22"/>
              </w:rPr>
              <w:tab/>
            </w:r>
            <w:r>
              <w:rPr>
                <w:rStyle w:val="Sautdindex"/>
              </w:rPr>
              <w:t>Règles générales</w:t>
            </w:r>
            <w:r>
              <w:rPr>
                <w:webHidden/>
              </w:rPr>
              <w:fldChar w:fldCharType="begin"/>
            </w:r>
            <w:r>
              <w:rPr>
                <w:webHidden/>
              </w:rPr>
              <w:instrText>PAGEREF _Toc32334633 \h</w:instrText>
            </w:r>
            <w:r>
              <w:rPr>
                <w:webHidden/>
              </w:rPr>
              <w:fldChar w:fldCharType="separate"/>
            </w:r>
            <w:r>
              <w:rPr>
                <w:rStyle w:val="Sautdindex"/>
                <w:vanish w:val="false"/>
              </w:rPr>
              <w:tab/>
              <w:t>73</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34">
            <w:r>
              <w:rPr>
                <w:webHidden/>
                <w:rStyle w:val="Sautdindex"/>
                <w:rFonts w:cs="Times New Roman"/>
              </w:rPr>
              <w:t>2.10.6.2.</w:t>
            </w:r>
            <w:r>
              <w:rPr>
                <w:rStyle w:val="Sautdindex"/>
                <w:rFonts w:eastAsia="" w:cs="" w:cstheme="minorBidi" w:eastAsiaTheme="minorEastAsia"/>
                <w:sz w:val="22"/>
                <w:szCs w:val="22"/>
              </w:rPr>
              <w:tab/>
            </w:r>
            <w:r>
              <w:rPr>
                <w:rStyle w:val="Sautdindex"/>
              </w:rPr>
              <w:t>Salle d’exploitation</w:t>
            </w:r>
            <w:r>
              <w:rPr>
                <w:webHidden/>
              </w:rPr>
              <w:fldChar w:fldCharType="begin"/>
            </w:r>
            <w:r>
              <w:rPr>
                <w:webHidden/>
              </w:rPr>
              <w:instrText>PAGEREF _Toc32334634 \h</w:instrText>
            </w:r>
            <w:r>
              <w:rPr>
                <w:webHidden/>
              </w:rPr>
              <w:fldChar w:fldCharType="separate"/>
            </w:r>
            <w:r>
              <w:rPr>
                <w:rStyle w:val="Sautdindex"/>
                <w:vanish w:val="false"/>
              </w:rPr>
              <w:tab/>
              <w:t>73</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35">
            <w:r>
              <w:rPr>
                <w:webHidden/>
                <w:rStyle w:val="Sautdindex"/>
                <w:b/>
              </w:rPr>
              <w:t>2.11.</w:t>
            </w:r>
            <w:r>
              <w:rPr>
                <w:rStyle w:val="Sautdindex"/>
                <w:rFonts w:eastAsia="" w:cs="" w:cstheme="minorBidi" w:eastAsiaTheme="minorEastAsia"/>
                <w:caps w:val="false"/>
                <w:smallCaps w:val="false"/>
                <w:sz w:val="22"/>
                <w:szCs w:val="22"/>
              </w:rPr>
              <w:tab/>
            </w:r>
            <w:r>
              <w:rPr>
                <w:rStyle w:val="Sautdindex"/>
              </w:rPr>
              <w:t>VMC (sanitaire)</w:t>
            </w:r>
            <w:r>
              <w:rPr>
                <w:webHidden/>
              </w:rPr>
              <w:fldChar w:fldCharType="begin"/>
            </w:r>
            <w:r>
              <w:rPr>
                <w:webHidden/>
              </w:rPr>
              <w:instrText>PAGEREF _Toc32334635 \h</w:instrText>
            </w:r>
            <w:r>
              <w:rPr>
                <w:webHidden/>
              </w:rPr>
              <w:fldChar w:fldCharType="separate"/>
            </w:r>
            <w:r>
              <w:rPr>
                <w:rStyle w:val="Sautdindex"/>
                <w:vanish w:val="false"/>
              </w:rPr>
              <w:tab/>
              <w:t>73</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36">
            <w:r>
              <w:rPr>
                <w:webHidden/>
                <w:rStyle w:val="Sautdindex"/>
                <w:b/>
              </w:rPr>
              <w:t>2.12.</w:t>
            </w:r>
            <w:r>
              <w:rPr>
                <w:rStyle w:val="Sautdindex"/>
                <w:rFonts w:eastAsia="" w:cs="" w:cstheme="minorBidi" w:eastAsiaTheme="minorEastAsia"/>
                <w:caps w:val="false"/>
                <w:smallCaps w:val="false"/>
                <w:sz w:val="22"/>
                <w:szCs w:val="22"/>
              </w:rPr>
              <w:tab/>
            </w:r>
            <w:r>
              <w:rPr>
                <w:rStyle w:val="Sautdindex"/>
              </w:rPr>
              <w:t>Cloisonnement</w:t>
            </w:r>
            <w:r>
              <w:rPr>
                <w:webHidden/>
              </w:rPr>
              <w:fldChar w:fldCharType="begin"/>
            </w:r>
            <w:r>
              <w:rPr>
                <w:webHidden/>
              </w:rPr>
              <w:instrText>PAGEREF _Toc32334636 \h</w:instrText>
            </w:r>
            <w:r>
              <w:rPr>
                <w:webHidden/>
              </w:rPr>
              <w:fldChar w:fldCharType="separate"/>
            </w:r>
            <w:r>
              <w:rPr>
                <w:rStyle w:val="Sautdindex"/>
                <w:vanish w:val="false"/>
              </w:rPr>
              <w:tab/>
              <w:t>73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37">
            <w:r>
              <w:rPr>
                <w:webHidden/>
                <w:rStyle w:val="Sautdindex"/>
                <w:rFonts w:cs="Times New Roman"/>
                <w14:scene3d>
                  <w14:camera w14:prst="orthographicFront"/>
                  <w14:lightRig w14:rig="threePt" w14:dir="t">
                    <w14:rot w14:lat="0" w14:lon="0" w14:rev="0"/>
                  </w14:lightRig>
                </w14:scene3d>
              </w:rPr>
              <w:t>2.12.1.</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_Toc32334637 \h</w:instrText>
            </w:r>
            <w:r>
              <w:rPr>
                <w:webHidden/>
              </w:rPr>
              <w:fldChar w:fldCharType="separate"/>
            </w:r>
            <w:r>
              <w:rPr>
                <w:rStyle w:val="Sautdindex"/>
                <w:vanish w:val="false"/>
              </w:rPr>
              <w:tab/>
              <w:t>73</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38">
            <w:r>
              <w:rPr>
                <w:webHidden/>
                <w:rStyle w:val="Sautdindex"/>
                <w:rFonts w:cs="Times New Roman"/>
              </w:rPr>
              <w:t>2.12.1.1.</w:t>
            </w:r>
            <w:r>
              <w:rPr>
                <w:rStyle w:val="Sautdindex"/>
                <w:rFonts w:eastAsia="" w:cs="" w:cstheme="minorBidi" w:eastAsiaTheme="minorEastAsia"/>
                <w:sz w:val="22"/>
                <w:szCs w:val="22"/>
              </w:rPr>
              <w:tab/>
            </w:r>
            <w:r>
              <w:rPr>
                <w:rStyle w:val="Sautdindex"/>
              </w:rPr>
              <w:t>Cloison modulaire</w:t>
            </w:r>
            <w:r>
              <w:rPr>
                <w:webHidden/>
              </w:rPr>
              <w:fldChar w:fldCharType="begin"/>
            </w:r>
            <w:r>
              <w:rPr>
                <w:webHidden/>
              </w:rPr>
              <w:instrText>PAGEREF _Toc32334638 \h</w:instrText>
            </w:r>
            <w:r>
              <w:rPr>
                <w:webHidden/>
              </w:rPr>
              <w:fldChar w:fldCharType="separate"/>
            </w:r>
            <w:r>
              <w:rPr>
                <w:rStyle w:val="Sautdindex"/>
                <w:vanish w:val="false"/>
              </w:rPr>
              <w:tab/>
              <w:t>73</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39">
            <w:r>
              <w:rPr>
                <w:webHidden/>
                <w:rStyle w:val="Sautdindex"/>
                <w:rFonts w:cs="Times New Roman"/>
              </w:rPr>
              <w:t>2.12.1.2.</w:t>
            </w:r>
            <w:r>
              <w:rPr>
                <w:rStyle w:val="Sautdindex"/>
                <w:rFonts w:eastAsia="" w:cs="" w:cstheme="minorBidi" w:eastAsiaTheme="minorEastAsia"/>
                <w:sz w:val="22"/>
                <w:szCs w:val="22"/>
              </w:rPr>
              <w:tab/>
            </w:r>
            <w:r>
              <w:rPr>
                <w:rStyle w:val="Sautdindex"/>
              </w:rPr>
              <w:t>Habillage du plan incliné de la salle d'exploitation</w:t>
            </w:r>
            <w:r>
              <w:rPr>
                <w:webHidden/>
              </w:rPr>
              <w:fldChar w:fldCharType="begin"/>
            </w:r>
            <w:r>
              <w:rPr>
                <w:webHidden/>
              </w:rPr>
              <w:instrText>PAGEREF _Toc32334639 \h</w:instrText>
            </w:r>
            <w:r>
              <w:rPr>
                <w:webHidden/>
              </w:rPr>
              <w:fldChar w:fldCharType="separate"/>
            </w:r>
            <w:r>
              <w:rPr>
                <w:rStyle w:val="Sautdindex"/>
                <w:vanish w:val="false"/>
              </w:rPr>
              <w:tab/>
              <w:t>73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40">
            <w:r>
              <w:rPr>
                <w:webHidden/>
                <w:rStyle w:val="Sautdindex"/>
                <w:rFonts w:cs="Times New Roman"/>
                <w14:scene3d>
                  <w14:camera w14:prst="orthographicFront"/>
                  <w14:lightRig w14:rig="threePt" w14:dir="t">
                    <w14:rot w14:lat="0" w14:lon="0" w14:rev="0"/>
                  </w14:lightRig>
                </w14:scene3d>
              </w:rPr>
              <w:t>2.12.2.</w:t>
            </w:r>
            <w:r>
              <w:rPr>
                <w:rStyle w:val="Sautdindex"/>
                <w:rFonts w:eastAsia="" w:cs="" w:cstheme="minorBidi" w:eastAsiaTheme="minorEastAsia"/>
                <w:i w:val="false"/>
                <w:iCs w:val="false"/>
                <w:sz w:val="22"/>
                <w:szCs w:val="22"/>
              </w:rPr>
              <w:tab/>
            </w:r>
            <w:r>
              <w:rPr>
                <w:rStyle w:val="Sautdindex"/>
              </w:rPr>
              <w:t>Consistance des travaux</w:t>
            </w:r>
            <w:r>
              <w:rPr>
                <w:webHidden/>
              </w:rPr>
              <w:fldChar w:fldCharType="begin"/>
            </w:r>
            <w:r>
              <w:rPr>
                <w:webHidden/>
              </w:rPr>
              <w:instrText>PAGEREF _Toc32334640 \h</w:instrText>
            </w:r>
            <w:r>
              <w:rPr>
                <w:webHidden/>
              </w:rPr>
              <w:fldChar w:fldCharType="separate"/>
            </w:r>
            <w:r>
              <w:rPr>
                <w:rStyle w:val="Sautdindex"/>
                <w:vanish w:val="false"/>
              </w:rPr>
              <w:tab/>
              <w:t>74</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41">
            <w:r>
              <w:rPr>
                <w:webHidden/>
                <w:rStyle w:val="Sautdindex"/>
                <w:b/>
              </w:rPr>
              <w:t>2.13.</w:t>
            </w:r>
            <w:r>
              <w:rPr>
                <w:rStyle w:val="Sautdindex"/>
                <w:rFonts w:eastAsia="" w:cs="" w:cstheme="minorBidi" w:eastAsiaTheme="minorEastAsia"/>
                <w:caps w:val="false"/>
                <w:smallCaps w:val="false"/>
                <w:sz w:val="22"/>
                <w:szCs w:val="22"/>
              </w:rPr>
              <w:tab/>
            </w:r>
            <w:r>
              <w:rPr>
                <w:rStyle w:val="Sautdindex"/>
              </w:rPr>
              <w:t>Menuiserie</w:t>
            </w:r>
            <w:r>
              <w:rPr>
                <w:webHidden/>
              </w:rPr>
              <w:fldChar w:fldCharType="begin"/>
            </w:r>
            <w:r>
              <w:rPr>
                <w:webHidden/>
              </w:rPr>
              <w:instrText>PAGEREF _Toc32334641 \h</w:instrText>
            </w:r>
            <w:r>
              <w:rPr>
                <w:webHidden/>
              </w:rPr>
              <w:fldChar w:fldCharType="separate"/>
            </w:r>
            <w:r>
              <w:rPr>
                <w:rStyle w:val="Sautdindex"/>
                <w:vanish w:val="false"/>
              </w:rPr>
              <w:tab/>
              <w:t>74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42">
            <w:r>
              <w:rPr>
                <w:webHidden/>
                <w:rStyle w:val="Sautdindex"/>
                <w:rFonts w:cs="Times New Roman"/>
                <w14:scene3d>
                  <w14:camera w14:prst="orthographicFront"/>
                  <w14:lightRig w14:rig="threePt" w14:dir="t">
                    <w14:rot w14:lat="0" w14:lon="0" w14:rev="0"/>
                  </w14:lightRig>
                </w14:scene3d>
              </w:rPr>
              <w:t>2.13.1.</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_Toc32334642 \h</w:instrText>
            </w:r>
            <w:r>
              <w:rPr>
                <w:webHidden/>
              </w:rPr>
              <w:fldChar w:fldCharType="separate"/>
            </w:r>
            <w:r>
              <w:rPr>
                <w:rStyle w:val="Sautdindex"/>
                <w:vanish w:val="false"/>
              </w:rPr>
              <w:tab/>
              <w:t>74</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43">
            <w:r>
              <w:rPr>
                <w:webHidden/>
                <w:rStyle w:val="Sautdindex"/>
                <w:rFonts w:cs="Times New Roman"/>
              </w:rPr>
              <w:t>2.13.1.1.</w:t>
            </w:r>
            <w:r>
              <w:rPr>
                <w:rStyle w:val="Sautdindex"/>
                <w:rFonts w:eastAsia="" w:cs="" w:cstheme="minorBidi" w:eastAsiaTheme="minorEastAsia"/>
                <w:sz w:val="22"/>
                <w:szCs w:val="22"/>
              </w:rPr>
              <w:tab/>
            </w:r>
            <w:r>
              <w:rPr>
                <w:rStyle w:val="Sautdindex"/>
              </w:rPr>
              <w:t>Consistance des travaux</w:t>
            </w:r>
            <w:r>
              <w:rPr>
                <w:webHidden/>
              </w:rPr>
              <w:fldChar w:fldCharType="begin"/>
            </w:r>
            <w:r>
              <w:rPr>
                <w:webHidden/>
              </w:rPr>
              <w:instrText>PAGEREF _Toc32334643 \h</w:instrText>
            </w:r>
            <w:r>
              <w:rPr>
                <w:webHidden/>
              </w:rPr>
              <w:fldChar w:fldCharType="separate"/>
            </w:r>
            <w:r>
              <w:rPr>
                <w:rStyle w:val="Sautdindex"/>
                <w:vanish w:val="false"/>
              </w:rPr>
              <w:tab/>
              <w:t>75</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44">
            <w:r>
              <w:rPr>
                <w:webHidden/>
                <w:rStyle w:val="Sautdindex"/>
                <w:b/>
              </w:rPr>
              <w:t>2.14.</w:t>
            </w:r>
            <w:r>
              <w:rPr>
                <w:rStyle w:val="Sautdindex"/>
                <w:rFonts w:eastAsia="" w:cs="" w:cstheme="minorBidi" w:eastAsiaTheme="minorEastAsia"/>
                <w:caps w:val="false"/>
                <w:smallCaps w:val="false"/>
                <w:sz w:val="22"/>
                <w:szCs w:val="22"/>
              </w:rPr>
              <w:tab/>
            </w:r>
            <w:r>
              <w:rPr>
                <w:rStyle w:val="Sautdindex"/>
              </w:rPr>
              <w:t>Faux-planchers</w:t>
            </w:r>
            <w:r>
              <w:rPr>
                <w:webHidden/>
              </w:rPr>
              <w:fldChar w:fldCharType="begin"/>
            </w:r>
            <w:r>
              <w:rPr>
                <w:webHidden/>
              </w:rPr>
              <w:instrText>PAGEREF _Toc32334644 \h</w:instrText>
            </w:r>
            <w:r>
              <w:rPr>
                <w:webHidden/>
              </w:rPr>
              <w:fldChar w:fldCharType="separate"/>
            </w:r>
            <w:r>
              <w:rPr>
                <w:rStyle w:val="Sautdindex"/>
                <w:vanish w:val="false"/>
              </w:rPr>
              <w:tab/>
              <w:t>75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45">
            <w:r>
              <w:rPr>
                <w:webHidden/>
                <w:rStyle w:val="Sautdindex"/>
                <w:rFonts w:cs="Times New Roman"/>
                <w14:scene3d>
                  <w14:camera w14:prst="orthographicFront"/>
                  <w14:lightRig w14:rig="threePt" w14:dir="t">
                    <w14:rot w14:lat="0" w14:lon="0" w14:rev="0"/>
                  </w14:lightRig>
                </w14:scene3d>
              </w:rPr>
              <w:t>2.14.1.</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_Toc32334645 \h</w:instrText>
            </w:r>
            <w:r>
              <w:rPr>
                <w:webHidden/>
              </w:rPr>
              <w:fldChar w:fldCharType="separate"/>
            </w:r>
            <w:r>
              <w:rPr>
                <w:rStyle w:val="Sautdindex"/>
                <w:vanish w:val="false"/>
              </w:rPr>
              <w:tab/>
              <w:t>75</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46">
            <w:r>
              <w:rPr>
                <w:webHidden/>
                <w:rStyle w:val="Sautdindex"/>
                <w:rFonts w:cs="Times New Roman"/>
              </w:rPr>
              <w:t>2.14.1.1.</w:t>
            </w:r>
            <w:r>
              <w:rPr>
                <w:rStyle w:val="Sautdindex"/>
                <w:rFonts w:eastAsia="" w:cs="" w:cstheme="minorBidi" w:eastAsiaTheme="minorEastAsia"/>
                <w:sz w:val="22"/>
                <w:szCs w:val="22"/>
              </w:rPr>
              <w:tab/>
            </w:r>
            <w:r>
              <w:rPr>
                <w:rStyle w:val="Sautdindex"/>
              </w:rPr>
              <w:t>Consistance des travaux</w:t>
            </w:r>
            <w:r>
              <w:rPr>
                <w:webHidden/>
              </w:rPr>
              <w:fldChar w:fldCharType="begin"/>
            </w:r>
            <w:r>
              <w:rPr>
                <w:webHidden/>
              </w:rPr>
              <w:instrText>PAGEREF _Toc32334646 \h</w:instrText>
            </w:r>
            <w:r>
              <w:rPr>
                <w:webHidden/>
              </w:rPr>
              <w:fldChar w:fldCharType="separate"/>
            </w:r>
            <w:r>
              <w:rPr>
                <w:rStyle w:val="Sautdindex"/>
                <w:vanish w:val="false"/>
              </w:rPr>
              <w:tab/>
              <w:t>75</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47">
            <w:r>
              <w:rPr>
                <w:webHidden/>
                <w:rStyle w:val="Sautdindex"/>
                <w:b/>
              </w:rPr>
              <w:t>2.15.</w:t>
            </w:r>
            <w:r>
              <w:rPr>
                <w:rStyle w:val="Sautdindex"/>
                <w:rFonts w:eastAsia="" w:cs="" w:cstheme="minorBidi" w:eastAsiaTheme="minorEastAsia"/>
                <w:caps w:val="false"/>
                <w:smallCaps w:val="false"/>
                <w:sz w:val="22"/>
                <w:szCs w:val="22"/>
              </w:rPr>
              <w:tab/>
            </w:r>
            <w:r>
              <w:rPr>
                <w:rStyle w:val="Sautdindex"/>
              </w:rPr>
              <w:t>Faux-plafonds</w:t>
            </w:r>
            <w:r>
              <w:rPr>
                <w:webHidden/>
              </w:rPr>
              <w:fldChar w:fldCharType="begin"/>
            </w:r>
            <w:r>
              <w:rPr>
                <w:webHidden/>
              </w:rPr>
              <w:instrText>PAGEREF _Toc32334647 \h</w:instrText>
            </w:r>
            <w:r>
              <w:rPr>
                <w:webHidden/>
              </w:rPr>
              <w:fldChar w:fldCharType="separate"/>
            </w:r>
            <w:r>
              <w:rPr>
                <w:rStyle w:val="Sautdindex"/>
                <w:vanish w:val="false"/>
              </w:rPr>
              <w:tab/>
              <w:t>76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48">
            <w:r>
              <w:rPr>
                <w:webHidden/>
                <w:rStyle w:val="Sautdindex"/>
                <w:rFonts w:cs="Times New Roman"/>
                <w14:scene3d>
                  <w14:camera w14:prst="orthographicFront"/>
                  <w14:lightRig w14:rig="threePt" w14:dir="t">
                    <w14:rot w14:lat="0" w14:lon="0" w14:rev="0"/>
                  </w14:lightRig>
                </w14:scene3d>
              </w:rPr>
              <w:t>2.15.1.</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_Toc32334648 \h</w:instrText>
            </w:r>
            <w:r>
              <w:rPr>
                <w:webHidden/>
              </w:rPr>
              <w:fldChar w:fldCharType="separate"/>
            </w:r>
            <w:r>
              <w:rPr>
                <w:rStyle w:val="Sautdindex"/>
                <w:vanish w:val="false"/>
              </w:rPr>
              <w:tab/>
              <w:t>76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49">
            <w:r>
              <w:rPr>
                <w:webHidden/>
                <w:rStyle w:val="Sautdindex"/>
                <w:rFonts w:cs="Times New Roman"/>
                <w14:scene3d>
                  <w14:camera w14:prst="orthographicFront"/>
                  <w14:lightRig w14:rig="threePt" w14:dir="t">
                    <w14:rot w14:lat="0" w14:lon="0" w14:rev="0"/>
                  </w14:lightRig>
                </w14:scene3d>
              </w:rPr>
              <w:t>2.15.2.</w:t>
            </w:r>
            <w:r>
              <w:rPr>
                <w:rStyle w:val="Sautdindex"/>
                <w:rFonts w:eastAsia="" w:cs="" w:cstheme="minorBidi" w:eastAsiaTheme="minorEastAsia"/>
                <w:i w:val="false"/>
                <w:iCs w:val="false"/>
                <w:sz w:val="22"/>
                <w:szCs w:val="22"/>
              </w:rPr>
              <w:tab/>
            </w:r>
            <w:r>
              <w:rPr>
                <w:rStyle w:val="Sautdindex"/>
              </w:rPr>
              <w:t>Consistance des travaux</w:t>
            </w:r>
            <w:r>
              <w:rPr>
                <w:webHidden/>
              </w:rPr>
              <w:fldChar w:fldCharType="begin"/>
            </w:r>
            <w:r>
              <w:rPr>
                <w:webHidden/>
              </w:rPr>
              <w:instrText>PAGEREF _Toc32334649 \h</w:instrText>
            </w:r>
            <w:r>
              <w:rPr>
                <w:webHidden/>
              </w:rPr>
              <w:fldChar w:fldCharType="separate"/>
            </w:r>
            <w:r>
              <w:rPr>
                <w:rStyle w:val="Sautdindex"/>
                <w:vanish w:val="false"/>
              </w:rPr>
              <w:tab/>
              <w:t>76</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50">
            <w:r>
              <w:rPr>
                <w:webHidden/>
                <w:rStyle w:val="Sautdindex"/>
                <w:b/>
              </w:rPr>
              <w:t>2.16.</w:t>
            </w:r>
            <w:r>
              <w:rPr>
                <w:rStyle w:val="Sautdindex"/>
                <w:rFonts w:eastAsia="" w:cs="" w:cstheme="minorBidi" w:eastAsiaTheme="minorEastAsia"/>
                <w:caps w:val="false"/>
                <w:smallCaps w:val="false"/>
                <w:sz w:val="22"/>
                <w:szCs w:val="22"/>
              </w:rPr>
              <w:tab/>
            </w:r>
            <w:r>
              <w:rPr>
                <w:rStyle w:val="Sautdindex"/>
              </w:rPr>
              <w:t>Revêtement de sol</w:t>
            </w:r>
            <w:r>
              <w:rPr>
                <w:webHidden/>
              </w:rPr>
              <w:fldChar w:fldCharType="begin"/>
            </w:r>
            <w:r>
              <w:rPr>
                <w:webHidden/>
              </w:rPr>
              <w:instrText>PAGEREF _Toc32334650 \h</w:instrText>
            </w:r>
            <w:r>
              <w:rPr>
                <w:webHidden/>
              </w:rPr>
              <w:fldChar w:fldCharType="separate"/>
            </w:r>
            <w:r>
              <w:rPr>
                <w:rStyle w:val="Sautdindex"/>
                <w:vanish w:val="false"/>
              </w:rPr>
              <w:tab/>
              <w:t>77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51">
            <w:r>
              <w:rPr>
                <w:webHidden/>
                <w:rStyle w:val="Sautdindex"/>
                <w:rFonts w:cs="Times New Roman"/>
                <w14:scene3d>
                  <w14:camera w14:prst="orthographicFront"/>
                  <w14:lightRig w14:rig="threePt" w14:dir="t">
                    <w14:rot w14:lat="0" w14:lon="0" w14:rev="0"/>
                  </w14:lightRig>
                </w14:scene3d>
              </w:rPr>
              <w:t>2.16.1.</w:t>
            </w:r>
            <w:r>
              <w:rPr>
                <w:rStyle w:val="Sautdindex"/>
                <w:rFonts w:eastAsia="" w:cs="" w:cstheme="minorBidi" w:eastAsiaTheme="minorEastAsia"/>
                <w:i w:val="false"/>
                <w:iCs w:val="false"/>
                <w:sz w:val="22"/>
                <w:szCs w:val="22"/>
              </w:rPr>
              <w:tab/>
            </w:r>
            <w:r>
              <w:rPr>
                <w:rStyle w:val="Sautdindex"/>
              </w:rPr>
              <w:t>Moquette</w:t>
            </w:r>
            <w:r>
              <w:rPr>
                <w:webHidden/>
              </w:rPr>
              <w:fldChar w:fldCharType="begin"/>
            </w:r>
            <w:r>
              <w:rPr>
                <w:webHidden/>
              </w:rPr>
              <w:instrText>PAGEREF _Toc32334651 \h</w:instrText>
            </w:r>
            <w:r>
              <w:rPr>
                <w:webHidden/>
              </w:rPr>
              <w:fldChar w:fldCharType="separate"/>
            </w:r>
            <w:r>
              <w:rPr>
                <w:rStyle w:val="Sautdindex"/>
                <w:vanish w:val="false"/>
              </w:rPr>
              <w:tab/>
              <w:t>77</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52">
            <w:r>
              <w:rPr>
                <w:webHidden/>
                <w:rStyle w:val="Sautdindex"/>
                <w:b/>
              </w:rPr>
              <w:t>2.17.</w:t>
            </w:r>
            <w:r>
              <w:rPr>
                <w:rStyle w:val="Sautdindex"/>
                <w:rFonts w:eastAsia="" w:cs="" w:cstheme="minorBidi" w:eastAsiaTheme="minorEastAsia"/>
                <w:caps w:val="false"/>
                <w:smallCaps w:val="false"/>
                <w:sz w:val="22"/>
                <w:szCs w:val="22"/>
              </w:rPr>
              <w:tab/>
            </w:r>
            <w:r>
              <w:rPr>
                <w:rStyle w:val="Sautdindex"/>
              </w:rPr>
              <w:t>Plomberie sanitaire</w:t>
            </w:r>
            <w:r>
              <w:rPr>
                <w:webHidden/>
              </w:rPr>
              <w:fldChar w:fldCharType="begin"/>
            </w:r>
            <w:r>
              <w:rPr>
                <w:webHidden/>
              </w:rPr>
              <w:instrText>PAGEREF _Toc32334652 \h</w:instrText>
            </w:r>
            <w:r>
              <w:rPr>
                <w:webHidden/>
              </w:rPr>
              <w:fldChar w:fldCharType="separate"/>
            </w:r>
            <w:r>
              <w:rPr>
                <w:rStyle w:val="Sautdindex"/>
                <w:vanish w:val="false"/>
              </w:rPr>
              <w:tab/>
              <w:t>77</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53">
            <w:r>
              <w:rPr>
                <w:webHidden/>
                <w:rStyle w:val="Sautdindex"/>
                <w:b/>
              </w:rPr>
              <w:t>2.18.</w:t>
            </w:r>
            <w:r>
              <w:rPr>
                <w:rStyle w:val="Sautdindex"/>
                <w:rFonts w:eastAsia="" w:cs="" w:cstheme="minorBidi" w:eastAsiaTheme="minorEastAsia"/>
                <w:caps w:val="false"/>
                <w:smallCaps w:val="false"/>
                <w:sz w:val="22"/>
                <w:szCs w:val="22"/>
              </w:rPr>
              <w:tab/>
            </w:r>
            <w:r>
              <w:rPr>
                <w:rStyle w:val="Sautdindex"/>
              </w:rPr>
              <w:t>Peintures</w:t>
            </w:r>
            <w:r>
              <w:rPr>
                <w:webHidden/>
              </w:rPr>
              <w:fldChar w:fldCharType="begin"/>
            </w:r>
            <w:r>
              <w:rPr>
                <w:webHidden/>
              </w:rPr>
              <w:instrText>PAGEREF _Toc32334653 \h</w:instrText>
            </w:r>
            <w:r>
              <w:rPr>
                <w:webHidden/>
              </w:rPr>
              <w:fldChar w:fldCharType="separate"/>
            </w:r>
            <w:r>
              <w:rPr>
                <w:rStyle w:val="Sautdindex"/>
                <w:vanish w:val="false"/>
              </w:rPr>
              <w:tab/>
              <w:t>77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54">
            <w:r>
              <w:rPr>
                <w:webHidden/>
                <w:rStyle w:val="Sautdindex"/>
                <w:rFonts w:cs="Times New Roman"/>
                <w14:scene3d>
                  <w14:camera w14:prst="orthographicFront"/>
                  <w14:lightRig w14:rig="threePt" w14:dir="t">
                    <w14:rot w14:lat="0" w14:lon="0" w14:rev="0"/>
                  </w14:lightRig>
                </w14:scene3d>
              </w:rPr>
              <w:t>2.18.1.</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_Toc32334654 \h</w:instrText>
            </w:r>
            <w:r>
              <w:rPr>
                <w:webHidden/>
              </w:rPr>
              <w:fldChar w:fldCharType="separate"/>
            </w:r>
            <w:r>
              <w:rPr>
                <w:rStyle w:val="Sautdindex"/>
                <w:vanish w:val="false"/>
              </w:rPr>
              <w:tab/>
              <w:t>77</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55">
            <w:r>
              <w:rPr>
                <w:webHidden/>
                <w:rStyle w:val="Sautdindex"/>
                <w:rFonts w:cs="Times New Roman"/>
              </w:rPr>
              <w:t>2.18.1.1.</w:t>
            </w:r>
            <w:r>
              <w:rPr>
                <w:rStyle w:val="Sautdindex"/>
                <w:rFonts w:eastAsia="" w:cs="" w:cstheme="minorBidi" w:eastAsiaTheme="minorEastAsia"/>
                <w:sz w:val="22"/>
                <w:szCs w:val="22"/>
              </w:rPr>
              <w:tab/>
            </w:r>
            <w:r>
              <w:rPr>
                <w:rStyle w:val="Sautdindex"/>
              </w:rPr>
              <w:t>Peinture intérieure satinée dans pièces humides</w:t>
            </w:r>
            <w:r>
              <w:rPr>
                <w:webHidden/>
              </w:rPr>
              <w:fldChar w:fldCharType="begin"/>
            </w:r>
            <w:r>
              <w:rPr>
                <w:webHidden/>
              </w:rPr>
              <w:instrText>PAGEREF _Toc32334655 \h</w:instrText>
            </w:r>
            <w:r>
              <w:rPr>
                <w:webHidden/>
              </w:rPr>
              <w:fldChar w:fldCharType="separate"/>
            </w:r>
            <w:r>
              <w:rPr>
                <w:rStyle w:val="Sautdindex"/>
                <w:vanish w:val="false"/>
              </w:rPr>
              <w:tab/>
              <w:t>77</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56">
            <w:r>
              <w:rPr>
                <w:webHidden/>
                <w:rStyle w:val="Sautdindex"/>
                <w:rFonts w:cs="Times New Roman"/>
              </w:rPr>
              <w:t>2.18.1.2.</w:t>
            </w:r>
            <w:r>
              <w:rPr>
                <w:rStyle w:val="Sautdindex"/>
                <w:rFonts w:eastAsia="" w:cs="" w:cstheme="minorBidi" w:eastAsiaTheme="minorEastAsia"/>
                <w:sz w:val="22"/>
                <w:szCs w:val="22"/>
              </w:rPr>
              <w:tab/>
            </w:r>
            <w:r>
              <w:rPr>
                <w:rStyle w:val="Sautdindex"/>
              </w:rPr>
              <w:t>Peinture intérieure satinée dans pièces les autres locaux</w:t>
            </w:r>
            <w:r>
              <w:rPr>
                <w:webHidden/>
              </w:rPr>
              <w:fldChar w:fldCharType="begin"/>
            </w:r>
            <w:r>
              <w:rPr>
                <w:webHidden/>
              </w:rPr>
              <w:instrText>PAGEREF _Toc32334656 \h</w:instrText>
            </w:r>
            <w:r>
              <w:rPr>
                <w:webHidden/>
              </w:rPr>
              <w:fldChar w:fldCharType="separate"/>
            </w:r>
            <w:r>
              <w:rPr>
                <w:rStyle w:val="Sautdindex"/>
                <w:vanish w:val="false"/>
              </w:rPr>
              <w:tab/>
              <w:t>78</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57">
            <w:r>
              <w:rPr>
                <w:webHidden/>
                <w:rStyle w:val="Sautdindex"/>
                <w:rFonts w:cs="Times New Roman"/>
              </w:rPr>
              <w:t>2.18.1.3.</w:t>
            </w:r>
            <w:r>
              <w:rPr>
                <w:rStyle w:val="Sautdindex"/>
                <w:rFonts w:eastAsia="" w:cs="" w:cstheme="minorBidi" w:eastAsiaTheme="minorEastAsia"/>
                <w:sz w:val="22"/>
                <w:szCs w:val="22"/>
              </w:rPr>
              <w:tab/>
            </w:r>
            <w:r>
              <w:rPr>
                <w:rStyle w:val="Sautdindex"/>
              </w:rPr>
              <w:t>Consistance des travaux</w:t>
            </w:r>
            <w:r>
              <w:rPr>
                <w:webHidden/>
              </w:rPr>
              <w:fldChar w:fldCharType="begin"/>
            </w:r>
            <w:r>
              <w:rPr>
                <w:webHidden/>
              </w:rPr>
              <w:instrText>PAGEREF _Toc32334657 \h</w:instrText>
            </w:r>
            <w:r>
              <w:rPr>
                <w:webHidden/>
              </w:rPr>
              <w:fldChar w:fldCharType="separate"/>
            </w:r>
            <w:r>
              <w:rPr>
                <w:rStyle w:val="Sautdindex"/>
                <w:vanish w:val="false"/>
              </w:rPr>
              <w:tab/>
              <w:t>78</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58">
            <w:r>
              <w:rPr>
                <w:webHidden/>
                <w:rStyle w:val="Sautdindex"/>
                <w:b/>
              </w:rPr>
              <w:t>2.19.</w:t>
            </w:r>
            <w:r>
              <w:rPr>
                <w:rStyle w:val="Sautdindex"/>
                <w:rFonts w:eastAsia="" w:cs="" w:cstheme="minorBidi" w:eastAsiaTheme="minorEastAsia"/>
                <w:caps w:val="false"/>
                <w:smallCaps w:val="false"/>
                <w:sz w:val="22"/>
                <w:szCs w:val="22"/>
              </w:rPr>
              <w:tab/>
            </w:r>
            <w:r>
              <w:rPr>
                <w:rStyle w:val="Sautdindex"/>
              </w:rPr>
              <w:t>Cheminements de câbles</w:t>
            </w:r>
            <w:r>
              <w:rPr>
                <w:webHidden/>
              </w:rPr>
              <w:fldChar w:fldCharType="begin"/>
            </w:r>
            <w:r>
              <w:rPr>
                <w:webHidden/>
              </w:rPr>
              <w:instrText>PAGEREF _Toc32334658 \h</w:instrText>
            </w:r>
            <w:r>
              <w:rPr>
                <w:webHidden/>
              </w:rPr>
              <w:fldChar w:fldCharType="separate"/>
            </w:r>
            <w:r>
              <w:rPr>
                <w:rStyle w:val="Sautdindex"/>
                <w:vanish w:val="false"/>
              </w:rPr>
              <w:tab/>
              <w:t>79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59">
            <w:r>
              <w:rPr>
                <w:webHidden/>
                <w:rStyle w:val="Sautdindex"/>
                <w:rFonts w:cs="Times New Roman"/>
                <w14:scene3d>
                  <w14:camera w14:prst="orthographicFront"/>
                  <w14:lightRig w14:rig="threePt" w14:dir="t">
                    <w14:rot w14:lat="0" w14:lon="0" w14:rev="0"/>
                  </w14:lightRig>
                </w14:scene3d>
              </w:rPr>
              <w:t>2.19.1.</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_Toc32334659 \h</w:instrText>
            </w:r>
            <w:r>
              <w:rPr>
                <w:webHidden/>
              </w:rPr>
              <w:fldChar w:fldCharType="separate"/>
            </w:r>
            <w:r>
              <w:rPr>
                <w:rStyle w:val="Sautdindex"/>
                <w:vanish w:val="false"/>
              </w:rPr>
              <w:tab/>
              <w:t>79</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60">
            <w:r>
              <w:rPr>
                <w:webHidden/>
                <w:rStyle w:val="Sautdindex"/>
                <w:rFonts w:cs="Times New Roman"/>
              </w:rPr>
              <w:t>2.19.1.1.</w:t>
            </w:r>
            <w:r>
              <w:rPr>
                <w:rStyle w:val="Sautdindex"/>
                <w:rFonts w:eastAsia="" w:cs="" w:cstheme="minorBidi" w:eastAsiaTheme="minorEastAsia"/>
                <w:sz w:val="22"/>
                <w:szCs w:val="22"/>
              </w:rPr>
              <w:tab/>
            </w:r>
            <w:r>
              <w:rPr>
                <w:rStyle w:val="Sautdindex"/>
              </w:rPr>
              <w:t>Consistance des travaux</w:t>
            </w:r>
            <w:r>
              <w:rPr>
                <w:webHidden/>
              </w:rPr>
              <w:fldChar w:fldCharType="begin"/>
            </w:r>
            <w:r>
              <w:rPr>
                <w:webHidden/>
              </w:rPr>
              <w:instrText>PAGEREF _Toc32334660 \h</w:instrText>
            </w:r>
            <w:r>
              <w:rPr>
                <w:webHidden/>
              </w:rPr>
              <w:fldChar w:fldCharType="separate"/>
            </w:r>
            <w:r>
              <w:rPr>
                <w:rStyle w:val="Sautdindex"/>
                <w:vanish w:val="false"/>
              </w:rPr>
              <w:tab/>
              <w:t>79</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61">
            <w:r>
              <w:rPr>
                <w:webHidden/>
                <w:rStyle w:val="Sautdindex"/>
                <w:b/>
              </w:rPr>
              <w:t>2.20.</w:t>
            </w:r>
            <w:r>
              <w:rPr>
                <w:rStyle w:val="Sautdindex"/>
                <w:rFonts w:eastAsia="" w:cs="" w:cstheme="minorBidi" w:eastAsiaTheme="minorEastAsia"/>
                <w:caps w:val="false"/>
                <w:smallCaps w:val="false"/>
                <w:sz w:val="22"/>
                <w:szCs w:val="22"/>
              </w:rPr>
              <w:tab/>
            </w:r>
            <w:r>
              <w:rPr>
                <w:rStyle w:val="Sautdindex"/>
              </w:rPr>
              <w:t>Protection acoustique</w:t>
            </w:r>
            <w:r>
              <w:rPr>
                <w:webHidden/>
              </w:rPr>
              <w:fldChar w:fldCharType="begin"/>
            </w:r>
            <w:r>
              <w:rPr>
                <w:webHidden/>
              </w:rPr>
              <w:instrText>PAGEREF _Toc32334661 \h</w:instrText>
            </w:r>
            <w:r>
              <w:rPr>
                <w:webHidden/>
              </w:rPr>
              <w:fldChar w:fldCharType="separate"/>
            </w:r>
            <w:r>
              <w:rPr>
                <w:rStyle w:val="Sautdindex"/>
                <w:vanish w:val="false"/>
              </w:rPr>
              <w:tab/>
              <w:t>80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62">
            <w:r>
              <w:rPr>
                <w:webHidden/>
                <w:rStyle w:val="Sautdindex"/>
                <w:rFonts w:cs="Times New Roman"/>
                <w14:scene3d>
                  <w14:camera w14:prst="orthographicFront"/>
                  <w14:lightRig w14:rig="threePt" w14:dir="t">
                    <w14:rot w14:lat="0" w14:lon="0" w14:rev="0"/>
                  </w14:lightRig>
                </w14:scene3d>
              </w:rPr>
              <w:t>2.20.1.</w:t>
            </w:r>
            <w:r>
              <w:rPr>
                <w:rStyle w:val="Sautdindex"/>
                <w:rFonts w:eastAsia="" w:cs="" w:cstheme="minorBidi" w:eastAsiaTheme="minorEastAsia"/>
                <w:i w:val="false"/>
                <w:iCs w:val="false"/>
                <w:sz w:val="22"/>
                <w:szCs w:val="22"/>
              </w:rPr>
              <w:tab/>
            </w:r>
            <w:r>
              <w:rPr>
                <w:rStyle w:val="Sautdindex"/>
              </w:rPr>
              <w:t>Dispositions projetées</w:t>
            </w:r>
            <w:r>
              <w:rPr>
                <w:webHidden/>
              </w:rPr>
              <w:fldChar w:fldCharType="begin"/>
            </w:r>
            <w:r>
              <w:rPr>
                <w:webHidden/>
              </w:rPr>
              <w:instrText>PAGEREF _Toc32334662 \h</w:instrText>
            </w:r>
            <w:r>
              <w:rPr>
                <w:webHidden/>
              </w:rPr>
              <w:fldChar w:fldCharType="separate"/>
            </w:r>
            <w:r>
              <w:rPr>
                <w:rStyle w:val="Sautdindex"/>
                <w:vanish w:val="false"/>
              </w:rPr>
              <w:tab/>
              <w:t>80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63">
            <w:r>
              <w:rPr>
                <w:webHidden/>
                <w:rStyle w:val="Sautdindex"/>
                <w:rFonts w:cs="Times New Roman"/>
              </w:rPr>
              <w:t>2.20.1.1.</w:t>
            </w:r>
            <w:r>
              <w:rPr>
                <w:rStyle w:val="Sautdindex"/>
                <w:rFonts w:eastAsia="" w:cs="" w:cstheme="minorBidi" w:eastAsiaTheme="minorEastAsia"/>
                <w:sz w:val="22"/>
                <w:szCs w:val="22"/>
              </w:rPr>
              <w:tab/>
            </w:r>
            <w:r>
              <w:rPr>
                <w:rStyle w:val="Sautdindex"/>
              </w:rPr>
              <w:t>Contexte</w:t>
            </w:r>
            <w:r>
              <w:rPr>
                <w:webHidden/>
              </w:rPr>
              <w:fldChar w:fldCharType="begin"/>
            </w:r>
            <w:r>
              <w:rPr>
                <w:webHidden/>
              </w:rPr>
              <w:instrText>PAGEREF _Toc32334663 \h</w:instrText>
            </w:r>
            <w:r>
              <w:rPr>
                <w:webHidden/>
              </w:rPr>
              <w:fldChar w:fldCharType="separate"/>
            </w:r>
            <w:r>
              <w:rPr>
                <w:rStyle w:val="Sautdindex"/>
                <w:vanish w:val="false"/>
              </w:rPr>
              <w:tab/>
              <w:t>80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64">
            <w:r>
              <w:rPr>
                <w:webHidden/>
                <w:rStyle w:val="Sautdindex"/>
                <w:rFonts w:cs="Times New Roman"/>
              </w:rPr>
              <w:t>2.20.1.2.</w:t>
            </w:r>
            <w:r>
              <w:rPr>
                <w:rStyle w:val="Sautdindex"/>
                <w:rFonts w:eastAsia="" w:cs="" w:cstheme="minorBidi" w:eastAsiaTheme="minorEastAsia"/>
                <w:sz w:val="22"/>
                <w:szCs w:val="22"/>
              </w:rPr>
              <w:tab/>
            </w:r>
            <w:r>
              <w:rPr>
                <w:rStyle w:val="Sautdindex"/>
              </w:rPr>
              <w:t>Principes retenus</w:t>
            </w:r>
            <w:r>
              <w:rPr>
                <w:webHidden/>
              </w:rPr>
              <w:fldChar w:fldCharType="begin"/>
            </w:r>
            <w:r>
              <w:rPr>
                <w:webHidden/>
              </w:rPr>
              <w:instrText>PAGEREF _Toc32334664 \h</w:instrText>
            </w:r>
            <w:r>
              <w:rPr>
                <w:webHidden/>
              </w:rPr>
              <w:fldChar w:fldCharType="separate"/>
            </w:r>
            <w:r>
              <w:rPr>
                <w:rStyle w:val="Sautdindex"/>
                <w:vanish w:val="false"/>
              </w:rPr>
              <w:tab/>
              <w:t>80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65">
            <w:r>
              <w:rPr>
                <w:webHidden/>
                <w:rStyle w:val="Sautdindex"/>
                <w:rFonts w:cs="Times New Roman"/>
                <w14:scene3d>
                  <w14:camera w14:prst="orthographicFront"/>
                  <w14:lightRig w14:rig="threePt" w14:dir="t">
                    <w14:rot w14:lat="0" w14:lon="0" w14:rev="0"/>
                  </w14:lightRig>
                </w14:scene3d>
              </w:rPr>
              <w:t>2.20.2.</w:t>
            </w:r>
            <w:r>
              <w:rPr>
                <w:rStyle w:val="Sautdindex"/>
                <w:rFonts w:eastAsia="" w:cs="" w:cstheme="minorBidi" w:eastAsiaTheme="minorEastAsia"/>
                <w:i w:val="false"/>
                <w:iCs w:val="false"/>
                <w:sz w:val="22"/>
                <w:szCs w:val="22"/>
              </w:rPr>
              <w:tab/>
            </w:r>
            <w:r>
              <w:rPr>
                <w:rStyle w:val="Sautdindex"/>
              </w:rPr>
              <w:t>Contrôle des bruits d'équipements et des vibrations</w:t>
            </w:r>
            <w:r>
              <w:rPr>
                <w:webHidden/>
              </w:rPr>
              <w:fldChar w:fldCharType="begin"/>
            </w:r>
            <w:r>
              <w:rPr>
                <w:webHidden/>
              </w:rPr>
              <w:instrText>PAGEREF _Toc32334665 \h</w:instrText>
            </w:r>
            <w:r>
              <w:rPr>
                <w:webHidden/>
              </w:rPr>
              <w:fldChar w:fldCharType="separate"/>
            </w:r>
            <w:r>
              <w:rPr>
                <w:rStyle w:val="Sautdindex"/>
                <w:vanish w:val="false"/>
              </w:rPr>
              <w:tab/>
              <w:t>80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66">
            <w:r>
              <w:rPr>
                <w:webHidden/>
                <w:rStyle w:val="Sautdindex"/>
                <w:rFonts w:cs="Times New Roman"/>
              </w:rPr>
              <w:t>2.20.2.1.</w:t>
            </w:r>
            <w:r>
              <w:rPr>
                <w:rStyle w:val="Sautdindex"/>
                <w:rFonts w:eastAsia="" w:cs="" w:cstheme="minorBidi" w:eastAsiaTheme="minorEastAsia"/>
                <w:sz w:val="22"/>
                <w:szCs w:val="22"/>
              </w:rPr>
              <w:tab/>
            </w:r>
            <w:r>
              <w:rPr>
                <w:rStyle w:val="Sautdindex"/>
              </w:rPr>
              <w:t>Définition des critères acoustiques</w:t>
            </w:r>
            <w:r>
              <w:rPr>
                <w:webHidden/>
              </w:rPr>
              <w:fldChar w:fldCharType="begin"/>
            </w:r>
            <w:r>
              <w:rPr>
                <w:webHidden/>
              </w:rPr>
              <w:instrText>PAGEREF _Toc32334666 \h</w:instrText>
            </w:r>
            <w:r>
              <w:rPr>
                <w:webHidden/>
              </w:rPr>
              <w:fldChar w:fldCharType="separate"/>
            </w:r>
            <w:r>
              <w:rPr>
                <w:rStyle w:val="Sautdindex"/>
                <w:vanish w:val="false"/>
              </w:rPr>
              <w:tab/>
              <w:t>80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67">
            <w:r>
              <w:rPr>
                <w:webHidden/>
                <w:rStyle w:val="Sautdindex"/>
                <w:rFonts w:cs="Times New Roman"/>
                <w14:scene3d>
                  <w14:camera w14:prst="orthographicFront"/>
                  <w14:lightRig w14:rig="threePt" w14:dir="t">
                    <w14:rot w14:lat="0" w14:lon="0" w14:rev="0"/>
                  </w14:lightRig>
                </w14:scene3d>
              </w:rPr>
              <w:t>2.20.3.</w:t>
            </w:r>
            <w:r>
              <w:rPr>
                <w:rStyle w:val="Sautdindex"/>
                <w:rFonts w:eastAsia="" w:cs="" w:cstheme="minorBidi" w:eastAsiaTheme="minorEastAsia"/>
                <w:i w:val="false"/>
                <w:iCs w:val="false"/>
                <w:sz w:val="22"/>
                <w:szCs w:val="22"/>
              </w:rPr>
              <w:tab/>
            </w:r>
            <w:r>
              <w:rPr>
                <w:rStyle w:val="Sautdindex"/>
              </w:rPr>
              <w:t>Mesures in-situ</w:t>
            </w:r>
            <w:r>
              <w:rPr>
                <w:webHidden/>
              </w:rPr>
              <w:fldChar w:fldCharType="begin"/>
            </w:r>
            <w:r>
              <w:rPr>
                <w:webHidden/>
              </w:rPr>
              <w:instrText>PAGEREF _Toc32334667 \h</w:instrText>
            </w:r>
            <w:r>
              <w:rPr>
                <w:webHidden/>
              </w:rPr>
              <w:fldChar w:fldCharType="separate"/>
            </w:r>
            <w:r>
              <w:rPr>
                <w:rStyle w:val="Sautdindex"/>
                <w:vanish w:val="false"/>
              </w:rPr>
              <w:tab/>
              <w:t>81</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68">
            <w:r>
              <w:rPr>
                <w:webHidden/>
                <w:rStyle w:val="Sautdindex"/>
                <w:rFonts w:cs="Times New Roman"/>
              </w:rPr>
              <w:t>2.20.3.1.</w:t>
            </w:r>
            <w:r>
              <w:rPr>
                <w:rStyle w:val="Sautdindex"/>
                <w:rFonts w:eastAsia="" w:cs="" w:cstheme="minorBidi" w:eastAsiaTheme="minorEastAsia"/>
                <w:sz w:val="22"/>
                <w:szCs w:val="22"/>
              </w:rPr>
              <w:tab/>
            </w:r>
            <w:r>
              <w:rPr>
                <w:rStyle w:val="Sautdindex"/>
              </w:rPr>
              <w:t>Temps de réverbération</w:t>
            </w:r>
            <w:r>
              <w:rPr>
                <w:webHidden/>
              </w:rPr>
              <w:fldChar w:fldCharType="begin"/>
            </w:r>
            <w:r>
              <w:rPr>
                <w:webHidden/>
              </w:rPr>
              <w:instrText>PAGEREF _Toc32334668 \h</w:instrText>
            </w:r>
            <w:r>
              <w:rPr>
                <w:webHidden/>
              </w:rPr>
              <w:fldChar w:fldCharType="separate"/>
            </w:r>
            <w:r>
              <w:rPr>
                <w:rStyle w:val="Sautdindex"/>
                <w:vanish w:val="false"/>
              </w:rPr>
              <w:tab/>
              <w:t>81</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69">
            <w:r>
              <w:rPr>
                <w:webHidden/>
                <w:rStyle w:val="Sautdindex"/>
                <w:rFonts w:cs="Times New Roman"/>
              </w:rPr>
              <w:t>2.20.3.2.</w:t>
            </w:r>
            <w:r>
              <w:rPr>
                <w:rStyle w:val="Sautdindex"/>
                <w:rFonts w:eastAsia="" w:cs="" w:cstheme="minorBidi" w:eastAsiaTheme="minorEastAsia"/>
                <w:sz w:val="22"/>
                <w:szCs w:val="22"/>
              </w:rPr>
              <w:tab/>
            </w:r>
            <w:r>
              <w:rPr>
                <w:rStyle w:val="Sautdindex"/>
              </w:rPr>
              <w:t>Bruit Ambiant</w:t>
            </w:r>
            <w:r>
              <w:rPr>
                <w:webHidden/>
              </w:rPr>
              <w:fldChar w:fldCharType="begin"/>
            </w:r>
            <w:r>
              <w:rPr>
                <w:webHidden/>
              </w:rPr>
              <w:instrText>PAGEREF _Toc32334669 \h</w:instrText>
            </w:r>
            <w:r>
              <w:rPr>
                <w:webHidden/>
              </w:rPr>
              <w:fldChar w:fldCharType="separate"/>
            </w:r>
            <w:r>
              <w:rPr>
                <w:rStyle w:val="Sautdindex"/>
                <w:vanish w:val="false"/>
              </w:rPr>
              <w:tab/>
              <w:t>82</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70">
            <w:r>
              <w:rPr>
                <w:webHidden/>
                <w:rStyle w:val="Sautdindex"/>
                <w:rFonts w:cs="Times New Roman"/>
              </w:rPr>
              <w:t>2.20.3.3.</w:t>
            </w:r>
            <w:r>
              <w:rPr>
                <w:rStyle w:val="Sautdindex"/>
                <w:rFonts w:eastAsia="" w:cs="" w:cstheme="minorBidi" w:eastAsiaTheme="minorEastAsia"/>
                <w:sz w:val="22"/>
                <w:szCs w:val="22"/>
              </w:rPr>
              <w:tab/>
            </w:r>
            <w:r>
              <w:rPr>
                <w:rStyle w:val="Sautdindex"/>
              </w:rPr>
              <w:t>Sources de bruits</w:t>
            </w:r>
            <w:r>
              <w:rPr>
                <w:webHidden/>
              </w:rPr>
              <w:fldChar w:fldCharType="begin"/>
            </w:r>
            <w:r>
              <w:rPr>
                <w:webHidden/>
              </w:rPr>
              <w:instrText>PAGEREF _Toc32334670 \h</w:instrText>
            </w:r>
            <w:r>
              <w:rPr>
                <w:webHidden/>
              </w:rPr>
              <w:fldChar w:fldCharType="separate"/>
            </w:r>
            <w:r>
              <w:rPr>
                <w:rStyle w:val="Sautdindex"/>
                <w:vanish w:val="false"/>
              </w:rPr>
              <w:tab/>
              <w:t>82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71">
            <w:r>
              <w:rPr>
                <w:webHidden/>
                <w:rStyle w:val="Sautdindex"/>
                <w:rFonts w:cs="Times New Roman"/>
                <w14:scene3d>
                  <w14:camera w14:prst="orthographicFront"/>
                  <w14:lightRig w14:rig="threePt" w14:dir="t">
                    <w14:rot w14:lat="0" w14:lon="0" w14:rev="0"/>
                  </w14:lightRig>
                </w14:scene3d>
              </w:rPr>
              <w:t>2.20.4.</w:t>
            </w:r>
            <w:r>
              <w:rPr>
                <w:rStyle w:val="Sautdindex"/>
                <w:rFonts w:eastAsia="" w:cs="" w:cstheme="minorBidi" w:eastAsiaTheme="minorEastAsia"/>
                <w:i w:val="false"/>
                <w:iCs w:val="false"/>
                <w:sz w:val="22"/>
                <w:szCs w:val="22"/>
              </w:rPr>
              <w:tab/>
            </w:r>
            <w:r>
              <w:rPr>
                <w:rStyle w:val="Sautdindex"/>
              </w:rPr>
              <w:t>Consistance des travaux</w:t>
            </w:r>
            <w:r>
              <w:rPr>
                <w:webHidden/>
              </w:rPr>
              <w:fldChar w:fldCharType="begin"/>
            </w:r>
            <w:r>
              <w:rPr>
                <w:webHidden/>
              </w:rPr>
              <w:instrText>PAGEREF _Toc32334671 \h</w:instrText>
            </w:r>
            <w:r>
              <w:rPr>
                <w:webHidden/>
              </w:rPr>
              <w:fldChar w:fldCharType="separate"/>
            </w:r>
            <w:r>
              <w:rPr>
                <w:rStyle w:val="Sautdindex"/>
                <w:vanish w:val="false"/>
              </w:rPr>
              <w:tab/>
              <w:t>82</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72">
            <w:r>
              <w:rPr>
                <w:webHidden/>
                <w:rStyle w:val="Sautdindex"/>
                <w:b/>
              </w:rPr>
              <w:t>2.21.</w:t>
            </w:r>
            <w:r>
              <w:rPr>
                <w:rStyle w:val="Sautdindex"/>
                <w:rFonts w:eastAsia="" w:cs="" w:cstheme="minorBidi" w:eastAsiaTheme="minorEastAsia"/>
                <w:caps w:val="false"/>
                <w:smallCaps w:val="false"/>
                <w:sz w:val="22"/>
                <w:szCs w:val="22"/>
              </w:rPr>
              <w:tab/>
            </w:r>
            <w:r>
              <w:rPr>
                <w:rStyle w:val="Sautdindex"/>
              </w:rPr>
              <w:t>Dispositions ergonomiques</w:t>
            </w:r>
            <w:r>
              <w:rPr>
                <w:webHidden/>
              </w:rPr>
              <w:fldChar w:fldCharType="begin"/>
            </w:r>
            <w:r>
              <w:rPr>
                <w:webHidden/>
              </w:rPr>
              <w:instrText>PAGEREF _Toc32334672 \h</w:instrText>
            </w:r>
            <w:r>
              <w:rPr>
                <w:webHidden/>
              </w:rPr>
              <w:fldChar w:fldCharType="separate"/>
            </w:r>
            <w:r>
              <w:rPr>
                <w:rStyle w:val="Sautdindex"/>
                <w:vanish w:val="false"/>
              </w:rPr>
              <w:tab/>
              <w:t>83</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673">
            <w:r>
              <w:rPr>
                <w:webHidden/>
                <w:rStyle w:val="Sautdindex"/>
                <w:b/>
              </w:rPr>
              <w:t>2.22.</w:t>
            </w:r>
            <w:r>
              <w:rPr>
                <w:rStyle w:val="Sautdindex"/>
                <w:rFonts w:eastAsia="" w:cs="" w:cstheme="minorBidi" w:eastAsiaTheme="minorEastAsia"/>
                <w:caps w:val="false"/>
                <w:smallCaps w:val="false"/>
                <w:sz w:val="22"/>
                <w:szCs w:val="22"/>
              </w:rPr>
              <w:tab/>
            </w:r>
            <w:r>
              <w:rPr>
                <w:rStyle w:val="Sautdindex"/>
              </w:rPr>
              <w:t>Phasage des travaux</w:t>
            </w:r>
            <w:r>
              <w:rPr>
                <w:webHidden/>
              </w:rPr>
              <w:fldChar w:fldCharType="begin"/>
            </w:r>
            <w:r>
              <w:rPr>
                <w:webHidden/>
              </w:rPr>
              <w:instrText>PAGEREF _Toc32334673 \h</w:instrText>
            </w:r>
            <w:r>
              <w:rPr>
                <w:webHidden/>
              </w:rPr>
              <w:fldChar w:fldCharType="separate"/>
            </w:r>
            <w:r>
              <w:rPr>
                <w:rStyle w:val="Sautdindex"/>
                <w:vanish w:val="false"/>
              </w:rPr>
              <w:tab/>
              <w:t>83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74">
            <w:r>
              <w:rPr>
                <w:webHidden/>
                <w:rStyle w:val="Sautdindex"/>
                <w:rFonts w:cs="Times New Roman"/>
                <w14:scene3d>
                  <w14:camera w14:prst="orthographicFront"/>
                  <w14:lightRig w14:rig="threePt" w14:dir="t">
                    <w14:rot w14:lat="0" w14:lon="0" w14:rev="0"/>
                  </w14:lightRig>
                </w14:scene3d>
              </w:rPr>
              <w:t>2.22.1.</w:t>
            </w:r>
            <w:r>
              <w:rPr>
                <w:rStyle w:val="Sautdindex"/>
                <w:rFonts w:eastAsia="" w:cs="" w:cstheme="minorBidi" w:eastAsiaTheme="minorEastAsia"/>
                <w:i w:val="false"/>
                <w:iCs w:val="false"/>
                <w:sz w:val="22"/>
                <w:szCs w:val="22"/>
              </w:rPr>
              <w:tab/>
            </w:r>
            <w:r>
              <w:rPr>
                <w:rStyle w:val="Sautdindex"/>
              </w:rPr>
              <w:t>Impact sur l’exploitation</w:t>
            </w:r>
            <w:r>
              <w:rPr>
                <w:webHidden/>
              </w:rPr>
              <w:fldChar w:fldCharType="begin"/>
            </w:r>
            <w:r>
              <w:rPr>
                <w:webHidden/>
              </w:rPr>
              <w:instrText>PAGEREF _Toc32334674 \h</w:instrText>
            </w:r>
            <w:r>
              <w:rPr>
                <w:webHidden/>
              </w:rPr>
              <w:fldChar w:fldCharType="separate"/>
            </w:r>
            <w:r>
              <w:rPr>
                <w:rStyle w:val="Sautdindex"/>
                <w:vanish w:val="false"/>
              </w:rPr>
              <w:tab/>
              <w:t>83</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75">
            <w:r>
              <w:rPr>
                <w:webHidden/>
                <w:rStyle w:val="Sautdindex"/>
                <w:rFonts w:cs="Times New Roman"/>
              </w:rPr>
              <w:t>2.22.1.1.</w:t>
            </w:r>
            <w:r>
              <w:rPr>
                <w:rStyle w:val="Sautdindex"/>
                <w:rFonts w:eastAsia="" w:cs="" w:cstheme="minorBidi" w:eastAsiaTheme="minorEastAsia"/>
                <w:sz w:val="22"/>
                <w:szCs w:val="22"/>
              </w:rPr>
              <w:tab/>
            </w:r>
            <w:r>
              <w:rPr>
                <w:rStyle w:val="Sautdindex"/>
              </w:rPr>
              <w:t>Généralités</w:t>
            </w:r>
            <w:r>
              <w:rPr>
                <w:webHidden/>
              </w:rPr>
              <w:fldChar w:fldCharType="begin"/>
            </w:r>
            <w:r>
              <w:rPr>
                <w:webHidden/>
              </w:rPr>
              <w:instrText>PAGEREF _Toc32334675 \h</w:instrText>
            </w:r>
            <w:r>
              <w:rPr>
                <w:webHidden/>
              </w:rPr>
              <w:fldChar w:fldCharType="separate"/>
            </w:r>
            <w:r>
              <w:rPr>
                <w:rStyle w:val="Sautdindex"/>
                <w:vanish w:val="false"/>
              </w:rPr>
              <w:tab/>
              <w:t>83</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76">
            <w:r>
              <w:rPr>
                <w:webHidden/>
                <w:rStyle w:val="Sautdindex"/>
                <w:rFonts w:cs="Times New Roman"/>
              </w:rPr>
              <w:t>2.22.1.2.</w:t>
            </w:r>
            <w:r>
              <w:rPr>
                <w:rStyle w:val="Sautdindex"/>
                <w:rFonts w:eastAsia="" w:cs="" w:cstheme="minorBidi" w:eastAsiaTheme="minorEastAsia"/>
                <w:sz w:val="22"/>
                <w:szCs w:val="22"/>
              </w:rPr>
              <w:tab/>
            </w:r>
            <w:r>
              <w:rPr>
                <w:rStyle w:val="Sautdindex"/>
              </w:rPr>
              <w:t>Précautions</w:t>
            </w:r>
            <w:r>
              <w:rPr>
                <w:webHidden/>
              </w:rPr>
              <w:fldChar w:fldCharType="begin"/>
            </w:r>
            <w:r>
              <w:rPr>
                <w:webHidden/>
              </w:rPr>
              <w:instrText>PAGEREF _Toc32334676 \h</w:instrText>
            </w:r>
            <w:r>
              <w:rPr>
                <w:webHidden/>
              </w:rPr>
              <w:fldChar w:fldCharType="separate"/>
            </w:r>
            <w:r>
              <w:rPr>
                <w:rStyle w:val="Sautdindex"/>
                <w:vanish w:val="false"/>
              </w:rPr>
              <w:tab/>
              <w:t>84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77">
            <w:r>
              <w:rPr>
                <w:webHidden/>
                <w:rStyle w:val="Sautdindex"/>
                <w:rFonts w:cs="Times New Roman"/>
                <w14:scene3d>
                  <w14:camera w14:prst="orthographicFront"/>
                  <w14:lightRig w14:rig="threePt" w14:dir="t">
                    <w14:rot w14:lat="0" w14:lon="0" w14:rev="0"/>
                  </w14:lightRig>
                </w14:scene3d>
              </w:rPr>
              <w:t>2.22.2.</w:t>
            </w:r>
            <w:r>
              <w:rPr>
                <w:rStyle w:val="Sautdindex"/>
                <w:rFonts w:eastAsia="" w:cs="" w:cstheme="minorBidi" w:eastAsiaTheme="minorEastAsia"/>
                <w:i w:val="false"/>
                <w:iCs w:val="false"/>
                <w:sz w:val="22"/>
                <w:szCs w:val="22"/>
              </w:rPr>
              <w:tab/>
            </w:r>
            <w:r>
              <w:rPr>
                <w:rStyle w:val="Sautdindex"/>
              </w:rPr>
              <w:t>Fonctionnalité – phasage général</w:t>
            </w:r>
            <w:r>
              <w:rPr>
                <w:webHidden/>
              </w:rPr>
              <w:fldChar w:fldCharType="begin"/>
            </w:r>
            <w:r>
              <w:rPr>
                <w:webHidden/>
              </w:rPr>
              <w:instrText>PAGEREF _Toc32334677 \h</w:instrText>
            </w:r>
            <w:r>
              <w:rPr>
                <w:webHidden/>
              </w:rPr>
              <w:fldChar w:fldCharType="separate"/>
            </w:r>
            <w:r>
              <w:rPr>
                <w:rStyle w:val="Sautdindex"/>
                <w:vanish w:val="false"/>
              </w:rPr>
              <w:tab/>
              <w:t>84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78">
            <w:r>
              <w:rPr>
                <w:webHidden/>
                <w:rStyle w:val="Sautdindex"/>
                <w:rFonts w:cs="Times New Roman"/>
                <w14:scene3d>
                  <w14:camera w14:prst="orthographicFront"/>
                  <w14:lightRig w14:rig="threePt" w14:dir="t">
                    <w14:rot w14:lat="0" w14:lon="0" w14:rev="0"/>
                  </w14:lightRig>
                </w14:scene3d>
              </w:rPr>
              <w:t>2.22.3.</w:t>
            </w:r>
            <w:r>
              <w:rPr>
                <w:rStyle w:val="Sautdindex"/>
                <w:rFonts w:eastAsia="" w:cs="" w:cstheme="minorBidi" w:eastAsiaTheme="minorEastAsia"/>
                <w:i w:val="false"/>
                <w:iCs w:val="false"/>
                <w:sz w:val="22"/>
                <w:szCs w:val="22"/>
              </w:rPr>
              <w:tab/>
            </w:r>
            <w:r>
              <w:rPr>
                <w:rStyle w:val="Sautdindex"/>
              </w:rPr>
              <w:t>Phase 1 – salle d’exploitation provisoire</w:t>
            </w:r>
            <w:r>
              <w:rPr>
                <w:webHidden/>
              </w:rPr>
              <w:fldChar w:fldCharType="begin"/>
            </w:r>
            <w:r>
              <w:rPr>
                <w:webHidden/>
              </w:rPr>
              <w:instrText>PAGEREF _Toc32334678 \h</w:instrText>
            </w:r>
            <w:r>
              <w:rPr>
                <w:webHidden/>
              </w:rPr>
              <w:fldChar w:fldCharType="separate"/>
            </w:r>
            <w:r>
              <w:rPr>
                <w:rStyle w:val="Sautdindex"/>
                <w:vanish w:val="false"/>
              </w:rPr>
              <w:tab/>
              <w:t>85</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79">
            <w:r>
              <w:rPr>
                <w:webHidden/>
                <w:rStyle w:val="Sautdindex"/>
                <w:rFonts w:cs="Times New Roman"/>
              </w:rPr>
              <w:t>2.22.3.1.</w:t>
            </w:r>
            <w:r>
              <w:rPr>
                <w:rStyle w:val="Sautdindex"/>
                <w:rFonts w:eastAsia="" w:cs="" w:cstheme="minorBidi" w:eastAsiaTheme="minorEastAsia"/>
                <w:sz w:val="22"/>
                <w:szCs w:val="22"/>
              </w:rPr>
              <w:tab/>
            </w:r>
            <w:r>
              <w:rPr>
                <w:rStyle w:val="Sautdindex"/>
              </w:rPr>
              <w:t>Consistance des travaux</w:t>
            </w:r>
            <w:r>
              <w:rPr>
                <w:webHidden/>
              </w:rPr>
              <w:fldChar w:fldCharType="begin"/>
            </w:r>
            <w:r>
              <w:rPr>
                <w:webHidden/>
              </w:rPr>
              <w:instrText>PAGEREF _Toc32334679 \h</w:instrText>
            </w:r>
            <w:r>
              <w:rPr>
                <w:webHidden/>
              </w:rPr>
              <w:fldChar w:fldCharType="separate"/>
            </w:r>
            <w:r>
              <w:rPr>
                <w:rStyle w:val="Sautdindex"/>
                <w:vanish w:val="false"/>
              </w:rPr>
              <w:tab/>
              <w:t>85</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80">
            <w:r>
              <w:rPr>
                <w:webHidden/>
                <w:rStyle w:val="Sautdindex"/>
                <w:rFonts w:cs="Times New Roman"/>
              </w:rPr>
              <w:t>2.22.3.2.</w:t>
            </w:r>
            <w:r>
              <w:rPr>
                <w:rStyle w:val="Sautdindex"/>
                <w:rFonts w:eastAsia="" w:cs="" w:cstheme="minorBidi" w:eastAsiaTheme="minorEastAsia"/>
                <w:sz w:val="22"/>
                <w:szCs w:val="22"/>
              </w:rPr>
              <w:tab/>
            </w:r>
            <w:r>
              <w:rPr>
                <w:rStyle w:val="Sautdindex"/>
              </w:rPr>
              <w:t>Les pupitres provisoires</w:t>
            </w:r>
            <w:r>
              <w:rPr>
                <w:webHidden/>
              </w:rPr>
              <w:fldChar w:fldCharType="begin"/>
            </w:r>
            <w:r>
              <w:rPr>
                <w:webHidden/>
              </w:rPr>
              <w:instrText>PAGEREF _Toc32334680 \h</w:instrText>
            </w:r>
            <w:r>
              <w:rPr>
                <w:webHidden/>
              </w:rPr>
              <w:fldChar w:fldCharType="separate"/>
            </w:r>
            <w:r>
              <w:rPr>
                <w:rStyle w:val="Sautdindex"/>
                <w:vanish w:val="false"/>
              </w:rPr>
              <w:tab/>
              <w:t>86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81">
            <w:r>
              <w:rPr>
                <w:webHidden/>
                <w:rStyle w:val="Sautdindex"/>
                <w:rFonts w:cs="Times New Roman"/>
                <w14:scene3d>
                  <w14:camera w14:prst="orthographicFront"/>
                  <w14:lightRig w14:rig="threePt" w14:dir="t">
                    <w14:rot w14:lat="0" w14:lon="0" w14:rev="0"/>
                  </w14:lightRig>
                </w14:scene3d>
              </w:rPr>
              <w:t>2.22.4.</w:t>
            </w:r>
            <w:r>
              <w:rPr>
                <w:rStyle w:val="Sautdindex"/>
                <w:rFonts w:eastAsia="" w:cs="" w:cstheme="minorBidi" w:eastAsiaTheme="minorEastAsia"/>
                <w:i w:val="false"/>
                <w:iCs w:val="false"/>
                <w:sz w:val="22"/>
                <w:szCs w:val="22"/>
              </w:rPr>
              <w:tab/>
            </w:r>
            <w:r>
              <w:rPr>
                <w:rStyle w:val="Sautdindex"/>
              </w:rPr>
              <w:t>Phase 2 – transfert de fonctionnement provisoire</w:t>
            </w:r>
            <w:r>
              <w:rPr>
                <w:webHidden/>
              </w:rPr>
              <w:fldChar w:fldCharType="begin"/>
            </w:r>
            <w:r>
              <w:rPr>
                <w:webHidden/>
              </w:rPr>
              <w:instrText>PAGEREF _Toc32334681 \h</w:instrText>
            </w:r>
            <w:r>
              <w:rPr>
                <w:webHidden/>
              </w:rPr>
              <w:fldChar w:fldCharType="separate"/>
            </w:r>
            <w:r>
              <w:rPr>
                <w:rStyle w:val="Sautdindex"/>
                <w:vanish w:val="false"/>
              </w:rPr>
              <w:tab/>
              <w:t>87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82">
            <w:r>
              <w:rPr>
                <w:webHidden/>
                <w:rStyle w:val="Sautdindex"/>
                <w:rFonts w:cs="Times New Roman"/>
                <w14:scene3d>
                  <w14:camera w14:prst="orthographicFront"/>
                  <w14:lightRig w14:rig="threePt" w14:dir="t">
                    <w14:rot w14:lat="0" w14:lon="0" w14:rev="0"/>
                  </w14:lightRig>
                </w14:scene3d>
              </w:rPr>
              <w:t>2.22.5.</w:t>
            </w:r>
            <w:r>
              <w:rPr>
                <w:rStyle w:val="Sautdindex"/>
                <w:rFonts w:eastAsia="" w:cs="" w:cstheme="minorBidi" w:eastAsiaTheme="minorEastAsia"/>
                <w:i w:val="false"/>
                <w:iCs w:val="false"/>
                <w:sz w:val="22"/>
                <w:szCs w:val="22"/>
              </w:rPr>
              <w:tab/>
            </w:r>
            <w:r>
              <w:rPr>
                <w:rStyle w:val="Sautdindex"/>
              </w:rPr>
              <w:t>Phase 3 – Salle d’exploitation définitive</w:t>
            </w:r>
            <w:r>
              <w:rPr>
                <w:webHidden/>
              </w:rPr>
              <w:fldChar w:fldCharType="begin"/>
            </w:r>
            <w:r>
              <w:rPr>
                <w:webHidden/>
              </w:rPr>
              <w:instrText>PAGEREF _Toc32334682 \h</w:instrText>
            </w:r>
            <w:r>
              <w:rPr>
                <w:webHidden/>
              </w:rPr>
              <w:fldChar w:fldCharType="separate"/>
            </w:r>
            <w:r>
              <w:rPr>
                <w:rStyle w:val="Sautdindex"/>
                <w:vanish w:val="false"/>
              </w:rPr>
              <w:tab/>
              <w:t>87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83">
            <w:r>
              <w:rPr>
                <w:webHidden/>
                <w:rStyle w:val="Sautdindex"/>
                <w:rFonts w:cs="Times New Roman"/>
                <w14:scene3d>
                  <w14:camera w14:prst="orthographicFront"/>
                  <w14:lightRig w14:rig="threePt" w14:dir="t">
                    <w14:rot w14:lat="0" w14:lon="0" w14:rev="0"/>
                  </w14:lightRig>
                </w14:scene3d>
              </w:rPr>
              <w:t>2.22.6.</w:t>
            </w:r>
            <w:r>
              <w:rPr>
                <w:rStyle w:val="Sautdindex"/>
                <w:rFonts w:eastAsia="" w:cs="" w:cstheme="minorBidi" w:eastAsiaTheme="minorEastAsia"/>
                <w:i w:val="false"/>
                <w:iCs w:val="false"/>
                <w:sz w:val="22"/>
                <w:szCs w:val="22"/>
              </w:rPr>
              <w:tab/>
            </w:r>
            <w:r>
              <w:rPr>
                <w:rStyle w:val="Sautdindex"/>
              </w:rPr>
              <w:t>Phase 4 - transfert de fonctionnement Définitif</w:t>
            </w:r>
            <w:r>
              <w:rPr>
                <w:webHidden/>
              </w:rPr>
              <w:fldChar w:fldCharType="begin"/>
            </w:r>
            <w:r>
              <w:rPr>
                <w:webHidden/>
              </w:rPr>
              <w:instrText>PAGEREF _Toc32334683 \h</w:instrText>
            </w:r>
            <w:r>
              <w:rPr>
                <w:webHidden/>
              </w:rPr>
              <w:fldChar w:fldCharType="separate"/>
            </w:r>
            <w:r>
              <w:rPr>
                <w:rStyle w:val="Sautdindex"/>
                <w:vanish w:val="false"/>
              </w:rPr>
              <w:tab/>
              <w:t>88</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84">
            <w:r>
              <w:rPr>
                <w:webHidden/>
                <w:rStyle w:val="Sautdindex"/>
                <w:rFonts w:cs="Times New Roman"/>
              </w:rPr>
              <w:t>2.22.6.1.</w:t>
            </w:r>
            <w:r>
              <w:rPr>
                <w:rStyle w:val="Sautdindex"/>
                <w:rFonts w:eastAsia="" w:cs="" w:cstheme="minorBidi" w:eastAsiaTheme="minorEastAsia"/>
                <w:sz w:val="22"/>
                <w:szCs w:val="22"/>
              </w:rPr>
              <w:tab/>
            </w:r>
            <w:r>
              <w:rPr>
                <w:rStyle w:val="Sautdindex"/>
              </w:rPr>
              <w:t>Impact sur l’exploitation</w:t>
            </w:r>
            <w:r>
              <w:rPr>
                <w:webHidden/>
              </w:rPr>
              <w:fldChar w:fldCharType="begin"/>
            </w:r>
            <w:r>
              <w:rPr>
                <w:webHidden/>
              </w:rPr>
              <w:instrText>PAGEREF _Toc32334684 \h</w:instrText>
            </w:r>
            <w:r>
              <w:rPr>
                <w:webHidden/>
              </w:rPr>
              <w:fldChar w:fldCharType="separate"/>
            </w:r>
            <w:r>
              <w:rPr>
                <w:rStyle w:val="Sautdindex"/>
                <w:vanish w:val="false"/>
              </w:rPr>
              <w:tab/>
              <w:t>88</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85">
            <w:r>
              <w:rPr>
                <w:webHidden/>
                <w:rStyle w:val="Sautdindex"/>
                <w:rFonts w:cs="Times New Roman"/>
              </w:rPr>
              <w:t>2.22.6.2.</w:t>
            </w:r>
            <w:r>
              <w:rPr>
                <w:rStyle w:val="Sautdindex"/>
                <w:rFonts w:eastAsia="" w:cs="" w:cstheme="minorBidi" w:eastAsiaTheme="minorEastAsia"/>
                <w:sz w:val="22"/>
                <w:szCs w:val="22"/>
              </w:rPr>
              <w:tab/>
            </w:r>
            <w:r>
              <w:rPr>
                <w:rStyle w:val="Sautdindex"/>
              </w:rPr>
              <w:t>Mise en service des outils définitifs</w:t>
            </w:r>
            <w:r>
              <w:rPr>
                <w:webHidden/>
              </w:rPr>
              <w:fldChar w:fldCharType="begin"/>
            </w:r>
            <w:r>
              <w:rPr>
                <w:webHidden/>
              </w:rPr>
              <w:instrText>PAGEREF _Toc32334685 \h</w:instrText>
            </w:r>
            <w:r>
              <w:rPr>
                <w:webHidden/>
              </w:rPr>
              <w:fldChar w:fldCharType="separate"/>
            </w:r>
            <w:r>
              <w:rPr>
                <w:rStyle w:val="Sautdindex"/>
                <w:vanish w:val="false"/>
              </w:rPr>
              <w:tab/>
              <w:t>88</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686">
            <w:r>
              <w:rPr>
                <w:webHidden/>
                <w:rStyle w:val="Sautdindex"/>
                <w:rFonts w:cs="Times New Roman"/>
              </w:rPr>
              <w:t>2.22.6.3.</w:t>
            </w:r>
            <w:r>
              <w:rPr>
                <w:rStyle w:val="Sautdindex"/>
                <w:rFonts w:eastAsia="" w:cs="" w:cstheme="minorBidi" w:eastAsiaTheme="minorEastAsia"/>
                <w:sz w:val="22"/>
                <w:szCs w:val="22"/>
              </w:rPr>
              <w:tab/>
            </w:r>
            <w:r>
              <w:rPr>
                <w:rStyle w:val="Sautdindex"/>
              </w:rPr>
              <w:t>Basculement de l’exploitation</w:t>
            </w:r>
            <w:r>
              <w:rPr>
                <w:webHidden/>
              </w:rPr>
              <w:fldChar w:fldCharType="begin"/>
            </w:r>
            <w:r>
              <w:rPr>
                <w:webHidden/>
              </w:rPr>
              <w:instrText>PAGEREF _Toc32334686 \h</w:instrText>
            </w:r>
            <w:r>
              <w:rPr>
                <w:webHidden/>
              </w:rPr>
              <w:fldChar w:fldCharType="separate"/>
            </w:r>
            <w:r>
              <w:rPr>
                <w:rStyle w:val="Sautdindex"/>
                <w:vanish w:val="false"/>
              </w:rPr>
              <w:tab/>
              <w:t>88</w:t>
            </w:r>
            <w:r>
              <w:rPr>
                <w:webHidden/>
              </w:rPr>
              <w:fldChar w:fldCharType="end"/>
            </w:r>
          </w:hyperlink>
        </w:p>
        <w:p>
          <w:pPr>
            <w:pStyle w:val="Tabledesmatiresniveau1"/>
            <w:tabs>
              <w:tab w:val="clear" w:pos="708"/>
              <w:tab w:val="left" w:pos="400" w:leader="none"/>
              <w:tab w:val="right" w:pos="9629" w:leader="dot"/>
            </w:tabs>
            <w:rPr>
              <w:rFonts w:eastAsia="" w:cs="" w:cstheme="minorBidi" w:eastAsiaTheme="minorEastAsia"/>
              <w:b w:val="false"/>
              <w:b w:val="false"/>
              <w:bCs w:val="false"/>
              <w:caps w:val="false"/>
              <w:smallCaps w:val="false"/>
              <w:sz w:val="22"/>
              <w:szCs w:val="22"/>
            </w:rPr>
          </w:pPr>
          <w:hyperlink w:anchor="_Toc32334687">
            <w:r>
              <w:rPr>
                <w:webHidden/>
                <w:rStyle w:val="Sautdindex"/>
                <w:rFonts w:cs="Times New Roman"/>
              </w:rPr>
              <w:t>3.</w:t>
            </w:r>
            <w:r>
              <w:rPr>
                <w:rStyle w:val="Sautdindex"/>
                <w:rFonts w:eastAsia="" w:cs="" w:cstheme="minorBidi" w:eastAsiaTheme="minorEastAsia"/>
                <w:b w:val="false"/>
                <w:bCs w:val="false"/>
                <w:caps w:val="false"/>
                <w:smallCaps w:val="false"/>
                <w:sz w:val="22"/>
                <w:szCs w:val="22"/>
              </w:rPr>
              <w:tab/>
            </w:r>
            <w:r>
              <w:rPr>
                <w:rStyle w:val="Sautdindex"/>
              </w:rPr>
              <w:t>Spécifications techniques générales – provenance des matériaux</w:t>
            </w:r>
            <w:r>
              <w:rPr>
                <w:webHidden/>
              </w:rPr>
              <w:fldChar w:fldCharType="begin"/>
            </w:r>
            <w:r>
              <w:rPr>
                <w:webHidden/>
              </w:rPr>
              <w:instrText>PAGEREF _Toc32334687 \h</w:instrText>
            </w:r>
            <w:r>
              <w:rPr>
                <w:webHidden/>
              </w:rPr>
              <w:fldChar w:fldCharType="separate"/>
            </w:r>
            <w:r>
              <w:rPr>
                <w:rStyle w:val="Sautdindex"/>
                <w:vanish w:val="false"/>
              </w:rPr>
              <w:tab/>
              <w:t>90</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688">
            <w:r>
              <w:rPr>
                <w:webHidden/>
                <w:rStyle w:val="Sautdindex"/>
                <w:b/>
              </w:rPr>
              <w:t>3.1.</w:t>
            </w:r>
            <w:r>
              <w:rPr>
                <w:rStyle w:val="Sautdindex"/>
                <w:rFonts w:eastAsia="" w:cs="" w:cstheme="minorBidi" w:eastAsiaTheme="minorEastAsia"/>
                <w:caps w:val="false"/>
                <w:smallCaps w:val="false"/>
                <w:sz w:val="22"/>
                <w:szCs w:val="22"/>
              </w:rPr>
              <w:tab/>
            </w:r>
            <w:r>
              <w:rPr>
                <w:rStyle w:val="Sautdindex"/>
              </w:rPr>
              <w:t>Présentation</w:t>
            </w:r>
            <w:r>
              <w:rPr>
                <w:webHidden/>
              </w:rPr>
              <w:fldChar w:fldCharType="begin"/>
            </w:r>
            <w:r>
              <w:rPr>
                <w:webHidden/>
              </w:rPr>
              <w:instrText>PAGEREF _Toc32334688 \h</w:instrText>
            </w:r>
            <w:r>
              <w:rPr>
                <w:webHidden/>
              </w:rPr>
              <w:fldChar w:fldCharType="separate"/>
            </w:r>
            <w:r>
              <w:rPr>
                <w:rStyle w:val="Sautdindex"/>
                <w:vanish w:val="false"/>
              </w:rPr>
              <w:tab/>
              <w:t>90</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689">
            <w:r>
              <w:rPr>
                <w:webHidden/>
                <w:rStyle w:val="Sautdindex"/>
                <w:b/>
              </w:rPr>
              <w:t>3.2.</w:t>
            </w:r>
            <w:r>
              <w:rPr>
                <w:rStyle w:val="Sautdindex"/>
                <w:rFonts w:eastAsia="" w:cs="" w:cstheme="minorBidi" w:eastAsiaTheme="minorEastAsia"/>
                <w:caps w:val="false"/>
                <w:smallCaps w:val="false"/>
                <w:sz w:val="22"/>
                <w:szCs w:val="22"/>
              </w:rPr>
              <w:tab/>
            </w:r>
            <w:r>
              <w:rPr>
                <w:rStyle w:val="Sautdindex"/>
              </w:rPr>
              <w:t>Normes et réglementations applicables</w:t>
            </w:r>
            <w:r>
              <w:rPr>
                <w:webHidden/>
              </w:rPr>
              <w:fldChar w:fldCharType="begin"/>
            </w:r>
            <w:r>
              <w:rPr>
                <w:webHidden/>
              </w:rPr>
              <w:instrText>PAGEREF _Toc32334689 \h</w:instrText>
            </w:r>
            <w:r>
              <w:rPr>
                <w:webHidden/>
              </w:rPr>
              <w:fldChar w:fldCharType="separate"/>
            </w:r>
            <w:r>
              <w:rPr>
                <w:rStyle w:val="Sautdindex"/>
                <w:vanish w:val="false"/>
              </w:rPr>
              <w:tab/>
              <w:t>90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90">
            <w:r>
              <w:rPr>
                <w:webHidden/>
                <w:rStyle w:val="Sautdindex"/>
                <w:rFonts w:cs="Times New Roman"/>
                <w14:scene3d>
                  <w14:camera w14:prst="orthographicFront"/>
                  <w14:lightRig w14:rig="threePt" w14:dir="t">
                    <w14:rot w14:lat="0" w14:lon="0" w14:rev="0"/>
                  </w14:lightRig>
                </w14:scene3d>
              </w:rPr>
              <w:t>3.2.1.</w:t>
            </w:r>
            <w:r>
              <w:rPr>
                <w:rStyle w:val="Sautdindex"/>
                <w:rFonts w:eastAsia="" w:cs="" w:cstheme="minorBidi" w:eastAsiaTheme="minorEastAsia"/>
                <w:i w:val="false"/>
                <w:iCs w:val="false"/>
                <w:sz w:val="22"/>
                <w:szCs w:val="22"/>
              </w:rPr>
              <w:tab/>
            </w:r>
            <w:r>
              <w:rPr>
                <w:rStyle w:val="Sautdindex"/>
              </w:rPr>
              <w:t>Généralités</w:t>
            </w:r>
            <w:r>
              <w:rPr>
                <w:webHidden/>
              </w:rPr>
              <w:fldChar w:fldCharType="begin"/>
            </w:r>
            <w:r>
              <w:rPr>
                <w:webHidden/>
              </w:rPr>
              <w:instrText>PAGEREF _Toc32334690 \h</w:instrText>
            </w:r>
            <w:r>
              <w:rPr>
                <w:webHidden/>
              </w:rPr>
              <w:fldChar w:fldCharType="separate"/>
            </w:r>
            <w:r>
              <w:rPr>
                <w:rStyle w:val="Sautdindex"/>
                <w:vanish w:val="false"/>
              </w:rPr>
              <w:tab/>
              <w:t>90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91">
            <w:r>
              <w:rPr>
                <w:webHidden/>
                <w:rStyle w:val="Sautdindex"/>
                <w:rFonts w:cs="Times New Roman"/>
                <w14:scene3d>
                  <w14:camera w14:prst="orthographicFront"/>
                  <w14:lightRig w14:rig="threePt" w14:dir="t">
                    <w14:rot w14:lat="0" w14:lon="0" w14:rev="0"/>
                  </w14:lightRig>
                </w14:scene3d>
              </w:rPr>
              <w:t>3.2.2.</w:t>
            </w:r>
            <w:r>
              <w:rPr>
                <w:rStyle w:val="Sautdindex"/>
                <w:rFonts w:eastAsia="" w:cs="" w:cstheme="minorBidi" w:eastAsiaTheme="minorEastAsia"/>
                <w:i w:val="false"/>
                <w:iCs w:val="false"/>
                <w:sz w:val="22"/>
                <w:szCs w:val="22"/>
              </w:rPr>
              <w:tab/>
            </w:r>
            <w:r>
              <w:rPr>
                <w:rStyle w:val="Sautdindex"/>
              </w:rPr>
              <w:t>Performances Réglementaires</w:t>
            </w:r>
            <w:r>
              <w:rPr>
                <w:webHidden/>
              </w:rPr>
              <w:fldChar w:fldCharType="begin"/>
            </w:r>
            <w:r>
              <w:rPr>
                <w:webHidden/>
              </w:rPr>
              <w:instrText>PAGEREF _Toc32334691 \h</w:instrText>
            </w:r>
            <w:r>
              <w:rPr>
                <w:webHidden/>
              </w:rPr>
              <w:fldChar w:fldCharType="separate"/>
            </w:r>
            <w:r>
              <w:rPr>
                <w:rStyle w:val="Sautdindex"/>
                <w:vanish w:val="false"/>
              </w:rPr>
              <w:tab/>
              <w:t>91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92">
            <w:r>
              <w:rPr>
                <w:webHidden/>
                <w:rStyle w:val="Sautdindex"/>
                <w:rFonts w:cs="Times New Roman"/>
              </w:rPr>
              <w:t>3.2.2.1.</w:t>
            </w:r>
            <w:r>
              <w:rPr>
                <w:rStyle w:val="Sautdindex"/>
                <w:rFonts w:eastAsia="" w:cs="" w:cstheme="minorBidi" w:eastAsiaTheme="minorEastAsia"/>
                <w:sz w:val="22"/>
                <w:szCs w:val="22"/>
              </w:rPr>
              <w:tab/>
            </w:r>
            <w:r>
              <w:rPr>
                <w:rStyle w:val="Sautdindex"/>
              </w:rPr>
              <w:t>Généralités</w:t>
            </w:r>
            <w:r>
              <w:rPr>
                <w:webHidden/>
              </w:rPr>
              <w:fldChar w:fldCharType="begin"/>
            </w:r>
            <w:r>
              <w:rPr>
                <w:webHidden/>
              </w:rPr>
              <w:instrText>PAGEREF _Toc32334692 \h</w:instrText>
            </w:r>
            <w:r>
              <w:rPr>
                <w:webHidden/>
              </w:rPr>
              <w:fldChar w:fldCharType="separate"/>
            </w:r>
            <w:r>
              <w:rPr>
                <w:rStyle w:val="Sautdindex"/>
                <w:vanish w:val="false"/>
              </w:rPr>
              <w:tab/>
              <w:t>91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93">
            <w:r>
              <w:rPr>
                <w:webHidden/>
                <w:rStyle w:val="Sautdindex"/>
                <w:rFonts w:cs="Times New Roman"/>
                <w14:scene3d>
                  <w14:camera w14:prst="orthographicFront"/>
                  <w14:lightRig w14:rig="threePt" w14:dir="t">
                    <w14:rot w14:lat="0" w14:lon="0" w14:rev="0"/>
                  </w14:lightRig>
                </w14:scene3d>
              </w:rPr>
              <w:t>3.2.3.</w:t>
            </w:r>
            <w:r>
              <w:rPr>
                <w:rStyle w:val="Sautdindex"/>
                <w:rFonts w:eastAsia="" w:cs="" w:cstheme="minorBidi" w:eastAsiaTheme="minorEastAsia"/>
                <w:i w:val="false"/>
                <w:iCs w:val="false"/>
                <w:sz w:val="22"/>
                <w:szCs w:val="22"/>
              </w:rPr>
              <w:tab/>
            </w:r>
            <w:r>
              <w:rPr>
                <w:rStyle w:val="Sautdindex"/>
              </w:rPr>
              <w:t>Choix des matériaux et des couleurs</w:t>
            </w:r>
            <w:r>
              <w:rPr>
                <w:webHidden/>
              </w:rPr>
              <w:fldChar w:fldCharType="begin"/>
            </w:r>
            <w:r>
              <w:rPr>
                <w:webHidden/>
              </w:rPr>
              <w:instrText>PAGEREF _Toc32334693 \h</w:instrText>
            </w:r>
            <w:r>
              <w:rPr>
                <w:webHidden/>
              </w:rPr>
              <w:fldChar w:fldCharType="separate"/>
            </w:r>
            <w:r>
              <w:rPr>
                <w:rStyle w:val="Sautdindex"/>
                <w:vanish w:val="false"/>
              </w:rPr>
              <w:tab/>
              <w:t>91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94">
            <w:r>
              <w:rPr>
                <w:webHidden/>
                <w:rStyle w:val="Sautdindex"/>
                <w:rFonts w:cs="Times New Roman"/>
              </w:rPr>
              <w:t>3.2.3.1.</w:t>
            </w:r>
            <w:r>
              <w:rPr>
                <w:rStyle w:val="Sautdindex"/>
                <w:rFonts w:eastAsia="" w:cs="" w:cstheme="minorBidi" w:eastAsiaTheme="minorEastAsia"/>
                <w:sz w:val="22"/>
                <w:szCs w:val="22"/>
              </w:rPr>
              <w:tab/>
            </w:r>
            <w:r>
              <w:rPr>
                <w:rStyle w:val="Sautdindex"/>
              </w:rPr>
              <w:t>Perception visuelle</w:t>
            </w:r>
            <w:r>
              <w:rPr>
                <w:webHidden/>
              </w:rPr>
              <w:fldChar w:fldCharType="begin"/>
            </w:r>
            <w:r>
              <w:rPr>
                <w:webHidden/>
              </w:rPr>
              <w:instrText>PAGEREF _Toc32334694 \h</w:instrText>
            </w:r>
            <w:r>
              <w:rPr>
                <w:webHidden/>
              </w:rPr>
              <w:fldChar w:fldCharType="separate"/>
            </w:r>
            <w:r>
              <w:rPr>
                <w:rStyle w:val="Sautdindex"/>
                <w:vanish w:val="false"/>
              </w:rPr>
              <w:tab/>
              <w:t>91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95">
            <w:r>
              <w:rPr>
                <w:webHidden/>
                <w:rStyle w:val="Sautdindex"/>
                <w:rFonts w:cs="Times New Roman"/>
              </w:rPr>
              <w:t>3.2.3.2.</w:t>
            </w:r>
            <w:r>
              <w:rPr>
                <w:rStyle w:val="Sautdindex"/>
                <w:rFonts w:eastAsia="" w:cs="" w:cstheme="minorBidi" w:eastAsiaTheme="minorEastAsia"/>
                <w:sz w:val="22"/>
                <w:szCs w:val="22"/>
              </w:rPr>
              <w:tab/>
            </w:r>
            <w:r>
              <w:rPr>
                <w:rStyle w:val="Sautdindex"/>
              </w:rPr>
              <w:t>Normes d’ergonomie</w:t>
            </w:r>
            <w:r>
              <w:rPr>
                <w:webHidden/>
              </w:rPr>
              <w:fldChar w:fldCharType="begin"/>
            </w:r>
            <w:r>
              <w:rPr>
                <w:webHidden/>
              </w:rPr>
              <w:instrText>PAGEREF _Toc32334695 \h</w:instrText>
            </w:r>
            <w:r>
              <w:rPr>
                <w:webHidden/>
              </w:rPr>
              <w:fldChar w:fldCharType="separate"/>
            </w:r>
            <w:r>
              <w:rPr>
                <w:rStyle w:val="Sautdindex"/>
                <w:vanish w:val="false"/>
              </w:rPr>
              <w:tab/>
              <w:t>91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96">
            <w:r>
              <w:rPr>
                <w:webHidden/>
                <w:rStyle w:val="Sautdindex"/>
                <w:rFonts w:cs="Times New Roman"/>
              </w:rPr>
              <w:t>3.2.3.3.</w:t>
            </w:r>
            <w:r>
              <w:rPr>
                <w:rStyle w:val="Sautdindex"/>
                <w:rFonts w:eastAsia="" w:cs="" w:cstheme="minorBidi" w:eastAsiaTheme="minorEastAsia"/>
                <w:sz w:val="22"/>
                <w:szCs w:val="22"/>
              </w:rPr>
              <w:tab/>
            </w:r>
            <w:r>
              <w:rPr>
                <w:rStyle w:val="Sautdindex"/>
              </w:rPr>
              <w:t>Écrans informatiques et vidéo</w:t>
            </w:r>
            <w:r>
              <w:rPr>
                <w:webHidden/>
              </w:rPr>
              <w:fldChar w:fldCharType="begin"/>
            </w:r>
            <w:r>
              <w:rPr>
                <w:webHidden/>
              </w:rPr>
              <w:instrText>PAGEREF _Toc32334696 \h</w:instrText>
            </w:r>
            <w:r>
              <w:rPr>
                <w:webHidden/>
              </w:rPr>
              <w:fldChar w:fldCharType="separate"/>
            </w:r>
            <w:r>
              <w:rPr>
                <w:rStyle w:val="Sautdindex"/>
                <w:vanish w:val="false"/>
              </w:rPr>
              <w:tab/>
              <w:t>92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97">
            <w:r>
              <w:rPr>
                <w:webHidden/>
                <w:rStyle w:val="Sautdindex"/>
                <w:rFonts w:cs="Times New Roman"/>
              </w:rPr>
              <w:t>3.2.3.4.</w:t>
            </w:r>
            <w:r>
              <w:rPr>
                <w:rStyle w:val="Sautdindex"/>
                <w:rFonts w:eastAsia="" w:cs="" w:cstheme="minorBidi" w:eastAsiaTheme="minorEastAsia"/>
                <w:sz w:val="22"/>
                <w:szCs w:val="22"/>
              </w:rPr>
              <w:tab/>
            </w:r>
            <w:r>
              <w:rPr>
                <w:rStyle w:val="Sautdindex"/>
              </w:rPr>
              <w:t>Écarts de luminance</w:t>
            </w:r>
            <w:r>
              <w:rPr>
                <w:webHidden/>
              </w:rPr>
              <w:fldChar w:fldCharType="begin"/>
            </w:r>
            <w:r>
              <w:rPr>
                <w:webHidden/>
              </w:rPr>
              <w:instrText>PAGEREF _Toc32334697 \h</w:instrText>
            </w:r>
            <w:r>
              <w:rPr>
                <w:webHidden/>
              </w:rPr>
              <w:fldChar w:fldCharType="separate"/>
            </w:r>
            <w:r>
              <w:rPr>
                <w:rStyle w:val="Sautdindex"/>
                <w:vanish w:val="false"/>
              </w:rPr>
              <w:tab/>
              <w:t>92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698">
            <w:r>
              <w:rPr>
                <w:webHidden/>
                <w:rStyle w:val="Sautdindex"/>
                <w:rFonts w:cs="Times New Roman"/>
              </w:rPr>
              <w:t>3.2.3.5.</w:t>
            </w:r>
            <w:r>
              <w:rPr>
                <w:rStyle w:val="Sautdindex"/>
                <w:rFonts w:eastAsia="" w:cs="" w:cstheme="minorBidi" w:eastAsiaTheme="minorEastAsia"/>
                <w:sz w:val="22"/>
                <w:szCs w:val="22"/>
              </w:rPr>
              <w:tab/>
            </w:r>
            <w:r>
              <w:rPr>
                <w:rStyle w:val="Sautdindex"/>
              </w:rPr>
              <w:t>Choix des matériaux et finitions</w:t>
            </w:r>
            <w:r>
              <w:rPr>
                <w:webHidden/>
              </w:rPr>
              <w:fldChar w:fldCharType="begin"/>
            </w:r>
            <w:r>
              <w:rPr>
                <w:webHidden/>
              </w:rPr>
              <w:instrText>PAGEREF _Toc32334698 \h</w:instrText>
            </w:r>
            <w:r>
              <w:rPr>
                <w:webHidden/>
              </w:rPr>
              <w:fldChar w:fldCharType="separate"/>
            </w:r>
            <w:r>
              <w:rPr>
                <w:rStyle w:val="Sautdindex"/>
                <w:vanish w:val="false"/>
              </w:rPr>
              <w:tab/>
              <w:t>92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699">
            <w:r>
              <w:rPr>
                <w:webHidden/>
                <w:rStyle w:val="Sautdindex"/>
                <w:rFonts w:cs="Times New Roman"/>
                <w14:scene3d>
                  <w14:camera w14:prst="orthographicFront"/>
                  <w14:lightRig w14:rig="threePt" w14:dir="t">
                    <w14:rot w14:lat="0" w14:lon="0" w14:rev="0"/>
                  </w14:lightRig>
                </w14:scene3d>
              </w:rPr>
              <w:t>3.2.4.</w:t>
            </w:r>
            <w:r>
              <w:rPr>
                <w:rStyle w:val="Sautdindex"/>
                <w:rFonts w:eastAsia="" w:cs="" w:cstheme="minorBidi" w:eastAsiaTheme="minorEastAsia"/>
                <w:i w:val="false"/>
                <w:iCs w:val="false"/>
                <w:sz w:val="22"/>
                <w:szCs w:val="22"/>
              </w:rPr>
              <w:tab/>
            </w:r>
            <w:r>
              <w:rPr>
                <w:rStyle w:val="Sautdindex"/>
              </w:rPr>
              <w:t>Position de travail</w:t>
            </w:r>
            <w:r>
              <w:rPr>
                <w:webHidden/>
              </w:rPr>
              <w:fldChar w:fldCharType="begin"/>
            </w:r>
            <w:r>
              <w:rPr>
                <w:webHidden/>
              </w:rPr>
              <w:instrText>PAGEREF _Toc32334699 \h</w:instrText>
            </w:r>
            <w:r>
              <w:rPr>
                <w:webHidden/>
              </w:rPr>
              <w:fldChar w:fldCharType="separate"/>
            </w:r>
            <w:r>
              <w:rPr>
                <w:rStyle w:val="Sautdindex"/>
                <w:vanish w:val="false"/>
              </w:rPr>
              <w:tab/>
              <w:t>92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00">
            <w:r>
              <w:rPr>
                <w:webHidden/>
                <w:rStyle w:val="Sautdindex"/>
                <w:rFonts w:cs="Times New Roman"/>
              </w:rPr>
              <w:t>3.2.4.1.</w:t>
            </w:r>
            <w:r>
              <w:rPr>
                <w:rStyle w:val="Sautdindex"/>
                <w:rFonts w:eastAsia="" w:cs="" w:cstheme="minorBidi" w:eastAsiaTheme="minorEastAsia"/>
                <w:sz w:val="22"/>
                <w:szCs w:val="22"/>
              </w:rPr>
              <w:tab/>
            </w:r>
            <w:r>
              <w:rPr>
                <w:rStyle w:val="Sautdindex"/>
              </w:rPr>
              <w:t>Pupitres</w:t>
            </w:r>
            <w:r>
              <w:rPr>
                <w:webHidden/>
              </w:rPr>
              <w:fldChar w:fldCharType="begin"/>
            </w:r>
            <w:r>
              <w:rPr>
                <w:webHidden/>
              </w:rPr>
              <w:instrText>PAGEREF _Toc32334700 \h</w:instrText>
            </w:r>
            <w:r>
              <w:rPr>
                <w:webHidden/>
              </w:rPr>
              <w:fldChar w:fldCharType="separate"/>
            </w:r>
            <w:r>
              <w:rPr>
                <w:rStyle w:val="Sautdindex"/>
                <w:vanish w:val="false"/>
              </w:rPr>
              <w:tab/>
              <w:t>92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01">
            <w:r>
              <w:rPr>
                <w:webHidden/>
                <w:rStyle w:val="Sautdindex"/>
                <w:rFonts w:cs="Times New Roman"/>
              </w:rPr>
              <w:t>3.2.4.2.</w:t>
            </w:r>
            <w:r>
              <w:rPr>
                <w:rStyle w:val="Sautdindex"/>
                <w:rFonts w:eastAsia="" w:cs="" w:cstheme="minorBidi" w:eastAsiaTheme="minorEastAsia"/>
                <w:sz w:val="22"/>
                <w:szCs w:val="22"/>
              </w:rPr>
              <w:tab/>
            </w:r>
            <w:r>
              <w:rPr>
                <w:rStyle w:val="Sautdindex"/>
              </w:rPr>
              <w:t>Fauteuils</w:t>
            </w:r>
            <w:r>
              <w:rPr>
                <w:webHidden/>
              </w:rPr>
              <w:fldChar w:fldCharType="begin"/>
            </w:r>
            <w:r>
              <w:rPr>
                <w:webHidden/>
              </w:rPr>
              <w:instrText>PAGEREF _Toc32334701 \h</w:instrText>
            </w:r>
            <w:r>
              <w:rPr>
                <w:webHidden/>
              </w:rPr>
              <w:fldChar w:fldCharType="separate"/>
            </w:r>
            <w:r>
              <w:rPr>
                <w:rStyle w:val="Sautdindex"/>
                <w:vanish w:val="false"/>
              </w:rPr>
              <w:tab/>
              <w:t>93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02">
            <w:r>
              <w:rPr>
                <w:webHidden/>
                <w:rStyle w:val="Sautdindex"/>
                <w:rFonts w:cs="Times New Roman"/>
              </w:rPr>
              <w:t>3.2.4.3.</w:t>
            </w:r>
            <w:r>
              <w:rPr>
                <w:rStyle w:val="Sautdindex"/>
                <w:rFonts w:eastAsia="" w:cs="" w:cstheme="minorBidi" w:eastAsiaTheme="minorEastAsia"/>
                <w:sz w:val="22"/>
                <w:szCs w:val="22"/>
              </w:rPr>
              <w:tab/>
            </w:r>
            <w:r>
              <w:rPr>
                <w:rStyle w:val="Sautdindex"/>
              </w:rPr>
              <w:t>Le plan de travail</w:t>
            </w:r>
            <w:r>
              <w:rPr>
                <w:webHidden/>
              </w:rPr>
              <w:fldChar w:fldCharType="begin"/>
            </w:r>
            <w:r>
              <w:rPr>
                <w:webHidden/>
              </w:rPr>
              <w:instrText>PAGEREF _Toc32334702 \h</w:instrText>
            </w:r>
            <w:r>
              <w:rPr>
                <w:webHidden/>
              </w:rPr>
              <w:fldChar w:fldCharType="separate"/>
            </w:r>
            <w:r>
              <w:rPr>
                <w:rStyle w:val="Sautdindex"/>
                <w:vanish w:val="false"/>
              </w:rPr>
              <w:tab/>
              <w:t>93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03">
            <w:r>
              <w:rPr>
                <w:webHidden/>
                <w:rStyle w:val="Sautdindex"/>
                <w:rFonts w:cs="Times New Roman"/>
              </w:rPr>
              <w:t>3.2.4.4.</w:t>
            </w:r>
            <w:r>
              <w:rPr>
                <w:rStyle w:val="Sautdindex"/>
                <w:rFonts w:eastAsia="" w:cs="" w:cstheme="minorBidi" w:eastAsiaTheme="minorEastAsia"/>
                <w:sz w:val="22"/>
                <w:szCs w:val="22"/>
              </w:rPr>
              <w:tab/>
            </w:r>
            <w:r>
              <w:rPr>
                <w:rStyle w:val="Sautdindex"/>
              </w:rPr>
              <w:t>Claviers</w:t>
            </w:r>
            <w:r>
              <w:rPr>
                <w:webHidden/>
              </w:rPr>
              <w:fldChar w:fldCharType="begin"/>
            </w:r>
            <w:r>
              <w:rPr>
                <w:webHidden/>
              </w:rPr>
              <w:instrText>PAGEREF _Toc32334703 \h</w:instrText>
            </w:r>
            <w:r>
              <w:rPr>
                <w:webHidden/>
              </w:rPr>
              <w:fldChar w:fldCharType="separate"/>
            </w:r>
            <w:r>
              <w:rPr>
                <w:rStyle w:val="Sautdindex"/>
                <w:vanish w:val="false"/>
              </w:rPr>
              <w:tab/>
              <w:t>93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04">
            <w:r>
              <w:rPr>
                <w:webHidden/>
                <w:rStyle w:val="Sautdindex"/>
                <w:rFonts w:cs="Times New Roman"/>
              </w:rPr>
              <w:t>3.2.4.5.</w:t>
            </w:r>
            <w:r>
              <w:rPr>
                <w:rStyle w:val="Sautdindex"/>
                <w:rFonts w:eastAsia="" w:cs="" w:cstheme="minorBidi" w:eastAsiaTheme="minorEastAsia"/>
                <w:sz w:val="22"/>
                <w:szCs w:val="22"/>
              </w:rPr>
              <w:tab/>
            </w:r>
            <w:r>
              <w:rPr>
                <w:rStyle w:val="Sautdindex"/>
              </w:rPr>
              <w:t>Ecrans</w:t>
            </w:r>
            <w:r>
              <w:rPr>
                <w:webHidden/>
              </w:rPr>
              <w:fldChar w:fldCharType="begin"/>
            </w:r>
            <w:r>
              <w:rPr>
                <w:webHidden/>
              </w:rPr>
              <w:instrText>PAGEREF _Toc32334704 \h</w:instrText>
            </w:r>
            <w:r>
              <w:rPr>
                <w:webHidden/>
              </w:rPr>
              <w:fldChar w:fldCharType="separate"/>
            </w:r>
            <w:r>
              <w:rPr>
                <w:rStyle w:val="Sautdindex"/>
                <w:vanish w:val="false"/>
              </w:rPr>
              <w:tab/>
              <w:t>93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05">
            <w:r>
              <w:rPr>
                <w:webHidden/>
                <w:rStyle w:val="Sautdindex"/>
                <w:rFonts w:cs="Times New Roman"/>
              </w:rPr>
              <w:t>3.2.4.6.</w:t>
            </w:r>
            <w:r>
              <w:rPr>
                <w:rStyle w:val="Sautdindex"/>
                <w:rFonts w:eastAsia="" w:cs="" w:cstheme="minorBidi" w:eastAsiaTheme="minorEastAsia"/>
                <w:sz w:val="22"/>
                <w:szCs w:val="22"/>
              </w:rPr>
              <w:tab/>
            </w:r>
            <w:r>
              <w:rPr>
                <w:rStyle w:val="Sautdindex"/>
              </w:rPr>
              <w:t>Zones d’atteintes</w:t>
            </w:r>
            <w:r>
              <w:rPr>
                <w:webHidden/>
              </w:rPr>
              <w:fldChar w:fldCharType="begin"/>
            </w:r>
            <w:r>
              <w:rPr>
                <w:webHidden/>
              </w:rPr>
              <w:instrText>PAGEREF _Toc32334705 \h</w:instrText>
            </w:r>
            <w:r>
              <w:rPr>
                <w:webHidden/>
              </w:rPr>
              <w:fldChar w:fldCharType="separate"/>
            </w:r>
            <w:r>
              <w:rPr>
                <w:rStyle w:val="Sautdindex"/>
                <w:vanish w:val="false"/>
              </w:rPr>
              <w:tab/>
              <w:t>94</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706">
            <w:r>
              <w:rPr>
                <w:webHidden/>
                <w:rStyle w:val="Sautdindex"/>
                <w:b/>
              </w:rPr>
              <w:t>3.3.</w:t>
            </w:r>
            <w:r>
              <w:rPr>
                <w:rStyle w:val="Sautdindex"/>
                <w:rFonts w:eastAsia="" w:cs="" w:cstheme="minorBidi" w:eastAsiaTheme="minorEastAsia"/>
                <w:caps w:val="false"/>
                <w:smallCaps w:val="false"/>
                <w:sz w:val="22"/>
                <w:szCs w:val="22"/>
              </w:rPr>
              <w:tab/>
            </w:r>
            <w:r>
              <w:rPr>
                <w:rStyle w:val="Sautdindex"/>
              </w:rPr>
              <w:t>Identification des liaisons existantes</w:t>
            </w:r>
            <w:r>
              <w:rPr>
                <w:webHidden/>
              </w:rPr>
              <w:fldChar w:fldCharType="begin"/>
            </w:r>
            <w:r>
              <w:rPr>
                <w:webHidden/>
              </w:rPr>
              <w:instrText>PAGEREF _Toc32334706 \h</w:instrText>
            </w:r>
            <w:r>
              <w:rPr>
                <w:webHidden/>
              </w:rPr>
              <w:fldChar w:fldCharType="separate"/>
            </w:r>
            <w:r>
              <w:rPr>
                <w:rStyle w:val="Sautdindex"/>
                <w:vanish w:val="false"/>
              </w:rPr>
              <w:tab/>
              <w:t>94</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707">
            <w:r>
              <w:rPr>
                <w:webHidden/>
                <w:rStyle w:val="Sautdindex"/>
                <w:b/>
              </w:rPr>
              <w:t>3.4.</w:t>
            </w:r>
            <w:r>
              <w:rPr>
                <w:rStyle w:val="Sautdindex"/>
                <w:rFonts w:eastAsia="" w:cs="" w:cstheme="minorBidi" w:eastAsiaTheme="minorEastAsia"/>
                <w:caps w:val="false"/>
                <w:smallCaps w:val="false"/>
                <w:sz w:val="22"/>
                <w:szCs w:val="22"/>
              </w:rPr>
              <w:tab/>
            </w:r>
            <w:r>
              <w:rPr>
                <w:rStyle w:val="Sautdindex"/>
              </w:rPr>
              <w:t>Distribution électrique</w:t>
            </w:r>
            <w:r>
              <w:rPr>
                <w:webHidden/>
              </w:rPr>
              <w:fldChar w:fldCharType="begin"/>
            </w:r>
            <w:r>
              <w:rPr>
                <w:webHidden/>
              </w:rPr>
              <w:instrText>PAGEREF _Toc32334707 \h</w:instrText>
            </w:r>
            <w:r>
              <w:rPr>
                <w:webHidden/>
              </w:rPr>
              <w:fldChar w:fldCharType="separate"/>
            </w:r>
            <w:r>
              <w:rPr>
                <w:rStyle w:val="Sautdindex"/>
                <w:vanish w:val="false"/>
              </w:rPr>
              <w:tab/>
              <w:t>95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08">
            <w:r>
              <w:rPr>
                <w:webHidden/>
                <w:rStyle w:val="Sautdindex"/>
                <w:rFonts w:cs="Times New Roman"/>
                <w14:scene3d>
                  <w14:camera w14:prst="orthographicFront"/>
                  <w14:lightRig w14:rig="threePt" w14:dir="t">
                    <w14:rot w14:lat="0" w14:lon="0" w14:rev="0"/>
                  </w14:lightRig>
                </w14:scene3d>
              </w:rPr>
              <w:t>3.4.1.</w:t>
            </w:r>
            <w:r>
              <w:rPr>
                <w:rStyle w:val="Sautdindex"/>
                <w:rFonts w:eastAsia="" w:cs="" w:cstheme="minorBidi" w:eastAsiaTheme="minorEastAsia"/>
                <w:i w:val="false"/>
                <w:iCs w:val="false"/>
                <w:sz w:val="22"/>
                <w:szCs w:val="22"/>
              </w:rPr>
              <w:tab/>
            </w:r>
            <w:r>
              <w:rPr>
                <w:rStyle w:val="Sautdindex"/>
              </w:rPr>
              <w:t>Spécifications techniques des TGBT</w:t>
            </w:r>
            <w:r>
              <w:rPr>
                <w:webHidden/>
              </w:rPr>
              <w:fldChar w:fldCharType="begin"/>
            </w:r>
            <w:r>
              <w:rPr>
                <w:webHidden/>
              </w:rPr>
              <w:instrText>PAGEREF _Toc32334708 \h</w:instrText>
            </w:r>
            <w:r>
              <w:rPr>
                <w:webHidden/>
              </w:rPr>
              <w:fldChar w:fldCharType="separate"/>
            </w:r>
            <w:r>
              <w:rPr>
                <w:rStyle w:val="Sautdindex"/>
                <w:vanish w:val="false"/>
              </w:rPr>
              <w:tab/>
              <w:t>95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09">
            <w:r>
              <w:rPr>
                <w:webHidden/>
                <w:rStyle w:val="Sautdindex"/>
                <w:rFonts w:cs="Times New Roman"/>
              </w:rPr>
              <w:t>3.4.1.1.</w:t>
            </w:r>
            <w:r>
              <w:rPr>
                <w:rStyle w:val="Sautdindex"/>
                <w:rFonts w:eastAsia="" w:cs="" w:cstheme="minorBidi" w:eastAsiaTheme="minorEastAsia"/>
                <w:sz w:val="22"/>
                <w:szCs w:val="22"/>
              </w:rPr>
              <w:tab/>
            </w:r>
            <w:r>
              <w:rPr>
                <w:rStyle w:val="Sautdindex"/>
              </w:rPr>
              <w:t>Dispositions générales</w:t>
            </w:r>
            <w:r>
              <w:rPr>
                <w:webHidden/>
              </w:rPr>
              <w:fldChar w:fldCharType="begin"/>
            </w:r>
            <w:r>
              <w:rPr>
                <w:webHidden/>
              </w:rPr>
              <w:instrText>PAGEREF _Toc32334709 \h</w:instrText>
            </w:r>
            <w:r>
              <w:rPr>
                <w:webHidden/>
              </w:rPr>
              <w:fldChar w:fldCharType="separate"/>
            </w:r>
            <w:r>
              <w:rPr>
                <w:rStyle w:val="Sautdindex"/>
                <w:vanish w:val="false"/>
              </w:rPr>
              <w:tab/>
              <w:t>95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10">
            <w:r>
              <w:rPr>
                <w:webHidden/>
                <w:rStyle w:val="Sautdindex"/>
                <w:rFonts w:cs="Times New Roman"/>
              </w:rPr>
              <w:t>3.4.1.2.</w:t>
            </w:r>
            <w:r>
              <w:rPr>
                <w:rStyle w:val="Sautdindex"/>
                <w:rFonts w:eastAsia="" w:cs="" w:cstheme="minorBidi" w:eastAsiaTheme="minorEastAsia"/>
                <w:sz w:val="22"/>
                <w:szCs w:val="22"/>
              </w:rPr>
              <w:tab/>
            </w:r>
            <w:r>
              <w:rPr>
                <w:rStyle w:val="Sautdindex"/>
              </w:rPr>
              <w:t>Appareils et appareillages</w:t>
            </w:r>
            <w:r>
              <w:rPr>
                <w:webHidden/>
              </w:rPr>
              <w:fldChar w:fldCharType="begin"/>
            </w:r>
            <w:r>
              <w:rPr>
                <w:webHidden/>
              </w:rPr>
              <w:instrText>PAGEREF _Toc32334710 \h</w:instrText>
            </w:r>
            <w:r>
              <w:rPr>
                <w:webHidden/>
              </w:rPr>
              <w:fldChar w:fldCharType="separate"/>
            </w:r>
            <w:r>
              <w:rPr>
                <w:rStyle w:val="Sautdindex"/>
                <w:vanish w:val="false"/>
              </w:rPr>
              <w:tab/>
              <w:t>95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11">
            <w:r>
              <w:rPr>
                <w:webHidden/>
                <w:rStyle w:val="Sautdindex"/>
                <w:rFonts w:cs="Times New Roman"/>
                <w14:scene3d>
                  <w14:camera w14:prst="orthographicFront"/>
                  <w14:lightRig w14:rig="threePt" w14:dir="t">
                    <w14:rot w14:lat="0" w14:lon="0" w14:rev="0"/>
                  </w14:lightRig>
                </w14:scene3d>
              </w:rPr>
              <w:t>3.4.2.</w:t>
            </w:r>
            <w:r>
              <w:rPr>
                <w:rStyle w:val="Sautdindex"/>
                <w:rFonts w:eastAsia="" w:cs="" w:cstheme="minorBidi" w:eastAsiaTheme="minorEastAsia"/>
                <w:i w:val="false"/>
                <w:iCs w:val="false"/>
                <w:sz w:val="22"/>
                <w:szCs w:val="22"/>
              </w:rPr>
              <w:tab/>
            </w:r>
            <w:r>
              <w:rPr>
                <w:rStyle w:val="Sautdindex"/>
              </w:rPr>
              <w:t>Indice de service</w:t>
            </w:r>
            <w:r>
              <w:rPr>
                <w:webHidden/>
              </w:rPr>
              <w:fldChar w:fldCharType="begin"/>
            </w:r>
            <w:r>
              <w:rPr>
                <w:webHidden/>
              </w:rPr>
              <w:instrText>PAGEREF _Toc32334711 \h</w:instrText>
            </w:r>
            <w:r>
              <w:rPr>
                <w:webHidden/>
              </w:rPr>
              <w:fldChar w:fldCharType="separate"/>
            </w:r>
            <w:r>
              <w:rPr>
                <w:rStyle w:val="Sautdindex"/>
                <w:vanish w:val="false"/>
              </w:rPr>
              <w:tab/>
              <w:t>95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12">
            <w:r>
              <w:rPr>
                <w:webHidden/>
                <w:rStyle w:val="Sautdindex"/>
                <w:rFonts w:cs="Times New Roman"/>
              </w:rPr>
              <w:t>3.4.2.1.</w:t>
            </w:r>
            <w:r>
              <w:rPr>
                <w:rStyle w:val="Sautdindex"/>
                <w:rFonts w:eastAsia="" w:cs="" w:cstheme="minorBidi" w:eastAsiaTheme="minorEastAsia"/>
                <w:sz w:val="22"/>
                <w:szCs w:val="22"/>
              </w:rPr>
              <w:tab/>
            </w:r>
            <w:r>
              <w:rPr>
                <w:rStyle w:val="Sautdindex"/>
              </w:rPr>
              <w:t>Indice de service retenu</w:t>
            </w:r>
            <w:r>
              <w:rPr>
                <w:webHidden/>
              </w:rPr>
              <w:fldChar w:fldCharType="begin"/>
            </w:r>
            <w:r>
              <w:rPr>
                <w:webHidden/>
              </w:rPr>
              <w:instrText>PAGEREF _Toc32334712 \h</w:instrText>
            </w:r>
            <w:r>
              <w:rPr>
                <w:webHidden/>
              </w:rPr>
              <w:fldChar w:fldCharType="separate"/>
            </w:r>
            <w:r>
              <w:rPr>
                <w:rStyle w:val="Sautdindex"/>
                <w:vanish w:val="false"/>
              </w:rPr>
              <w:tab/>
              <w:t>96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13">
            <w:r>
              <w:rPr>
                <w:webHidden/>
                <w:rStyle w:val="Sautdindex"/>
                <w:rFonts w:cs="Times New Roman"/>
                <w14:scene3d>
                  <w14:camera w14:prst="orthographicFront"/>
                  <w14:lightRig w14:rig="threePt" w14:dir="t">
                    <w14:rot w14:lat="0" w14:lon="0" w14:rev="0"/>
                  </w14:lightRig>
                </w14:scene3d>
              </w:rPr>
              <w:t>3.4.3.</w:t>
            </w:r>
            <w:r>
              <w:rPr>
                <w:rStyle w:val="Sautdindex"/>
                <w:rFonts w:eastAsia="" w:cs="" w:cstheme="minorBidi" w:eastAsiaTheme="minorEastAsia"/>
                <w:i w:val="false"/>
                <w:iCs w:val="false"/>
                <w:sz w:val="22"/>
                <w:szCs w:val="22"/>
              </w:rPr>
              <w:tab/>
            </w:r>
            <w:r>
              <w:rPr>
                <w:rStyle w:val="Sautdindex"/>
              </w:rPr>
              <w:t>Forme</w:t>
            </w:r>
            <w:r>
              <w:rPr>
                <w:webHidden/>
              </w:rPr>
              <w:fldChar w:fldCharType="begin"/>
            </w:r>
            <w:r>
              <w:rPr>
                <w:webHidden/>
              </w:rPr>
              <w:instrText>PAGEREF _Toc32334713 \h</w:instrText>
            </w:r>
            <w:r>
              <w:rPr>
                <w:webHidden/>
              </w:rPr>
              <w:fldChar w:fldCharType="separate"/>
            </w:r>
            <w:r>
              <w:rPr>
                <w:rStyle w:val="Sautdindex"/>
                <w:vanish w:val="false"/>
              </w:rPr>
              <w:tab/>
              <w:t>96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14">
            <w:r>
              <w:rPr>
                <w:webHidden/>
                <w:rStyle w:val="Sautdindex"/>
                <w:rFonts w:cs="Times New Roman"/>
                <w14:scene3d>
                  <w14:camera w14:prst="orthographicFront"/>
                  <w14:lightRig w14:rig="threePt" w14:dir="t">
                    <w14:rot w14:lat="0" w14:lon="0" w14:rev="0"/>
                  </w14:lightRig>
                </w14:scene3d>
              </w:rPr>
              <w:t>3.4.4.</w:t>
            </w:r>
            <w:r>
              <w:rPr>
                <w:rStyle w:val="Sautdindex"/>
                <w:rFonts w:eastAsia="" w:cs="" w:cstheme="minorBidi" w:eastAsiaTheme="minorEastAsia"/>
                <w:i w:val="false"/>
                <w:iCs w:val="false"/>
                <w:sz w:val="22"/>
                <w:szCs w:val="22"/>
              </w:rPr>
              <w:tab/>
            </w:r>
            <w:r>
              <w:rPr>
                <w:rStyle w:val="Sautdindex"/>
              </w:rPr>
              <w:t>Dispositif de fermeture, contrôle d'accès</w:t>
            </w:r>
            <w:r>
              <w:rPr>
                <w:webHidden/>
              </w:rPr>
              <w:fldChar w:fldCharType="begin"/>
            </w:r>
            <w:r>
              <w:rPr>
                <w:webHidden/>
              </w:rPr>
              <w:instrText>PAGEREF _Toc32334714 \h</w:instrText>
            </w:r>
            <w:r>
              <w:rPr>
                <w:webHidden/>
              </w:rPr>
              <w:fldChar w:fldCharType="separate"/>
            </w:r>
            <w:r>
              <w:rPr>
                <w:rStyle w:val="Sautdindex"/>
                <w:vanish w:val="false"/>
              </w:rPr>
              <w:tab/>
              <w:t>97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15">
            <w:r>
              <w:rPr>
                <w:webHidden/>
                <w:rStyle w:val="Sautdindex"/>
                <w:rFonts w:cs="Times New Roman"/>
                <w14:scene3d>
                  <w14:camera w14:prst="orthographicFront"/>
                  <w14:lightRig w14:rig="threePt" w14:dir="t">
                    <w14:rot w14:lat="0" w14:lon="0" w14:rev="0"/>
                  </w14:lightRig>
                </w14:scene3d>
              </w:rPr>
              <w:t>3.4.5.</w:t>
            </w:r>
            <w:r>
              <w:rPr>
                <w:rStyle w:val="Sautdindex"/>
                <w:rFonts w:eastAsia="" w:cs="" w:cstheme="minorBidi" w:eastAsiaTheme="minorEastAsia"/>
                <w:i w:val="false"/>
                <w:iCs w:val="false"/>
                <w:sz w:val="22"/>
                <w:szCs w:val="22"/>
              </w:rPr>
              <w:tab/>
            </w:r>
            <w:r>
              <w:rPr>
                <w:rStyle w:val="Sautdindex"/>
              </w:rPr>
              <w:t>Caractéristiques des enveloppes</w:t>
            </w:r>
            <w:r>
              <w:rPr>
                <w:webHidden/>
              </w:rPr>
              <w:fldChar w:fldCharType="begin"/>
            </w:r>
            <w:r>
              <w:rPr>
                <w:webHidden/>
              </w:rPr>
              <w:instrText>PAGEREF _Toc32334715 \h</w:instrText>
            </w:r>
            <w:r>
              <w:rPr>
                <w:webHidden/>
              </w:rPr>
              <w:fldChar w:fldCharType="separate"/>
            </w:r>
            <w:r>
              <w:rPr>
                <w:rStyle w:val="Sautdindex"/>
                <w:vanish w:val="false"/>
              </w:rPr>
              <w:tab/>
              <w:t>97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16">
            <w:r>
              <w:rPr>
                <w:webHidden/>
                <w:rStyle w:val="Sautdindex"/>
                <w:rFonts w:cs="Times New Roman"/>
                <w14:scene3d>
                  <w14:camera w14:prst="orthographicFront"/>
                  <w14:lightRig w14:rig="threePt" w14:dir="t">
                    <w14:rot w14:lat="0" w14:lon="0" w14:rev="0"/>
                  </w14:lightRig>
                </w14:scene3d>
              </w:rPr>
              <w:t>3.4.6.</w:t>
            </w:r>
            <w:r>
              <w:rPr>
                <w:rStyle w:val="Sautdindex"/>
                <w:rFonts w:eastAsia="" w:cs="" w:cstheme="minorBidi" w:eastAsiaTheme="minorEastAsia"/>
                <w:i w:val="false"/>
                <w:iCs w:val="false"/>
                <w:sz w:val="22"/>
                <w:szCs w:val="22"/>
              </w:rPr>
              <w:tab/>
            </w:r>
            <w:r>
              <w:rPr>
                <w:rStyle w:val="Sautdindex"/>
              </w:rPr>
              <w:t>Equipements des cellules TGBT</w:t>
            </w:r>
            <w:r>
              <w:rPr>
                <w:webHidden/>
              </w:rPr>
              <w:fldChar w:fldCharType="begin"/>
            </w:r>
            <w:r>
              <w:rPr>
                <w:webHidden/>
              </w:rPr>
              <w:instrText>PAGEREF _Toc32334716 \h</w:instrText>
            </w:r>
            <w:r>
              <w:rPr>
                <w:webHidden/>
              </w:rPr>
              <w:fldChar w:fldCharType="separate"/>
            </w:r>
            <w:r>
              <w:rPr>
                <w:rStyle w:val="Sautdindex"/>
                <w:vanish w:val="false"/>
              </w:rPr>
              <w:tab/>
              <w:t>97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17">
            <w:r>
              <w:rPr>
                <w:webHidden/>
                <w:rStyle w:val="Sautdindex"/>
                <w:rFonts w:cs="Times New Roman"/>
              </w:rPr>
              <w:t>3.4.6.1.</w:t>
            </w:r>
            <w:r>
              <w:rPr>
                <w:rStyle w:val="Sautdindex"/>
                <w:rFonts w:eastAsia="" w:cs="" w:cstheme="minorBidi" w:eastAsiaTheme="minorEastAsia"/>
                <w:sz w:val="22"/>
                <w:szCs w:val="22"/>
              </w:rPr>
              <w:tab/>
            </w:r>
            <w:r>
              <w:rPr>
                <w:rStyle w:val="Sautdindex"/>
              </w:rPr>
              <w:t>Description</w:t>
            </w:r>
            <w:r>
              <w:rPr>
                <w:webHidden/>
              </w:rPr>
              <w:fldChar w:fldCharType="begin"/>
            </w:r>
            <w:r>
              <w:rPr>
                <w:webHidden/>
              </w:rPr>
              <w:instrText>PAGEREF _Toc32334717 \h</w:instrText>
            </w:r>
            <w:r>
              <w:rPr>
                <w:webHidden/>
              </w:rPr>
              <w:fldChar w:fldCharType="separate"/>
            </w:r>
            <w:r>
              <w:rPr>
                <w:rStyle w:val="Sautdindex"/>
                <w:vanish w:val="false"/>
              </w:rPr>
              <w:tab/>
              <w:t>97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18">
            <w:r>
              <w:rPr>
                <w:webHidden/>
                <w:rStyle w:val="Sautdindex"/>
                <w:rFonts w:cs="Times New Roman"/>
              </w:rPr>
              <w:t>3.4.6.2.</w:t>
            </w:r>
            <w:r>
              <w:rPr>
                <w:rStyle w:val="Sautdindex"/>
                <w:rFonts w:eastAsia="" w:cs="" w:cstheme="minorBidi" w:eastAsiaTheme="minorEastAsia"/>
                <w:sz w:val="22"/>
                <w:szCs w:val="22"/>
              </w:rPr>
              <w:tab/>
            </w:r>
            <w:r>
              <w:rPr>
                <w:rStyle w:val="Sautdindex"/>
              </w:rPr>
              <w:t>Equipement électrique</w:t>
            </w:r>
            <w:r>
              <w:rPr>
                <w:webHidden/>
              </w:rPr>
              <w:fldChar w:fldCharType="begin"/>
            </w:r>
            <w:r>
              <w:rPr>
                <w:webHidden/>
              </w:rPr>
              <w:instrText>PAGEREF _Toc32334718 \h</w:instrText>
            </w:r>
            <w:r>
              <w:rPr>
                <w:webHidden/>
              </w:rPr>
              <w:fldChar w:fldCharType="separate"/>
            </w:r>
            <w:r>
              <w:rPr>
                <w:rStyle w:val="Sautdindex"/>
                <w:vanish w:val="false"/>
              </w:rPr>
              <w:tab/>
              <w:t>97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19">
            <w:r>
              <w:rPr>
                <w:webHidden/>
                <w:rStyle w:val="Sautdindex"/>
                <w:rFonts w:cs="Times New Roman"/>
              </w:rPr>
              <w:t>3.4.6.3.</w:t>
            </w:r>
            <w:r>
              <w:rPr>
                <w:rStyle w:val="Sautdindex"/>
                <w:rFonts w:eastAsia="" w:cs="" w:cstheme="minorBidi" w:eastAsiaTheme="minorEastAsia"/>
                <w:sz w:val="22"/>
                <w:szCs w:val="22"/>
              </w:rPr>
              <w:tab/>
            </w:r>
            <w:r>
              <w:rPr>
                <w:rStyle w:val="Sautdindex"/>
              </w:rPr>
              <w:t>Disjoncteur général</w:t>
            </w:r>
            <w:r>
              <w:rPr>
                <w:webHidden/>
              </w:rPr>
              <w:fldChar w:fldCharType="begin"/>
            </w:r>
            <w:r>
              <w:rPr>
                <w:webHidden/>
              </w:rPr>
              <w:instrText>PAGEREF _Toc32334719 \h</w:instrText>
            </w:r>
            <w:r>
              <w:rPr>
                <w:webHidden/>
              </w:rPr>
              <w:fldChar w:fldCharType="separate"/>
            </w:r>
            <w:r>
              <w:rPr>
                <w:rStyle w:val="Sautdindex"/>
                <w:vanish w:val="false"/>
              </w:rPr>
              <w:tab/>
              <w:t>97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20">
            <w:r>
              <w:rPr>
                <w:webHidden/>
                <w:rStyle w:val="Sautdindex"/>
                <w:rFonts w:cs="Times New Roman"/>
              </w:rPr>
              <w:t>3.4.6.4.</w:t>
            </w:r>
            <w:r>
              <w:rPr>
                <w:rStyle w:val="Sautdindex"/>
                <w:rFonts w:eastAsia="" w:cs="" w:cstheme="minorBidi" w:eastAsiaTheme="minorEastAsia"/>
                <w:sz w:val="22"/>
                <w:szCs w:val="22"/>
              </w:rPr>
              <w:tab/>
            </w:r>
            <w:r>
              <w:rPr>
                <w:rStyle w:val="Sautdindex"/>
              </w:rPr>
              <w:t>Inverseur de source des TGBTS et des Tableaux Généraux</w:t>
            </w:r>
            <w:r>
              <w:rPr>
                <w:webHidden/>
              </w:rPr>
              <w:fldChar w:fldCharType="begin"/>
            </w:r>
            <w:r>
              <w:rPr>
                <w:webHidden/>
              </w:rPr>
              <w:instrText>PAGEREF _Toc32334720 \h</w:instrText>
            </w:r>
            <w:r>
              <w:rPr>
                <w:webHidden/>
              </w:rPr>
              <w:fldChar w:fldCharType="separate"/>
            </w:r>
            <w:r>
              <w:rPr>
                <w:rStyle w:val="Sautdindex"/>
                <w:vanish w:val="false"/>
              </w:rPr>
              <w:tab/>
              <w:t>98</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21">
            <w:r>
              <w:rPr>
                <w:webHidden/>
                <w:rStyle w:val="Sautdindex"/>
                <w:rFonts w:cs="Times New Roman"/>
              </w:rPr>
              <w:t>3.4.6.5.</w:t>
            </w:r>
            <w:r>
              <w:rPr>
                <w:rStyle w:val="Sautdindex"/>
                <w:rFonts w:eastAsia="" w:cs="" w:cstheme="minorBidi" w:eastAsiaTheme="minorEastAsia"/>
                <w:sz w:val="22"/>
                <w:szCs w:val="22"/>
              </w:rPr>
              <w:tab/>
            </w:r>
            <w:r>
              <w:rPr>
                <w:rStyle w:val="Sautdindex"/>
              </w:rPr>
              <w:t>Disjoncteurs de protection des auxiliaires de commande et de signalisation</w:t>
            </w:r>
            <w:r>
              <w:rPr>
                <w:webHidden/>
              </w:rPr>
              <w:fldChar w:fldCharType="begin"/>
            </w:r>
            <w:r>
              <w:rPr>
                <w:webHidden/>
              </w:rPr>
              <w:instrText>PAGEREF _Toc32334721 \h</w:instrText>
            </w:r>
            <w:r>
              <w:rPr>
                <w:webHidden/>
              </w:rPr>
              <w:fldChar w:fldCharType="separate"/>
            </w:r>
            <w:r>
              <w:rPr>
                <w:rStyle w:val="Sautdindex"/>
                <w:vanish w:val="false"/>
              </w:rPr>
              <w:tab/>
              <w:t>99</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22">
            <w:r>
              <w:rPr>
                <w:webHidden/>
                <w:rStyle w:val="Sautdindex"/>
                <w:rFonts w:cs="Times New Roman"/>
              </w:rPr>
              <w:t>3.4.6.6.</w:t>
            </w:r>
            <w:r>
              <w:rPr>
                <w:rStyle w:val="Sautdindex"/>
                <w:rFonts w:eastAsia="" w:cs="" w:cstheme="minorBidi" w:eastAsiaTheme="minorEastAsia"/>
                <w:sz w:val="22"/>
                <w:szCs w:val="22"/>
              </w:rPr>
              <w:tab/>
            </w:r>
            <w:r>
              <w:rPr>
                <w:rStyle w:val="Sautdindex"/>
              </w:rPr>
              <w:t>Centrales de Mesures</w:t>
            </w:r>
            <w:r>
              <w:rPr>
                <w:webHidden/>
              </w:rPr>
              <w:fldChar w:fldCharType="begin"/>
            </w:r>
            <w:r>
              <w:rPr>
                <w:webHidden/>
              </w:rPr>
              <w:instrText>PAGEREF _Toc32334722 \h</w:instrText>
            </w:r>
            <w:r>
              <w:rPr>
                <w:webHidden/>
              </w:rPr>
              <w:fldChar w:fldCharType="separate"/>
            </w:r>
            <w:r>
              <w:rPr>
                <w:rStyle w:val="Sautdindex"/>
                <w:vanish w:val="false"/>
              </w:rPr>
              <w:tab/>
              <w:t>99</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23">
            <w:r>
              <w:rPr>
                <w:webHidden/>
                <w:rStyle w:val="Sautdindex"/>
                <w:rFonts w:cs="Times New Roman"/>
              </w:rPr>
              <w:t>3.4.6.7.</w:t>
            </w:r>
            <w:r>
              <w:rPr>
                <w:rStyle w:val="Sautdindex"/>
                <w:rFonts w:eastAsia="" w:cs="" w:cstheme="minorBidi" w:eastAsiaTheme="minorEastAsia"/>
                <w:sz w:val="22"/>
                <w:szCs w:val="22"/>
              </w:rPr>
              <w:tab/>
            </w:r>
            <w:r>
              <w:rPr>
                <w:rStyle w:val="Sautdindex"/>
              </w:rPr>
              <w:t>Réserve</w:t>
            </w:r>
            <w:r>
              <w:rPr>
                <w:webHidden/>
              </w:rPr>
              <w:fldChar w:fldCharType="begin"/>
            </w:r>
            <w:r>
              <w:rPr>
                <w:webHidden/>
              </w:rPr>
              <w:instrText>PAGEREF _Toc32334723 \h</w:instrText>
            </w:r>
            <w:r>
              <w:rPr>
                <w:webHidden/>
              </w:rPr>
              <w:fldChar w:fldCharType="separate"/>
            </w:r>
            <w:r>
              <w:rPr>
                <w:rStyle w:val="Sautdindex"/>
                <w:vanish w:val="false"/>
              </w:rPr>
              <w:tab/>
              <w:t>99</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24">
            <w:r>
              <w:rPr>
                <w:webHidden/>
                <w:rStyle w:val="Sautdindex"/>
                <w:rFonts w:cs="Times New Roman"/>
              </w:rPr>
              <w:t>3.4.6.8.</w:t>
            </w:r>
            <w:r>
              <w:rPr>
                <w:rStyle w:val="Sautdindex"/>
                <w:rFonts w:eastAsia="" w:cs="" w:cstheme="minorBidi" w:eastAsiaTheme="minorEastAsia"/>
                <w:sz w:val="22"/>
                <w:szCs w:val="22"/>
              </w:rPr>
              <w:tab/>
            </w:r>
            <w:r>
              <w:rPr>
                <w:rStyle w:val="Sautdindex"/>
              </w:rPr>
              <w:t>Jeux de barres des TGBT</w:t>
            </w:r>
            <w:r>
              <w:rPr>
                <w:webHidden/>
              </w:rPr>
              <w:fldChar w:fldCharType="begin"/>
            </w:r>
            <w:r>
              <w:rPr>
                <w:webHidden/>
              </w:rPr>
              <w:instrText>PAGEREF _Toc32334724 \h</w:instrText>
            </w:r>
            <w:r>
              <w:rPr>
                <w:webHidden/>
              </w:rPr>
              <w:fldChar w:fldCharType="separate"/>
            </w:r>
            <w:r>
              <w:rPr>
                <w:rStyle w:val="Sautdindex"/>
                <w:vanish w:val="false"/>
              </w:rPr>
              <w:tab/>
              <w:t>99</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25">
            <w:r>
              <w:rPr>
                <w:webHidden/>
                <w:rStyle w:val="Sautdindex"/>
                <w:rFonts w:cs="Times New Roman"/>
              </w:rPr>
              <w:t>3.4.6.9.</w:t>
            </w:r>
            <w:r>
              <w:rPr>
                <w:rStyle w:val="Sautdindex"/>
                <w:rFonts w:eastAsia="" w:cs="" w:cstheme="minorBidi" w:eastAsiaTheme="minorEastAsia"/>
                <w:sz w:val="22"/>
                <w:szCs w:val="22"/>
              </w:rPr>
              <w:tab/>
            </w:r>
            <w:r>
              <w:rPr>
                <w:rStyle w:val="Sautdindex"/>
              </w:rPr>
              <w:t>Circuits auxiliaires</w:t>
            </w:r>
            <w:r>
              <w:rPr>
                <w:webHidden/>
              </w:rPr>
              <w:fldChar w:fldCharType="begin"/>
            </w:r>
            <w:r>
              <w:rPr>
                <w:webHidden/>
              </w:rPr>
              <w:instrText>PAGEREF _Toc32334725 \h</w:instrText>
            </w:r>
            <w:r>
              <w:rPr>
                <w:webHidden/>
              </w:rPr>
              <w:fldChar w:fldCharType="separate"/>
            </w:r>
            <w:r>
              <w:rPr>
                <w:rStyle w:val="Sautdindex"/>
                <w:vanish w:val="false"/>
              </w:rPr>
              <w:tab/>
              <w:t>99</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726">
            <w:r>
              <w:rPr>
                <w:webHidden/>
                <w:rStyle w:val="Sautdindex"/>
                <w:rFonts w:cs="Times New Roman"/>
              </w:rPr>
              <w:t>3.4.6.10.</w:t>
            </w:r>
            <w:r>
              <w:rPr>
                <w:rStyle w:val="Sautdindex"/>
                <w:rFonts w:eastAsia="" w:cs="" w:cstheme="minorBidi" w:eastAsiaTheme="minorEastAsia"/>
                <w:sz w:val="22"/>
                <w:szCs w:val="22"/>
              </w:rPr>
              <w:tab/>
            </w:r>
            <w:r>
              <w:rPr>
                <w:rStyle w:val="Sautdindex"/>
              </w:rPr>
              <w:t>Raccordements</w:t>
            </w:r>
            <w:r>
              <w:rPr>
                <w:webHidden/>
              </w:rPr>
              <w:fldChar w:fldCharType="begin"/>
            </w:r>
            <w:r>
              <w:rPr>
                <w:webHidden/>
              </w:rPr>
              <w:instrText>PAGEREF _Toc32334726 \h</w:instrText>
            </w:r>
            <w:r>
              <w:rPr>
                <w:webHidden/>
              </w:rPr>
              <w:fldChar w:fldCharType="separate"/>
            </w:r>
            <w:r>
              <w:rPr>
                <w:rStyle w:val="Sautdindex"/>
                <w:vanish w:val="false"/>
              </w:rPr>
              <w:tab/>
              <w:t>100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727">
            <w:r>
              <w:rPr>
                <w:webHidden/>
                <w:rStyle w:val="Sautdindex"/>
                <w:rFonts w:cs="Times New Roman"/>
              </w:rPr>
              <w:t>3.4.6.11.</w:t>
            </w:r>
            <w:r>
              <w:rPr>
                <w:rStyle w:val="Sautdindex"/>
                <w:rFonts w:eastAsia="" w:cs="" w:cstheme="minorBidi" w:eastAsiaTheme="minorEastAsia"/>
                <w:sz w:val="22"/>
                <w:szCs w:val="22"/>
              </w:rPr>
              <w:tab/>
            </w:r>
            <w:r>
              <w:rPr>
                <w:rStyle w:val="Sautdindex"/>
              </w:rPr>
              <w:t>Repérage</w:t>
            </w:r>
            <w:r>
              <w:rPr>
                <w:webHidden/>
              </w:rPr>
              <w:fldChar w:fldCharType="begin"/>
            </w:r>
            <w:r>
              <w:rPr>
                <w:webHidden/>
              </w:rPr>
              <w:instrText>PAGEREF _Toc32334727 \h</w:instrText>
            </w:r>
            <w:r>
              <w:rPr>
                <w:webHidden/>
              </w:rPr>
              <w:fldChar w:fldCharType="separate"/>
            </w:r>
            <w:r>
              <w:rPr>
                <w:rStyle w:val="Sautdindex"/>
                <w:vanish w:val="false"/>
              </w:rPr>
              <w:tab/>
              <w:t>100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728">
            <w:r>
              <w:rPr>
                <w:webHidden/>
                <w:rStyle w:val="Sautdindex"/>
                <w:rFonts w:cs="Times New Roman"/>
              </w:rPr>
              <w:t>3.4.6.12.</w:t>
            </w:r>
            <w:r>
              <w:rPr>
                <w:rStyle w:val="Sautdindex"/>
                <w:rFonts w:eastAsia="" w:cs="" w:cstheme="minorBidi" w:eastAsiaTheme="minorEastAsia"/>
                <w:sz w:val="22"/>
                <w:szCs w:val="22"/>
              </w:rPr>
              <w:tab/>
            </w:r>
            <w:r>
              <w:rPr>
                <w:rStyle w:val="Sautdindex"/>
              </w:rPr>
              <w:t>Schémas unifilaires des TGBT</w:t>
            </w:r>
            <w:r>
              <w:rPr>
                <w:webHidden/>
              </w:rPr>
              <w:fldChar w:fldCharType="begin"/>
            </w:r>
            <w:r>
              <w:rPr>
                <w:webHidden/>
              </w:rPr>
              <w:instrText>PAGEREF _Toc32334728 \h</w:instrText>
            </w:r>
            <w:r>
              <w:rPr>
                <w:webHidden/>
              </w:rPr>
              <w:fldChar w:fldCharType="separate"/>
            </w:r>
            <w:r>
              <w:rPr>
                <w:rStyle w:val="Sautdindex"/>
                <w:vanish w:val="false"/>
              </w:rPr>
              <w:tab/>
              <w:t>100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729">
            <w:r>
              <w:rPr>
                <w:webHidden/>
                <w:rStyle w:val="Sautdindex"/>
                <w:rFonts w:cs="Times New Roman"/>
              </w:rPr>
              <w:t>3.4.6.13.</w:t>
            </w:r>
            <w:r>
              <w:rPr>
                <w:rStyle w:val="Sautdindex"/>
                <w:rFonts w:eastAsia="" w:cs="" w:cstheme="minorBidi" w:eastAsiaTheme="minorEastAsia"/>
                <w:sz w:val="22"/>
                <w:szCs w:val="22"/>
              </w:rPr>
              <w:tab/>
            </w:r>
            <w:r>
              <w:rPr>
                <w:rStyle w:val="Sautdindex"/>
              </w:rPr>
              <w:t>Jeux de barres et câbles</w:t>
            </w:r>
            <w:r>
              <w:rPr>
                <w:webHidden/>
              </w:rPr>
              <w:fldChar w:fldCharType="begin"/>
            </w:r>
            <w:r>
              <w:rPr>
                <w:webHidden/>
              </w:rPr>
              <w:instrText>PAGEREF _Toc32334729 \h</w:instrText>
            </w:r>
            <w:r>
              <w:rPr>
                <w:webHidden/>
              </w:rPr>
              <w:fldChar w:fldCharType="separate"/>
            </w:r>
            <w:r>
              <w:rPr>
                <w:rStyle w:val="Sautdindex"/>
                <w:vanish w:val="false"/>
              </w:rPr>
              <w:tab/>
              <w:t>100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730">
            <w:r>
              <w:rPr>
                <w:webHidden/>
                <w:rStyle w:val="Sautdindex"/>
                <w:rFonts w:cs="Times New Roman"/>
              </w:rPr>
              <w:t>3.4.6.14.</w:t>
            </w:r>
            <w:r>
              <w:rPr>
                <w:rStyle w:val="Sautdindex"/>
                <w:rFonts w:eastAsia="" w:cs="" w:cstheme="minorBidi" w:eastAsiaTheme="minorEastAsia"/>
                <w:sz w:val="22"/>
                <w:szCs w:val="22"/>
              </w:rPr>
              <w:tab/>
            </w:r>
            <w:r>
              <w:rPr>
                <w:rStyle w:val="Sautdindex"/>
              </w:rPr>
              <w:t>Diversité d’alimentation des armoires (ASI)</w:t>
            </w:r>
            <w:r>
              <w:rPr>
                <w:webHidden/>
              </w:rPr>
              <w:fldChar w:fldCharType="begin"/>
            </w:r>
            <w:r>
              <w:rPr>
                <w:webHidden/>
              </w:rPr>
              <w:instrText>PAGEREF _Toc32334730 \h</w:instrText>
            </w:r>
            <w:r>
              <w:rPr>
                <w:webHidden/>
              </w:rPr>
              <w:fldChar w:fldCharType="separate"/>
            </w:r>
            <w:r>
              <w:rPr>
                <w:rStyle w:val="Sautdindex"/>
                <w:vanish w:val="false"/>
              </w:rPr>
              <w:tab/>
              <w:t>100</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731">
            <w:r>
              <w:rPr>
                <w:webHidden/>
                <w:rStyle w:val="Sautdindex"/>
                <w:rFonts w:cs="Times New Roman"/>
              </w:rPr>
              <w:t>3.4.6.15.</w:t>
            </w:r>
            <w:r>
              <w:rPr>
                <w:rStyle w:val="Sautdindex"/>
                <w:rFonts w:eastAsia="" w:cs="" w:cstheme="minorBidi" w:eastAsiaTheme="minorEastAsia"/>
                <w:sz w:val="22"/>
                <w:szCs w:val="22"/>
              </w:rPr>
              <w:tab/>
            </w:r>
            <w:r>
              <w:rPr>
                <w:rStyle w:val="Sautdindex"/>
              </w:rPr>
              <w:t>LED de contrôles</w:t>
            </w:r>
            <w:r>
              <w:rPr>
                <w:webHidden/>
              </w:rPr>
              <w:fldChar w:fldCharType="begin"/>
            </w:r>
            <w:r>
              <w:rPr>
                <w:webHidden/>
              </w:rPr>
              <w:instrText>PAGEREF _Toc32334731 \h</w:instrText>
            </w:r>
            <w:r>
              <w:rPr>
                <w:webHidden/>
              </w:rPr>
              <w:fldChar w:fldCharType="separate"/>
            </w:r>
            <w:r>
              <w:rPr>
                <w:rStyle w:val="Sautdindex"/>
                <w:vanish w:val="false"/>
              </w:rPr>
              <w:tab/>
              <w:t>100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32">
            <w:r>
              <w:rPr>
                <w:webHidden/>
                <w:rStyle w:val="Sautdindex"/>
                <w:rFonts w:cs="Times New Roman"/>
                <w14:scene3d>
                  <w14:camera w14:prst="orthographicFront"/>
                  <w14:lightRig w14:rig="threePt" w14:dir="t">
                    <w14:rot w14:lat="0" w14:lon="0" w14:rev="0"/>
                  </w14:lightRig>
                </w14:scene3d>
              </w:rPr>
              <w:t>3.4.7.</w:t>
            </w:r>
            <w:r>
              <w:rPr>
                <w:rStyle w:val="Sautdindex"/>
                <w:rFonts w:eastAsia="" w:cs="" w:cstheme="minorBidi" w:eastAsiaTheme="minorEastAsia"/>
                <w:i w:val="false"/>
                <w:iCs w:val="false"/>
                <w:sz w:val="22"/>
                <w:szCs w:val="22"/>
              </w:rPr>
              <w:tab/>
            </w:r>
            <w:r>
              <w:rPr>
                <w:rStyle w:val="Sautdindex"/>
              </w:rPr>
              <w:t>Spécifications techniques des armoires et des coffrets</w:t>
            </w:r>
            <w:r>
              <w:rPr>
                <w:webHidden/>
              </w:rPr>
              <w:fldChar w:fldCharType="begin"/>
            </w:r>
            <w:r>
              <w:rPr>
                <w:webHidden/>
              </w:rPr>
              <w:instrText>PAGEREF _Toc32334732 \h</w:instrText>
            </w:r>
            <w:r>
              <w:rPr>
                <w:webHidden/>
              </w:rPr>
              <w:fldChar w:fldCharType="separate"/>
            </w:r>
            <w:r>
              <w:rPr>
                <w:rStyle w:val="Sautdindex"/>
                <w:vanish w:val="false"/>
              </w:rPr>
              <w:tab/>
              <w:t>101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33">
            <w:r>
              <w:rPr>
                <w:webHidden/>
                <w:rStyle w:val="Sautdindex"/>
                <w:rFonts w:cs="Times New Roman"/>
                <w14:scene3d>
                  <w14:camera w14:prst="orthographicFront"/>
                  <w14:lightRig w14:rig="threePt" w14:dir="t">
                    <w14:rot w14:lat="0" w14:lon="0" w14:rev="0"/>
                  </w14:lightRig>
                </w14:scene3d>
              </w:rPr>
              <w:t>3.4.8.</w:t>
            </w:r>
            <w:r>
              <w:rPr>
                <w:rStyle w:val="Sautdindex"/>
                <w:rFonts w:eastAsia="" w:cs="" w:cstheme="minorBidi" w:eastAsiaTheme="minorEastAsia"/>
                <w:i w:val="false"/>
                <w:iCs w:val="false"/>
                <w:sz w:val="22"/>
                <w:szCs w:val="22"/>
              </w:rPr>
              <w:tab/>
            </w:r>
            <w:r>
              <w:rPr>
                <w:rStyle w:val="Sautdindex"/>
              </w:rPr>
              <w:t>Câbles BT</w:t>
            </w:r>
            <w:r>
              <w:rPr>
                <w:webHidden/>
              </w:rPr>
              <w:fldChar w:fldCharType="begin"/>
            </w:r>
            <w:r>
              <w:rPr>
                <w:webHidden/>
              </w:rPr>
              <w:instrText>PAGEREF _Toc32334733 \h</w:instrText>
            </w:r>
            <w:r>
              <w:rPr>
                <w:webHidden/>
              </w:rPr>
              <w:fldChar w:fldCharType="separate"/>
            </w:r>
            <w:r>
              <w:rPr>
                <w:rStyle w:val="Sautdindex"/>
                <w:vanish w:val="false"/>
              </w:rPr>
              <w:tab/>
              <w:t>101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34">
            <w:r>
              <w:rPr>
                <w:webHidden/>
                <w:rStyle w:val="Sautdindex"/>
                <w:rFonts w:cs="Times New Roman"/>
              </w:rPr>
              <w:t>3.4.8.1.</w:t>
            </w:r>
            <w:r>
              <w:rPr>
                <w:rStyle w:val="Sautdindex"/>
                <w:rFonts w:eastAsia="" w:cs="" w:cstheme="minorBidi" w:eastAsiaTheme="minorEastAsia"/>
                <w:sz w:val="22"/>
                <w:szCs w:val="22"/>
              </w:rPr>
              <w:tab/>
            </w:r>
            <w:r>
              <w:rPr>
                <w:rStyle w:val="Sautdindex"/>
              </w:rPr>
              <w:t>Câble résistant au feu CR1-C1 1000V</w:t>
            </w:r>
            <w:r>
              <w:rPr>
                <w:webHidden/>
              </w:rPr>
              <w:fldChar w:fldCharType="begin"/>
            </w:r>
            <w:r>
              <w:rPr>
                <w:webHidden/>
              </w:rPr>
              <w:instrText>PAGEREF _Toc32334734 \h</w:instrText>
            </w:r>
            <w:r>
              <w:rPr>
                <w:webHidden/>
              </w:rPr>
              <w:fldChar w:fldCharType="separate"/>
            </w:r>
            <w:r>
              <w:rPr>
                <w:rStyle w:val="Sautdindex"/>
                <w:vanish w:val="false"/>
              </w:rPr>
              <w:tab/>
              <w:t>101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35">
            <w:r>
              <w:rPr>
                <w:webHidden/>
                <w:rStyle w:val="Sautdindex"/>
                <w:rFonts w:cs="Times New Roman"/>
              </w:rPr>
              <w:t>3.4.8.2.</w:t>
            </w:r>
            <w:r>
              <w:rPr>
                <w:rStyle w:val="Sautdindex"/>
                <w:rFonts w:eastAsia="" w:cs="" w:cstheme="minorBidi" w:eastAsiaTheme="minorEastAsia"/>
                <w:sz w:val="22"/>
                <w:szCs w:val="22"/>
              </w:rPr>
              <w:tab/>
            </w:r>
            <w:r>
              <w:rPr>
                <w:rStyle w:val="Sautdindex"/>
              </w:rPr>
              <w:t>Câble rigide basse tension</w:t>
            </w:r>
            <w:r>
              <w:rPr>
                <w:webHidden/>
              </w:rPr>
              <w:fldChar w:fldCharType="begin"/>
            </w:r>
            <w:r>
              <w:rPr>
                <w:webHidden/>
              </w:rPr>
              <w:instrText>PAGEREF _Toc32334735 \h</w:instrText>
            </w:r>
            <w:r>
              <w:rPr>
                <w:webHidden/>
              </w:rPr>
              <w:fldChar w:fldCharType="separate"/>
            </w:r>
            <w:r>
              <w:rPr>
                <w:rStyle w:val="Sautdindex"/>
                <w:vanish w:val="false"/>
              </w:rPr>
              <w:tab/>
              <w:t>101</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736">
            <w:r>
              <w:rPr>
                <w:webHidden/>
                <w:rStyle w:val="Sautdindex"/>
                <w:b/>
              </w:rPr>
              <w:t>3.5.</w:t>
            </w:r>
            <w:r>
              <w:rPr>
                <w:rStyle w:val="Sautdindex"/>
                <w:rFonts w:eastAsia="" w:cs="" w:cstheme="minorBidi" w:eastAsiaTheme="minorEastAsia"/>
                <w:caps w:val="false"/>
                <w:smallCaps w:val="false"/>
                <w:sz w:val="22"/>
                <w:szCs w:val="22"/>
              </w:rPr>
              <w:tab/>
            </w:r>
            <w:r>
              <w:rPr>
                <w:rStyle w:val="Sautdindex"/>
              </w:rPr>
              <w:t>Réseaux téléphoniques et informatiques</w:t>
            </w:r>
            <w:r>
              <w:rPr>
                <w:webHidden/>
              </w:rPr>
              <w:fldChar w:fldCharType="begin"/>
            </w:r>
            <w:r>
              <w:rPr>
                <w:webHidden/>
              </w:rPr>
              <w:instrText>PAGEREF _Toc32334736 \h</w:instrText>
            </w:r>
            <w:r>
              <w:rPr>
                <w:webHidden/>
              </w:rPr>
              <w:fldChar w:fldCharType="separate"/>
            </w:r>
            <w:r>
              <w:rPr>
                <w:rStyle w:val="Sautdindex"/>
                <w:vanish w:val="false"/>
              </w:rPr>
              <w:tab/>
              <w:t>102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37">
            <w:r>
              <w:rPr>
                <w:webHidden/>
                <w:rStyle w:val="Sautdindex"/>
                <w:rFonts w:cs="Times New Roman"/>
                <w14:scene3d>
                  <w14:camera w14:prst="orthographicFront"/>
                  <w14:lightRig w14:rig="threePt" w14:dir="t">
                    <w14:rot w14:lat="0" w14:lon="0" w14:rev="0"/>
                  </w14:lightRig>
                </w14:scene3d>
              </w:rPr>
              <w:t>3.5.1.</w:t>
            </w:r>
            <w:r>
              <w:rPr>
                <w:rStyle w:val="Sautdindex"/>
                <w:rFonts w:eastAsia="" w:cs="" w:cstheme="minorBidi" w:eastAsiaTheme="minorEastAsia"/>
                <w:i w:val="false"/>
                <w:iCs w:val="false"/>
                <w:sz w:val="22"/>
                <w:szCs w:val="22"/>
              </w:rPr>
              <w:tab/>
            </w:r>
            <w:r>
              <w:rPr>
                <w:rStyle w:val="Sautdindex"/>
              </w:rPr>
              <w:t>Objectifs</w:t>
            </w:r>
            <w:r>
              <w:rPr>
                <w:webHidden/>
              </w:rPr>
              <w:fldChar w:fldCharType="begin"/>
            </w:r>
            <w:r>
              <w:rPr>
                <w:webHidden/>
              </w:rPr>
              <w:instrText>PAGEREF _Toc32334737 \h</w:instrText>
            </w:r>
            <w:r>
              <w:rPr>
                <w:webHidden/>
              </w:rPr>
              <w:fldChar w:fldCharType="separate"/>
            </w:r>
            <w:r>
              <w:rPr>
                <w:rStyle w:val="Sautdindex"/>
                <w:vanish w:val="false"/>
              </w:rPr>
              <w:tab/>
              <w:t>102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38">
            <w:r>
              <w:rPr>
                <w:webHidden/>
                <w:rStyle w:val="Sautdindex"/>
                <w:rFonts w:cs="Times New Roman"/>
                <w14:scene3d>
                  <w14:camera w14:prst="orthographicFront"/>
                  <w14:lightRig w14:rig="threePt" w14:dir="t">
                    <w14:rot w14:lat="0" w14:lon="0" w14:rev="0"/>
                  </w14:lightRig>
                </w14:scene3d>
              </w:rPr>
              <w:t>3.5.2.</w:t>
            </w:r>
            <w:r>
              <w:rPr>
                <w:rStyle w:val="Sautdindex"/>
                <w:rFonts w:eastAsia="" w:cs="" w:cstheme="minorBidi" w:eastAsiaTheme="minorEastAsia"/>
                <w:i w:val="false"/>
                <w:iCs w:val="false"/>
                <w:sz w:val="22"/>
                <w:szCs w:val="22"/>
              </w:rPr>
              <w:tab/>
            </w:r>
            <w:r>
              <w:rPr>
                <w:rStyle w:val="Sautdindex"/>
              </w:rPr>
              <w:t>Objet des spécifications</w:t>
            </w:r>
            <w:r>
              <w:rPr>
                <w:webHidden/>
              </w:rPr>
              <w:fldChar w:fldCharType="begin"/>
            </w:r>
            <w:r>
              <w:rPr>
                <w:webHidden/>
              </w:rPr>
              <w:instrText>PAGEREF _Toc32334738 \h</w:instrText>
            </w:r>
            <w:r>
              <w:rPr>
                <w:webHidden/>
              </w:rPr>
              <w:fldChar w:fldCharType="separate"/>
            </w:r>
            <w:r>
              <w:rPr>
                <w:rStyle w:val="Sautdindex"/>
                <w:vanish w:val="false"/>
              </w:rPr>
              <w:tab/>
              <w:t>102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39">
            <w:r>
              <w:rPr>
                <w:webHidden/>
                <w:rStyle w:val="Sautdindex"/>
                <w:rFonts w:cs="Times New Roman"/>
                <w14:scene3d>
                  <w14:camera w14:prst="orthographicFront"/>
                  <w14:lightRig w14:rig="threePt" w14:dir="t">
                    <w14:rot w14:lat="0" w14:lon="0" w14:rev="0"/>
                  </w14:lightRig>
                </w14:scene3d>
              </w:rPr>
              <w:t>3.5.3.</w:t>
            </w:r>
            <w:r>
              <w:rPr>
                <w:rStyle w:val="Sautdindex"/>
                <w:rFonts w:eastAsia="" w:cs="" w:cstheme="minorBidi" w:eastAsiaTheme="minorEastAsia"/>
                <w:i w:val="false"/>
                <w:iCs w:val="false"/>
                <w:sz w:val="22"/>
                <w:szCs w:val="22"/>
              </w:rPr>
              <w:tab/>
            </w:r>
            <w:r>
              <w:rPr>
                <w:rStyle w:val="Sautdindex"/>
              </w:rPr>
              <w:t>Performances générales attendues</w:t>
            </w:r>
            <w:r>
              <w:rPr>
                <w:webHidden/>
              </w:rPr>
              <w:fldChar w:fldCharType="begin"/>
            </w:r>
            <w:r>
              <w:rPr>
                <w:webHidden/>
              </w:rPr>
              <w:instrText>PAGEREF _Toc32334739 \h</w:instrText>
            </w:r>
            <w:r>
              <w:rPr>
                <w:webHidden/>
              </w:rPr>
              <w:fldChar w:fldCharType="separate"/>
            </w:r>
            <w:r>
              <w:rPr>
                <w:rStyle w:val="Sautdindex"/>
                <w:vanish w:val="false"/>
              </w:rPr>
              <w:tab/>
              <w:t>102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40">
            <w:r>
              <w:rPr>
                <w:webHidden/>
                <w:rStyle w:val="Sautdindex"/>
                <w:rFonts w:cs="Times New Roman"/>
                <w14:scene3d>
                  <w14:camera w14:prst="orthographicFront"/>
                  <w14:lightRig w14:rig="threePt" w14:dir="t">
                    <w14:rot w14:lat="0" w14:lon="0" w14:rev="0"/>
                  </w14:lightRig>
                </w14:scene3d>
              </w:rPr>
              <w:t>3.5.4.</w:t>
            </w:r>
            <w:r>
              <w:rPr>
                <w:rStyle w:val="Sautdindex"/>
                <w:rFonts w:eastAsia="" w:cs="" w:cstheme="minorBidi" w:eastAsiaTheme="minorEastAsia"/>
                <w:i w:val="false"/>
                <w:iCs w:val="false"/>
                <w:sz w:val="22"/>
                <w:szCs w:val="22"/>
              </w:rPr>
              <w:tab/>
            </w:r>
            <w:r>
              <w:rPr>
                <w:rStyle w:val="Sautdindex"/>
              </w:rPr>
              <w:t>Description générale des prestations</w:t>
            </w:r>
            <w:r>
              <w:rPr>
                <w:webHidden/>
              </w:rPr>
              <w:fldChar w:fldCharType="begin"/>
            </w:r>
            <w:r>
              <w:rPr>
                <w:webHidden/>
              </w:rPr>
              <w:instrText>PAGEREF _Toc32334740 \h</w:instrText>
            </w:r>
            <w:r>
              <w:rPr>
                <w:webHidden/>
              </w:rPr>
              <w:fldChar w:fldCharType="separate"/>
            </w:r>
            <w:r>
              <w:rPr>
                <w:rStyle w:val="Sautdindex"/>
                <w:vanish w:val="false"/>
              </w:rPr>
              <w:tab/>
              <w:t>102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41">
            <w:r>
              <w:rPr>
                <w:webHidden/>
                <w:rStyle w:val="Sautdindex"/>
                <w:rFonts w:cs="Times New Roman"/>
                <w14:scene3d>
                  <w14:camera w14:prst="orthographicFront"/>
                  <w14:lightRig w14:rig="threePt" w14:dir="t">
                    <w14:rot w14:lat="0" w14:lon="0" w14:rev="0"/>
                  </w14:lightRig>
                </w14:scene3d>
              </w:rPr>
              <w:t>3.5.5.</w:t>
            </w:r>
            <w:r>
              <w:rPr>
                <w:rStyle w:val="Sautdindex"/>
                <w:rFonts w:eastAsia="" w:cs="" w:cstheme="minorBidi" w:eastAsiaTheme="minorEastAsia"/>
                <w:i w:val="false"/>
                <w:iCs w:val="false"/>
                <w:sz w:val="22"/>
                <w:szCs w:val="22"/>
              </w:rPr>
              <w:tab/>
            </w:r>
            <w:r>
              <w:rPr>
                <w:rStyle w:val="Sautdindex"/>
              </w:rPr>
              <w:t>Contraintes générales</w:t>
            </w:r>
            <w:r>
              <w:rPr>
                <w:webHidden/>
              </w:rPr>
              <w:fldChar w:fldCharType="begin"/>
            </w:r>
            <w:r>
              <w:rPr>
                <w:webHidden/>
              </w:rPr>
              <w:instrText>PAGEREF _Toc32334741 \h</w:instrText>
            </w:r>
            <w:r>
              <w:rPr>
                <w:webHidden/>
              </w:rPr>
              <w:fldChar w:fldCharType="separate"/>
            </w:r>
            <w:r>
              <w:rPr>
                <w:rStyle w:val="Sautdindex"/>
                <w:vanish w:val="false"/>
              </w:rPr>
              <w:tab/>
              <w:t>103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42">
            <w:r>
              <w:rPr>
                <w:webHidden/>
                <w:rStyle w:val="Sautdindex"/>
                <w:rFonts w:cs="Times New Roman"/>
              </w:rPr>
              <w:t>3.5.5.1.</w:t>
            </w:r>
            <w:r>
              <w:rPr>
                <w:rStyle w:val="Sautdindex"/>
                <w:rFonts w:eastAsia="" w:cs="" w:cstheme="minorBidi" w:eastAsiaTheme="minorEastAsia"/>
                <w:sz w:val="22"/>
                <w:szCs w:val="22"/>
              </w:rPr>
              <w:tab/>
            </w:r>
            <w:r>
              <w:rPr>
                <w:rStyle w:val="Sautdindex"/>
              </w:rPr>
              <w:t>Normes et règlements applicables au projet</w:t>
            </w:r>
            <w:r>
              <w:rPr>
                <w:webHidden/>
              </w:rPr>
              <w:fldChar w:fldCharType="begin"/>
            </w:r>
            <w:r>
              <w:rPr>
                <w:webHidden/>
              </w:rPr>
              <w:instrText>PAGEREF _Toc32334742 \h</w:instrText>
            </w:r>
            <w:r>
              <w:rPr>
                <w:webHidden/>
              </w:rPr>
              <w:fldChar w:fldCharType="separate"/>
            </w:r>
            <w:r>
              <w:rPr>
                <w:rStyle w:val="Sautdindex"/>
                <w:vanish w:val="false"/>
              </w:rPr>
              <w:tab/>
              <w:t>103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43">
            <w:r>
              <w:rPr>
                <w:webHidden/>
                <w:rStyle w:val="Sautdindex"/>
                <w:rFonts w:cs="Times New Roman"/>
              </w:rPr>
              <w:t>3.5.5.2.</w:t>
            </w:r>
            <w:r>
              <w:rPr>
                <w:rStyle w:val="Sautdindex"/>
                <w:rFonts w:eastAsia="" w:cs="" w:cstheme="minorBidi" w:eastAsiaTheme="minorEastAsia"/>
                <w:sz w:val="22"/>
                <w:szCs w:val="22"/>
              </w:rPr>
              <w:tab/>
            </w:r>
            <w:r>
              <w:rPr>
                <w:rStyle w:val="Sautdindex"/>
              </w:rPr>
              <w:t>Conditions d'exécution</w:t>
            </w:r>
            <w:r>
              <w:rPr>
                <w:webHidden/>
              </w:rPr>
              <w:fldChar w:fldCharType="begin"/>
            </w:r>
            <w:r>
              <w:rPr>
                <w:webHidden/>
              </w:rPr>
              <w:instrText>PAGEREF _Toc32334743 \h</w:instrText>
            </w:r>
            <w:r>
              <w:rPr>
                <w:webHidden/>
              </w:rPr>
              <w:fldChar w:fldCharType="separate"/>
            </w:r>
            <w:r>
              <w:rPr>
                <w:rStyle w:val="Sautdindex"/>
                <w:vanish w:val="false"/>
              </w:rPr>
              <w:tab/>
              <w:t>103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44">
            <w:r>
              <w:rPr>
                <w:webHidden/>
                <w:rStyle w:val="Sautdindex"/>
                <w:rFonts w:cs="Times New Roman"/>
                <w14:scene3d>
                  <w14:camera w14:prst="orthographicFront"/>
                  <w14:lightRig w14:rig="threePt" w14:dir="t">
                    <w14:rot w14:lat="0" w14:lon="0" w14:rev="0"/>
                  </w14:lightRig>
                </w14:scene3d>
              </w:rPr>
              <w:t>3.5.6.</w:t>
            </w:r>
            <w:r>
              <w:rPr>
                <w:rStyle w:val="Sautdindex"/>
                <w:rFonts w:eastAsia="" w:cs="" w:cstheme="minorBidi" w:eastAsiaTheme="minorEastAsia"/>
                <w:i w:val="false"/>
                <w:iCs w:val="false"/>
                <w:sz w:val="22"/>
                <w:szCs w:val="22"/>
              </w:rPr>
              <w:tab/>
            </w:r>
            <w:r>
              <w:rPr>
                <w:rStyle w:val="Sautdindex"/>
              </w:rPr>
              <w:t>Prestations à réaliser</w:t>
            </w:r>
            <w:r>
              <w:rPr>
                <w:webHidden/>
              </w:rPr>
              <w:fldChar w:fldCharType="begin"/>
            </w:r>
            <w:r>
              <w:rPr>
                <w:webHidden/>
              </w:rPr>
              <w:instrText>PAGEREF _Toc32334744 \h</w:instrText>
            </w:r>
            <w:r>
              <w:rPr>
                <w:webHidden/>
              </w:rPr>
              <w:fldChar w:fldCharType="separate"/>
            </w:r>
            <w:r>
              <w:rPr>
                <w:rStyle w:val="Sautdindex"/>
                <w:vanish w:val="false"/>
              </w:rPr>
              <w:tab/>
              <w:t>104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45">
            <w:r>
              <w:rPr>
                <w:webHidden/>
                <w:rStyle w:val="Sautdindex"/>
                <w:rFonts w:cs="Times New Roman"/>
              </w:rPr>
              <w:t>3.5.6.1.</w:t>
            </w:r>
            <w:r>
              <w:rPr>
                <w:rStyle w:val="Sautdindex"/>
                <w:rFonts w:eastAsia="" w:cs="" w:cstheme="minorBidi" w:eastAsiaTheme="minorEastAsia"/>
                <w:sz w:val="22"/>
                <w:szCs w:val="22"/>
              </w:rPr>
              <w:tab/>
            </w:r>
            <w:r>
              <w:rPr>
                <w:rStyle w:val="Sautdindex"/>
              </w:rPr>
              <w:t>Généralités</w:t>
            </w:r>
            <w:r>
              <w:rPr>
                <w:webHidden/>
              </w:rPr>
              <w:fldChar w:fldCharType="begin"/>
            </w:r>
            <w:r>
              <w:rPr>
                <w:webHidden/>
              </w:rPr>
              <w:instrText>PAGEREF _Toc32334745 \h</w:instrText>
            </w:r>
            <w:r>
              <w:rPr>
                <w:webHidden/>
              </w:rPr>
              <w:fldChar w:fldCharType="separate"/>
            </w:r>
            <w:r>
              <w:rPr>
                <w:rStyle w:val="Sautdindex"/>
                <w:vanish w:val="false"/>
              </w:rPr>
              <w:tab/>
              <w:t>104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46">
            <w:r>
              <w:rPr>
                <w:webHidden/>
                <w:rStyle w:val="Sautdindex"/>
                <w:rFonts w:cs="Times New Roman"/>
              </w:rPr>
              <w:t>3.5.6.2.</w:t>
            </w:r>
            <w:r>
              <w:rPr>
                <w:rStyle w:val="Sautdindex"/>
                <w:rFonts w:eastAsia="" w:cs="" w:cstheme="minorBidi" w:eastAsiaTheme="minorEastAsia"/>
                <w:sz w:val="22"/>
                <w:szCs w:val="22"/>
              </w:rPr>
              <w:tab/>
            </w:r>
            <w:r>
              <w:rPr>
                <w:rStyle w:val="Sautdindex"/>
              </w:rPr>
              <w:t>Destination du câblage</w:t>
            </w:r>
            <w:r>
              <w:rPr>
                <w:webHidden/>
              </w:rPr>
              <w:fldChar w:fldCharType="begin"/>
            </w:r>
            <w:r>
              <w:rPr>
                <w:webHidden/>
              </w:rPr>
              <w:instrText>PAGEREF _Toc32334746 \h</w:instrText>
            </w:r>
            <w:r>
              <w:rPr>
                <w:webHidden/>
              </w:rPr>
              <w:fldChar w:fldCharType="separate"/>
            </w:r>
            <w:r>
              <w:rPr>
                <w:rStyle w:val="Sautdindex"/>
                <w:vanish w:val="false"/>
              </w:rPr>
              <w:tab/>
              <w:t>104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47">
            <w:r>
              <w:rPr>
                <w:webHidden/>
                <w:rStyle w:val="Sautdindex"/>
                <w:rFonts w:cs="Times New Roman"/>
              </w:rPr>
              <w:t>3.5.6.3.</w:t>
            </w:r>
            <w:r>
              <w:rPr>
                <w:rStyle w:val="Sautdindex"/>
                <w:rFonts w:eastAsia="" w:cs="" w:cstheme="minorBidi" w:eastAsiaTheme="minorEastAsia"/>
                <w:sz w:val="22"/>
                <w:szCs w:val="22"/>
              </w:rPr>
              <w:tab/>
            </w:r>
            <w:r>
              <w:rPr>
                <w:rStyle w:val="Sautdindex"/>
              </w:rPr>
              <w:t>Règles de conception</w:t>
            </w:r>
            <w:r>
              <w:rPr>
                <w:webHidden/>
              </w:rPr>
              <w:fldChar w:fldCharType="begin"/>
            </w:r>
            <w:r>
              <w:rPr>
                <w:webHidden/>
              </w:rPr>
              <w:instrText>PAGEREF _Toc32334747 \h</w:instrText>
            </w:r>
            <w:r>
              <w:rPr>
                <w:webHidden/>
              </w:rPr>
              <w:fldChar w:fldCharType="separate"/>
            </w:r>
            <w:r>
              <w:rPr>
                <w:rStyle w:val="Sautdindex"/>
                <w:vanish w:val="false"/>
              </w:rPr>
              <w:tab/>
              <w:t>105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48">
            <w:r>
              <w:rPr>
                <w:webHidden/>
                <w:rStyle w:val="Sautdindex"/>
                <w:rFonts w:cs="Times New Roman"/>
              </w:rPr>
              <w:t>3.5.6.4.</w:t>
            </w:r>
            <w:r>
              <w:rPr>
                <w:rStyle w:val="Sautdindex"/>
                <w:rFonts w:eastAsia="" w:cs="" w:cstheme="minorBidi" w:eastAsiaTheme="minorEastAsia"/>
                <w:sz w:val="22"/>
                <w:szCs w:val="22"/>
              </w:rPr>
              <w:tab/>
            </w:r>
            <w:r>
              <w:rPr>
                <w:rStyle w:val="Sautdindex"/>
              </w:rPr>
              <w:t>Règles de mise en œuvre</w:t>
            </w:r>
            <w:r>
              <w:rPr>
                <w:webHidden/>
              </w:rPr>
              <w:fldChar w:fldCharType="begin"/>
            </w:r>
            <w:r>
              <w:rPr>
                <w:webHidden/>
              </w:rPr>
              <w:instrText>PAGEREF _Toc32334748 \h</w:instrText>
            </w:r>
            <w:r>
              <w:rPr>
                <w:webHidden/>
              </w:rPr>
              <w:fldChar w:fldCharType="separate"/>
            </w:r>
            <w:r>
              <w:rPr>
                <w:rStyle w:val="Sautdindex"/>
                <w:vanish w:val="false"/>
              </w:rPr>
              <w:tab/>
              <w:t>112</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749">
            <w:r>
              <w:rPr>
                <w:webHidden/>
                <w:rStyle w:val="Sautdindex"/>
                <w:b/>
              </w:rPr>
              <w:t>3.6.</w:t>
            </w:r>
            <w:r>
              <w:rPr>
                <w:rStyle w:val="Sautdindex"/>
                <w:rFonts w:eastAsia="" w:cs="" w:cstheme="minorBidi" w:eastAsiaTheme="minorEastAsia"/>
                <w:caps w:val="false"/>
                <w:smallCaps w:val="false"/>
                <w:sz w:val="22"/>
                <w:szCs w:val="22"/>
              </w:rPr>
              <w:tab/>
            </w:r>
            <w:r>
              <w:rPr>
                <w:rStyle w:val="Sautdindex"/>
              </w:rPr>
              <w:t>Climatisation</w:t>
            </w:r>
            <w:r>
              <w:rPr>
                <w:webHidden/>
              </w:rPr>
              <w:fldChar w:fldCharType="begin"/>
            </w:r>
            <w:r>
              <w:rPr>
                <w:webHidden/>
              </w:rPr>
              <w:instrText>PAGEREF _Toc32334749 \h</w:instrText>
            </w:r>
            <w:r>
              <w:rPr>
                <w:webHidden/>
              </w:rPr>
              <w:fldChar w:fldCharType="separate"/>
            </w:r>
            <w:r>
              <w:rPr>
                <w:rStyle w:val="Sautdindex"/>
                <w:vanish w:val="false"/>
              </w:rPr>
              <w:tab/>
              <w:t>113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50">
            <w:r>
              <w:rPr>
                <w:webHidden/>
                <w:rStyle w:val="Sautdindex"/>
                <w:rFonts w:cs="Times New Roman"/>
                <w14:scene3d>
                  <w14:camera w14:prst="orthographicFront"/>
                  <w14:lightRig w14:rig="threePt" w14:dir="t">
                    <w14:rot w14:lat="0" w14:lon="0" w14:rev="0"/>
                  </w14:lightRig>
                </w14:scene3d>
              </w:rPr>
              <w:t>3.6.1.</w:t>
            </w:r>
            <w:r>
              <w:rPr>
                <w:rStyle w:val="Sautdindex"/>
                <w:rFonts w:eastAsia="" w:cs="" w:cstheme="minorBidi" w:eastAsiaTheme="minorEastAsia"/>
                <w:i w:val="false"/>
                <w:iCs w:val="false"/>
                <w:sz w:val="22"/>
                <w:szCs w:val="22"/>
              </w:rPr>
              <w:tab/>
            </w:r>
            <w:r>
              <w:rPr>
                <w:rStyle w:val="Sautdindex"/>
              </w:rPr>
              <w:t>Objet des spécifications</w:t>
            </w:r>
            <w:r>
              <w:rPr>
                <w:webHidden/>
              </w:rPr>
              <w:fldChar w:fldCharType="begin"/>
            </w:r>
            <w:r>
              <w:rPr>
                <w:webHidden/>
              </w:rPr>
              <w:instrText>PAGEREF _Toc32334750 \h</w:instrText>
            </w:r>
            <w:r>
              <w:rPr>
                <w:webHidden/>
              </w:rPr>
              <w:fldChar w:fldCharType="separate"/>
            </w:r>
            <w:r>
              <w:rPr>
                <w:rStyle w:val="Sautdindex"/>
                <w:vanish w:val="false"/>
              </w:rPr>
              <w:tab/>
              <w:t>113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51">
            <w:r>
              <w:rPr>
                <w:webHidden/>
                <w:rStyle w:val="Sautdindex"/>
                <w:rFonts w:cs="Times New Roman"/>
                <w14:scene3d>
                  <w14:camera w14:prst="orthographicFront"/>
                  <w14:lightRig w14:rig="threePt" w14:dir="t">
                    <w14:rot w14:lat="0" w14:lon="0" w14:rev="0"/>
                  </w14:lightRig>
                </w14:scene3d>
              </w:rPr>
              <w:t>3.6.2.</w:t>
            </w:r>
            <w:r>
              <w:rPr>
                <w:rStyle w:val="Sautdindex"/>
                <w:rFonts w:eastAsia="" w:cs="" w:cstheme="minorBidi" w:eastAsiaTheme="minorEastAsia"/>
                <w:i w:val="false"/>
                <w:iCs w:val="false"/>
                <w:sz w:val="22"/>
                <w:szCs w:val="22"/>
              </w:rPr>
              <w:tab/>
            </w:r>
            <w:r>
              <w:rPr>
                <w:rStyle w:val="Sautdindex"/>
              </w:rPr>
              <w:t>Performances générales attendues</w:t>
            </w:r>
            <w:r>
              <w:rPr>
                <w:webHidden/>
              </w:rPr>
              <w:fldChar w:fldCharType="begin"/>
            </w:r>
            <w:r>
              <w:rPr>
                <w:webHidden/>
              </w:rPr>
              <w:instrText>PAGEREF _Toc32334751 \h</w:instrText>
            </w:r>
            <w:r>
              <w:rPr>
                <w:webHidden/>
              </w:rPr>
              <w:fldChar w:fldCharType="separate"/>
            </w:r>
            <w:r>
              <w:rPr>
                <w:rStyle w:val="Sautdindex"/>
                <w:vanish w:val="false"/>
              </w:rPr>
              <w:tab/>
              <w:t>113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52">
            <w:r>
              <w:rPr>
                <w:webHidden/>
                <w:rStyle w:val="Sautdindex"/>
                <w:rFonts w:cs="Times New Roman"/>
              </w:rPr>
              <w:t>3.6.2.1.</w:t>
            </w:r>
            <w:r>
              <w:rPr>
                <w:rStyle w:val="Sautdindex"/>
                <w:rFonts w:eastAsia="" w:cs="" w:cstheme="minorBidi" w:eastAsiaTheme="minorEastAsia"/>
                <w:sz w:val="22"/>
                <w:szCs w:val="22"/>
              </w:rPr>
              <w:tab/>
            </w:r>
            <w:r>
              <w:rPr>
                <w:rStyle w:val="Sautdindex"/>
              </w:rPr>
              <w:t>Climatisation et ventilation des équipements</w:t>
            </w:r>
            <w:r>
              <w:rPr>
                <w:webHidden/>
              </w:rPr>
              <w:fldChar w:fldCharType="begin"/>
            </w:r>
            <w:r>
              <w:rPr>
                <w:webHidden/>
              </w:rPr>
              <w:instrText>PAGEREF _Toc32334752 \h</w:instrText>
            </w:r>
            <w:r>
              <w:rPr>
                <w:webHidden/>
              </w:rPr>
              <w:fldChar w:fldCharType="separate"/>
            </w:r>
            <w:r>
              <w:rPr>
                <w:rStyle w:val="Sautdindex"/>
                <w:vanish w:val="false"/>
              </w:rPr>
              <w:tab/>
              <w:t>113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53">
            <w:r>
              <w:rPr>
                <w:webHidden/>
                <w:rStyle w:val="Sautdindex"/>
                <w:rFonts w:cs="Times New Roman"/>
              </w:rPr>
              <w:t>3.6.2.2.</w:t>
            </w:r>
            <w:r>
              <w:rPr>
                <w:rStyle w:val="Sautdindex"/>
                <w:rFonts w:eastAsia="" w:cs="" w:cstheme="minorBidi" w:eastAsiaTheme="minorEastAsia"/>
                <w:sz w:val="22"/>
                <w:szCs w:val="22"/>
              </w:rPr>
              <w:tab/>
            </w:r>
            <w:r>
              <w:rPr>
                <w:rStyle w:val="Sautdindex"/>
              </w:rPr>
              <w:t>Température</w:t>
            </w:r>
            <w:r>
              <w:rPr>
                <w:webHidden/>
              </w:rPr>
              <w:fldChar w:fldCharType="begin"/>
            </w:r>
            <w:r>
              <w:rPr>
                <w:webHidden/>
              </w:rPr>
              <w:instrText>PAGEREF _Toc32334753 \h</w:instrText>
            </w:r>
            <w:r>
              <w:rPr>
                <w:webHidden/>
              </w:rPr>
              <w:fldChar w:fldCharType="separate"/>
            </w:r>
            <w:r>
              <w:rPr>
                <w:rStyle w:val="Sautdindex"/>
                <w:vanish w:val="false"/>
              </w:rPr>
              <w:tab/>
              <w:t>114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54">
            <w:r>
              <w:rPr>
                <w:webHidden/>
                <w:rStyle w:val="Sautdindex"/>
                <w:rFonts w:cs="Times New Roman"/>
              </w:rPr>
              <w:t>3.6.2.3.</w:t>
            </w:r>
            <w:r>
              <w:rPr>
                <w:rStyle w:val="Sautdindex"/>
                <w:rFonts w:eastAsia="" w:cs="" w:cstheme="minorBidi" w:eastAsiaTheme="minorEastAsia"/>
                <w:sz w:val="22"/>
                <w:szCs w:val="22"/>
              </w:rPr>
              <w:tab/>
            </w:r>
            <w:r>
              <w:rPr>
                <w:rStyle w:val="Sautdindex"/>
              </w:rPr>
              <w:t>Hygrométrie</w:t>
            </w:r>
            <w:r>
              <w:rPr>
                <w:webHidden/>
              </w:rPr>
              <w:fldChar w:fldCharType="begin"/>
            </w:r>
            <w:r>
              <w:rPr>
                <w:webHidden/>
              </w:rPr>
              <w:instrText>PAGEREF _Toc32334754 \h</w:instrText>
            </w:r>
            <w:r>
              <w:rPr>
                <w:webHidden/>
              </w:rPr>
              <w:fldChar w:fldCharType="separate"/>
            </w:r>
            <w:r>
              <w:rPr>
                <w:rStyle w:val="Sautdindex"/>
                <w:vanish w:val="false"/>
              </w:rPr>
              <w:tab/>
              <w:t>114</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55">
            <w:r>
              <w:rPr>
                <w:webHidden/>
                <w:rStyle w:val="Sautdindex"/>
                <w:rFonts w:cs="Times New Roman"/>
              </w:rPr>
              <w:t>3.6.2.4.</w:t>
            </w:r>
            <w:r>
              <w:rPr>
                <w:rStyle w:val="Sautdindex"/>
                <w:rFonts w:eastAsia="" w:cs="" w:cstheme="minorBidi" w:eastAsiaTheme="minorEastAsia"/>
                <w:sz w:val="22"/>
                <w:szCs w:val="22"/>
              </w:rPr>
              <w:tab/>
            </w:r>
            <w:r>
              <w:rPr>
                <w:rStyle w:val="Sautdindex"/>
              </w:rPr>
              <w:t>Air neuf</w:t>
            </w:r>
            <w:r>
              <w:rPr>
                <w:webHidden/>
              </w:rPr>
              <w:fldChar w:fldCharType="begin"/>
            </w:r>
            <w:r>
              <w:rPr>
                <w:webHidden/>
              </w:rPr>
              <w:instrText>PAGEREF _Toc32334755 \h</w:instrText>
            </w:r>
            <w:r>
              <w:rPr>
                <w:webHidden/>
              </w:rPr>
              <w:fldChar w:fldCharType="separate"/>
            </w:r>
            <w:r>
              <w:rPr>
                <w:rStyle w:val="Sautdindex"/>
                <w:vanish w:val="false"/>
              </w:rPr>
              <w:tab/>
              <w:t>114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56">
            <w:r>
              <w:rPr>
                <w:webHidden/>
                <w:rStyle w:val="Sautdindex"/>
                <w:rFonts w:cs="Times New Roman"/>
                <w14:scene3d>
                  <w14:camera w14:prst="orthographicFront"/>
                  <w14:lightRig w14:rig="threePt" w14:dir="t">
                    <w14:rot w14:lat="0" w14:lon="0" w14:rev="0"/>
                  </w14:lightRig>
                </w14:scene3d>
              </w:rPr>
              <w:t>3.6.3.</w:t>
            </w:r>
            <w:r>
              <w:rPr>
                <w:rStyle w:val="Sautdindex"/>
                <w:rFonts w:eastAsia="" w:cs="" w:cstheme="minorBidi" w:eastAsiaTheme="minorEastAsia"/>
                <w:i w:val="false"/>
                <w:iCs w:val="false"/>
                <w:sz w:val="22"/>
                <w:szCs w:val="22"/>
              </w:rPr>
              <w:tab/>
            </w:r>
            <w:r>
              <w:rPr>
                <w:rStyle w:val="Sautdindex"/>
              </w:rPr>
              <w:t>Contraintes générales</w:t>
            </w:r>
            <w:r>
              <w:rPr>
                <w:webHidden/>
              </w:rPr>
              <w:fldChar w:fldCharType="begin"/>
            </w:r>
            <w:r>
              <w:rPr>
                <w:webHidden/>
              </w:rPr>
              <w:instrText>PAGEREF _Toc32334756 \h</w:instrText>
            </w:r>
            <w:r>
              <w:rPr>
                <w:webHidden/>
              </w:rPr>
              <w:fldChar w:fldCharType="separate"/>
            </w:r>
            <w:r>
              <w:rPr>
                <w:rStyle w:val="Sautdindex"/>
                <w:vanish w:val="false"/>
              </w:rPr>
              <w:tab/>
              <w:t>115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57">
            <w:r>
              <w:rPr>
                <w:webHidden/>
                <w:rStyle w:val="Sautdindex"/>
                <w:rFonts w:cs="Times New Roman"/>
              </w:rPr>
              <w:t>3.6.3.1.</w:t>
            </w:r>
            <w:r>
              <w:rPr>
                <w:rStyle w:val="Sautdindex"/>
                <w:rFonts w:eastAsia="" w:cs="" w:cstheme="minorBidi" w:eastAsiaTheme="minorEastAsia"/>
                <w:sz w:val="22"/>
                <w:szCs w:val="22"/>
              </w:rPr>
              <w:tab/>
            </w:r>
            <w:r>
              <w:rPr>
                <w:rStyle w:val="Sautdindex"/>
              </w:rPr>
              <w:t>Normes et règlements applicables au projet</w:t>
            </w:r>
            <w:r>
              <w:rPr>
                <w:webHidden/>
              </w:rPr>
              <w:fldChar w:fldCharType="begin"/>
            </w:r>
            <w:r>
              <w:rPr>
                <w:webHidden/>
              </w:rPr>
              <w:instrText>PAGEREF _Toc32334757 \h</w:instrText>
            </w:r>
            <w:r>
              <w:rPr>
                <w:webHidden/>
              </w:rPr>
              <w:fldChar w:fldCharType="separate"/>
            </w:r>
            <w:r>
              <w:rPr>
                <w:rStyle w:val="Sautdindex"/>
                <w:vanish w:val="false"/>
              </w:rPr>
              <w:tab/>
              <w:t>115</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758">
            <w:r>
              <w:rPr>
                <w:webHidden/>
                <w:rStyle w:val="Sautdindex"/>
                <w:b/>
              </w:rPr>
              <w:t>3.7.</w:t>
            </w:r>
            <w:r>
              <w:rPr>
                <w:rStyle w:val="Sautdindex"/>
                <w:rFonts w:eastAsia="" w:cs="" w:cstheme="minorBidi" w:eastAsiaTheme="minorEastAsia"/>
                <w:caps w:val="false"/>
                <w:smallCaps w:val="false"/>
                <w:sz w:val="22"/>
                <w:szCs w:val="22"/>
              </w:rPr>
              <w:tab/>
            </w:r>
            <w:r>
              <w:rPr>
                <w:rStyle w:val="Sautdindex"/>
              </w:rPr>
              <w:t>Détection incendie</w:t>
            </w:r>
            <w:r>
              <w:rPr>
                <w:webHidden/>
              </w:rPr>
              <w:fldChar w:fldCharType="begin"/>
            </w:r>
            <w:r>
              <w:rPr>
                <w:webHidden/>
              </w:rPr>
              <w:instrText>PAGEREF _Toc32334758 \h</w:instrText>
            </w:r>
            <w:r>
              <w:rPr>
                <w:webHidden/>
              </w:rPr>
              <w:fldChar w:fldCharType="separate"/>
            </w:r>
            <w:r>
              <w:rPr>
                <w:rStyle w:val="Sautdindex"/>
                <w:vanish w:val="false"/>
              </w:rPr>
              <w:tab/>
              <w:t>121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59">
            <w:r>
              <w:rPr>
                <w:webHidden/>
                <w:rStyle w:val="Sautdindex"/>
                <w:rFonts w:cs="Times New Roman"/>
                <w14:scene3d>
                  <w14:camera w14:prst="orthographicFront"/>
                  <w14:lightRig w14:rig="threePt" w14:dir="t">
                    <w14:rot w14:lat="0" w14:lon="0" w14:rev="0"/>
                  </w14:lightRig>
                </w14:scene3d>
              </w:rPr>
              <w:t>3.7.1.</w:t>
            </w:r>
            <w:r>
              <w:rPr>
                <w:rStyle w:val="Sautdindex"/>
                <w:rFonts w:eastAsia="" w:cs="" w:cstheme="minorBidi" w:eastAsiaTheme="minorEastAsia"/>
                <w:i w:val="false"/>
                <w:iCs w:val="false"/>
                <w:sz w:val="22"/>
                <w:szCs w:val="22"/>
              </w:rPr>
              <w:tab/>
            </w:r>
            <w:r>
              <w:rPr>
                <w:rStyle w:val="Sautdindex"/>
              </w:rPr>
              <w:t>Objectifs</w:t>
            </w:r>
            <w:r>
              <w:rPr>
                <w:webHidden/>
              </w:rPr>
              <w:fldChar w:fldCharType="begin"/>
            </w:r>
            <w:r>
              <w:rPr>
                <w:webHidden/>
              </w:rPr>
              <w:instrText>PAGEREF _Toc32334759 \h</w:instrText>
            </w:r>
            <w:r>
              <w:rPr>
                <w:webHidden/>
              </w:rPr>
              <w:fldChar w:fldCharType="separate"/>
            </w:r>
            <w:r>
              <w:rPr>
                <w:rStyle w:val="Sautdindex"/>
                <w:vanish w:val="false"/>
              </w:rPr>
              <w:tab/>
              <w:t>121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60">
            <w:r>
              <w:rPr>
                <w:webHidden/>
                <w:rStyle w:val="Sautdindex"/>
                <w:rFonts w:cs="Times New Roman"/>
                <w14:scene3d>
                  <w14:camera w14:prst="orthographicFront"/>
                  <w14:lightRig w14:rig="threePt" w14:dir="t">
                    <w14:rot w14:lat="0" w14:lon="0" w14:rev="0"/>
                  </w14:lightRig>
                </w14:scene3d>
              </w:rPr>
              <w:t>3.7.2.</w:t>
            </w:r>
            <w:r>
              <w:rPr>
                <w:rStyle w:val="Sautdindex"/>
                <w:rFonts w:eastAsia="" w:cs="" w:cstheme="minorBidi" w:eastAsiaTheme="minorEastAsia"/>
                <w:i w:val="false"/>
                <w:iCs w:val="false"/>
                <w:sz w:val="22"/>
                <w:szCs w:val="22"/>
              </w:rPr>
              <w:tab/>
            </w:r>
            <w:r>
              <w:rPr>
                <w:rStyle w:val="Sautdindex"/>
              </w:rPr>
              <w:t>Objet des spécifications</w:t>
            </w:r>
            <w:r>
              <w:rPr>
                <w:webHidden/>
              </w:rPr>
              <w:fldChar w:fldCharType="begin"/>
            </w:r>
            <w:r>
              <w:rPr>
                <w:webHidden/>
              </w:rPr>
              <w:instrText>PAGEREF _Toc32334760 \h</w:instrText>
            </w:r>
            <w:r>
              <w:rPr>
                <w:webHidden/>
              </w:rPr>
              <w:fldChar w:fldCharType="separate"/>
            </w:r>
            <w:r>
              <w:rPr>
                <w:rStyle w:val="Sautdindex"/>
                <w:vanish w:val="false"/>
              </w:rPr>
              <w:tab/>
              <w:t>121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61">
            <w:r>
              <w:rPr>
                <w:webHidden/>
                <w:rStyle w:val="Sautdindex"/>
                <w:rFonts w:cs="Times New Roman"/>
                <w14:scene3d>
                  <w14:camera w14:prst="orthographicFront"/>
                  <w14:lightRig w14:rig="threePt" w14:dir="t">
                    <w14:rot w14:lat="0" w14:lon="0" w14:rev="0"/>
                  </w14:lightRig>
                </w14:scene3d>
              </w:rPr>
              <w:t>3.7.3.</w:t>
            </w:r>
            <w:r>
              <w:rPr>
                <w:rStyle w:val="Sautdindex"/>
                <w:rFonts w:eastAsia="" w:cs="" w:cstheme="minorBidi" w:eastAsiaTheme="minorEastAsia"/>
                <w:i w:val="false"/>
                <w:iCs w:val="false"/>
                <w:sz w:val="22"/>
                <w:szCs w:val="22"/>
              </w:rPr>
              <w:tab/>
            </w:r>
            <w:r>
              <w:rPr>
                <w:rStyle w:val="Sautdindex"/>
              </w:rPr>
              <w:t>Description générale des prestations</w:t>
            </w:r>
            <w:r>
              <w:rPr>
                <w:webHidden/>
              </w:rPr>
              <w:fldChar w:fldCharType="begin"/>
            </w:r>
            <w:r>
              <w:rPr>
                <w:webHidden/>
              </w:rPr>
              <w:instrText>PAGEREF _Toc32334761 \h</w:instrText>
            </w:r>
            <w:r>
              <w:rPr>
                <w:webHidden/>
              </w:rPr>
              <w:fldChar w:fldCharType="separate"/>
            </w:r>
            <w:r>
              <w:rPr>
                <w:rStyle w:val="Sautdindex"/>
                <w:vanish w:val="false"/>
              </w:rPr>
              <w:tab/>
              <w:t>121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62">
            <w:r>
              <w:rPr>
                <w:webHidden/>
                <w:rStyle w:val="Sautdindex"/>
                <w:rFonts w:cs="Times New Roman"/>
                <w14:scene3d>
                  <w14:camera w14:prst="orthographicFront"/>
                  <w14:lightRig w14:rig="threePt" w14:dir="t">
                    <w14:rot w14:lat="0" w14:lon="0" w14:rev="0"/>
                  </w14:lightRig>
                </w14:scene3d>
              </w:rPr>
              <w:t>3.7.4.</w:t>
            </w:r>
            <w:r>
              <w:rPr>
                <w:rStyle w:val="Sautdindex"/>
                <w:rFonts w:eastAsia="" w:cs="" w:cstheme="minorBidi" w:eastAsiaTheme="minorEastAsia"/>
                <w:i w:val="false"/>
                <w:iCs w:val="false"/>
                <w:sz w:val="22"/>
                <w:szCs w:val="22"/>
              </w:rPr>
              <w:tab/>
            </w:r>
            <w:r>
              <w:rPr>
                <w:rStyle w:val="Sautdindex"/>
              </w:rPr>
              <w:t>Performances générales attendues</w:t>
            </w:r>
            <w:r>
              <w:rPr>
                <w:webHidden/>
              </w:rPr>
              <w:fldChar w:fldCharType="begin"/>
            </w:r>
            <w:r>
              <w:rPr>
                <w:webHidden/>
              </w:rPr>
              <w:instrText>PAGEREF _Toc32334762 \h</w:instrText>
            </w:r>
            <w:r>
              <w:rPr>
                <w:webHidden/>
              </w:rPr>
              <w:fldChar w:fldCharType="separate"/>
            </w:r>
            <w:r>
              <w:rPr>
                <w:rStyle w:val="Sautdindex"/>
                <w:vanish w:val="false"/>
              </w:rPr>
              <w:tab/>
              <w:t>122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63">
            <w:r>
              <w:rPr>
                <w:webHidden/>
                <w:rStyle w:val="Sautdindex"/>
                <w:rFonts w:cs="Times New Roman"/>
                <w14:scene3d>
                  <w14:camera w14:prst="orthographicFront"/>
                  <w14:lightRig w14:rig="threePt" w14:dir="t">
                    <w14:rot w14:lat="0" w14:lon="0" w14:rev="0"/>
                  </w14:lightRig>
                </w14:scene3d>
              </w:rPr>
              <w:t>3.7.5.</w:t>
            </w:r>
            <w:r>
              <w:rPr>
                <w:rStyle w:val="Sautdindex"/>
                <w:rFonts w:eastAsia="" w:cs="" w:cstheme="minorBidi" w:eastAsiaTheme="minorEastAsia"/>
                <w:i w:val="false"/>
                <w:iCs w:val="false"/>
                <w:sz w:val="22"/>
                <w:szCs w:val="22"/>
              </w:rPr>
              <w:tab/>
            </w:r>
            <w:r>
              <w:rPr>
                <w:rStyle w:val="Sautdindex"/>
              </w:rPr>
              <w:t>Description des prestations</w:t>
            </w:r>
            <w:r>
              <w:rPr>
                <w:webHidden/>
              </w:rPr>
              <w:fldChar w:fldCharType="begin"/>
            </w:r>
            <w:r>
              <w:rPr>
                <w:webHidden/>
              </w:rPr>
              <w:instrText>PAGEREF _Toc32334763 \h</w:instrText>
            </w:r>
            <w:r>
              <w:rPr>
                <w:webHidden/>
              </w:rPr>
              <w:fldChar w:fldCharType="separate"/>
            </w:r>
            <w:r>
              <w:rPr>
                <w:rStyle w:val="Sautdindex"/>
                <w:vanish w:val="false"/>
              </w:rPr>
              <w:tab/>
              <w:t>122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64">
            <w:r>
              <w:rPr>
                <w:webHidden/>
                <w:rStyle w:val="Sautdindex"/>
                <w:rFonts w:cs="Times New Roman"/>
              </w:rPr>
              <w:t>3.7.5.1.</w:t>
            </w:r>
            <w:r>
              <w:rPr>
                <w:rStyle w:val="Sautdindex"/>
                <w:rFonts w:eastAsia="" w:cs="" w:cstheme="minorBidi" w:eastAsiaTheme="minorEastAsia"/>
                <w:sz w:val="22"/>
                <w:szCs w:val="22"/>
              </w:rPr>
              <w:tab/>
            </w:r>
            <w:r>
              <w:rPr>
                <w:rStyle w:val="Sautdindex"/>
              </w:rPr>
              <w:t>Centrales</w:t>
            </w:r>
            <w:r>
              <w:rPr>
                <w:webHidden/>
              </w:rPr>
              <w:fldChar w:fldCharType="begin"/>
            </w:r>
            <w:r>
              <w:rPr>
                <w:webHidden/>
              </w:rPr>
              <w:instrText>PAGEREF _Toc32334764 \h</w:instrText>
            </w:r>
            <w:r>
              <w:rPr>
                <w:webHidden/>
              </w:rPr>
              <w:fldChar w:fldCharType="separate"/>
            </w:r>
            <w:r>
              <w:rPr>
                <w:rStyle w:val="Sautdindex"/>
                <w:vanish w:val="false"/>
              </w:rPr>
              <w:tab/>
              <w:t>122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65">
            <w:r>
              <w:rPr>
                <w:webHidden/>
                <w:rStyle w:val="Sautdindex"/>
                <w:rFonts w:cs="Times New Roman"/>
              </w:rPr>
              <w:t>3.7.5.2.</w:t>
            </w:r>
            <w:r>
              <w:rPr>
                <w:rStyle w:val="Sautdindex"/>
                <w:rFonts w:eastAsia="" w:cs="" w:cstheme="minorBidi" w:eastAsiaTheme="minorEastAsia"/>
                <w:sz w:val="22"/>
                <w:szCs w:val="22"/>
              </w:rPr>
              <w:tab/>
            </w:r>
            <w:r>
              <w:rPr>
                <w:rStyle w:val="Sautdindex"/>
              </w:rPr>
              <w:t>Détecteurs adressables</w:t>
            </w:r>
            <w:r>
              <w:rPr>
                <w:webHidden/>
              </w:rPr>
              <w:fldChar w:fldCharType="begin"/>
            </w:r>
            <w:r>
              <w:rPr>
                <w:webHidden/>
              </w:rPr>
              <w:instrText>PAGEREF _Toc32334765 \h</w:instrText>
            </w:r>
            <w:r>
              <w:rPr>
                <w:webHidden/>
              </w:rPr>
              <w:fldChar w:fldCharType="separate"/>
            </w:r>
            <w:r>
              <w:rPr>
                <w:rStyle w:val="Sautdindex"/>
                <w:vanish w:val="false"/>
              </w:rPr>
              <w:tab/>
              <w:t>122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66">
            <w:r>
              <w:rPr>
                <w:webHidden/>
                <w:rStyle w:val="Sautdindex"/>
                <w:rFonts w:cs="Times New Roman"/>
              </w:rPr>
              <w:t>3.7.5.3.</w:t>
            </w:r>
            <w:r>
              <w:rPr>
                <w:rStyle w:val="Sautdindex"/>
                <w:rFonts w:eastAsia="" w:cs="" w:cstheme="minorBidi" w:eastAsiaTheme="minorEastAsia"/>
                <w:sz w:val="22"/>
                <w:szCs w:val="22"/>
              </w:rPr>
              <w:tab/>
            </w:r>
            <w:r>
              <w:rPr>
                <w:rStyle w:val="Sautdindex"/>
              </w:rPr>
              <w:t>Déclencheurs manuels</w:t>
            </w:r>
            <w:r>
              <w:rPr>
                <w:webHidden/>
              </w:rPr>
              <w:fldChar w:fldCharType="begin"/>
            </w:r>
            <w:r>
              <w:rPr>
                <w:webHidden/>
              </w:rPr>
              <w:instrText>PAGEREF _Toc32334766 \h</w:instrText>
            </w:r>
            <w:r>
              <w:rPr>
                <w:webHidden/>
              </w:rPr>
              <w:fldChar w:fldCharType="separate"/>
            </w:r>
            <w:r>
              <w:rPr>
                <w:rStyle w:val="Sautdindex"/>
                <w:vanish w:val="false"/>
              </w:rPr>
              <w:tab/>
              <w:t>123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67">
            <w:r>
              <w:rPr>
                <w:webHidden/>
                <w:rStyle w:val="Sautdindex"/>
                <w:rFonts w:cs="Times New Roman"/>
              </w:rPr>
              <w:t>3.7.5.4.</w:t>
            </w:r>
            <w:r>
              <w:rPr>
                <w:rStyle w:val="Sautdindex"/>
                <w:rFonts w:eastAsia="" w:cs="" w:cstheme="minorBidi" w:eastAsiaTheme="minorEastAsia"/>
                <w:sz w:val="22"/>
                <w:szCs w:val="22"/>
              </w:rPr>
              <w:tab/>
            </w:r>
            <w:r>
              <w:rPr>
                <w:rStyle w:val="Sautdindex"/>
              </w:rPr>
              <w:t>Sirènes</w:t>
            </w:r>
            <w:r>
              <w:rPr>
                <w:webHidden/>
              </w:rPr>
              <w:fldChar w:fldCharType="begin"/>
            </w:r>
            <w:r>
              <w:rPr>
                <w:webHidden/>
              </w:rPr>
              <w:instrText>PAGEREF _Toc32334767 \h</w:instrText>
            </w:r>
            <w:r>
              <w:rPr>
                <w:webHidden/>
              </w:rPr>
              <w:fldChar w:fldCharType="separate"/>
            </w:r>
            <w:r>
              <w:rPr>
                <w:rStyle w:val="Sautdindex"/>
                <w:vanish w:val="false"/>
              </w:rPr>
              <w:tab/>
              <w:t>123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68">
            <w:r>
              <w:rPr>
                <w:webHidden/>
                <w:rStyle w:val="Sautdindex"/>
                <w:rFonts w:cs="Times New Roman"/>
              </w:rPr>
              <w:t>3.7.5.5.</w:t>
            </w:r>
            <w:r>
              <w:rPr>
                <w:rStyle w:val="Sautdindex"/>
                <w:rFonts w:eastAsia="" w:cs="" w:cstheme="minorBidi" w:eastAsiaTheme="minorEastAsia"/>
                <w:sz w:val="22"/>
                <w:szCs w:val="22"/>
              </w:rPr>
              <w:tab/>
            </w:r>
            <w:r>
              <w:rPr>
                <w:rStyle w:val="Sautdindex"/>
              </w:rPr>
              <w:t>Asservissement des équipements de climatisation.</w:t>
            </w:r>
            <w:r>
              <w:rPr>
                <w:webHidden/>
              </w:rPr>
              <w:fldChar w:fldCharType="begin"/>
            </w:r>
            <w:r>
              <w:rPr>
                <w:webHidden/>
              </w:rPr>
              <w:instrText>PAGEREF _Toc32334768 \h</w:instrText>
            </w:r>
            <w:r>
              <w:rPr>
                <w:webHidden/>
              </w:rPr>
              <w:fldChar w:fldCharType="separate"/>
            </w:r>
            <w:r>
              <w:rPr>
                <w:rStyle w:val="Sautdindex"/>
                <w:vanish w:val="false"/>
              </w:rPr>
              <w:tab/>
              <w:t>123</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769">
            <w:r>
              <w:rPr>
                <w:webHidden/>
                <w:rStyle w:val="Sautdindex"/>
                <w:b/>
              </w:rPr>
              <w:t>3.8.</w:t>
            </w:r>
            <w:r>
              <w:rPr>
                <w:rStyle w:val="Sautdindex"/>
                <w:rFonts w:eastAsia="" w:cs="" w:cstheme="minorBidi" w:eastAsiaTheme="minorEastAsia"/>
                <w:caps w:val="false"/>
                <w:smallCaps w:val="false"/>
                <w:sz w:val="22"/>
                <w:szCs w:val="22"/>
              </w:rPr>
              <w:tab/>
            </w:r>
            <w:r>
              <w:rPr>
                <w:rStyle w:val="Sautdindex"/>
              </w:rPr>
              <w:t>Cloisonnement</w:t>
            </w:r>
            <w:r>
              <w:rPr>
                <w:webHidden/>
              </w:rPr>
              <w:fldChar w:fldCharType="begin"/>
            </w:r>
            <w:r>
              <w:rPr>
                <w:webHidden/>
              </w:rPr>
              <w:instrText>PAGEREF _Toc32334769 \h</w:instrText>
            </w:r>
            <w:r>
              <w:rPr>
                <w:webHidden/>
              </w:rPr>
              <w:fldChar w:fldCharType="separate"/>
            </w:r>
            <w:r>
              <w:rPr>
                <w:rStyle w:val="Sautdindex"/>
                <w:vanish w:val="false"/>
              </w:rPr>
              <w:tab/>
              <w:t>124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70">
            <w:r>
              <w:rPr>
                <w:webHidden/>
                <w:rStyle w:val="Sautdindex"/>
                <w:rFonts w:cs="Times New Roman"/>
                <w14:scene3d>
                  <w14:camera w14:prst="orthographicFront"/>
                  <w14:lightRig w14:rig="threePt" w14:dir="t">
                    <w14:rot w14:lat="0" w14:lon="0" w14:rev="0"/>
                  </w14:lightRig>
                </w14:scene3d>
              </w:rPr>
              <w:t>3.8.1.</w:t>
            </w:r>
            <w:r>
              <w:rPr>
                <w:rStyle w:val="Sautdindex"/>
                <w:rFonts w:eastAsia="" w:cs="" w:cstheme="minorBidi" w:eastAsiaTheme="minorEastAsia"/>
                <w:i w:val="false"/>
                <w:iCs w:val="false"/>
                <w:sz w:val="22"/>
                <w:szCs w:val="22"/>
              </w:rPr>
              <w:tab/>
            </w:r>
            <w:r>
              <w:rPr>
                <w:rStyle w:val="Sautdindex"/>
              </w:rPr>
              <w:t>Performances générales attendues</w:t>
            </w:r>
            <w:r>
              <w:rPr>
                <w:webHidden/>
              </w:rPr>
              <w:fldChar w:fldCharType="begin"/>
            </w:r>
            <w:r>
              <w:rPr>
                <w:webHidden/>
              </w:rPr>
              <w:instrText>PAGEREF _Toc32334770 \h</w:instrText>
            </w:r>
            <w:r>
              <w:rPr>
                <w:webHidden/>
              </w:rPr>
              <w:fldChar w:fldCharType="separate"/>
            </w:r>
            <w:r>
              <w:rPr>
                <w:rStyle w:val="Sautdindex"/>
                <w:vanish w:val="false"/>
              </w:rPr>
              <w:tab/>
              <w:t>124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71">
            <w:r>
              <w:rPr>
                <w:webHidden/>
                <w:rStyle w:val="Sautdindex"/>
                <w:rFonts w:cs="Times New Roman"/>
                <w14:scene3d>
                  <w14:camera w14:prst="orthographicFront"/>
                  <w14:lightRig w14:rig="threePt" w14:dir="t">
                    <w14:rot w14:lat="0" w14:lon="0" w14:rev="0"/>
                  </w14:lightRig>
                </w14:scene3d>
              </w:rPr>
              <w:t>3.8.2.</w:t>
            </w:r>
            <w:r>
              <w:rPr>
                <w:rStyle w:val="Sautdindex"/>
                <w:rFonts w:eastAsia="" w:cs="" w:cstheme="minorBidi" w:eastAsiaTheme="minorEastAsia"/>
                <w:i w:val="false"/>
                <w:iCs w:val="false"/>
                <w:sz w:val="22"/>
                <w:szCs w:val="22"/>
              </w:rPr>
              <w:tab/>
            </w:r>
            <w:r>
              <w:rPr>
                <w:rStyle w:val="Sautdindex"/>
              </w:rPr>
              <w:t>Définition</w:t>
            </w:r>
            <w:r>
              <w:rPr>
                <w:webHidden/>
              </w:rPr>
              <w:fldChar w:fldCharType="begin"/>
            </w:r>
            <w:r>
              <w:rPr>
                <w:webHidden/>
              </w:rPr>
              <w:instrText>PAGEREF _Toc32334771 \h</w:instrText>
            </w:r>
            <w:r>
              <w:rPr>
                <w:webHidden/>
              </w:rPr>
              <w:fldChar w:fldCharType="separate"/>
            </w:r>
            <w:r>
              <w:rPr>
                <w:rStyle w:val="Sautdindex"/>
                <w:vanish w:val="false"/>
              </w:rPr>
              <w:tab/>
              <w:t>124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72">
            <w:r>
              <w:rPr>
                <w:webHidden/>
                <w:rStyle w:val="Sautdindex"/>
                <w:rFonts w:cs="Times New Roman"/>
                <w14:scene3d>
                  <w14:camera w14:prst="orthographicFront"/>
                  <w14:lightRig w14:rig="threePt" w14:dir="t">
                    <w14:rot w14:lat="0" w14:lon="0" w14:rev="0"/>
                  </w14:lightRig>
                </w14:scene3d>
              </w:rPr>
              <w:t>3.8.3.</w:t>
            </w:r>
            <w:r>
              <w:rPr>
                <w:rStyle w:val="Sautdindex"/>
                <w:rFonts w:eastAsia="" w:cs="" w:cstheme="minorBidi" w:eastAsiaTheme="minorEastAsia"/>
                <w:i w:val="false"/>
                <w:iCs w:val="false"/>
                <w:sz w:val="22"/>
                <w:szCs w:val="22"/>
              </w:rPr>
              <w:tab/>
            </w:r>
            <w:r>
              <w:rPr>
                <w:rStyle w:val="Sautdindex"/>
              </w:rPr>
              <w:t>Cloisons modulaires</w:t>
            </w:r>
            <w:r>
              <w:rPr>
                <w:webHidden/>
              </w:rPr>
              <w:fldChar w:fldCharType="begin"/>
            </w:r>
            <w:r>
              <w:rPr>
                <w:webHidden/>
              </w:rPr>
              <w:instrText>PAGEREF _Toc32334772 \h</w:instrText>
            </w:r>
            <w:r>
              <w:rPr>
                <w:webHidden/>
              </w:rPr>
              <w:fldChar w:fldCharType="separate"/>
            </w:r>
            <w:r>
              <w:rPr>
                <w:rStyle w:val="Sautdindex"/>
                <w:vanish w:val="false"/>
              </w:rPr>
              <w:tab/>
              <w:t>125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73">
            <w:r>
              <w:rPr>
                <w:webHidden/>
                <w:rStyle w:val="Sautdindex"/>
                <w:rFonts w:cs="Times New Roman"/>
              </w:rPr>
              <w:t>3.8.3.1.</w:t>
            </w:r>
            <w:r>
              <w:rPr>
                <w:rStyle w:val="Sautdindex"/>
                <w:rFonts w:eastAsia="" w:cs="" w:cstheme="minorBidi" w:eastAsiaTheme="minorEastAsia"/>
                <w:sz w:val="22"/>
                <w:szCs w:val="22"/>
              </w:rPr>
              <w:tab/>
            </w:r>
            <w:r>
              <w:rPr>
                <w:rStyle w:val="Sautdindex"/>
              </w:rPr>
              <w:t>Cloisons pleines</w:t>
            </w:r>
            <w:r>
              <w:rPr>
                <w:webHidden/>
              </w:rPr>
              <w:fldChar w:fldCharType="begin"/>
            </w:r>
            <w:r>
              <w:rPr>
                <w:webHidden/>
              </w:rPr>
              <w:instrText>PAGEREF _Toc32334773 \h</w:instrText>
            </w:r>
            <w:r>
              <w:rPr>
                <w:webHidden/>
              </w:rPr>
              <w:fldChar w:fldCharType="separate"/>
            </w:r>
            <w:r>
              <w:rPr>
                <w:rStyle w:val="Sautdindex"/>
                <w:vanish w:val="false"/>
              </w:rPr>
              <w:tab/>
              <w:t>125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74">
            <w:r>
              <w:rPr>
                <w:webHidden/>
                <w:rStyle w:val="Sautdindex"/>
                <w:rFonts w:cs="Times New Roman"/>
              </w:rPr>
              <w:t>3.8.3.2.</w:t>
            </w:r>
            <w:r>
              <w:rPr>
                <w:rStyle w:val="Sautdindex"/>
                <w:rFonts w:eastAsia="" w:cs="" w:cstheme="minorBidi" w:eastAsiaTheme="minorEastAsia"/>
                <w:sz w:val="22"/>
                <w:szCs w:val="22"/>
              </w:rPr>
              <w:tab/>
            </w:r>
            <w:r>
              <w:rPr>
                <w:rStyle w:val="Sautdindex"/>
              </w:rPr>
              <w:t>Cloisons vitrées</w:t>
            </w:r>
            <w:r>
              <w:rPr>
                <w:webHidden/>
              </w:rPr>
              <w:fldChar w:fldCharType="begin"/>
            </w:r>
            <w:r>
              <w:rPr>
                <w:webHidden/>
              </w:rPr>
              <w:instrText>PAGEREF _Toc32334774 \h</w:instrText>
            </w:r>
            <w:r>
              <w:rPr>
                <w:webHidden/>
              </w:rPr>
              <w:fldChar w:fldCharType="separate"/>
            </w:r>
            <w:r>
              <w:rPr>
                <w:rStyle w:val="Sautdindex"/>
                <w:vanish w:val="false"/>
              </w:rPr>
              <w:tab/>
              <w:t>125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75">
            <w:r>
              <w:rPr>
                <w:webHidden/>
                <w:rStyle w:val="Sautdindex"/>
                <w:rFonts w:cs="Times New Roman"/>
                <w14:scene3d>
                  <w14:camera w14:prst="orthographicFront"/>
                  <w14:lightRig w14:rig="threePt" w14:dir="t">
                    <w14:rot w14:lat="0" w14:lon="0" w14:rev="0"/>
                  </w14:lightRig>
                </w14:scene3d>
              </w:rPr>
              <w:t>3.8.4.</w:t>
            </w:r>
            <w:r>
              <w:rPr>
                <w:rStyle w:val="Sautdindex"/>
                <w:rFonts w:eastAsia="" w:cs="" w:cstheme="minorBidi" w:eastAsiaTheme="minorEastAsia"/>
                <w:i w:val="false"/>
                <w:iCs w:val="false"/>
                <w:sz w:val="22"/>
                <w:szCs w:val="22"/>
              </w:rPr>
              <w:tab/>
            </w:r>
            <w:r>
              <w:rPr>
                <w:rStyle w:val="Sautdindex"/>
              </w:rPr>
              <w:t>Cloisons en carreaux de plâtre</w:t>
            </w:r>
            <w:r>
              <w:rPr>
                <w:webHidden/>
              </w:rPr>
              <w:fldChar w:fldCharType="begin"/>
            </w:r>
            <w:r>
              <w:rPr>
                <w:webHidden/>
              </w:rPr>
              <w:instrText>PAGEREF _Toc32334775 \h</w:instrText>
            </w:r>
            <w:r>
              <w:rPr>
                <w:webHidden/>
              </w:rPr>
              <w:fldChar w:fldCharType="separate"/>
            </w:r>
            <w:r>
              <w:rPr>
                <w:rStyle w:val="Sautdindex"/>
                <w:vanish w:val="false"/>
              </w:rPr>
              <w:tab/>
              <w:t>125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76">
            <w:r>
              <w:rPr>
                <w:webHidden/>
                <w:rStyle w:val="Sautdindex"/>
                <w:rFonts w:cs="Times New Roman"/>
                <w14:scene3d>
                  <w14:camera w14:prst="orthographicFront"/>
                  <w14:lightRig w14:rig="threePt" w14:dir="t">
                    <w14:rot w14:lat="0" w14:lon="0" w14:rev="0"/>
                  </w14:lightRig>
                </w14:scene3d>
              </w:rPr>
              <w:t>3.8.5.</w:t>
            </w:r>
            <w:r>
              <w:rPr>
                <w:rStyle w:val="Sautdindex"/>
                <w:rFonts w:eastAsia="" w:cs="" w:cstheme="minorBidi" w:eastAsiaTheme="minorEastAsia"/>
                <w:i w:val="false"/>
                <w:iCs w:val="false"/>
                <w:sz w:val="22"/>
                <w:szCs w:val="22"/>
              </w:rPr>
              <w:tab/>
            </w:r>
            <w:r>
              <w:rPr>
                <w:rStyle w:val="Sautdindex"/>
              </w:rPr>
              <w:t>Mise en œuvre des cloisons en plaques sèches</w:t>
            </w:r>
            <w:r>
              <w:rPr>
                <w:webHidden/>
              </w:rPr>
              <w:fldChar w:fldCharType="begin"/>
            </w:r>
            <w:r>
              <w:rPr>
                <w:webHidden/>
              </w:rPr>
              <w:instrText>PAGEREF _Toc32334776 \h</w:instrText>
            </w:r>
            <w:r>
              <w:rPr>
                <w:webHidden/>
              </w:rPr>
              <w:fldChar w:fldCharType="separate"/>
            </w:r>
            <w:r>
              <w:rPr>
                <w:rStyle w:val="Sautdindex"/>
                <w:vanish w:val="false"/>
              </w:rPr>
              <w:tab/>
              <w:t>126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77">
            <w:r>
              <w:rPr>
                <w:webHidden/>
                <w:rStyle w:val="Sautdindex"/>
                <w:rFonts w:cs="Times New Roman"/>
                <w14:scene3d>
                  <w14:camera w14:prst="orthographicFront"/>
                  <w14:lightRig w14:rig="threePt" w14:dir="t">
                    <w14:rot w14:lat="0" w14:lon="0" w14:rev="0"/>
                  </w14:lightRig>
                </w14:scene3d>
              </w:rPr>
              <w:t>3.8.6.</w:t>
            </w:r>
            <w:r>
              <w:rPr>
                <w:rStyle w:val="Sautdindex"/>
                <w:rFonts w:eastAsia="" w:cs="" w:cstheme="minorBidi" w:eastAsiaTheme="minorEastAsia"/>
                <w:i w:val="false"/>
                <w:iCs w:val="false"/>
                <w:sz w:val="22"/>
                <w:szCs w:val="22"/>
              </w:rPr>
              <w:tab/>
            </w:r>
            <w:r>
              <w:rPr>
                <w:rStyle w:val="Sautdindex"/>
              </w:rPr>
              <w:t>Mise en œuvre des cloisons en carreaux de plâtre</w:t>
            </w:r>
            <w:r>
              <w:rPr>
                <w:webHidden/>
              </w:rPr>
              <w:fldChar w:fldCharType="begin"/>
            </w:r>
            <w:r>
              <w:rPr>
                <w:webHidden/>
              </w:rPr>
              <w:instrText>PAGEREF _Toc32334777 \h</w:instrText>
            </w:r>
            <w:r>
              <w:rPr>
                <w:webHidden/>
              </w:rPr>
              <w:fldChar w:fldCharType="separate"/>
            </w:r>
            <w:r>
              <w:rPr>
                <w:rStyle w:val="Sautdindex"/>
                <w:vanish w:val="false"/>
              </w:rPr>
              <w:tab/>
              <w:t>126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78">
            <w:r>
              <w:rPr>
                <w:webHidden/>
                <w:rStyle w:val="Sautdindex"/>
                <w:rFonts w:cs="Times New Roman"/>
              </w:rPr>
              <w:t>3.8.6.1.</w:t>
            </w:r>
            <w:r>
              <w:rPr>
                <w:rStyle w:val="Sautdindex"/>
                <w:rFonts w:eastAsia="" w:cs="" w:cstheme="minorBidi" w:eastAsiaTheme="minorEastAsia"/>
                <w:sz w:val="22"/>
                <w:szCs w:val="22"/>
              </w:rPr>
              <w:tab/>
            </w:r>
            <w:r>
              <w:rPr>
                <w:rStyle w:val="Sautdindex"/>
              </w:rPr>
              <w:t>Carreaux de plâtre à parement lisse</w:t>
            </w:r>
            <w:r>
              <w:rPr>
                <w:webHidden/>
              </w:rPr>
              <w:fldChar w:fldCharType="begin"/>
            </w:r>
            <w:r>
              <w:rPr>
                <w:webHidden/>
              </w:rPr>
              <w:instrText>PAGEREF _Toc32334778 \h</w:instrText>
            </w:r>
            <w:r>
              <w:rPr>
                <w:webHidden/>
              </w:rPr>
              <w:fldChar w:fldCharType="separate"/>
            </w:r>
            <w:r>
              <w:rPr>
                <w:rStyle w:val="Sautdindex"/>
                <w:vanish w:val="false"/>
              </w:rPr>
              <w:tab/>
              <w:t>126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79">
            <w:r>
              <w:rPr>
                <w:webHidden/>
                <w:rStyle w:val="Sautdindex"/>
                <w:rFonts w:cs="Times New Roman"/>
              </w:rPr>
              <w:t>3.8.6.2.</w:t>
            </w:r>
            <w:r>
              <w:rPr>
                <w:rStyle w:val="Sautdindex"/>
                <w:rFonts w:eastAsia="" w:cs="" w:cstheme="minorBidi" w:eastAsiaTheme="minorEastAsia"/>
                <w:sz w:val="22"/>
                <w:szCs w:val="22"/>
              </w:rPr>
              <w:tab/>
            </w:r>
            <w:r>
              <w:rPr>
                <w:rStyle w:val="Sautdindex"/>
              </w:rPr>
              <w:t>Tolérance de planimétrie</w:t>
            </w:r>
            <w:r>
              <w:rPr>
                <w:webHidden/>
              </w:rPr>
              <w:fldChar w:fldCharType="begin"/>
            </w:r>
            <w:r>
              <w:rPr>
                <w:webHidden/>
              </w:rPr>
              <w:instrText>PAGEREF _Toc32334779 \h</w:instrText>
            </w:r>
            <w:r>
              <w:rPr>
                <w:webHidden/>
              </w:rPr>
              <w:fldChar w:fldCharType="separate"/>
            </w:r>
            <w:r>
              <w:rPr>
                <w:rStyle w:val="Sautdindex"/>
                <w:vanish w:val="false"/>
              </w:rPr>
              <w:tab/>
              <w:t>126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80">
            <w:r>
              <w:rPr>
                <w:webHidden/>
                <w:rStyle w:val="Sautdindex"/>
                <w:rFonts w:cs="Times New Roman"/>
              </w:rPr>
              <w:t>3.8.6.3.</w:t>
            </w:r>
            <w:r>
              <w:rPr>
                <w:rStyle w:val="Sautdindex"/>
                <w:rFonts w:eastAsia="" w:cs="" w:cstheme="minorBidi" w:eastAsiaTheme="minorEastAsia"/>
                <w:sz w:val="22"/>
                <w:szCs w:val="22"/>
              </w:rPr>
              <w:tab/>
            </w:r>
            <w:r>
              <w:rPr>
                <w:rStyle w:val="Sautdindex"/>
              </w:rPr>
              <w:t>Planitude locale</w:t>
            </w:r>
            <w:r>
              <w:rPr>
                <w:webHidden/>
              </w:rPr>
              <w:fldChar w:fldCharType="begin"/>
            </w:r>
            <w:r>
              <w:rPr>
                <w:webHidden/>
              </w:rPr>
              <w:instrText>PAGEREF _Toc32334780 \h</w:instrText>
            </w:r>
            <w:r>
              <w:rPr>
                <w:webHidden/>
              </w:rPr>
              <w:fldChar w:fldCharType="separate"/>
            </w:r>
            <w:r>
              <w:rPr>
                <w:rStyle w:val="Sautdindex"/>
                <w:vanish w:val="false"/>
              </w:rPr>
              <w:tab/>
              <w:t>126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781">
            <w:r>
              <w:rPr>
                <w:webHidden/>
                <w:rStyle w:val="Sautdindex"/>
                <w:rFonts w:cs="Times New Roman"/>
              </w:rPr>
              <w:t>3.8.6.4.</w:t>
            </w:r>
            <w:r>
              <w:rPr>
                <w:rStyle w:val="Sautdindex"/>
                <w:rFonts w:eastAsia="" w:cs="" w:cstheme="minorBidi" w:eastAsiaTheme="minorEastAsia"/>
                <w:sz w:val="22"/>
                <w:szCs w:val="22"/>
              </w:rPr>
              <w:tab/>
            </w:r>
            <w:r>
              <w:rPr>
                <w:rStyle w:val="Sautdindex"/>
              </w:rPr>
              <w:t>Mise en œuvre</w:t>
            </w:r>
            <w:r>
              <w:rPr>
                <w:webHidden/>
              </w:rPr>
              <w:fldChar w:fldCharType="begin"/>
            </w:r>
            <w:r>
              <w:rPr>
                <w:webHidden/>
              </w:rPr>
              <w:instrText>PAGEREF _Toc32334781 \h</w:instrText>
            </w:r>
            <w:r>
              <w:rPr>
                <w:webHidden/>
              </w:rPr>
              <w:fldChar w:fldCharType="separate"/>
            </w:r>
            <w:r>
              <w:rPr>
                <w:rStyle w:val="Sautdindex"/>
                <w:vanish w:val="false"/>
              </w:rPr>
              <w:tab/>
              <w:t>126</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782">
            <w:r>
              <w:rPr>
                <w:webHidden/>
                <w:rStyle w:val="Sautdindex"/>
                <w:b/>
              </w:rPr>
              <w:t>3.9.</w:t>
            </w:r>
            <w:r>
              <w:rPr>
                <w:rStyle w:val="Sautdindex"/>
                <w:rFonts w:eastAsia="" w:cs="" w:cstheme="minorBidi" w:eastAsiaTheme="minorEastAsia"/>
                <w:caps w:val="false"/>
                <w:smallCaps w:val="false"/>
                <w:sz w:val="22"/>
                <w:szCs w:val="22"/>
              </w:rPr>
              <w:tab/>
            </w:r>
            <w:r>
              <w:rPr>
                <w:rStyle w:val="Sautdindex"/>
              </w:rPr>
              <w:t>menuiseries</w:t>
            </w:r>
            <w:r>
              <w:rPr>
                <w:webHidden/>
              </w:rPr>
              <w:fldChar w:fldCharType="begin"/>
            </w:r>
            <w:r>
              <w:rPr>
                <w:webHidden/>
              </w:rPr>
              <w:instrText>PAGEREF _Toc32334782 \h</w:instrText>
            </w:r>
            <w:r>
              <w:rPr>
                <w:webHidden/>
              </w:rPr>
              <w:fldChar w:fldCharType="separate"/>
            </w:r>
            <w:r>
              <w:rPr>
                <w:rStyle w:val="Sautdindex"/>
                <w:vanish w:val="false"/>
              </w:rPr>
              <w:tab/>
              <w:t>127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83">
            <w:r>
              <w:rPr>
                <w:webHidden/>
                <w:rStyle w:val="Sautdindex"/>
                <w:rFonts w:cs="Times New Roman"/>
                <w14:scene3d>
                  <w14:camera w14:prst="orthographicFront"/>
                  <w14:lightRig w14:rig="threePt" w14:dir="t">
                    <w14:rot w14:lat="0" w14:lon="0" w14:rev="0"/>
                  </w14:lightRig>
                </w14:scene3d>
              </w:rPr>
              <w:t>3.9.1.</w:t>
            </w:r>
            <w:r>
              <w:rPr>
                <w:rStyle w:val="Sautdindex"/>
                <w:rFonts w:eastAsia="" w:cs="" w:cstheme="minorBidi" w:eastAsiaTheme="minorEastAsia"/>
                <w:i w:val="false"/>
                <w:iCs w:val="false"/>
                <w:sz w:val="22"/>
                <w:szCs w:val="22"/>
              </w:rPr>
              <w:tab/>
            </w:r>
            <w:r>
              <w:rPr>
                <w:rStyle w:val="Sautdindex"/>
              </w:rPr>
              <w:t>Performances générales attendues</w:t>
            </w:r>
            <w:r>
              <w:rPr>
                <w:webHidden/>
              </w:rPr>
              <w:fldChar w:fldCharType="begin"/>
            </w:r>
            <w:r>
              <w:rPr>
                <w:webHidden/>
              </w:rPr>
              <w:instrText>PAGEREF _Toc32334783 \h</w:instrText>
            </w:r>
            <w:r>
              <w:rPr>
                <w:webHidden/>
              </w:rPr>
              <w:fldChar w:fldCharType="separate"/>
            </w:r>
            <w:r>
              <w:rPr>
                <w:rStyle w:val="Sautdindex"/>
                <w:vanish w:val="false"/>
              </w:rPr>
              <w:tab/>
              <w:t>127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84">
            <w:r>
              <w:rPr>
                <w:webHidden/>
                <w:rStyle w:val="Sautdindex"/>
                <w:rFonts w:cs="Times New Roman"/>
                <w14:scene3d>
                  <w14:camera w14:prst="orthographicFront"/>
                  <w14:lightRig w14:rig="threePt" w14:dir="t">
                    <w14:rot w14:lat="0" w14:lon="0" w14:rev="0"/>
                  </w14:lightRig>
                </w14:scene3d>
              </w:rPr>
              <w:t>3.9.2.</w:t>
            </w:r>
            <w:r>
              <w:rPr>
                <w:rStyle w:val="Sautdindex"/>
                <w:rFonts w:eastAsia="" w:cs="" w:cstheme="minorBidi" w:eastAsiaTheme="minorEastAsia"/>
                <w:i w:val="false"/>
                <w:iCs w:val="false"/>
                <w:sz w:val="22"/>
                <w:szCs w:val="22"/>
              </w:rPr>
              <w:tab/>
            </w:r>
            <w:r>
              <w:rPr>
                <w:rStyle w:val="Sautdindex"/>
              </w:rPr>
              <w:t>Porte vitrée en aluminium (salle de crise, salle de pause)</w:t>
            </w:r>
            <w:r>
              <w:rPr>
                <w:webHidden/>
              </w:rPr>
              <w:fldChar w:fldCharType="begin"/>
            </w:r>
            <w:r>
              <w:rPr>
                <w:webHidden/>
              </w:rPr>
              <w:instrText>PAGEREF _Toc32334784 \h</w:instrText>
            </w:r>
            <w:r>
              <w:rPr>
                <w:webHidden/>
              </w:rPr>
              <w:fldChar w:fldCharType="separate"/>
            </w:r>
            <w:r>
              <w:rPr>
                <w:rStyle w:val="Sautdindex"/>
                <w:vanish w:val="false"/>
              </w:rPr>
              <w:tab/>
              <w:t>127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85">
            <w:r>
              <w:rPr>
                <w:webHidden/>
                <w:rStyle w:val="Sautdindex"/>
                <w:rFonts w:cs="Times New Roman"/>
                <w14:scene3d>
                  <w14:camera w14:prst="orthographicFront"/>
                  <w14:lightRig w14:rig="threePt" w14:dir="t">
                    <w14:rot w14:lat="0" w14:lon="0" w14:rev="0"/>
                  </w14:lightRig>
                </w14:scene3d>
              </w:rPr>
              <w:t>3.9.3.</w:t>
            </w:r>
            <w:r>
              <w:rPr>
                <w:rStyle w:val="Sautdindex"/>
                <w:rFonts w:eastAsia="" w:cs="" w:cstheme="minorBidi" w:eastAsiaTheme="minorEastAsia"/>
                <w:i w:val="false"/>
                <w:iCs w:val="false"/>
                <w:sz w:val="22"/>
                <w:szCs w:val="22"/>
              </w:rPr>
              <w:tab/>
            </w:r>
            <w:r>
              <w:rPr>
                <w:rStyle w:val="Sautdindex"/>
              </w:rPr>
              <w:t>Portes pleines battantes</w:t>
            </w:r>
            <w:r>
              <w:rPr>
                <w:webHidden/>
              </w:rPr>
              <w:fldChar w:fldCharType="begin"/>
            </w:r>
            <w:r>
              <w:rPr>
                <w:webHidden/>
              </w:rPr>
              <w:instrText>PAGEREF _Toc32334785 \h</w:instrText>
            </w:r>
            <w:r>
              <w:rPr>
                <w:webHidden/>
              </w:rPr>
              <w:fldChar w:fldCharType="separate"/>
            </w:r>
            <w:r>
              <w:rPr>
                <w:rStyle w:val="Sautdindex"/>
                <w:vanish w:val="false"/>
              </w:rPr>
              <w:tab/>
              <w:t>127</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786">
            <w:r>
              <w:rPr>
                <w:webHidden/>
                <w:rStyle w:val="Sautdindex"/>
                <w:b/>
              </w:rPr>
              <w:t>3.10.</w:t>
            </w:r>
            <w:r>
              <w:rPr>
                <w:rStyle w:val="Sautdindex"/>
                <w:rFonts w:eastAsia="" w:cs="" w:cstheme="minorBidi" w:eastAsiaTheme="minorEastAsia"/>
                <w:caps w:val="false"/>
                <w:smallCaps w:val="false"/>
                <w:sz w:val="22"/>
                <w:szCs w:val="22"/>
              </w:rPr>
              <w:tab/>
            </w:r>
            <w:r>
              <w:rPr>
                <w:rStyle w:val="Sautdindex"/>
              </w:rPr>
              <w:t>faux-planchers</w:t>
            </w:r>
            <w:r>
              <w:rPr>
                <w:webHidden/>
              </w:rPr>
              <w:fldChar w:fldCharType="begin"/>
            </w:r>
            <w:r>
              <w:rPr>
                <w:webHidden/>
              </w:rPr>
              <w:instrText>PAGEREF _Toc32334786 \h</w:instrText>
            </w:r>
            <w:r>
              <w:rPr>
                <w:webHidden/>
              </w:rPr>
              <w:fldChar w:fldCharType="separate"/>
            </w:r>
            <w:r>
              <w:rPr>
                <w:rStyle w:val="Sautdindex"/>
                <w:vanish w:val="false"/>
              </w:rPr>
              <w:tab/>
              <w:t>128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87">
            <w:r>
              <w:rPr>
                <w:webHidden/>
                <w:rStyle w:val="Sautdindex"/>
                <w:rFonts w:cs="Times New Roman"/>
                <w14:scene3d>
                  <w14:camera w14:prst="orthographicFront"/>
                  <w14:lightRig w14:rig="threePt" w14:dir="t">
                    <w14:rot w14:lat="0" w14:lon="0" w14:rev="0"/>
                  </w14:lightRig>
                </w14:scene3d>
              </w:rPr>
              <w:t>3.10.1.</w:t>
            </w:r>
            <w:r>
              <w:rPr>
                <w:rStyle w:val="Sautdindex"/>
                <w:rFonts w:eastAsia="" w:cs="" w:cstheme="minorBidi" w:eastAsiaTheme="minorEastAsia"/>
                <w:i w:val="false"/>
                <w:iCs w:val="false"/>
                <w:sz w:val="22"/>
                <w:szCs w:val="22"/>
              </w:rPr>
              <w:tab/>
            </w:r>
            <w:r>
              <w:rPr>
                <w:rStyle w:val="Sautdindex"/>
              </w:rPr>
              <w:t>Performances générales attendues</w:t>
            </w:r>
            <w:r>
              <w:rPr>
                <w:webHidden/>
              </w:rPr>
              <w:fldChar w:fldCharType="begin"/>
            </w:r>
            <w:r>
              <w:rPr>
                <w:webHidden/>
              </w:rPr>
              <w:instrText>PAGEREF _Toc32334787 \h</w:instrText>
            </w:r>
            <w:r>
              <w:rPr>
                <w:webHidden/>
              </w:rPr>
              <w:fldChar w:fldCharType="separate"/>
            </w:r>
            <w:r>
              <w:rPr>
                <w:rStyle w:val="Sautdindex"/>
                <w:vanish w:val="false"/>
              </w:rPr>
              <w:tab/>
              <w:t>128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88">
            <w:r>
              <w:rPr>
                <w:webHidden/>
                <w:rStyle w:val="Sautdindex"/>
                <w:rFonts w:cs="Times New Roman"/>
                <w14:scene3d>
                  <w14:camera w14:prst="orthographicFront"/>
                  <w14:lightRig w14:rig="threePt" w14:dir="t">
                    <w14:rot w14:lat="0" w14:lon="0" w14:rev="0"/>
                  </w14:lightRig>
                </w14:scene3d>
              </w:rPr>
              <w:t>3.10.2.</w:t>
            </w:r>
            <w:r>
              <w:rPr>
                <w:rStyle w:val="Sautdindex"/>
                <w:rFonts w:eastAsia="" w:cs="" w:cstheme="minorBidi" w:eastAsiaTheme="minorEastAsia"/>
                <w:i w:val="false"/>
                <w:iCs w:val="false"/>
                <w:sz w:val="22"/>
                <w:szCs w:val="22"/>
              </w:rPr>
              <w:tab/>
            </w:r>
            <w:r>
              <w:rPr>
                <w:rStyle w:val="Sautdindex"/>
              </w:rPr>
              <w:t>Spécifications des faux-planchers</w:t>
            </w:r>
            <w:r>
              <w:rPr>
                <w:webHidden/>
              </w:rPr>
              <w:fldChar w:fldCharType="begin"/>
            </w:r>
            <w:r>
              <w:rPr>
                <w:webHidden/>
              </w:rPr>
              <w:instrText>PAGEREF _Toc32334788 \h</w:instrText>
            </w:r>
            <w:r>
              <w:rPr>
                <w:webHidden/>
              </w:rPr>
              <w:fldChar w:fldCharType="separate"/>
            </w:r>
            <w:r>
              <w:rPr>
                <w:rStyle w:val="Sautdindex"/>
                <w:vanish w:val="false"/>
              </w:rPr>
              <w:tab/>
              <w:t>128</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789">
            <w:r>
              <w:rPr>
                <w:webHidden/>
                <w:rStyle w:val="Sautdindex"/>
                <w:b/>
              </w:rPr>
              <w:t>3.11.</w:t>
            </w:r>
            <w:r>
              <w:rPr>
                <w:rStyle w:val="Sautdindex"/>
                <w:rFonts w:eastAsia="" w:cs="" w:cstheme="minorBidi" w:eastAsiaTheme="minorEastAsia"/>
                <w:caps w:val="false"/>
                <w:smallCaps w:val="false"/>
                <w:sz w:val="22"/>
                <w:szCs w:val="22"/>
              </w:rPr>
              <w:tab/>
            </w:r>
            <w:r>
              <w:rPr>
                <w:rStyle w:val="Sautdindex"/>
              </w:rPr>
              <w:t>faux-plafonds</w:t>
            </w:r>
            <w:r>
              <w:rPr>
                <w:webHidden/>
              </w:rPr>
              <w:fldChar w:fldCharType="begin"/>
            </w:r>
            <w:r>
              <w:rPr>
                <w:webHidden/>
              </w:rPr>
              <w:instrText>PAGEREF _Toc32334789 \h</w:instrText>
            </w:r>
            <w:r>
              <w:rPr>
                <w:webHidden/>
              </w:rPr>
              <w:fldChar w:fldCharType="separate"/>
            </w:r>
            <w:r>
              <w:rPr>
                <w:rStyle w:val="Sautdindex"/>
                <w:vanish w:val="false"/>
              </w:rPr>
              <w:tab/>
              <w:t>128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90">
            <w:r>
              <w:rPr>
                <w:webHidden/>
                <w:rStyle w:val="Sautdindex"/>
                <w:rFonts w:cs="Times New Roman"/>
                <w14:scene3d>
                  <w14:camera w14:prst="orthographicFront"/>
                  <w14:lightRig w14:rig="threePt" w14:dir="t">
                    <w14:rot w14:lat="0" w14:lon="0" w14:rev="0"/>
                  </w14:lightRig>
                </w14:scene3d>
              </w:rPr>
              <w:t>3.11.1.</w:t>
            </w:r>
            <w:r>
              <w:rPr>
                <w:rStyle w:val="Sautdindex"/>
                <w:rFonts w:eastAsia="" w:cs="" w:cstheme="minorBidi" w:eastAsiaTheme="minorEastAsia"/>
                <w:i w:val="false"/>
                <w:iCs w:val="false"/>
                <w:sz w:val="22"/>
                <w:szCs w:val="22"/>
              </w:rPr>
              <w:tab/>
            </w:r>
            <w:r>
              <w:rPr>
                <w:rStyle w:val="Sautdindex"/>
              </w:rPr>
              <w:t>Règlements et normes applicables</w:t>
            </w:r>
            <w:r>
              <w:rPr>
                <w:webHidden/>
              </w:rPr>
              <w:fldChar w:fldCharType="begin"/>
            </w:r>
            <w:r>
              <w:rPr>
                <w:webHidden/>
              </w:rPr>
              <w:instrText>PAGEREF _Toc32334790 \h</w:instrText>
            </w:r>
            <w:r>
              <w:rPr>
                <w:webHidden/>
              </w:rPr>
              <w:fldChar w:fldCharType="separate"/>
            </w:r>
            <w:r>
              <w:rPr>
                <w:rStyle w:val="Sautdindex"/>
                <w:vanish w:val="false"/>
              </w:rPr>
              <w:tab/>
              <w:t>128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91">
            <w:r>
              <w:rPr>
                <w:webHidden/>
                <w:rStyle w:val="Sautdindex"/>
                <w:rFonts w:cs="Times New Roman"/>
                <w14:scene3d>
                  <w14:camera w14:prst="orthographicFront"/>
                  <w14:lightRig w14:rig="threePt" w14:dir="t">
                    <w14:rot w14:lat="0" w14:lon="0" w14:rev="0"/>
                  </w14:lightRig>
                </w14:scene3d>
              </w:rPr>
              <w:t>3.11.2.</w:t>
            </w:r>
            <w:r>
              <w:rPr>
                <w:rStyle w:val="Sautdindex"/>
                <w:rFonts w:eastAsia="" w:cs="" w:cstheme="minorBidi" w:eastAsiaTheme="minorEastAsia"/>
                <w:i w:val="false"/>
                <w:iCs w:val="false"/>
                <w:sz w:val="22"/>
                <w:szCs w:val="22"/>
              </w:rPr>
              <w:tab/>
            </w:r>
            <w:r>
              <w:rPr>
                <w:rStyle w:val="Sautdindex"/>
              </w:rPr>
              <w:t>Spécifications générales de mise en œuvre</w:t>
            </w:r>
            <w:r>
              <w:rPr>
                <w:webHidden/>
              </w:rPr>
              <w:fldChar w:fldCharType="begin"/>
            </w:r>
            <w:r>
              <w:rPr>
                <w:webHidden/>
              </w:rPr>
              <w:instrText>PAGEREF _Toc32334791 \h</w:instrText>
            </w:r>
            <w:r>
              <w:rPr>
                <w:webHidden/>
              </w:rPr>
              <w:fldChar w:fldCharType="separate"/>
            </w:r>
            <w:r>
              <w:rPr>
                <w:rStyle w:val="Sautdindex"/>
                <w:vanish w:val="false"/>
              </w:rPr>
              <w:tab/>
              <w:t>129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92">
            <w:r>
              <w:rPr>
                <w:webHidden/>
                <w:rStyle w:val="Sautdindex"/>
                <w:rFonts w:cs="Times New Roman"/>
                <w14:scene3d>
                  <w14:camera w14:prst="orthographicFront"/>
                  <w14:lightRig w14:rig="threePt" w14:dir="t">
                    <w14:rot w14:lat="0" w14:lon="0" w14:rev="0"/>
                  </w14:lightRig>
                </w14:scene3d>
              </w:rPr>
              <w:t>3.11.3.</w:t>
            </w:r>
            <w:r>
              <w:rPr>
                <w:rStyle w:val="Sautdindex"/>
                <w:rFonts w:eastAsia="" w:cs="" w:cstheme="minorBidi" w:eastAsiaTheme="minorEastAsia"/>
                <w:i w:val="false"/>
                <w:iCs w:val="false"/>
                <w:sz w:val="22"/>
                <w:szCs w:val="22"/>
              </w:rPr>
              <w:tab/>
            </w:r>
            <w:r>
              <w:rPr>
                <w:rStyle w:val="Sautdindex"/>
              </w:rPr>
              <w:t>Spécifications techniques des faux-plafonds</w:t>
            </w:r>
            <w:r>
              <w:rPr>
                <w:webHidden/>
              </w:rPr>
              <w:fldChar w:fldCharType="begin"/>
            </w:r>
            <w:r>
              <w:rPr>
                <w:webHidden/>
              </w:rPr>
              <w:instrText>PAGEREF _Toc32334792 \h</w:instrText>
            </w:r>
            <w:r>
              <w:rPr>
                <w:webHidden/>
              </w:rPr>
              <w:fldChar w:fldCharType="separate"/>
            </w:r>
            <w:r>
              <w:rPr>
                <w:rStyle w:val="Sautdindex"/>
                <w:vanish w:val="false"/>
              </w:rPr>
              <w:tab/>
              <w:t>130</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793">
            <w:r>
              <w:rPr>
                <w:webHidden/>
                <w:rStyle w:val="Sautdindex"/>
                <w:b/>
              </w:rPr>
              <w:t>3.12.</w:t>
            </w:r>
            <w:r>
              <w:rPr>
                <w:rStyle w:val="Sautdindex"/>
                <w:rFonts w:eastAsia="" w:cs="" w:cstheme="minorBidi" w:eastAsiaTheme="minorEastAsia"/>
                <w:caps w:val="false"/>
                <w:smallCaps w:val="false"/>
                <w:sz w:val="22"/>
                <w:szCs w:val="22"/>
              </w:rPr>
              <w:tab/>
            </w:r>
            <w:r>
              <w:rPr>
                <w:rStyle w:val="Sautdindex"/>
              </w:rPr>
              <w:t>revêtements</w:t>
            </w:r>
            <w:r>
              <w:rPr>
                <w:webHidden/>
              </w:rPr>
              <w:fldChar w:fldCharType="begin"/>
            </w:r>
            <w:r>
              <w:rPr>
                <w:webHidden/>
              </w:rPr>
              <w:instrText>PAGEREF _Toc32334793 \h</w:instrText>
            </w:r>
            <w:r>
              <w:rPr>
                <w:webHidden/>
              </w:rPr>
              <w:fldChar w:fldCharType="separate"/>
            </w:r>
            <w:r>
              <w:rPr>
                <w:rStyle w:val="Sautdindex"/>
                <w:vanish w:val="false"/>
              </w:rPr>
              <w:tab/>
              <w:t>130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94">
            <w:r>
              <w:rPr>
                <w:webHidden/>
                <w:rStyle w:val="Sautdindex"/>
                <w:rFonts w:cs="Times New Roman"/>
                <w14:scene3d>
                  <w14:camera w14:prst="orthographicFront"/>
                  <w14:lightRig w14:rig="threePt" w14:dir="t">
                    <w14:rot w14:lat="0" w14:lon="0" w14:rev="0"/>
                  </w14:lightRig>
                </w14:scene3d>
              </w:rPr>
              <w:t>3.12.1.</w:t>
            </w:r>
            <w:r>
              <w:rPr>
                <w:rStyle w:val="Sautdindex"/>
                <w:rFonts w:eastAsia="" w:cs="" w:cstheme="minorBidi" w:eastAsiaTheme="minorEastAsia"/>
                <w:i w:val="false"/>
                <w:iCs w:val="false"/>
                <w:sz w:val="22"/>
                <w:szCs w:val="22"/>
              </w:rPr>
              <w:tab/>
            </w:r>
            <w:r>
              <w:rPr>
                <w:rStyle w:val="Sautdindex"/>
              </w:rPr>
              <w:t>Règles générales applicables au revêtement de sol</w:t>
            </w:r>
            <w:r>
              <w:rPr>
                <w:webHidden/>
              </w:rPr>
              <w:fldChar w:fldCharType="begin"/>
            </w:r>
            <w:r>
              <w:rPr>
                <w:webHidden/>
              </w:rPr>
              <w:instrText>PAGEREF _Toc32334794 \h</w:instrText>
            </w:r>
            <w:r>
              <w:rPr>
                <w:webHidden/>
              </w:rPr>
              <w:fldChar w:fldCharType="separate"/>
            </w:r>
            <w:r>
              <w:rPr>
                <w:rStyle w:val="Sautdindex"/>
                <w:vanish w:val="false"/>
              </w:rPr>
              <w:tab/>
              <w:t>130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95">
            <w:r>
              <w:rPr>
                <w:webHidden/>
                <w:rStyle w:val="Sautdindex"/>
                <w:rFonts w:cs="Times New Roman"/>
                <w14:scene3d>
                  <w14:camera w14:prst="orthographicFront"/>
                  <w14:lightRig w14:rig="threePt" w14:dir="t">
                    <w14:rot w14:lat="0" w14:lon="0" w14:rev="0"/>
                  </w14:lightRig>
                </w14:scene3d>
              </w:rPr>
              <w:t>3.12.2.</w:t>
            </w:r>
            <w:r>
              <w:rPr>
                <w:rStyle w:val="Sautdindex"/>
                <w:rFonts w:eastAsia="" w:cs="" w:cstheme="minorBidi" w:eastAsiaTheme="minorEastAsia"/>
                <w:i w:val="false"/>
                <w:iCs w:val="false"/>
                <w:sz w:val="22"/>
                <w:szCs w:val="22"/>
              </w:rPr>
              <w:tab/>
            </w:r>
            <w:r>
              <w:rPr>
                <w:rStyle w:val="Sautdindex"/>
              </w:rPr>
              <w:t>Moquette</w:t>
            </w:r>
            <w:r>
              <w:rPr>
                <w:webHidden/>
              </w:rPr>
              <w:fldChar w:fldCharType="begin"/>
            </w:r>
            <w:r>
              <w:rPr>
                <w:webHidden/>
              </w:rPr>
              <w:instrText>PAGEREF _Toc32334795 \h</w:instrText>
            </w:r>
            <w:r>
              <w:rPr>
                <w:webHidden/>
              </w:rPr>
              <w:fldChar w:fldCharType="separate"/>
            </w:r>
            <w:r>
              <w:rPr>
                <w:rStyle w:val="Sautdindex"/>
                <w:vanish w:val="false"/>
              </w:rPr>
              <w:tab/>
              <w:t>132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96">
            <w:r>
              <w:rPr>
                <w:webHidden/>
                <w:rStyle w:val="Sautdindex"/>
                <w:rFonts w:cs="Times New Roman"/>
                <w14:scene3d>
                  <w14:camera w14:prst="orthographicFront"/>
                  <w14:lightRig w14:rig="threePt" w14:dir="t">
                    <w14:rot w14:lat="0" w14:lon="0" w14:rev="0"/>
                  </w14:lightRig>
                </w14:scene3d>
              </w:rPr>
              <w:t>3.12.3.</w:t>
            </w:r>
            <w:r>
              <w:rPr>
                <w:rStyle w:val="Sautdindex"/>
                <w:rFonts w:eastAsia="" w:cs="" w:cstheme="minorBidi" w:eastAsiaTheme="minorEastAsia"/>
                <w:i w:val="false"/>
                <w:iCs w:val="false"/>
                <w:sz w:val="22"/>
                <w:szCs w:val="22"/>
              </w:rPr>
              <w:tab/>
            </w:r>
            <w:r>
              <w:rPr>
                <w:rStyle w:val="Sautdindex"/>
              </w:rPr>
              <w:t>Linoleum</w:t>
            </w:r>
            <w:r>
              <w:rPr>
                <w:webHidden/>
              </w:rPr>
              <w:fldChar w:fldCharType="begin"/>
            </w:r>
            <w:r>
              <w:rPr>
                <w:webHidden/>
              </w:rPr>
              <w:instrText>PAGEREF _Toc32334796 \h</w:instrText>
            </w:r>
            <w:r>
              <w:rPr>
                <w:webHidden/>
              </w:rPr>
              <w:fldChar w:fldCharType="separate"/>
            </w:r>
            <w:r>
              <w:rPr>
                <w:rStyle w:val="Sautdindex"/>
                <w:vanish w:val="false"/>
              </w:rPr>
              <w:tab/>
              <w:t>132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97">
            <w:r>
              <w:rPr>
                <w:webHidden/>
                <w:rStyle w:val="Sautdindex"/>
                <w:rFonts w:cs="Times New Roman"/>
                <w14:scene3d>
                  <w14:camera w14:prst="orthographicFront"/>
                  <w14:lightRig w14:rig="threePt" w14:dir="t">
                    <w14:rot w14:lat="0" w14:lon="0" w14:rev="0"/>
                  </w14:lightRig>
                </w14:scene3d>
              </w:rPr>
              <w:t>3.12.4.</w:t>
            </w:r>
            <w:r>
              <w:rPr>
                <w:rStyle w:val="Sautdindex"/>
                <w:rFonts w:eastAsia="" w:cs="" w:cstheme="minorBidi" w:eastAsiaTheme="minorEastAsia"/>
                <w:i w:val="false"/>
                <w:iCs w:val="false"/>
                <w:sz w:val="22"/>
                <w:szCs w:val="22"/>
              </w:rPr>
              <w:tab/>
            </w:r>
            <w:r>
              <w:rPr>
                <w:rStyle w:val="Sautdindex"/>
              </w:rPr>
              <w:t>Dalle plombante PVC</w:t>
            </w:r>
            <w:r>
              <w:rPr>
                <w:webHidden/>
              </w:rPr>
              <w:fldChar w:fldCharType="begin"/>
            </w:r>
            <w:r>
              <w:rPr>
                <w:webHidden/>
              </w:rPr>
              <w:instrText>PAGEREF _Toc32334797 \h</w:instrText>
            </w:r>
            <w:r>
              <w:rPr>
                <w:webHidden/>
              </w:rPr>
              <w:fldChar w:fldCharType="separate"/>
            </w:r>
            <w:r>
              <w:rPr>
                <w:rStyle w:val="Sautdindex"/>
                <w:vanish w:val="false"/>
              </w:rPr>
              <w:tab/>
              <w:t>133</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798">
            <w:r>
              <w:rPr>
                <w:webHidden/>
                <w:rStyle w:val="Sautdindex"/>
                <w:b/>
              </w:rPr>
              <w:t>3.13.</w:t>
            </w:r>
            <w:r>
              <w:rPr>
                <w:rStyle w:val="Sautdindex"/>
                <w:rFonts w:eastAsia="" w:cs="" w:cstheme="minorBidi" w:eastAsiaTheme="minorEastAsia"/>
                <w:caps w:val="false"/>
                <w:smallCaps w:val="false"/>
                <w:sz w:val="22"/>
                <w:szCs w:val="22"/>
              </w:rPr>
              <w:tab/>
            </w:r>
            <w:r>
              <w:rPr>
                <w:rStyle w:val="Sautdindex"/>
              </w:rPr>
              <w:t>plomberie/sanitaire</w:t>
            </w:r>
            <w:r>
              <w:rPr>
                <w:webHidden/>
              </w:rPr>
              <w:fldChar w:fldCharType="begin"/>
            </w:r>
            <w:r>
              <w:rPr>
                <w:webHidden/>
              </w:rPr>
              <w:instrText>PAGEREF _Toc32334798 \h</w:instrText>
            </w:r>
            <w:r>
              <w:rPr>
                <w:webHidden/>
              </w:rPr>
              <w:fldChar w:fldCharType="separate"/>
            </w:r>
            <w:r>
              <w:rPr>
                <w:rStyle w:val="Sautdindex"/>
                <w:vanish w:val="false"/>
              </w:rPr>
              <w:tab/>
              <w:t>133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799">
            <w:r>
              <w:rPr>
                <w:webHidden/>
                <w:rStyle w:val="Sautdindex"/>
                <w:rFonts w:cs="Times New Roman"/>
                <w14:scene3d>
                  <w14:camera w14:prst="orthographicFront"/>
                  <w14:lightRig w14:rig="threePt" w14:dir="t">
                    <w14:rot w14:lat="0" w14:lon="0" w14:rev="0"/>
                  </w14:lightRig>
                </w14:scene3d>
              </w:rPr>
              <w:t>3.13.1.</w:t>
            </w:r>
            <w:r>
              <w:rPr>
                <w:rStyle w:val="Sautdindex"/>
                <w:rFonts w:eastAsia="" w:cs="" w:cstheme="minorBidi" w:eastAsiaTheme="minorEastAsia"/>
                <w:i w:val="false"/>
                <w:iCs w:val="false"/>
                <w:sz w:val="22"/>
                <w:szCs w:val="22"/>
              </w:rPr>
              <w:tab/>
            </w:r>
            <w:r>
              <w:rPr>
                <w:rStyle w:val="Sautdindex"/>
              </w:rPr>
              <w:t>Règlements et normes applicables</w:t>
            </w:r>
            <w:r>
              <w:rPr>
                <w:webHidden/>
              </w:rPr>
              <w:fldChar w:fldCharType="begin"/>
            </w:r>
            <w:r>
              <w:rPr>
                <w:webHidden/>
              </w:rPr>
              <w:instrText>PAGEREF _Toc32334799 \h</w:instrText>
            </w:r>
            <w:r>
              <w:rPr>
                <w:webHidden/>
              </w:rPr>
              <w:fldChar w:fldCharType="separate"/>
            </w:r>
            <w:r>
              <w:rPr>
                <w:rStyle w:val="Sautdindex"/>
                <w:vanish w:val="false"/>
              </w:rPr>
              <w:tab/>
              <w:t>133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00">
            <w:r>
              <w:rPr>
                <w:webHidden/>
                <w:rStyle w:val="Sautdindex"/>
                <w:rFonts w:cs="Times New Roman"/>
                <w14:scene3d>
                  <w14:camera w14:prst="orthographicFront"/>
                  <w14:lightRig w14:rig="threePt" w14:dir="t">
                    <w14:rot w14:lat="0" w14:lon="0" w14:rev="0"/>
                  </w14:lightRig>
                </w14:scene3d>
              </w:rPr>
              <w:t>3.13.2.</w:t>
            </w:r>
            <w:r>
              <w:rPr>
                <w:rStyle w:val="Sautdindex"/>
                <w:rFonts w:eastAsia="" w:cs="" w:cstheme="minorBidi" w:eastAsiaTheme="minorEastAsia"/>
                <w:i w:val="false"/>
                <w:iCs w:val="false"/>
                <w:sz w:val="22"/>
                <w:szCs w:val="22"/>
              </w:rPr>
              <w:tab/>
            </w:r>
            <w:r>
              <w:rPr>
                <w:rStyle w:val="Sautdindex"/>
              </w:rPr>
              <w:t>Spécifications techniques des équipements</w:t>
            </w:r>
            <w:r>
              <w:rPr>
                <w:webHidden/>
              </w:rPr>
              <w:fldChar w:fldCharType="begin"/>
            </w:r>
            <w:r>
              <w:rPr>
                <w:webHidden/>
              </w:rPr>
              <w:instrText>PAGEREF _Toc32334800 \h</w:instrText>
            </w:r>
            <w:r>
              <w:rPr>
                <w:webHidden/>
              </w:rPr>
              <w:fldChar w:fldCharType="separate"/>
            </w:r>
            <w:r>
              <w:rPr>
                <w:rStyle w:val="Sautdindex"/>
                <w:vanish w:val="false"/>
              </w:rPr>
              <w:tab/>
              <w:t>134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01">
            <w:r>
              <w:rPr>
                <w:webHidden/>
                <w:rStyle w:val="Sautdindex"/>
                <w:rFonts w:cs="Times New Roman"/>
                <w14:scene3d>
                  <w14:camera w14:prst="orthographicFront"/>
                  <w14:lightRig w14:rig="threePt" w14:dir="t">
                    <w14:rot w14:lat="0" w14:lon="0" w14:rev="0"/>
                  </w14:lightRig>
                </w14:scene3d>
              </w:rPr>
              <w:t>3.13.3.</w:t>
            </w:r>
            <w:r>
              <w:rPr>
                <w:rStyle w:val="Sautdindex"/>
                <w:rFonts w:eastAsia="" w:cs="" w:cstheme="minorBidi" w:eastAsiaTheme="minorEastAsia"/>
                <w:i w:val="false"/>
                <w:iCs w:val="false"/>
                <w:sz w:val="22"/>
                <w:szCs w:val="22"/>
              </w:rPr>
              <w:tab/>
            </w:r>
            <w:r>
              <w:rPr>
                <w:rStyle w:val="Sautdindex"/>
              </w:rPr>
              <w:t>Mise en œuvre</w:t>
            </w:r>
            <w:r>
              <w:rPr>
                <w:webHidden/>
              </w:rPr>
              <w:fldChar w:fldCharType="begin"/>
            </w:r>
            <w:r>
              <w:rPr>
                <w:webHidden/>
              </w:rPr>
              <w:instrText>PAGEREF _Toc32334801 \h</w:instrText>
            </w:r>
            <w:r>
              <w:rPr>
                <w:webHidden/>
              </w:rPr>
              <w:fldChar w:fldCharType="separate"/>
            </w:r>
            <w:r>
              <w:rPr>
                <w:rStyle w:val="Sautdindex"/>
                <w:vanish w:val="false"/>
              </w:rPr>
              <w:tab/>
              <w:t>134</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802">
            <w:r>
              <w:rPr>
                <w:webHidden/>
                <w:rStyle w:val="Sautdindex"/>
                <w:b/>
              </w:rPr>
              <w:t>3.14.</w:t>
            </w:r>
            <w:r>
              <w:rPr>
                <w:rStyle w:val="Sautdindex"/>
                <w:rFonts w:eastAsia="" w:cs="" w:cstheme="minorBidi" w:eastAsiaTheme="minorEastAsia"/>
                <w:caps w:val="false"/>
                <w:smallCaps w:val="false"/>
                <w:sz w:val="22"/>
                <w:szCs w:val="22"/>
              </w:rPr>
              <w:tab/>
            </w:r>
            <w:r>
              <w:rPr>
                <w:rStyle w:val="Sautdindex"/>
              </w:rPr>
              <w:t>Peintures</w:t>
            </w:r>
            <w:r>
              <w:rPr>
                <w:webHidden/>
              </w:rPr>
              <w:fldChar w:fldCharType="begin"/>
            </w:r>
            <w:r>
              <w:rPr>
                <w:webHidden/>
              </w:rPr>
              <w:instrText>PAGEREF _Toc32334802 \h</w:instrText>
            </w:r>
            <w:r>
              <w:rPr>
                <w:webHidden/>
              </w:rPr>
              <w:fldChar w:fldCharType="separate"/>
            </w:r>
            <w:r>
              <w:rPr>
                <w:rStyle w:val="Sautdindex"/>
                <w:vanish w:val="false"/>
              </w:rPr>
              <w:tab/>
              <w:t>135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03">
            <w:r>
              <w:rPr>
                <w:webHidden/>
                <w:rStyle w:val="Sautdindex"/>
                <w:rFonts w:cs="Times New Roman"/>
                <w14:scene3d>
                  <w14:camera w14:prst="orthographicFront"/>
                  <w14:lightRig w14:rig="threePt" w14:dir="t">
                    <w14:rot w14:lat="0" w14:lon="0" w14:rev="0"/>
                  </w14:lightRig>
                </w14:scene3d>
              </w:rPr>
              <w:t>3.14.1.</w:t>
            </w:r>
            <w:r>
              <w:rPr>
                <w:rStyle w:val="Sautdindex"/>
                <w:rFonts w:eastAsia="" w:cs="" w:cstheme="minorBidi" w:eastAsiaTheme="minorEastAsia"/>
                <w:i w:val="false"/>
                <w:iCs w:val="false"/>
                <w:sz w:val="22"/>
                <w:szCs w:val="22"/>
              </w:rPr>
              <w:tab/>
            </w:r>
            <w:r>
              <w:rPr>
                <w:rStyle w:val="Sautdindex"/>
              </w:rPr>
              <w:t>Règlements et normes applicables</w:t>
            </w:r>
            <w:r>
              <w:rPr>
                <w:webHidden/>
              </w:rPr>
              <w:fldChar w:fldCharType="begin"/>
            </w:r>
            <w:r>
              <w:rPr>
                <w:webHidden/>
              </w:rPr>
              <w:instrText>PAGEREF _Toc32334803 \h</w:instrText>
            </w:r>
            <w:r>
              <w:rPr>
                <w:webHidden/>
              </w:rPr>
              <w:fldChar w:fldCharType="separate"/>
            </w:r>
            <w:r>
              <w:rPr>
                <w:rStyle w:val="Sautdindex"/>
                <w:vanish w:val="false"/>
              </w:rPr>
              <w:tab/>
              <w:t>135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04">
            <w:r>
              <w:rPr>
                <w:webHidden/>
                <w:rStyle w:val="Sautdindex"/>
                <w:rFonts w:cs="Times New Roman"/>
                <w14:scene3d>
                  <w14:camera w14:prst="orthographicFront"/>
                  <w14:lightRig w14:rig="threePt" w14:dir="t">
                    <w14:rot w14:lat="0" w14:lon="0" w14:rev="0"/>
                  </w14:lightRig>
                </w14:scene3d>
              </w:rPr>
              <w:t>3.14.2.</w:t>
            </w:r>
            <w:r>
              <w:rPr>
                <w:rStyle w:val="Sautdindex"/>
                <w:rFonts w:eastAsia="" w:cs="" w:cstheme="minorBidi" w:eastAsiaTheme="minorEastAsia"/>
                <w:i w:val="false"/>
                <w:iCs w:val="false"/>
                <w:sz w:val="22"/>
                <w:szCs w:val="22"/>
              </w:rPr>
              <w:tab/>
            </w:r>
            <w:r>
              <w:rPr>
                <w:rStyle w:val="Sautdindex"/>
              </w:rPr>
              <w:t>Peinture intérieure satinée dans pièces humides</w:t>
            </w:r>
            <w:r>
              <w:rPr>
                <w:webHidden/>
              </w:rPr>
              <w:fldChar w:fldCharType="begin"/>
            </w:r>
            <w:r>
              <w:rPr>
                <w:webHidden/>
              </w:rPr>
              <w:instrText>PAGEREF _Toc32334804 \h</w:instrText>
            </w:r>
            <w:r>
              <w:rPr>
                <w:webHidden/>
              </w:rPr>
              <w:fldChar w:fldCharType="separate"/>
            </w:r>
            <w:r>
              <w:rPr>
                <w:rStyle w:val="Sautdindex"/>
                <w:vanish w:val="false"/>
              </w:rPr>
              <w:tab/>
              <w:t>136</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805">
            <w:r>
              <w:rPr>
                <w:webHidden/>
                <w:rStyle w:val="Sautdindex"/>
                <w:b/>
              </w:rPr>
              <w:t>3.15.</w:t>
            </w:r>
            <w:r>
              <w:rPr>
                <w:rStyle w:val="Sautdindex"/>
                <w:rFonts w:eastAsia="" w:cs="" w:cstheme="minorBidi" w:eastAsiaTheme="minorEastAsia"/>
                <w:caps w:val="false"/>
                <w:smallCaps w:val="false"/>
                <w:sz w:val="22"/>
                <w:szCs w:val="22"/>
              </w:rPr>
              <w:tab/>
            </w:r>
            <w:r>
              <w:rPr>
                <w:rStyle w:val="Sautdindex"/>
              </w:rPr>
              <w:t>Protections acoustiques</w:t>
            </w:r>
            <w:r>
              <w:rPr>
                <w:webHidden/>
              </w:rPr>
              <w:fldChar w:fldCharType="begin"/>
            </w:r>
            <w:r>
              <w:rPr>
                <w:webHidden/>
              </w:rPr>
              <w:instrText>PAGEREF _Toc32334805 \h</w:instrText>
            </w:r>
            <w:r>
              <w:rPr>
                <w:webHidden/>
              </w:rPr>
              <w:fldChar w:fldCharType="separate"/>
            </w:r>
            <w:r>
              <w:rPr>
                <w:rStyle w:val="Sautdindex"/>
                <w:vanish w:val="false"/>
              </w:rPr>
              <w:tab/>
              <w:t>136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06">
            <w:r>
              <w:rPr>
                <w:webHidden/>
                <w:rStyle w:val="Sautdindex"/>
                <w:rFonts w:cs="Times New Roman"/>
                <w14:scene3d>
                  <w14:camera w14:prst="orthographicFront"/>
                  <w14:lightRig w14:rig="threePt" w14:dir="t">
                    <w14:rot w14:lat="0" w14:lon="0" w14:rev="0"/>
                  </w14:lightRig>
                </w14:scene3d>
              </w:rPr>
              <w:t>3.15.1.</w:t>
            </w:r>
            <w:r>
              <w:rPr>
                <w:rStyle w:val="Sautdindex"/>
                <w:rFonts w:eastAsia="" w:cs="" w:cstheme="minorBidi" w:eastAsiaTheme="minorEastAsia"/>
                <w:i w:val="false"/>
                <w:iCs w:val="false"/>
                <w:sz w:val="22"/>
                <w:szCs w:val="22"/>
              </w:rPr>
              <w:tab/>
            </w:r>
            <w:r>
              <w:rPr>
                <w:rStyle w:val="Sautdindex"/>
              </w:rPr>
              <w:t>Règlements et normes applicables</w:t>
            </w:r>
            <w:r>
              <w:rPr>
                <w:webHidden/>
              </w:rPr>
              <w:fldChar w:fldCharType="begin"/>
            </w:r>
            <w:r>
              <w:rPr>
                <w:webHidden/>
              </w:rPr>
              <w:instrText>PAGEREF _Toc32334806 \h</w:instrText>
            </w:r>
            <w:r>
              <w:rPr>
                <w:webHidden/>
              </w:rPr>
              <w:fldChar w:fldCharType="separate"/>
            </w:r>
            <w:r>
              <w:rPr>
                <w:rStyle w:val="Sautdindex"/>
                <w:vanish w:val="false"/>
              </w:rPr>
              <w:tab/>
              <w:t>136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07">
            <w:r>
              <w:rPr>
                <w:webHidden/>
                <w:rStyle w:val="Sautdindex"/>
                <w:rFonts w:cs="Times New Roman"/>
                <w14:scene3d>
                  <w14:camera w14:prst="orthographicFront"/>
                  <w14:lightRig w14:rig="threePt" w14:dir="t">
                    <w14:rot w14:lat="0" w14:lon="0" w14:rev="0"/>
                  </w14:lightRig>
                </w14:scene3d>
              </w:rPr>
              <w:t>3.15.2.</w:t>
            </w:r>
            <w:r>
              <w:rPr>
                <w:rStyle w:val="Sautdindex"/>
                <w:rFonts w:eastAsia="" w:cs="" w:cstheme="minorBidi" w:eastAsiaTheme="minorEastAsia"/>
                <w:i w:val="false"/>
                <w:iCs w:val="false"/>
                <w:sz w:val="22"/>
                <w:szCs w:val="22"/>
              </w:rPr>
              <w:tab/>
            </w:r>
            <w:r>
              <w:rPr>
                <w:rStyle w:val="Sautdindex"/>
              </w:rPr>
              <w:t>Isolation acoustique aux bruits aériens</w:t>
            </w:r>
            <w:r>
              <w:rPr>
                <w:webHidden/>
              </w:rPr>
              <w:fldChar w:fldCharType="begin"/>
            </w:r>
            <w:r>
              <w:rPr>
                <w:webHidden/>
              </w:rPr>
              <w:instrText>PAGEREF _Toc32334807 \h</w:instrText>
            </w:r>
            <w:r>
              <w:rPr>
                <w:webHidden/>
              </w:rPr>
              <w:fldChar w:fldCharType="separate"/>
            </w:r>
            <w:r>
              <w:rPr>
                <w:rStyle w:val="Sautdindex"/>
                <w:vanish w:val="false"/>
              </w:rPr>
              <w:tab/>
              <w:t>136</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808">
            <w:r>
              <w:rPr>
                <w:webHidden/>
                <w:rStyle w:val="Sautdindex"/>
                <w:rFonts w:cs="Times New Roman"/>
              </w:rPr>
              <w:t>3.15.2.1.</w:t>
            </w:r>
            <w:r>
              <w:rPr>
                <w:rStyle w:val="Sautdindex"/>
                <w:rFonts w:eastAsia="" w:cs="" w:cstheme="minorBidi" w:eastAsiaTheme="minorEastAsia"/>
                <w:sz w:val="22"/>
                <w:szCs w:val="22"/>
              </w:rPr>
              <w:tab/>
            </w:r>
            <w:r>
              <w:rPr>
                <w:rStyle w:val="Sautdindex"/>
              </w:rPr>
              <w:t>Définition des critères acoustiques</w:t>
            </w:r>
            <w:r>
              <w:rPr>
                <w:webHidden/>
              </w:rPr>
              <w:fldChar w:fldCharType="begin"/>
            </w:r>
            <w:r>
              <w:rPr>
                <w:webHidden/>
              </w:rPr>
              <w:instrText>PAGEREF _Toc32334808 \h</w:instrText>
            </w:r>
            <w:r>
              <w:rPr>
                <w:webHidden/>
              </w:rPr>
              <w:fldChar w:fldCharType="separate"/>
            </w:r>
            <w:r>
              <w:rPr>
                <w:rStyle w:val="Sautdindex"/>
                <w:vanish w:val="false"/>
              </w:rPr>
              <w:tab/>
              <w:t>136</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809">
            <w:r>
              <w:rPr>
                <w:webHidden/>
                <w:rStyle w:val="Sautdindex"/>
                <w:rFonts w:cs="Times New Roman"/>
              </w:rPr>
              <w:t>3.15.2.2.</w:t>
            </w:r>
            <w:r>
              <w:rPr>
                <w:rStyle w:val="Sautdindex"/>
                <w:rFonts w:eastAsia="" w:cs="" w:cstheme="minorBidi" w:eastAsiaTheme="minorEastAsia"/>
                <w:sz w:val="22"/>
                <w:szCs w:val="22"/>
              </w:rPr>
              <w:tab/>
            </w:r>
            <w:r>
              <w:rPr>
                <w:rStyle w:val="Sautdindex"/>
              </w:rPr>
              <w:t>Exigences acoustiques</w:t>
            </w:r>
            <w:r>
              <w:rPr>
                <w:webHidden/>
              </w:rPr>
              <w:fldChar w:fldCharType="begin"/>
            </w:r>
            <w:r>
              <w:rPr>
                <w:webHidden/>
              </w:rPr>
              <w:instrText>PAGEREF _Toc32334809 \h</w:instrText>
            </w:r>
            <w:r>
              <w:rPr>
                <w:webHidden/>
              </w:rPr>
              <w:fldChar w:fldCharType="separate"/>
            </w:r>
            <w:r>
              <w:rPr>
                <w:rStyle w:val="Sautdindex"/>
                <w:vanish w:val="false"/>
              </w:rPr>
              <w:tab/>
              <w:t>136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10">
            <w:r>
              <w:rPr>
                <w:webHidden/>
                <w:rStyle w:val="Sautdindex"/>
                <w:rFonts w:cs="Times New Roman"/>
                <w14:scene3d>
                  <w14:camera w14:prst="orthographicFront"/>
                  <w14:lightRig w14:rig="threePt" w14:dir="t">
                    <w14:rot w14:lat="0" w14:lon="0" w14:rev="0"/>
                  </w14:lightRig>
                </w14:scene3d>
              </w:rPr>
              <w:t>3.15.3.</w:t>
            </w:r>
            <w:r>
              <w:rPr>
                <w:rStyle w:val="Sautdindex"/>
                <w:rFonts w:eastAsia="" w:cs="" w:cstheme="minorBidi" w:eastAsiaTheme="minorEastAsia"/>
                <w:i w:val="false"/>
                <w:iCs w:val="false"/>
                <w:sz w:val="22"/>
                <w:szCs w:val="22"/>
              </w:rPr>
              <w:tab/>
            </w:r>
            <w:r>
              <w:rPr>
                <w:rStyle w:val="Sautdindex"/>
              </w:rPr>
              <w:t>Caractéristiques des panneaux de correction acoustique</w:t>
            </w:r>
            <w:r>
              <w:rPr>
                <w:webHidden/>
              </w:rPr>
              <w:fldChar w:fldCharType="begin"/>
            </w:r>
            <w:r>
              <w:rPr>
                <w:webHidden/>
              </w:rPr>
              <w:instrText>PAGEREF _Toc32334810 \h</w:instrText>
            </w:r>
            <w:r>
              <w:rPr>
                <w:webHidden/>
              </w:rPr>
              <w:fldChar w:fldCharType="separate"/>
            </w:r>
            <w:r>
              <w:rPr>
                <w:rStyle w:val="Sautdindex"/>
                <w:vanish w:val="false"/>
              </w:rPr>
              <w:tab/>
              <w:t>137</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811">
            <w:r>
              <w:rPr>
                <w:webHidden/>
                <w:rStyle w:val="Sautdindex"/>
                <w:b/>
              </w:rPr>
              <w:t>3.16.</w:t>
            </w:r>
            <w:r>
              <w:rPr>
                <w:rStyle w:val="Sautdindex"/>
                <w:rFonts w:eastAsia="" w:cs="" w:cstheme="minorBidi" w:eastAsiaTheme="minorEastAsia"/>
                <w:caps w:val="false"/>
                <w:smallCaps w:val="false"/>
                <w:sz w:val="22"/>
                <w:szCs w:val="22"/>
              </w:rPr>
              <w:tab/>
            </w:r>
            <w:r>
              <w:rPr>
                <w:rStyle w:val="Sautdindex"/>
              </w:rPr>
              <w:t>équipements d’éclairage</w:t>
            </w:r>
            <w:r>
              <w:rPr>
                <w:webHidden/>
              </w:rPr>
              <w:fldChar w:fldCharType="begin"/>
            </w:r>
            <w:r>
              <w:rPr>
                <w:webHidden/>
              </w:rPr>
              <w:instrText>PAGEREF _Toc32334811 \h</w:instrText>
            </w:r>
            <w:r>
              <w:rPr>
                <w:webHidden/>
              </w:rPr>
              <w:fldChar w:fldCharType="separate"/>
            </w:r>
            <w:r>
              <w:rPr>
                <w:rStyle w:val="Sautdindex"/>
                <w:vanish w:val="false"/>
              </w:rPr>
              <w:tab/>
              <w:t>137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12">
            <w:r>
              <w:rPr>
                <w:webHidden/>
                <w:rStyle w:val="Sautdindex"/>
                <w:rFonts w:cs="Times New Roman"/>
                <w14:scene3d>
                  <w14:camera w14:prst="orthographicFront"/>
                  <w14:lightRig w14:rig="threePt" w14:dir="t">
                    <w14:rot w14:lat="0" w14:lon="0" w14:rev="0"/>
                  </w14:lightRig>
                </w14:scene3d>
              </w:rPr>
              <w:t>3.16.1.</w:t>
            </w:r>
            <w:r>
              <w:rPr>
                <w:rStyle w:val="Sautdindex"/>
                <w:rFonts w:eastAsia="" w:cs="" w:cstheme="minorBidi" w:eastAsiaTheme="minorEastAsia"/>
                <w:i w:val="false"/>
                <w:iCs w:val="false"/>
                <w:sz w:val="22"/>
                <w:szCs w:val="22"/>
              </w:rPr>
              <w:tab/>
            </w:r>
            <w:r>
              <w:rPr>
                <w:rStyle w:val="Sautdindex"/>
              </w:rPr>
              <w:t>Règlements et normes applicables</w:t>
            </w:r>
            <w:r>
              <w:rPr>
                <w:webHidden/>
              </w:rPr>
              <w:fldChar w:fldCharType="begin"/>
            </w:r>
            <w:r>
              <w:rPr>
                <w:webHidden/>
              </w:rPr>
              <w:instrText>PAGEREF _Toc32334812 \h</w:instrText>
            </w:r>
            <w:r>
              <w:rPr>
                <w:webHidden/>
              </w:rPr>
              <w:fldChar w:fldCharType="separate"/>
            </w:r>
            <w:r>
              <w:rPr>
                <w:rStyle w:val="Sautdindex"/>
                <w:vanish w:val="false"/>
              </w:rPr>
              <w:tab/>
              <w:t>137</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813">
            <w:r>
              <w:rPr>
                <w:webHidden/>
                <w:rStyle w:val="Sautdindex"/>
                <w:rFonts w:cs="Times New Roman"/>
              </w:rPr>
              <w:t>3.16.1.1.</w:t>
            </w:r>
            <w:r>
              <w:rPr>
                <w:rStyle w:val="Sautdindex"/>
                <w:rFonts w:eastAsia="" w:cs="" w:cstheme="minorBidi" w:eastAsiaTheme="minorEastAsia"/>
                <w:sz w:val="22"/>
                <w:szCs w:val="22"/>
              </w:rPr>
              <w:tab/>
            </w:r>
            <w:r>
              <w:rPr>
                <w:rStyle w:val="Sautdindex"/>
              </w:rPr>
              <w:t>Luminosité</w:t>
            </w:r>
            <w:r>
              <w:rPr>
                <w:webHidden/>
              </w:rPr>
              <w:fldChar w:fldCharType="begin"/>
            </w:r>
            <w:r>
              <w:rPr>
                <w:webHidden/>
              </w:rPr>
              <w:instrText>PAGEREF _Toc32334813 \h</w:instrText>
            </w:r>
            <w:r>
              <w:rPr>
                <w:webHidden/>
              </w:rPr>
              <w:fldChar w:fldCharType="separate"/>
            </w:r>
            <w:r>
              <w:rPr>
                <w:rStyle w:val="Sautdindex"/>
                <w:vanish w:val="false"/>
              </w:rPr>
              <w:tab/>
              <w:t>137</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814">
            <w:r>
              <w:rPr>
                <w:webHidden/>
                <w:rStyle w:val="Sautdindex"/>
                <w:rFonts w:cs="Times New Roman"/>
              </w:rPr>
              <w:t>3.16.1.2.</w:t>
            </w:r>
            <w:r>
              <w:rPr>
                <w:rStyle w:val="Sautdindex"/>
                <w:rFonts w:eastAsia="" w:cs="" w:cstheme="minorBidi" w:eastAsiaTheme="minorEastAsia"/>
                <w:sz w:val="22"/>
                <w:szCs w:val="22"/>
              </w:rPr>
              <w:tab/>
            </w:r>
            <w:r>
              <w:rPr>
                <w:rStyle w:val="Sautdindex"/>
              </w:rPr>
              <w:t>Eclairage naturel</w:t>
            </w:r>
            <w:r>
              <w:rPr>
                <w:webHidden/>
              </w:rPr>
              <w:fldChar w:fldCharType="begin"/>
            </w:r>
            <w:r>
              <w:rPr>
                <w:webHidden/>
              </w:rPr>
              <w:instrText>PAGEREF _Toc32334814 \h</w:instrText>
            </w:r>
            <w:r>
              <w:rPr>
                <w:webHidden/>
              </w:rPr>
              <w:fldChar w:fldCharType="separate"/>
            </w:r>
            <w:r>
              <w:rPr>
                <w:rStyle w:val="Sautdindex"/>
                <w:vanish w:val="false"/>
              </w:rPr>
              <w:tab/>
              <w:t>137</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815">
            <w:r>
              <w:rPr>
                <w:webHidden/>
                <w:rStyle w:val="Sautdindex"/>
                <w:rFonts w:cs="Times New Roman"/>
              </w:rPr>
              <w:t>3.16.1.3.</w:t>
            </w:r>
            <w:r>
              <w:rPr>
                <w:rStyle w:val="Sautdindex"/>
                <w:rFonts w:eastAsia="" w:cs="" w:cstheme="minorBidi" w:eastAsiaTheme="minorEastAsia"/>
                <w:sz w:val="22"/>
                <w:szCs w:val="22"/>
              </w:rPr>
              <w:tab/>
            </w:r>
            <w:r>
              <w:rPr>
                <w:rStyle w:val="Sautdindex"/>
              </w:rPr>
              <w:t>Dispositions générales</w:t>
            </w:r>
            <w:r>
              <w:rPr>
                <w:webHidden/>
              </w:rPr>
              <w:fldChar w:fldCharType="begin"/>
            </w:r>
            <w:r>
              <w:rPr>
                <w:webHidden/>
              </w:rPr>
              <w:instrText>PAGEREF _Toc32334815 \h</w:instrText>
            </w:r>
            <w:r>
              <w:rPr>
                <w:webHidden/>
              </w:rPr>
              <w:fldChar w:fldCharType="separate"/>
            </w:r>
            <w:r>
              <w:rPr>
                <w:rStyle w:val="Sautdindex"/>
                <w:vanish w:val="false"/>
              </w:rPr>
              <w:tab/>
              <w:t>137</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816">
            <w:r>
              <w:rPr>
                <w:webHidden/>
                <w:rStyle w:val="Sautdindex"/>
                <w:rFonts w:cs="Times New Roman"/>
              </w:rPr>
              <w:t>3.16.1.4.</w:t>
            </w:r>
            <w:r>
              <w:rPr>
                <w:rStyle w:val="Sautdindex"/>
                <w:rFonts w:eastAsia="" w:cs="" w:cstheme="minorBidi" w:eastAsiaTheme="minorEastAsia"/>
                <w:sz w:val="22"/>
                <w:szCs w:val="22"/>
              </w:rPr>
              <w:tab/>
            </w:r>
            <w:r>
              <w:rPr>
                <w:rStyle w:val="Sautdindex"/>
              </w:rPr>
              <w:t>Eclairage artificiel</w:t>
            </w:r>
            <w:r>
              <w:rPr>
                <w:webHidden/>
              </w:rPr>
              <w:fldChar w:fldCharType="begin"/>
            </w:r>
            <w:r>
              <w:rPr>
                <w:webHidden/>
              </w:rPr>
              <w:instrText>PAGEREF _Toc32334816 \h</w:instrText>
            </w:r>
            <w:r>
              <w:rPr>
                <w:webHidden/>
              </w:rPr>
              <w:fldChar w:fldCharType="separate"/>
            </w:r>
            <w:r>
              <w:rPr>
                <w:rStyle w:val="Sautdindex"/>
                <w:vanish w:val="false"/>
              </w:rPr>
              <w:tab/>
              <w:t>137</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817">
            <w:r>
              <w:rPr>
                <w:webHidden/>
                <w:rStyle w:val="Sautdindex"/>
                <w:rFonts w:cs="Times New Roman"/>
              </w:rPr>
              <w:t>3.16.1.5.</w:t>
            </w:r>
            <w:r>
              <w:rPr>
                <w:rStyle w:val="Sautdindex"/>
                <w:rFonts w:eastAsia="" w:cs="" w:cstheme="minorBidi" w:eastAsiaTheme="minorEastAsia"/>
                <w:sz w:val="22"/>
                <w:szCs w:val="22"/>
              </w:rPr>
              <w:tab/>
            </w:r>
            <w:r>
              <w:rPr>
                <w:rStyle w:val="Sautdindex"/>
              </w:rPr>
              <w:t>Température de couleur</w:t>
            </w:r>
            <w:r>
              <w:rPr>
                <w:webHidden/>
              </w:rPr>
              <w:fldChar w:fldCharType="begin"/>
            </w:r>
            <w:r>
              <w:rPr>
                <w:webHidden/>
              </w:rPr>
              <w:instrText>PAGEREF _Toc32334817 \h</w:instrText>
            </w:r>
            <w:r>
              <w:rPr>
                <w:webHidden/>
              </w:rPr>
              <w:fldChar w:fldCharType="separate"/>
            </w:r>
            <w:r>
              <w:rPr>
                <w:rStyle w:val="Sautdindex"/>
                <w:vanish w:val="false"/>
              </w:rPr>
              <w:tab/>
              <w:t>138</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818">
            <w:r>
              <w:rPr>
                <w:webHidden/>
                <w:rStyle w:val="Sautdindex"/>
                <w:rFonts w:cs="Times New Roman"/>
              </w:rPr>
              <w:t>3.16.1.6.</w:t>
            </w:r>
            <w:r>
              <w:rPr>
                <w:rStyle w:val="Sautdindex"/>
                <w:rFonts w:eastAsia="" w:cs="" w:cstheme="minorBidi" w:eastAsiaTheme="minorEastAsia"/>
                <w:sz w:val="22"/>
                <w:szCs w:val="22"/>
              </w:rPr>
              <w:tab/>
            </w:r>
            <w:r>
              <w:rPr>
                <w:rStyle w:val="Sautdindex"/>
              </w:rPr>
              <w:t>Disposition des luminaires</w:t>
            </w:r>
            <w:r>
              <w:rPr>
                <w:webHidden/>
              </w:rPr>
              <w:fldChar w:fldCharType="begin"/>
            </w:r>
            <w:r>
              <w:rPr>
                <w:webHidden/>
              </w:rPr>
              <w:instrText>PAGEREF _Toc32334818 \h</w:instrText>
            </w:r>
            <w:r>
              <w:rPr>
                <w:webHidden/>
              </w:rPr>
              <w:fldChar w:fldCharType="separate"/>
            </w:r>
            <w:r>
              <w:rPr>
                <w:rStyle w:val="Sautdindex"/>
                <w:vanish w:val="false"/>
              </w:rPr>
              <w:tab/>
              <w:t>138</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819">
            <w:r>
              <w:rPr>
                <w:webHidden/>
                <w:rStyle w:val="Sautdindex"/>
                <w:rFonts w:cs="Times New Roman"/>
              </w:rPr>
              <w:t>3.16.1.7.</w:t>
            </w:r>
            <w:r>
              <w:rPr>
                <w:rStyle w:val="Sautdindex"/>
                <w:rFonts w:eastAsia="" w:cs="" w:cstheme="minorBidi" w:eastAsiaTheme="minorEastAsia"/>
                <w:sz w:val="22"/>
                <w:szCs w:val="22"/>
              </w:rPr>
              <w:tab/>
            </w:r>
            <w:r>
              <w:rPr>
                <w:rStyle w:val="Sautdindex"/>
              </w:rPr>
              <w:t>Accès aux organes de commandes</w:t>
            </w:r>
            <w:r>
              <w:rPr>
                <w:webHidden/>
              </w:rPr>
              <w:fldChar w:fldCharType="begin"/>
            </w:r>
            <w:r>
              <w:rPr>
                <w:webHidden/>
              </w:rPr>
              <w:instrText>PAGEREF _Toc32334819 \h</w:instrText>
            </w:r>
            <w:r>
              <w:rPr>
                <w:webHidden/>
              </w:rPr>
              <w:fldChar w:fldCharType="separate"/>
            </w:r>
            <w:r>
              <w:rPr>
                <w:rStyle w:val="Sautdindex"/>
                <w:vanish w:val="false"/>
              </w:rPr>
              <w:tab/>
              <w:t>138</w:t>
            </w:r>
            <w:r>
              <w:rPr>
                <w:webHidden/>
              </w:rPr>
              <w:fldChar w:fldCharType="end"/>
            </w:r>
          </w:hyperlink>
        </w:p>
        <w:p>
          <w:pPr>
            <w:pStyle w:val="Tabledesmatiresniveau4"/>
            <w:tabs>
              <w:tab w:val="clear" w:pos="708"/>
              <w:tab w:val="left" w:pos="1600" w:leader="none"/>
              <w:tab w:val="right" w:pos="9629" w:leader="dot"/>
            </w:tabs>
            <w:rPr>
              <w:rFonts w:eastAsia="" w:cs="" w:cstheme="minorBidi" w:eastAsiaTheme="minorEastAsia"/>
              <w:sz w:val="22"/>
              <w:szCs w:val="22"/>
            </w:rPr>
          </w:pPr>
          <w:hyperlink w:anchor="_Toc32334820">
            <w:r>
              <w:rPr>
                <w:webHidden/>
                <w:rStyle w:val="Sautdindex"/>
                <w:rFonts w:cs="Times New Roman"/>
              </w:rPr>
              <w:t>3.16.1.8.</w:t>
            </w:r>
            <w:r>
              <w:rPr>
                <w:rStyle w:val="Sautdindex"/>
                <w:rFonts w:eastAsia="" w:cs="" w:cstheme="minorBidi" w:eastAsiaTheme="minorEastAsia"/>
                <w:sz w:val="22"/>
                <w:szCs w:val="22"/>
              </w:rPr>
              <w:tab/>
            </w:r>
            <w:r>
              <w:rPr>
                <w:rStyle w:val="Sautdindex"/>
              </w:rPr>
              <w:t>Exigence pour un confort visuel convenable</w:t>
            </w:r>
            <w:r>
              <w:rPr>
                <w:webHidden/>
              </w:rPr>
              <w:fldChar w:fldCharType="begin"/>
            </w:r>
            <w:r>
              <w:rPr>
                <w:webHidden/>
              </w:rPr>
              <w:instrText>PAGEREF _Toc32334820 \h</w:instrText>
            </w:r>
            <w:r>
              <w:rPr>
                <w:webHidden/>
              </w:rPr>
              <w:fldChar w:fldCharType="separate"/>
            </w:r>
            <w:r>
              <w:rPr>
                <w:rStyle w:val="Sautdindex"/>
                <w:vanish w:val="false"/>
              </w:rPr>
              <w:tab/>
              <w:t>138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21">
            <w:r>
              <w:rPr>
                <w:webHidden/>
                <w:rStyle w:val="Sautdindex"/>
                <w:rFonts w:cs="Times New Roman"/>
                <w14:scene3d>
                  <w14:camera w14:prst="orthographicFront"/>
                  <w14:lightRig w14:rig="threePt" w14:dir="t">
                    <w14:rot w14:lat="0" w14:lon="0" w14:rev="0"/>
                  </w14:lightRig>
                </w14:scene3d>
              </w:rPr>
              <w:t>3.16.2.</w:t>
            </w:r>
            <w:r>
              <w:rPr>
                <w:rStyle w:val="Sautdindex"/>
                <w:rFonts w:eastAsia="" w:cs="" w:cstheme="minorBidi" w:eastAsiaTheme="minorEastAsia"/>
                <w:i w:val="false"/>
                <w:iCs w:val="false"/>
                <w:sz w:val="22"/>
                <w:szCs w:val="22"/>
              </w:rPr>
              <w:tab/>
            </w:r>
            <w:r>
              <w:rPr>
                <w:rStyle w:val="Sautdindex"/>
              </w:rPr>
              <w:t>Caractéristiques des luminaires</w:t>
            </w:r>
            <w:r>
              <w:rPr>
                <w:webHidden/>
              </w:rPr>
              <w:fldChar w:fldCharType="begin"/>
            </w:r>
            <w:r>
              <w:rPr>
                <w:webHidden/>
              </w:rPr>
              <w:instrText>PAGEREF _Toc32334821 \h</w:instrText>
            </w:r>
            <w:r>
              <w:rPr>
                <w:webHidden/>
              </w:rPr>
              <w:fldChar w:fldCharType="separate"/>
            </w:r>
            <w:r>
              <w:rPr>
                <w:rStyle w:val="Sautdindex"/>
                <w:vanish w:val="false"/>
              </w:rPr>
              <w:tab/>
              <w:t>138</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822">
            <w:r>
              <w:rPr>
                <w:webHidden/>
                <w:rStyle w:val="Sautdindex"/>
                <w:b/>
              </w:rPr>
              <w:t>3.17.</w:t>
            </w:r>
            <w:r>
              <w:rPr>
                <w:rStyle w:val="Sautdindex"/>
                <w:rFonts w:eastAsia="" w:cs="" w:cstheme="minorBidi" w:eastAsiaTheme="minorEastAsia"/>
                <w:caps w:val="false"/>
                <w:smallCaps w:val="false"/>
                <w:sz w:val="22"/>
                <w:szCs w:val="22"/>
              </w:rPr>
              <w:tab/>
            </w:r>
            <w:r>
              <w:rPr>
                <w:rStyle w:val="Sautdindex"/>
              </w:rPr>
              <w:t>Mise en œuvre des câbles</w:t>
            </w:r>
            <w:r>
              <w:rPr>
                <w:webHidden/>
              </w:rPr>
              <w:fldChar w:fldCharType="begin"/>
            </w:r>
            <w:r>
              <w:rPr>
                <w:webHidden/>
              </w:rPr>
              <w:instrText>PAGEREF _Toc32334822 \h</w:instrText>
            </w:r>
            <w:r>
              <w:rPr>
                <w:webHidden/>
              </w:rPr>
              <w:fldChar w:fldCharType="separate"/>
            </w:r>
            <w:r>
              <w:rPr>
                <w:rStyle w:val="Sautdindex"/>
                <w:vanish w:val="false"/>
              </w:rPr>
              <w:tab/>
              <w:t>139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23">
            <w:r>
              <w:rPr>
                <w:webHidden/>
                <w:rStyle w:val="Sautdindex"/>
                <w:rFonts w:cs="Times New Roman"/>
                <w14:scene3d>
                  <w14:camera w14:prst="orthographicFront"/>
                  <w14:lightRig w14:rig="threePt" w14:dir="t">
                    <w14:rot w14:lat="0" w14:lon="0" w14:rev="0"/>
                  </w14:lightRig>
                </w14:scene3d>
              </w:rPr>
              <w:t>3.17.1.</w:t>
            </w:r>
            <w:r>
              <w:rPr>
                <w:rStyle w:val="Sautdindex"/>
                <w:rFonts w:eastAsia="" w:cs="" w:cstheme="minorBidi" w:eastAsiaTheme="minorEastAsia"/>
                <w:i w:val="false"/>
                <w:iCs w:val="false"/>
                <w:sz w:val="22"/>
                <w:szCs w:val="22"/>
              </w:rPr>
              <w:tab/>
            </w:r>
            <w:r>
              <w:rPr>
                <w:rStyle w:val="Sautdindex"/>
              </w:rPr>
              <w:t>Câbles</w:t>
            </w:r>
            <w:r>
              <w:rPr>
                <w:webHidden/>
              </w:rPr>
              <w:fldChar w:fldCharType="begin"/>
            </w:r>
            <w:r>
              <w:rPr>
                <w:webHidden/>
              </w:rPr>
              <w:instrText>PAGEREF _Toc32334823 \h</w:instrText>
            </w:r>
            <w:r>
              <w:rPr>
                <w:webHidden/>
              </w:rPr>
              <w:fldChar w:fldCharType="separate"/>
            </w:r>
            <w:r>
              <w:rPr>
                <w:rStyle w:val="Sautdindex"/>
                <w:vanish w:val="false"/>
              </w:rPr>
              <w:tab/>
              <w:t>139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24">
            <w:r>
              <w:rPr>
                <w:webHidden/>
                <w:rStyle w:val="Sautdindex"/>
                <w:rFonts w:cs="Times New Roman"/>
                <w14:scene3d>
                  <w14:camera w14:prst="orthographicFront"/>
                  <w14:lightRig w14:rig="threePt" w14:dir="t">
                    <w14:rot w14:lat="0" w14:lon="0" w14:rev="0"/>
                  </w14:lightRig>
                </w14:scene3d>
              </w:rPr>
              <w:t>3.17.2.</w:t>
            </w:r>
            <w:r>
              <w:rPr>
                <w:rStyle w:val="Sautdindex"/>
                <w:rFonts w:eastAsia="" w:cs="" w:cstheme="minorBidi" w:eastAsiaTheme="minorEastAsia"/>
                <w:i w:val="false"/>
                <w:iCs w:val="false"/>
                <w:sz w:val="22"/>
                <w:szCs w:val="22"/>
              </w:rPr>
              <w:tab/>
            </w:r>
            <w:r>
              <w:rPr>
                <w:rStyle w:val="Sautdindex"/>
              </w:rPr>
              <w:t>Repérage des câbles</w:t>
            </w:r>
            <w:r>
              <w:rPr>
                <w:webHidden/>
              </w:rPr>
              <w:fldChar w:fldCharType="begin"/>
            </w:r>
            <w:r>
              <w:rPr>
                <w:webHidden/>
              </w:rPr>
              <w:instrText>PAGEREF _Toc32334824 \h</w:instrText>
            </w:r>
            <w:r>
              <w:rPr>
                <w:webHidden/>
              </w:rPr>
              <w:fldChar w:fldCharType="separate"/>
            </w:r>
            <w:r>
              <w:rPr>
                <w:rStyle w:val="Sautdindex"/>
                <w:vanish w:val="false"/>
              </w:rPr>
              <w:tab/>
              <w:t>139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25">
            <w:r>
              <w:rPr>
                <w:webHidden/>
                <w:rStyle w:val="Sautdindex"/>
                <w:rFonts w:cs="Times New Roman"/>
                <w14:scene3d>
                  <w14:camera w14:prst="orthographicFront"/>
                  <w14:lightRig w14:rig="threePt" w14:dir="t">
                    <w14:rot w14:lat="0" w14:lon="0" w14:rev="0"/>
                  </w14:lightRig>
                </w14:scene3d>
              </w:rPr>
              <w:t>3.17.3.</w:t>
            </w:r>
            <w:r>
              <w:rPr>
                <w:rStyle w:val="Sautdindex"/>
                <w:rFonts w:eastAsia="" w:cs="" w:cstheme="minorBidi" w:eastAsiaTheme="minorEastAsia"/>
                <w:i w:val="false"/>
                <w:iCs w:val="false"/>
                <w:sz w:val="22"/>
                <w:szCs w:val="22"/>
              </w:rPr>
              <w:tab/>
            </w:r>
            <w:r>
              <w:rPr>
                <w:rStyle w:val="Sautdindex"/>
              </w:rPr>
              <w:t>Cheminement des câbles</w:t>
            </w:r>
            <w:r>
              <w:rPr>
                <w:webHidden/>
              </w:rPr>
              <w:fldChar w:fldCharType="begin"/>
            </w:r>
            <w:r>
              <w:rPr>
                <w:webHidden/>
              </w:rPr>
              <w:instrText>PAGEREF _Toc32334825 \h</w:instrText>
            </w:r>
            <w:r>
              <w:rPr>
                <w:webHidden/>
              </w:rPr>
              <w:fldChar w:fldCharType="separate"/>
            </w:r>
            <w:r>
              <w:rPr>
                <w:rStyle w:val="Sautdindex"/>
                <w:vanish w:val="false"/>
              </w:rPr>
              <w:tab/>
              <w:t>140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26">
            <w:r>
              <w:rPr>
                <w:webHidden/>
                <w:rStyle w:val="Sautdindex"/>
                <w:rFonts w:cs="Times New Roman"/>
                <w14:scene3d>
                  <w14:camera w14:prst="orthographicFront"/>
                  <w14:lightRig w14:rig="threePt" w14:dir="t">
                    <w14:rot w14:lat="0" w14:lon="0" w14:rev="0"/>
                  </w14:lightRig>
                </w14:scene3d>
              </w:rPr>
              <w:t>3.17.4.</w:t>
            </w:r>
            <w:r>
              <w:rPr>
                <w:rStyle w:val="Sautdindex"/>
                <w:rFonts w:eastAsia="" w:cs="" w:cstheme="minorBidi" w:eastAsiaTheme="minorEastAsia"/>
                <w:i w:val="false"/>
                <w:iCs w:val="false"/>
                <w:sz w:val="22"/>
                <w:szCs w:val="22"/>
              </w:rPr>
              <w:tab/>
            </w:r>
            <w:r>
              <w:rPr>
                <w:rStyle w:val="Sautdindex"/>
              </w:rPr>
              <w:t>Pose sur chemins de câbles</w:t>
            </w:r>
            <w:r>
              <w:rPr>
                <w:webHidden/>
              </w:rPr>
              <w:fldChar w:fldCharType="begin"/>
            </w:r>
            <w:r>
              <w:rPr>
                <w:webHidden/>
              </w:rPr>
              <w:instrText>PAGEREF _Toc32334826 \h</w:instrText>
            </w:r>
            <w:r>
              <w:rPr>
                <w:webHidden/>
              </w:rPr>
              <w:fldChar w:fldCharType="separate"/>
            </w:r>
            <w:r>
              <w:rPr>
                <w:rStyle w:val="Sautdindex"/>
                <w:vanish w:val="false"/>
              </w:rPr>
              <w:tab/>
              <w:t>140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27">
            <w:r>
              <w:rPr>
                <w:webHidden/>
                <w:rStyle w:val="Sautdindex"/>
                <w:rFonts w:cs="Times New Roman"/>
                <w14:scene3d>
                  <w14:camera w14:prst="orthographicFront"/>
                  <w14:lightRig w14:rig="threePt" w14:dir="t">
                    <w14:rot w14:lat="0" w14:lon="0" w14:rev="0"/>
                  </w14:lightRig>
                </w14:scene3d>
              </w:rPr>
              <w:t>3.17.5.</w:t>
            </w:r>
            <w:r>
              <w:rPr>
                <w:rStyle w:val="Sautdindex"/>
                <w:rFonts w:eastAsia="" w:cs="" w:cstheme="minorBidi" w:eastAsiaTheme="minorEastAsia"/>
                <w:i w:val="false"/>
                <w:iCs w:val="false"/>
                <w:sz w:val="22"/>
                <w:szCs w:val="22"/>
              </w:rPr>
              <w:tab/>
            </w:r>
            <w:r>
              <w:rPr>
                <w:rStyle w:val="Sautdindex"/>
              </w:rPr>
              <w:t>Chemin de câbles</w:t>
            </w:r>
            <w:r>
              <w:rPr>
                <w:webHidden/>
              </w:rPr>
              <w:fldChar w:fldCharType="begin"/>
            </w:r>
            <w:r>
              <w:rPr>
                <w:webHidden/>
              </w:rPr>
              <w:instrText>PAGEREF _Toc32334827 \h</w:instrText>
            </w:r>
            <w:r>
              <w:rPr>
                <w:webHidden/>
              </w:rPr>
              <w:fldChar w:fldCharType="separate"/>
            </w:r>
            <w:r>
              <w:rPr>
                <w:rStyle w:val="Sautdindex"/>
                <w:vanish w:val="false"/>
              </w:rPr>
              <w:tab/>
              <w:t>140</w:t>
            </w:r>
            <w:r>
              <w:rPr>
                <w:webHidden/>
              </w:rPr>
              <w:fldChar w:fldCharType="end"/>
            </w:r>
          </w:hyperlink>
        </w:p>
        <w:p>
          <w:pPr>
            <w:pStyle w:val="Tabledesmatiresniveau2"/>
            <w:tabs>
              <w:tab w:val="clear" w:pos="708"/>
              <w:tab w:val="left" w:pos="1000" w:leader="none"/>
              <w:tab w:val="right" w:pos="9629" w:leader="dot"/>
            </w:tabs>
            <w:rPr>
              <w:rFonts w:eastAsia="" w:cs="" w:cstheme="minorBidi" w:eastAsiaTheme="minorEastAsia"/>
              <w:caps w:val="false"/>
              <w:smallCaps w:val="false"/>
              <w:sz w:val="22"/>
              <w:szCs w:val="22"/>
            </w:rPr>
          </w:pPr>
          <w:hyperlink w:anchor="_Toc32334828">
            <w:r>
              <w:rPr>
                <w:webHidden/>
                <w:rStyle w:val="Sautdindex"/>
                <w:b/>
              </w:rPr>
              <w:t>3.18.</w:t>
            </w:r>
            <w:r>
              <w:rPr>
                <w:rStyle w:val="Sautdindex"/>
                <w:rFonts w:eastAsia="" w:cs="" w:cstheme="minorBidi" w:eastAsiaTheme="minorEastAsia"/>
                <w:caps w:val="false"/>
                <w:smallCaps w:val="false"/>
                <w:sz w:val="22"/>
                <w:szCs w:val="22"/>
              </w:rPr>
              <w:tab/>
            </w:r>
            <w:r>
              <w:rPr>
                <w:rStyle w:val="Sautdindex"/>
              </w:rPr>
              <w:t>Identification des équipements</w:t>
            </w:r>
            <w:r>
              <w:rPr>
                <w:webHidden/>
              </w:rPr>
              <w:fldChar w:fldCharType="begin"/>
            </w:r>
            <w:r>
              <w:rPr>
                <w:webHidden/>
              </w:rPr>
              <w:instrText>PAGEREF _Toc32334828 \h</w:instrText>
            </w:r>
            <w:r>
              <w:rPr>
                <w:webHidden/>
              </w:rPr>
              <w:fldChar w:fldCharType="separate"/>
            </w:r>
            <w:r>
              <w:rPr>
                <w:rStyle w:val="Sautdindex"/>
                <w:vanish w:val="false"/>
              </w:rPr>
              <w:tab/>
              <w:t>141</w:t>
            </w:r>
            <w:r>
              <w:rPr>
                <w:webHidden/>
              </w:rPr>
              <w:fldChar w:fldCharType="end"/>
            </w:r>
          </w:hyperlink>
        </w:p>
        <w:p>
          <w:pPr>
            <w:pStyle w:val="Tabledesmatiresniveau1"/>
            <w:tabs>
              <w:tab w:val="clear" w:pos="708"/>
              <w:tab w:val="left" w:pos="400" w:leader="none"/>
              <w:tab w:val="right" w:pos="9629" w:leader="dot"/>
            </w:tabs>
            <w:rPr>
              <w:rFonts w:eastAsia="" w:cs="" w:cstheme="minorBidi" w:eastAsiaTheme="minorEastAsia"/>
              <w:b w:val="false"/>
              <w:b w:val="false"/>
              <w:bCs w:val="false"/>
              <w:caps w:val="false"/>
              <w:smallCaps w:val="false"/>
              <w:sz w:val="22"/>
              <w:szCs w:val="22"/>
            </w:rPr>
          </w:pPr>
          <w:hyperlink w:anchor="_Toc32334829">
            <w:r>
              <w:rPr>
                <w:webHidden/>
                <w:rStyle w:val="Sautdindex"/>
                <w:rFonts w:cs="Times New Roman"/>
              </w:rPr>
              <w:t>4.</w:t>
            </w:r>
            <w:r>
              <w:rPr>
                <w:rStyle w:val="Sautdindex"/>
                <w:rFonts w:eastAsia="" w:cs="" w:cstheme="minorBidi" w:eastAsiaTheme="minorEastAsia"/>
                <w:b w:val="false"/>
                <w:bCs w:val="false"/>
                <w:caps w:val="false"/>
                <w:smallCaps w:val="false"/>
                <w:sz w:val="22"/>
                <w:szCs w:val="22"/>
              </w:rPr>
              <w:tab/>
            </w:r>
            <w:r>
              <w:rPr>
                <w:rStyle w:val="Sautdindex"/>
              </w:rPr>
              <w:t>Conditions générales d’exécution</w:t>
            </w:r>
            <w:r>
              <w:rPr>
                <w:webHidden/>
              </w:rPr>
              <w:fldChar w:fldCharType="begin"/>
            </w:r>
            <w:r>
              <w:rPr>
                <w:webHidden/>
              </w:rPr>
              <w:instrText>PAGEREF _Toc32334829 \h</w:instrText>
            </w:r>
            <w:r>
              <w:rPr>
                <w:webHidden/>
              </w:rPr>
              <w:fldChar w:fldCharType="separate"/>
            </w:r>
            <w:r>
              <w:rPr>
                <w:rStyle w:val="Sautdindex"/>
                <w:vanish w:val="false"/>
              </w:rPr>
              <w:tab/>
              <w:t>142</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830">
            <w:r>
              <w:rPr>
                <w:webHidden/>
                <w:rStyle w:val="Sautdindex"/>
                <w:b/>
              </w:rPr>
              <w:t>4.1.</w:t>
            </w:r>
            <w:r>
              <w:rPr>
                <w:rStyle w:val="Sautdindex"/>
                <w:rFonts w:eastAsia="" w:cs="" w:cstheme="minorBidi" w:eastAsiaTheme="minorEastAsia"/>
                <w:caps w:val="false"/>
                <w:smallCaps w:val="false"/>
                <w:sz w:val="22"/>
                <w:szCs w:val="22"/>
              </w:rPr>
              <w:tab/>
            </w:r>
            <w:r>
              <w:rPr>
                <w:rStyle w:val="Sautdindex"/>
              </w:rPr>
              <w:t>Organisation des travaux</w:t>
            </w:r>
            <w:r>
              <w:rPr>
                <w:webHidden/>
              </w:rPr>
              <w:fldChar w:fldCharType="begin"/>
            </w:r>
            <w:r>
              <w:rPr>
                <w:webHidden/>
              </w:rPr>
              <w:instrText>PAGEREF _Toc32334830 \h</w:instrText>
            </w:r>
            <w:r>
              <w:rPr>
                <w:webHidden/>
              </w:rPr>
              <w:fldChar w:fldCharType="separate"/>
            </w:r>
            <w:r>
              <w:rPr>
                <w:rStyle w:val="Sautdindex"/>
                <w:vanish w:val="false"/>
              </w:rPr>
              <w:tab/>
              <w:t>142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31">
            <w:r>
              <w:rPr>
                <w:webHidden/>
                <w:rStyle w:val="Sautdindex"/>
                <w:rFonts w:cs="Times New Roman"/>
                <w14:scene3d>
                  <w14:camera w14:prst="orthographicFront"/>
                  <w14:lightRig w14:rig="threePt" w14:dir="t">
                    <w14:rot w14:lat="0" w14:lon="0" w14:rev="0"/>
                  </w14:lightRig>
                </w14:scene3d>
              </w:rPr>
              <w:t>4.1.1.</w:t>
            </w:r>
            <w:r>
              <w:rPr>
                <w:rStyle w:val="Sautdindex"/>
                <w:rFonts w:eastAsia="" w:cs="" w:cstheme="minorBidi" w:eastAsiaTheme="minorEastAsia"/>
                <w:i w:val="false"/>
                <w:iCs w:val="false"/>
                <w:sz w:val="22"/>
                <w:szCs w:val="22"/>
              </w:rPr>
              <w:tab/>
            </w:r>
            <w:r>
              <w:rPr>
                <w:rStyle w:val="Sautdindex"/>
              </w:rPr>
              <w:t>Contraintes et obligations</w:t>
            </w:r>
            <w:r>
              <w:rPr>
                <w:webHidden/>
              </w:rPr>
              <w:fldChar w:fldCharType="begin"/>
            </w:r>
            <w:r>
              <w:rPr>
                <w:webHidden/>
              </w:rPr>
              <w:instrText>PAGEREF _Toc32334831 \h</w:instrText>
            </w:r>
            <w:r>
              <w:rPr>
                <w:webHidden/>
              </w:rPr>
              <w:fldChar w:fldCharType="separate"/>
            </w:r>
            <w:r>
              <w:rPr>
                <w:rStyle w:val="Sautdindex"/>
                <w:vanish w:val="false"/>
              </w:rPr>
              <w:tab/>
              <w:t>142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32">
            <w:r>
              <w:rPr>
                <w:webHidden/>
                <w:rStyle w:val="Sautdindex"/>
                <w:rFonts w:cs="Times New Roman"/>
              </w:rPr>
              <w:t>4.1.1.1.</w:t>
            </w:r>
            <w:r>
              <w:rPr>
                <w:rStyle w:val="Sautdindex"/>
                <w:rFonts w:eastAsia="" w:cs="" w:cstheme="minorBidi" w:eastAsiaTheme="minorEastAsia"/>
                <w:sz w:val="22"/>
                <w:szCs w:val="22"/>
              </w:rPr>
              <w:tab/>
            </w:r>
            <w:r>
              <w:rPr>
                <w:rStyle w:val="Sautdindex"/>
              </w:rPr>
              <w:t>Ordonnancement, pilotage et coordination</w:t>
            </w:r>
            <w:r>
              <w:rPr>
                <w:webHidden/>
              </w:rPr>
              <w:fldChar w:fldCharType="begin"/>
            </w:r>
            <w:r>
              <w:rPr>
                <w:webHidden/>
              </w:rPr>
              <w:instrText>PAGEREF _Toc32334832 \h</w:instrText>
            </w:r>
            <w:r>
              <w:rPr>
                <w:webHidden/>
              </w:rPr>
              <w:fldChar w:fldCharType="separate"/>
            </w:r>
            <w:r>
              <w:rPr>
                <w:rStyle w:val="Sautdindex"/>
                <w:vanish w:val="false"/>
              </w:rPr>
              <w:tab/>
              <w:t>142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33">
            <w:r>
              <w:rPr>
                <w:webHidden/>
                <w:rStyle w:val="Sautdindex"/>
                <w:rFonts w:cs="Times New Roman"/>
              </w:rPr>
              <w:t>4.1.1.2.</w:t>
            </w:r>
            <w:r>
              <w:rPr>
                <w:rStyle w:val="Sautdindex"/>
                <w:rFonts w:eastAsia="" w:cs="" w:cstheme="minorBidi" w:eastAsiaTheme="minorEastAsia"/>
                <w:sz w:val="22"/>
                <w:szCs w:val="22"/>
              </w:rPr>
              <w:tab/>
            </w:r>
            <w:r>
              <w:rPr>
                <w:rStyle w:val="Sautdindex"/>
              </w:rPr>
              <w:t>Modalités d’intervention sur l’existant</w:t>
            </w:r>
            <w:r>
              <w:rPr>
                <w:webHidden/>
              </w:rPr>
              <w:fldChar w:fldCharType="begin"/>
            </w:r>
            <w:r>
              <w:rPr>
                <w:webHidden/>
              </w:rPr>
              <w:instrText>PAGEREF _Toc32334833 \h</w:instrText>
            </w:r>
            <w:r>
              <w:rPr>
                <w:webHidden/>
              </w:rPr>
              <w:fldChar w:fldCharType="separate"/>
            </w:r>
            <w:r>
              <w:rPr>
                <w:rStyle w:val="Sautdindex"/>
                <w:vanish w:val="false"/>
              </w:rPr>
              <w:tab/>
              <w:t>142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34">
            <w:r>
              <w:rPr>
                <w:webHidden/>
                <w:rStyle w:val="Sautdindex"/>
                <w:rFonts w:cs="Times New Roman"/>
              </w:rPr>
              <w:t>4.1.1.3.</w:t>
            </w:r>
            <w:r>
              <w:rPr>
                <w:rStyle w:val="Sautdindex"/>
                <w:rFonts w:eastAsia="" w:cs="" w:cstheme="minorBidi" w:eastAsiaTheme="minorEastAsia"/>
                <w:sz w:val="22"/>
                <w:szCs w:val="22"/>
              </w:rPr>
              <w:tab/>
            </w:r>
            <w:r>
              <w:rPr>
                <w:rStyle w:val="Sautdindex"/>
              </w:rPr>
              <w:t>Incident sur équipement en exploitation</w:t>
            </w:r>
            <w:r>
              <w:rPr>
                <w:webHidden/>
              </w:rPr>
              <w:fldChar w:fldCharType="begin"/>
            </w:r>
            <w:r>
              <w:rPr>
                <w:webHidden/>
              </w:rPr>
              <w:instrText>PAGEREF _Toc32334834 \h</w:instrText>
            </w:r>
            <w:r>
              <w:rPr>
                <w:webHidden/>
              </w:rPr>
              <w:fldChar w:fldCharType="separate"/>
            </w:r>
            <w:r>
              <w:rPr>
                <w:rStyle w:val="Sautdindex"/>
                <w:vanish w:val="false"/>
              </w:rPr>
              <w:tab/>
              <w:t>142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35">
            <w:r>
              <w:rPr>
                <w:webHidden/>
                <w:rStyle w:val="Sautdindex"/>
                <w:rFonts w:cs="Times New Roman"/>
              </w:rPr>
              <w:t>4.1.1.4.</w:t>
            </w:r>
            <w:r>
              <w:rPr>
                <w:rStyle w:val="Sautdindex"/>
                <w:rFonts w:eastAsia="" w:cs="" w:cstheme="minorBidi" w:eastAsiaTheme="minorEastAsia"/>
                <w:sz w:val="22"/>
                <w:szCs w:val="22"/>
              </w:rPr>
              <w:tab/>
            </w:r>
            <w:r>
              <w:rPr>
                <w:rStyle w:val="Sautdindex"/>
              </w:rPr>
              <w:t>Astreintes</w:t>
            </w:r>
            <w:r>
              <w:rPr>
                <w:webHidden/>
              </w:rPr>
              <w:fldChar w:fldCharType="begin"/>
            </w:r>
            <w:r>
              <w:rPr>
                <w:webHidden/>
              </w:rPr>
              <w:instrText>PAGEREF _Toc32334835 \h</w:instrText>
            </w:r>
            <w:r>
              <w:rPr>
                <w:webHidden/>
              </w:rPr>
              <w:fldChar w:fldCharType="separate"/>
            </w:r>
            <w:r>
              <w:rPr>
                <w:rStyle w:val="Sautdindex"/>
                <w:vanish w:val="false"/>
              </w:rPr>
              <w:tab/>
              <w:t>143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36">
            <w:r>
              <w:rPr>
                <w:webHidden/>
                <w:rStyle w:val="Sautdindex"/>
                <w:rFonts w:cs="Times New Roman"/>
              </w:rPr>
              <w:t>4.1.1.5.</w:t>
            </w:r>
            <w:r>
              <w:rPr>
                <w:rStyle w:val="Sautdindex"/>
                <w:rFonts w:eastAsia="" w:cs="" w:cstheme="minorBidi" w:eastAsiaTheme="minorEastAsia"/>
                <w:sz w:val="22"/>
                <w:szCs w:val="22"/>
              </w:rPr>
              <w:tab/>
            </w:r>
            <w:r>
              <w:rPr>
                <w:rStyle w:val="Sautdindex"/>
              </w:rPr>
              <w:t>Accès au Bâtiment</w:t>
            </w:r>
            <w:r>
              <w:rPr>
                <w:webHidden/>
              </w:rPr>
              <w:fldChar w:fldCharType="begin"/>
            </w:r>
            <w:r>
              <w:rPr>
                <w:webHidden/>
              </w:rPr>
              <w:instrText>PAGEREF _Toc32334836 \h</w:instrText>
            </w:r>
            <w:r>
              <w:rPr>
                <w:webHidden/>
              </w:rPr>
              <w:fldChar w:fldCharType="separate"/>
            </w:r>
            <w:r>
              <w:rPr>
                <w:rStyle w:val="Sautdindex"/>
                <w:vanish w:val="false"/>
              </w:rPr>
              <w:tab/>
              <w:t>145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37">
            <w:r>
              <w:rPr>
                <w:webHidden/>
                <w:rStyle w:val="Sautdindex"/>
                <w:rFonts w:cs="Times New Roman"/>
                <w14:scene3d>
                  <w14:camera w14:prst="orthographicFront"/>
                  <w14:lightRig w14:rig="threePt" w14:dir="t">
                    <w14:rot w14:lat="0" w14:lon="0" w14:rev="0"/>
                  </w14:lightRig>
                </w14:scene3d>
              </w:rPr>
              <w:t>4.1.2.</w:t>
            </w:r>
            <w:r>
              <w:rPr>
                <w:rStyle w:val="Sautdindex"/>
                <w:rFonts w:eastAsia="" w:cs="" w:cstheme="minorBidi" w:eastAsiaTheme="minorEastAsia"/>
                <w:i w:val="false"/>
                <w:iCs w:val="false"/>
                <w:sz w:val="22"/>
                <w:szCs w:val="22"/>
              </w:rPr>
              <w:tab/>
            </w:r>
            <w:r>
              <w:rPr>
                <w:rStyle w:val="Sautdindex"/>
              </w:rPr>
              <w:t>Période de préparation</w:t>
            </w:r>
            <w:r>
              <w:rPr>
                <w:webHidden/>
              </w:rPr>
              <w:fldChar w:fldCharType="begin"/>
            </w:r>
            <w:r>
              <w:rPr>
                <w:webHidden/>
              </w:rPr>
              <w:instrText>PAGEREF _Toc32334837 \h</w:instrText>
            </w:r>
            <w:r>
              <w:rPr>
                <w:webHidden/>
              </w:rPr>
              <w:fldChar w:fldCharType="separate"/>
            </w:r>
            <w:r>
              <w:rPr>
                <w:rStyle w:val="Sautdindex"/>
                <w:vanish w:val="false"/>
              </w:rPr>
              <w:tab/>
              <w:t>145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38">
            <w:r>
              <w:rPr>
                <w:webHidden/>
                <w:rStyle w:val="Sautdindex"/>
                <w:rFonts w:cs="Times New Roman"/>
              </w:rPr>
              <w:t>4.1.2.1.</w:t>
            </w:r>
            <w:r>
              <w:rPr>
                <w:rStyle w:val="Sautdindex"/>
                <w:rFonts w:eastAsia="" w:cs="" w:cstheme="minorBidi" w:eastAsiaTheme="minorEastAsia"/>
                <w:sz w:val="22"/>
                <w:szCs w:val="22"/>
              </w:rPr>
              <w:tab/>
            </w:r>
            <w:r>
              <w:rPr>
                <w:rStyle w:val="Sautdindex"/>
              </w:rPr>
              <w:t>Généralités</w:t>
            </w:r>
            <w:r>
              <w:rPr>
                <w:webHidden/>
              </w:rPr>
              <w:fldChar w:fldCharType="begin"/>
            </w:r>
            <w:r>
              <w:rPr>
                <w:webHidden/>
              </w:rPr>
              <w:instrText>PAGEREF _Toc32334838 \h</w:instrText>
            </w:r>
            <w:r>
              <w:rPr>
                <w:webHidden/>
              </w:rPr>
              <w:fldChar w:fldCharType="separate"/>
            </w:r>
            <w:r>
              <w:rPr>
                <w:rStyle w:val="Sautdindex"/>
                <w:vanish w:val="false"/>
              </w:rPr>
              <w:tab/>
              <w:t>145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39">
            <w:r>
              <w:rPr>
                <w:webHidden/>
                <w:rStyle w:val="Sautdindex"/>
                <w:rFonts w:cs="Times New Roman"/>
              </w:rPr>
              <w:t>4.1.2.2.</w:t>
            </w:r>
            <w:r>
              <w:rPr>
                <w:rStyle w:val="Sautdindex"/>
                <w:rFonts w:eastAsia="" w:cs="" w:cstheme="minorBidi" w:eastAsiaTheme="minorEastAsia"/>
                <w:sz w:val="22"/>
                <w:szCs w:val="22"/>
              </w:rPr>
              <w:tab/>
            </w:r>
            <w:r>
              <w:rPr>
                <w:rStyle w:val="Sautdindex"/>
              </w:rPr>
              <w:t>Reconnaissance préalables des installations</w:t>
            </w:r>
            <w:r>
              <w:rPr>
                <w:webHidden/>
              </w:rPr>
              <w:fldChar w:fldCharType="begin"/>
            </w:r>
            <w:r>
              <w:rPr>
                <w:webHidden/>
              </w:rPr>
              <w:instrText>PAGEREF _Toc32334839 \h</w:instrText>
            </w:r>
            <w:r>
              <w:rPr>
                <w:webHidden/>
              </w:rPr>
              <w:fldChar w:fldCharType="separate"/>
            </w:r>
            <w:r>
              <w:rPr>
                <w:rStyle w:val="Sautdindex"/>
                <w:vanish w:val="false"/>
              </w:rPr>
              <w:tab/>
              <w:t>146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40">
            <w:r>
              <w:rPr>
                <w:webHidden/>
                <w:rStyle w:val="Sautdindex"/>
                <w:rFonts w:cs="Times New Roman"/>
              </w:rPr>
              <w:t>4.1.2.3.</w:t>
            </w:r>
            <w:r>
              <w:rPr>
                <w:rStyle w:val="Sautdindex"/>
                <w:rFonts w:eastAsia="" w:cs="" w:cstheme="minorBidi" w:eastAsiaTheme="minorEastAsia"/>
                <w:sz w:val="22"/>
                <w:szCs w:val="22"/>
              </w:rPr>
              <w:tab/>
            </w:r>
            <w:r>
              <w:rPr>
                <w:rStyle w:val="Sautdindex"/>
              </w:rPr>
              <w:t>Echantillon</w:t>
            </w:r>
            <w:r>
              <w:rPr>
                <w:webHidden/>
              </w:rPr>
              <w:fldChar w:fldCharType="begin"/>
            </w:r>
            <w:r>
              <w:rPr>
                <w:webHidden/>
              </w:rPr>
              <w:instrText>PAGEREF _Toc32334840 \h</w:instrText>
            </w:r>
            <w:r>
              <w:rPr>
                <w:webHidden/>
              </w:rPr>
              <w:fldChar w:fldCharType="separate"/>
            </w:r>
            <w:r>
              <w:rPr>
                <w:rStyle w:val="Sautdindex"/>
                <w:vanish w:val="false"/>
              </w:rPr>
              <w:tab/>
              <w:t>146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41">
            <w:r>
              <w:rPr>
                <w:webHidden/>
                <w:rStyle w:val="Sautdindex"/>
                <w:rFonts w:cs="Times New Roman"/>
                <w14:scene3d>
                  <w14:camera w14:prst="orthographicFront"/>
                  <w14:lightRig w14:rig="threePt" w14:dir="t">
                    <w14:rot w14:lat="0" w14:lon="0" w14:rev="0"/>
                  </w14:lightRig>
                </w14:scene3d>
              </w:rPr>
              <w:t>4.1.3.</w:t>
            </w:r>
            <w:r>
              <w:rPr>
                <w:rStyle w:val="Sautdindex"/>
                <w:rFonts w:eastAsia="" w:cs="" w:cstheme="minorBidi" w:eastAsiaTheme="minorEastAsia"/>
                <w:i w:val="false"/>
                <w:iCs w:val="false"/>
                <w:sz w:val="22"/>
                <w:szCs w:val="22"/>
              </w:rPr>
              <w:tab/>
            </w:r>
            <w:r>
              <w:rPr>
                <w:rStyle w:val="Sautdindex"/>
              </w:rPr>
              <w:t>Conduite des travaux</w:t>
            </w:r>
            <w:r>
              <w:rPr>
                <w:webHidden/>
              </w:rPr>
              <w:fldChar w:fldCharType="begin"/>
            </w:r>
            <w:r>
              <w:rPr>
                <w:webHidden/>
              </w:rPr>
              <w:instrText>PAGEREF _Toc32334841 \h</w:instrText>
            </w:r>
            <w:r>
              <w:rPr>
                <w:webHidden/>
              </w:rPr>
              <w:fldChar w:fldCharType="separate"/>
            </w:r>
            <w:r>
              <w:rPr>
                <w:rStyle w:val="Sautdindex"/>
                <w:vanish w:val="false"/>
              </w:rPr>
              <w:tab/>
              <w:t>146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42">
            <w:r>
              <w:rPr>
                <w:webHidden/>
                <w:rStyle w:val="Sautdindex"/>
                <w:rFonts w:cs="Times New Roman"/>
                <w14:scene3d>
                  <w14:camera w14:prst="orthographicFront"/>
                  <w14:lightRig w14:rig="threePt" w14:dir="t">
                    <w14:rot w14:lat="0" w14:lon="0" w14:rev="0"/>
                  </w14:lightRig>
                </w14:scene3d>
              </w:rPr>
              <w:t>4.1.4.</w:t>
            </w:r>
            <w:r>
              <w:rPr>
                <w:rStyle w:val="Sautdindex"/>
                <w:rFonts w:eastAsia="" w:cs="" w:cstheme="minorBidi" w:eastAsiaTheme="minorEastAsia"/>
                <w:i w:val="false"/>
                <w:iCs w:val="false"/>
                <w:sz w:val="22"/>
                <w:szCs w:val="22"/>
              </w:rPr>
              <w:tab/>
            </w:r>
            <w:r>
              <w:rPr>
                <w:rStyle w:val="Sautdindex"/>
              </w:rPr>
              <w:t>Établissement et suivi du calendrier d’exécution des travaux</w:t>
            </w:r>
            <w:r>
              <w:rPr>
                <w:webHidden/>
              </w:rPr>
              <w:fldChar w:fldCharType="begin"/>
            </w:r>
            <w:r>
              <w:rPr>
                <w:webHidden/>
              </w:rPr>
              <w:instrText>PAGEREF _Toc32334842 \h</w:instrText>
            </w:r>
            <w:r>
              <w:rPr>
                <w:webHidden/>
              </w:rPr>
              <w:fldChar w:fldCharType="separate"/>
            </w:r>
            <w:r>
              <w:rPr>
                <w:rStyle w:val="Sautdindex"/>
                <w:vanish w:val="false"/>
              </w:rPr>
              <w:tab/>
              <w:t>147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43">
            <w:r>
              <w:rPr>
                <w:webHidden/>
                <w:rStyle w:val="Sautdindex"/>
                <w:rFonts w:cs="Times New Roman"/>
                <w14:scene3d>
                  <w14:camera w14:prst="orthographicFront"/>
                  <w14:lightRig w14:rig="threePt" w14:dir="t">
                    <w14:rot w14:lat="0" w14:lon="0" w14:rev="0"/>
                  </w14:lightRig>
                </w14:scene3d>
              </w:rPr>
              <w:t>4.1.5.</w:t>
            </w:r>
            <w:r>
              <w:rPr>
                <w:rStyle w:val="Sautdindex"/>
                <w:rFonts w:eastAsia="" w:cs="" w:cstheme="minorBidi" w:eastAsiaTheme="minorEastAsia"/>
                <w:i w:val="false"/>
                <w:iCs w:val="false"/>
                <w:sz w:val="22"/>
                <w:szCs w:val="22"/>
              </w:rPr>
              <w:tab/>
            </w:r>
            <w:r>
              <w:rPr>
                <w:rStyle w:val="Sautdindex"/>
              </w:rPr>
              <w:t>Suivi de l’exécution des travaux</w:t>
            </w:r>
            <w:r>
              <w:rPr>
                <w:webHidden/>
              </w:rPr>
              <w:fldChar w:fldCharType="begin"/>
            </w:r>
            <w:r>
              <w:rPr>
                <w:webHidden/>
              </w:rPr>
              <w:instrText>PAGEREF _Toc32334843 \h</w:instrText>
            </w:r>
            <w:r>
              <w:rPr>
                <w:webHidden/>
              </w:rPr>
              <w:fldChar w:fldCharType="separate"/>
            </w:r>
            <w:r>
              <w:rPr>
                <w:rStyle w:val="Sautdindex"/>
                <w:vanish w:val="false"/>
              </w:rPr>
              <w:tab/>
              <w:t>147</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844">
            <w:r>
              <w:rPr>
                <w:webHidden/>
                <w:rStyle w:val="Sautdindex"/>
                <w:b/>
              </w:rPr>
              <w:t>4.2.</w:t>
            </w:r>
            <w:r>
              <w:rPr>
                <w:rStyle w:val="Sautdindex"/>
                <w:rFonts w:eastAsia="" w:cs="" w:cstheme="minorBidi" w:eastAsiaTheme="minorEastAsia"/>
                <w:caps w:val="false"/>
                <w:smallCaps w:val="false"/>
                <w:sz w:val="22"/>
                <w:szCs w:val="22"/>
              </w:rPr>
              <w:tab/>
            </w:r>
            <w:r>
              <w:rPr>
                <w:rStyle w:val="Sautdindex"/>
              </w:rPr>
              <w:t>Conditions d’exécution Projetées</w:t>
            </w:r>
            <w:r>
              <w:rPr>
                <w:webHidden/>
              </w:rPr>
              <w:fldChar w:fldCharType="begin"/>
            </w:r>
            <w:r>
              <w:rPr>
                <w:webHidden/>
              </w:rPr>
              <w:instrText>PAGEREF _Toc32334844 \h</w:instrText>
            </w:r>
            <w:r>
              <w:rPr>
                <w:webHidden/>
              </w:rPr>
              <w:fldChar w:fldCharType="separate"/>
            </w:r>
            <w:r>
              <w:rPr>
                <w:rStyle w:val="Sautdindex"/>
                <w:vanish w:val="false"/>
              </w:rPr>
              <w:tab/>
              <w:t>147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45">
            <w:r>
              <w:rPr>
                <w:webHidden/>
                <w:rStyle w:val="Sautdindex"/>
                <w:rFonts w:cs="Times New Roman"/>
                <w14:scene3d>
                  <w14:camera w14:prst="orthographicFront"/>
                  <w14:lightRig w14:rig="threePt" w14:dir="t">
                    <w14:rot w14:lat="0" w14:lon="0" w14:rev="0"/>
                  </w14:lightRig>
                </w14:scene3d>
              </w:rPr>
              <w:t>4.2.1.</w:t>
            </w:r>
            <w:r>
              <w:rPr>
                <w:rStyle w:val="Sautdindex"/>
                <w:rFonts w:eastAsia="" w:cs="" w:cstheme="minorBidi" w:eastAsiaTheme="minorEastAsia"/>
                <w:i w:val="false"/>
                <w:iCs w:val="false"/>
                <w:sz w:val="22"/>
                <w:szCs w:val="22"/>
              </w:rPr>
              <w:tab/>
            </w:r>
            <w:r>
              <w:rPr>
                <w:rStyle w:val="Sautdindex"/>
              </w:rPr>
              <w:t>Généralités</w:t>
            </w:r>
            <w:r>
              <w:rPr>
                <w:webHidden/>
              </w:rPr>
              <w:fldChar w:fldCharType="begin"/>
            </w:r>
            <w:r>
              <w:rPr>
                <w:webHidden/>
              </w:rPr>
              <w:instrText>PAGEREF _Toc32334845 \h</w:instrText>
            </w:r>
            <w:r>
              <w:rPr>
                <w:webHidden/>
              </w:rPr>
              <w:fldChar w:fldCharType="separate"/>
            </w:r>
            <w:r>
              <w:rPr>
                <w:rStyle w:val="Sautdindex"/>
                <w:vanish w:val="false"/>
              </w:rPr>
              <w:tab/>
              <w:t>147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46">
            <w:r>
              <w:rPr>
                <w:webHidden/>
                <w:rStyle w:val="Sautdindex"/>
                <w:rFonts w:cs="Times New Roman"/>
                <w14:scene3d>
                  <w14:camera w14:prst="orthographicFront"/>
                  <w14:lightRig w14:rig="threePt" w14:dir="t">
                    <w14:rot w14:lat="0" w14:lon="0" w14:rev="0"/>
                  </w14:lightRig>
                </w14:scene3d>
              </w:rPr>
              <w:t>4.2.2.</w:t>
            </w:r>
            <w:r>
              <w:rPr>
                <w:rStyle w:val="Sautdindex"/>
                <w:rFonts w:eastAsia="" w:cs="" w:cstheme="minorBidi" w:eastAsiaTheme="minorEastAsia"/>
                <w:i w:val="false"/>
                <w:iCs w:val="false"/>
                <w:sz w:val="22"/>
                <w:szCs w:val="22"/>
              </w:rPr>
              <w:tab/>
            </w:r>
            <w:r>
              <w:rPr>
                <w:rStyle w:val="Sautdindex"/>
              </w:rPr>
              <w:t>Installations de chantier</w:t>
            </w:r>
            <w:r>
              <w:rPr>
                <w:webHidden/>
              </w:rPr>
              <w:fldChar w:fldCharType="begin"/>
            </w:r>
            <w:r>
              <w:rPr>
                <w:webHidden/>
              </w:rPr>
              <w:instrText>PAGEREF _Toc32334846 \h</w:instrText>
            </w:r>
            <w:r>
              <w:rPr>
                <w:webHidden/>
              </w:rPr>
              <w:fldChar w:fldCharType="separate"/>
            </w:r>
            <w:r>
              <w:rPr>
                <w:rStyle w:val="Sautdindex"/>
                <w:vanish w:val="false"/>
              </w:rPr>
              <w:tab/>
              <w:t>148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47">
            <w:r>
              <w:rPr>
                <w:webHidden/>
                <w:rStyle w:val="Sautdindex"/>
                <w:rFonts w:cs="Times New Roman"/>
                <w14:scene3d>
                  <w14:camera w14:prst="orthographicFront"/>
                  <w14:lightRig w14:rig="threePt" w14:dir="t">
                    <w14:rot w14:lat="0" w14:lon="0" w14:rev="0"/>
                  </w14:lightRig>
                </w14:scene3d>
              </w:rPr>
              <w:t>4.2.3.</w:t>
            </w:r>
            <w:r>
              <w:rPr>
                <w:rStyle w:val="Sautdindex"/>
                <w:rFonts w:eastAsia="" w:cs="" w:cstheme="minorBidi" w:eastAsiaTheme="minorEastAsia"/>
                <w:i w:val="false"/>
                <w:iCs w:val="false"/>
                <w:sz w:val="22"/>
                <w:szCs w:val="22"/>
              </w:rPr>
              <w:tab/>
            </w:r>
            <w:r>
              <w:rPr>
                <w:rStyle w:val="Sautdindex"/>
              </w:rPr>
              <w:t>Etat des lieux</w:t>
            </w:r>
            <w:r>
              <w:rPr>
                <w:webHidden/>
              </w:rPr>
              <w:fldChar w:fldCharType="begin"/>
            </w:r>
            <w:r>
              <w:rPr>
                <w:webHidden/>
              </w:rPr>
              <w:instrText>PAGEREF _Toc32334847 \h</w:instrText>
            </w:r>
            <w:r>
              <w:rPr>
                <w:webHidden/>
              </w:rPr>
              <w:fldChar w:fldCharType="separate"/>
            </w:r>
            <w:r>
              <w:rPr>
                <w:rStyle w:val="Sautdindex"/>
                <w:vanish w:val="false"/>
              </w:rPr>
              <w:tab/>
              <w:t>148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48">
            <w:r>
              <w:rPr>
                <w:webHidden/>
                <w:rStyle w:val="Sautdindex"/>
                <w:rFonts w:cs="Times New Roman"/>
                <w14:scene3d>
                  <w14:camera w14:prst="orthographicFront"/>
                  <w14:lightRig w14:rig="threePt" w14:dir="t">
                    <w14:rot w14:lat="0" w14:lon="0" w14:rev="0"/>
                  </w14:lightRig>
                </w14:scene3d>
              </w:rPr>
              <w:t>4.2.4.</w:t>
            </w:r>
            <w:r>
              <w:rPr>
                <w:rStyle w:val="Sautdindex"/>
                <w:rFonts w:eastAsia="" w:cs="" w:cstheme="minorBidi" w:eastAsiaTheme="minorEastAsia"/>
                <w:i w:val="false"/>
                <w:iCs w:val="false"/>
                <w:sz w:val="22"/>
                <w:szCs w:val="22"/>
              </w:rPr>
              <w:tab/>
            </w:r>
            <w:r>
              <w:rPr>
                <w:rStyle w:val="Sautdindex"/>
              </w:rPr>
              <w:t>Nettoyage des lieux</w:t>
            </w:r>
            <w:r>
              <w:rPr>
                <w:webHidden/>
              </w:rPr>
              <w:fldChar w:fldCharType="begin"/>
            </w:r>
            <w:r>
              <w:rPr>
                <w:webHidden/>
              </w:rPr>
              <w:instrText>PAGEREF _Toc32334848 \h</w:instrText>
            </w:r>
            <w:r>
              <w:rPr>
                <w:webHidden/>
              </w:rPr>
              <w:fldChar w:fldCharType="separate"/>
            </w:r>
            <w:r>
              <w:rPr>
                <w:rStyle w:val="Sautdindex"/>
                <w:vanish w:val="false"/>
              </w:rPr>
              <w:tab/>
              <w:t>149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49">
            <w:r>
              <w:rPr>
                <w:webHidden/>
                <w:rStyle w:val="Sautdindex"/>
                <w:rFonts w:cs="Times New Roman"/>
                <w14:scene3d>
                  <w14:camera w14:prst="orthographicFront"/>
                  <w14:lightRig w14:rig="threePt" w14:dir="t">
                    <w14:rot w14:lat="0" w14:lon="0" w14:rev="0"/>
                  </w14:lightRig>
                </w14:scene3d>
              </w:rPr>
              <w:t>4.2.5.</w:t>
            </w:r>
            <w:r>
              <w:rPr>
                <w:rStyle w:val="Sautdindex"/>
                <w:rFonts w:eastAsia="" w:cs="" w:cstheme="minorBidi" w:eastAsiaTheme="minorEastAsia"/>
                <w:i w:val="false"/>
                <w:iCs w:val="false"/>
                <w:sz w:val="22"/>
                <w:szCs w:val="22"/>
              </w:rPr>
              <w:tab/>
            </w:r>
            <w:r>
              <w:rPr>
                <w:rStyle w:val="Sautdindex"/>
              </w:rPr>
              <w:t>Responsabilité de l’Entrepreneur</w:t>
            </w:r>
            <w:r>
              <w:rPr>
                <w:webHidden/>
              </w:rPr>
              <w:fldChar w:fldCharType="begin"/>
            </w:r>
            <w:r>
              <w:rPr>
                <w:webHidden/>
              </w:rPr>
              <w:instrText>PAGEREF _Toc32334849 \h</w:instrText>
            </w:r>
            <w:r>
              <w:rPr>
                <w:webHidden/>
              </w:rPr>
              <w:fldChar w:fldCharType="separate"/>
            </w:r>
            <w:r>
              <w:rPr>
                <w:rStyle w:val="Sautdindex"/>
                <w:vanish w:val="false"/>
              </w:rPr>
              <w:tab/>
              <w:t>149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50">
            <w:r>
              <w:rPr>
                <w:webHidden/>
                <w:rStyle w:val="Sautdindex"/>
                <w:rFonts w:cs="Times New Roman"/>
                <w14:scene3d>
                  <w14:camera w14:prst="orthographicFront"/>
                  <w14:lightRig w14:rig="threePt" w14:dir="t">
                    <w14:rot w14:lat="0" w14:lon="0" w14:rev="0"/>
                  </w14:lightRig>
                </w14:scene3d>
              </w:rPr>
              <w:t>4.2.6.</w:t>
            </w:r>
            <w:r>
              <w:rPr>
                <w:rStyle w:val="Sautdindex"/>
                <w:rFonts w:eastAsia="" w:cs="" w:cstheme="minorBidi" w:eastAsiaTheme="minorEastAsia"/>
                <w:i w:val="false"/>
                <w:iCs w:val="false"/>
                <w:sz w:val="22"/>
                <w:szCs w:val="22"/>
              </w:rPr>
              <w:tab/>
            </w:r>
            <w:r>
              <w:rPr>
                <w:rStyle w:val="Sautdindex"/>
              </w:rPr>
              <w:t>Hygiène et sécurité</w:t>
            </w:r>
            <w:r>
              <w:rPr>
                <w:webHidden/>
              </w:rPr>
              <w:fldChar w:fldCharType="begin"/>
            </w:r>
            <w:r>
              <w:rPr>
                <w:webHidden/>
              </w:rPr>
              <w:instrText>PAGEREF _Toc32334850 \h</w:instrText>
            </w:r>
            <w:r>
              <w:rPr>
                <w:webHidden/>
              </w:rPr>
              <w:fldChar w:fldCharType="separate"/>
            </w:r>
            <w:r>
              <w:rPr>
                <w:rStyle w:val="Sautdindex"/>
                <w:vanish w:val="false"/>
              </w:rPr>
              <w:tab/>
              <w:t>149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51">
            <w:r>
              <w:rPr>
                <w:webHidden/>
                <w:rStyle w:val="Sautdindex"/>
                <w:rFonts w:cs="Times New Roman"/>
                <w14:scene3d>
                  <w14:camera w14:prst="orthographicFront"/>
                  <w14:lightRig w14:rig="threePt" w14:dir="t">
                    <w14:rot w14:lat="0" w14:lon="0" w14:rev="0"/>
                  </w14:lightRig>
                </w14:scene3d>
              </w:rPr>
              <w:t>4.2.7.</w:t>
            </w:r>
            <w:r>
              <w:rPr>
                <w:rStyle w:val="Sautdindex"/>
                <w:rFonts w:eastAsia="" w:cs="" w:cstheme="minorBidi" w:eastAsiaTheme="minorEastAsia"/>
                <w:i w:val="false"/>
                <w:iCs w:val="false"/>
                <w:sz w:val="22"/>
                <w:szCs w:val="22"/>
              </w:rPr>
              <w:tab/>
            </w:r>
            <w:r>
              <w:rPr>
                <w:rStyle w:val="Sautdindex"/>
              </w:rPr>
              <w:t>Journal de chantier</w:t>
            </w:r>
            <w:r>
              <w:rPr>
                <w:webHidden/>
              </w:rPr>
              <w:fldChar w:fldCharType="begin"/>
            </w:r>
            <w:r>
              <w:rPr>
                <w:webHidden/>
              </w:rPr>
              <w:instrText>PAGEREF _Toc32334851 \h</w:instrText>
            </w:r>
            <w:r>
              <w:rPr>
                <w:webHidden/>
              </w:rPr>
              <w:fldChar w:fldCharType="separate"/>
            </w:r>
            <w:r>
              <w:rPr>
                <w:rStyle w:val="Sautdindex"/>
                <w:vanish w:val="false"/>
              </w:rPr>
              <w:tab/>
              <w:t>149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52">
            <w:r>
              <w:rPr>
                <w:webHidden/>
                <w:rStyle w:val="Sautdindex"/>
                <w:rFonts w:cs="Times New Roman"/>
                <w14:scene3d>
                  <w14:camera w14:prst="orthographicFront"/>
                  <w14:lightRig w14:rig="threePt" w14:dir="t">
                    <w14:rot w14:lat="0" w14:lon="0" w14:rev="0"/>
                  </w14:lightRig>
                </w14:scene3d>
              </w:rPr>
              <w:t>4.2.8.</w:t>
            </w:r>
            <w:r>
              <w:rPr>
                <w:rStyle w:val="Sautdindex"/>
                <w:rFonts w:eastAsia="" w:cs="" w:cstheme="minorBidi" w:eastAsiaTheme="minorEastAsia"/>
                <w:i w:val="false"/>
                <w:iCs w:val="false"/>
                <w:sz w:val="22"/>
                <w:szCs w:val="22"/>
              </w:rPr>
              <w:tab/>
            </w:r>
            <w:r>
              <w:rPr>
                <w:rStyle w:val="Sautdindex"/>
              </w:rPr>
              <w:t>Réunions de chantier – réunions de concertation</w:t>
            </w:r>
            <w:r>
              <w:rPr>
                <w:webHidden/>
              </w:rPr>
              <w:fldChar w:fldCharType="begin"/>
            </w:r>
            <w:r>
              <w:rPr>
                <w:webHidden/>
              </w:rPr>
              <w:instrText>PAGEREF _Toc32334852 \h</w:instrText>
            </w:r>
            <w:r>
              <w:rPr>
                <w:webHidden/>
              </w:rPr>
              <w:fldChar w:fldCharType="separate"/>
            </w:r>
            <w:r>
              <w:rPr>
                <w:rStyle w:val="Sautdindex"/>
                <w:vanish w:val="false"/>
              </w:rPr>
              <w:tab/>
              <w:t>150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53">
            <w:r>
              <w:rPr>
                <w:webHidden/>
                <w:rStyle w:val="Sautdindex"/>
                <w:rFonts w:cs="Times New Roman"/>
                <w14:scene3d>
                  <w14:camera w14:prst="orthographicFront"/>
                  <w14:lightRig w14:rig="threePt" w14:dir="t">
                    <w14:rot w14:lat="0" w14:lon="0" w14:rev="0"/>
                  </w14:lightRig>
                </w14:scene3d>
              </w:rPr>
              <w:t>4.2.9.</w:t>
            </w:r>
            <w:r>
              <w:rPr>
                <w:rStyle w:val="Sautdindex"/>
                <w:rFonts w:eastAsia="" w:cs="" w:cstheme="minorBidi" w:eastAsiaTheme="minorEastAsia"/>
                <w:i w:val="false"/>
                <w:iCs w:val="false"/>
                <w:sz w:val="22"/>
                <w:szCs w:val="22"/>
              </w:rPr>
              <w:tab/>
            </w:r>
            <w:r>
              <w:rPr>
                <w:rStyle w:val="Sautdindex"/>
              </w:rPr>
              <w:t>Constats de travaux</w:t>
            </w:r>
            <w:r>
              <w:rPr>
                <w:webHidden/>
              </w:rPr>
              <w:fldChar w:fldCharType="begin"/>
            </w:r>
            <w:r>
              <w:rPr>
                <w:webHidden/>
              </w:rPr>
              <w:instrText>PAGEREF _Toc32334853 \h</w:instrText>
            </w:r>
            <w:r>
              <w:rPr>
                <w:webHidden/>
              </w:rPr>
              <w:fldChar w:fldCharType="separate"/>
            </w:r>
            <w:r>
              <w:rPr>
                <w:rStyle w:val="Sautdindex"/>
                <w:vanish w:val="false"/>
              </w:rPr>
              <w:tab/>
              <w:t>150</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54">
            <w:r>
              <w:rPr>
                <w:webHidden/>
                <w:rStyle w:val="Sautdindex"/>
                <w:rFonts w:cs="Times New Roman"/>
              </w:rPr>
              <w:t>4.2.9.1.</w:t>
            </w:r>
            <w:r>
              <w:rPr>
                <w:rStyle w:val="Sautdindex"/>
                <w:rFonts w:eastAsia="" w:cs="" w:cstheme="minorBidi" w:eastAsiaTheme="minorEastAsia"/>
                <w:sz w:val="22"/>
                <w:szCs w:val="22"/>
              </w:rPr>
              <w:tab/>
            </w:r>
            <w:r>
              <w:rPr>
                <w:rStyle w:val="Sautdindex"/>
              </w:rPr>
              <w:t>Les différentes catégories de constatations</w:t>
            </w:r>
            <w:r>
              <w:rPr>
                <w:webHidden/>
              </w:rPr>
              <w:fldChar w:fldCharType="begin"/>
            </w:r>
            <w:r>
              <w:rPr>
                <w:webHidden/>
              </w:rPr>
              <w:instrText>PAGEREF _Toc32334854 \h</w:instrText>
            </w:r>
            <w:r>
              <w:rPr>
                <w:webHidden/>
              </w:rPr>
              <w:fldChar w:fldCharType="separate"/>
            </w:r>
            <w:r>
              <w:rPr>
                <w:rStyle w:val="Sautdindex"/>
                <w:vanish w:val="false"/>
              </w:rPr>
              <w:tab/>
              <w:t>151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55">
            <w:r>
              <w:rPr>
                <w:webHidden/>
                <w:rStyle w:val="Sautdindex"/>
                <w:rFonts w:cs="Times New Roman"/>
              </w:rPr>
              <w:t>4.2.9.2.</w:t>
            </w:r>
            <w:r>
              <w:rPr>
                <w:rStyle w:val="Sautdindex"/>
                <w:rFonts w:eastAsia="" w:cs="" w:cstheme="minorBidi" w:eastAsiaTheme="minorEastAsia"/>
                <w:sz w:val="22"/>
                <w:szCs w:val="22"/>
              </w:rPr>
              <w:tab/>
            </w:r>
            <w:r>
              <w:rPr>
                <w:rStyle w:val="Sautdindex"/>
              </w:rPr>
              <w:t>L’organisation des constatations</w:t>
            </w:r>
            <w:r>
              <w:rPr>
                <w:webHidden/>
              </w:rPr>
              <w:fldChar w:fldCharType="begin"/>
            </w:r>
            <w:r>
              <w:rPr>
                <w:webHidden/>
              </w:rPr>
              <w:instrText>PAGEREF _Toc32334855 \h</w:instrText>
            </w:r>
            <w:r>
              <w:rPr>
                <w:webHidden/>
              </w:rPr>
              <w:fldChar w:fldCharType="separate"/>
            </w:r>
            <w:r>
              <w:rPr>
                <w:rStyle w:val="Sautdindex"/>
                <w:vanish w:val="false"/>
              </w:rPr>
              <w:tab/>
              <w:t>151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56">
            <w:r>
              <w:rPr>
                <w:webHidden/>
                <w:rStyle w:val="Sautdindex"/>
                <w:rFonts w:cs="Times New Roman"/>
              </w:rPr>
              <w:t>4.2.9.3.</w:t>
            </w:r>
            <w:r>
              <w:rPr>
                <w:rStyle w:val="Sautdindex"/>
                <w:rFonts w:eastAsia="" w:cs="" w:cstheme="minorBidi" w:eastAsiaTheme="minorEastAsia"/>
                <w:sz w:val="22"/>
                <w:szCs w:val="22"/>
              </w:rPr>
              <w:tab/>
            </w:r>
            <w:r>
              <w:rPr>
                <w:rStyle w:val="Sautdindex"/>
              </w:rPr>
              <w:t>La date des constatations</w:t>
            </w:r>
            <w:r>
              <w:rPr>
                <w:webHidden/>
              </w:rPr>
              <w:fldChar w:fldCharType="begin"/>
            </w:r>
            <w:r>
              <w:rPr>
                <w:webHidden/>
              </w:rPr>
              <w:instrText>PAGEREF _Toc32334856 \h</w:instrText>
            </w:r>
            <w:r>
              <w:rPr>
                <w:webHidden/>
              </w:rPr>
              <w:fldChar w:fldCharType="separate"/>
            </w:r>
            <w:r>
              <w:rPr>
                <w:rStyle w:val="Sautdindex"/>
                <w:vanish w:val="false"/>
              </w:rPr>
              <w:tab/>
              <w:t>151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57">
            <w:r>
              <w:rPr>
                <w:webHidden/>
                <w:rStyle w:val="Sautdindex"/>
                <w:rFonts w:cs="Times New Roman"/>
              </w:rPr>
              <w:t>4.2.9.4.</w:t>
            </w:r>
            <w:r>
              <w:rPr>
                <w:rStyle w:val="Sautdindex"/>
                <w:rFonts w:eastAsia="" w:cs="" w:cstheme="minorBidi" w:eastAsiaTheme="minorEastAsia"/>
                <w:sz w:val="22"/>
                <w:szCs w:val="22"/>
              </w:rPr>
              <w:tab/>
            </w:r>
            <w:r>
              <w:rPr>
                <w:rStyle w:val="Sautdindex"/>
              </w:rPr>
              <w:t>Les constats</w:t>
            </w:r>
            <w:r>
              <w:rPr>
                <w:webHidden/>
              </w:rPr>
              <w:fldChar w:fldCharType="begin"/>
            </w:r>
            <w:r>
              <w:rPr>
                <w:webHidden/>
              </w:rPr>
              <w:instrText>PAGEREF _Toc32334857 \h</w:instrText>
            </w:r>
            <w:r>
              <w:rPr>
                <w:webHidden/>
              </w:rPr>
              <w:fldChar w:fldCharType="separate"/>
            </w:r>
            <w:r>
              <w:rPr>
                <w:rStyle w:val="Sautdindex"/>
                <w:vanish w:val="false"/>
              </w:rPr>
              <w:tab/>
              <w:t>151</w:t>
            </w:r>
            <w:r>
              <w:rPr>
                <w:webHidden/>
              </w:rPr>
              <w:fldChar w:fldCharType="end"/>
            </w:r>
          </w:hyperlink>
        </w:p>
        <w:p>
          <w:pPr>
            <w:pStyle w:val="Tabledesmatiresniveau1"/>
            <w:tabs>
              <w:tab w:val="clear" w:pos="708"/>
              <w:tab w:val="left" w:pos="400" w:leader="none"/>
              <w:tab w:val="right" w:pos="9629" w:leader="dot"/>
            </w:tabs>
            <w:rPr>
              <w:rFonts w:eastAsia="" w:cs="" w:cstheme="minorBidi" w:eastAsiaTheme="minorEastAsia"/>
              <w:b w:val="false"/>
              <w:b w:val="false"/>
              <w:bCs w:val="false"/>
              <w:caps w:val="false"/>
              <w:smallCaps w:val="false"/>
              <w:sz w:val="22"/>
              <w:szCs w:val="22"/>
            </w:rPr>
          </w:pPr>
          <w:hyperlink w:anchor="_Toc32334858">
            <w:r>
              <w:rPr>
                <w:webHidden/>
                <w:rStyle w:val="Sautdindex"/>
                <w:rFonts w:cs="Times New Roman"/>
              </w:rPr>
              <w:t>5.</w:t>
            </w:r>
            <w:r>
              <w:rPr>
                <w:rStyle w:val="Sautdindex"/>
                <w:rFonts w:eastAsia="" w:cs="" w:cstheme="minorBidi" w:eastAsiaTheme="minorEastAsia"/>
                <w:b w:val="false"/>
                <w:bCs w:val="false"/>
                <w:caps w:val="false"/>
                <w:smallCaps w:val="false"/>
                <w:sz w:val="22"/>
                <w:szCs w:val="22"/>
              </w:rPr>
              <w:tab/>
            </w:r>
            <w:r>
              <w:rPr>
                <w:rStyle w:val="Sautdindex"/>
              </w:rPr>
              <w:t>ETUDES ET DOCUMENTATIONS</w:t>
            </w:r>
            <w:r>
              <w:rPr>
                <w:webHidden/>
              </w:rPr>
              <w:fldChar w:fldCharType="begin"/>
            </w:r>
            <w:r>
              <w:rPr>
                <w:webHidden/>
              </w:rPr>
              <w:instrText>PAGEREF _Toc32334858 \h</w:instrText>
            </w:r>
            <w:r>
              <w:rPr>
                <w:webHidden/>
              </w:rPr>
              <w:fldChar w:fldCharType="separate"/>
            </w:r>
            <w:r>
              <w:rPr>
                <w:rStyle w:val="Sautdindex"/>
                <w:vanish w:val="false"/>
              </w:rPr>
              <w:tab/>
              <w:t>154</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859">
            <w:r>
              <w:rPr>
                <w:webHidden/>
                <w:rStyle w:val="Sautdindex"/>
                <w:b/>
              </w:rPr>
              <w:t>5.1.</w:t>
            </w:r>
            <w:r>
              <w:rPr>
                <w:rStyle w:val="Sautdindex"/>
                <w:rFonts w:eastAsia="" w:cs="" w:cstheme="minorBidi" w:eastAsiaTheme="minorEastAsia"/>
                <w:caps w:val="false"/>
                <w:smallCaps w:val="false"/>
                <w:sz w:val="22"/>
                <w:szCs w:val="22"/>
              </w:rPr>
              <w:tab/>
            </w:r>
            <w:r>
              <w:rPr>
                <w:rStyle w:val="Sautdindex"/>
              </w:rPr>
              <w:t>Echéancier de remise des documents</w:t>
            </w:r>
            <w:r>
              <w:rPr>
                <w:webHidden/>
              </w:rPr>
              <w:fldChar w:fldCharType="begin"/>
            </w:r>
            <w:r>
              <w:rPr>
                <w:webHidden/>
              </w:rPr>
              <w:instrText>PAGEREF _Toc32334859 \h</w:instrText>
            </w:r>
            <w:r>
              <w:rPr>
                <w:webHidden/>
              </w:rPr>
              <w:fldChar w:fldCharType="separate"/>
            </w:r>
            <w:r>
              <w:rPr>
                <w:rStyle w:val="Sautdindex"/>
                <w:vanish w:val="false"/>
              </w:rPr>
              <w:tab/>
              <w:t>154</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860">
            <w:r>
              <w:rPr>
                <w:webHidden/>
                <w:rStyle w:val="Sautdindex"/>
                <w:b/>
              </w:rPr>
              <w:t>5.2.</w:t>
            </w:r>
            <w:r>
              <w:rPr>
                <w:rStyle w:val="Sautdindex"/>
                <w:rFonts w:eastAsia="" w:cs="" w:cstheme="minorBidi" w:eastAsiaTheme="minorEastAsia"/>
                <w:caps w:val="false"/>
                <w:smallCaps w:val="false"/>
                <w:sz w:val="22"/>
                <w:szCs w:val="22"/>
              </w:rPr>
              <w:tab/>
            </w:r>
            <w:r>
              <w:rPr>
                <w:rStyle w:val="Sautdindex"/>
              </w:rPr>
              <w:t>Etudes d’exécution</w:t>
            </w:r>
            <w:r>
              <w:rPr>
                <w:webHidden/>
              </w:rPr>
              <w:fldChar w:fldCharType="begin"/>
            </w:r>
            <w:r>
              <w:rPr>
                <w:webHidden/>
              </w:rPr>
              <w:instrText>PAGEREF _Toc32334860 \h</w:instrText>
            </w:r>
            <w:r>
              <w:rPr>
                <w:webHidden/>
              </w:rPr>
              <w:fldChar w:fldCharType="separate"/>
            </w:r>
            <w:r>
              <w:rPr>
                <w:rStyle w:val="Sautdindex"/>
                <w:vanish w:val="false"/>
              </w:rPr>
              <w:tab/>
              <w:t>155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61">
            <w:r>
              <w:rPr>
                <w:webHidden/>
                <w:rStyle w:val="Sautdindex"/>
                <w:rFonts w:cs="Times New Roman"/>
                <w14:scene3d>
                  <w14:camera w14:prst="orthographicFront"/>
                  <w14:lightRig w14:rig="threePt" w14:dir="t">
                    <w14:rot w14:lat="0" w14:lon="0" w14:rev="0"/>
                  </w14:lightRig>
                </w14:scene3d>
              </w:rPr>
              <w:t>5.2.1.</w:t>
            </w:r>
            <w:r>
              <w:rPr>
                <w:rStyle w:val="Sautdindex"/>
                <w:rFonts w:eastAsia="" w:cs="" w:cstheme="minorBidi" w:eastAsiaTheme="minorEastAsia"/>
                <w:i w:val="false"/>
                <w:iCs w:val="false"/>
                <w:sz w:val="22"/>
                <w:szCs w:val="22"/>
              </w:rPr>
              <w:tab/>
            </w:r>
            <w:r>
              <w:rPr>
                <w:rStyle w:val="Sautdindex"/>
              </w:rPr>
              <w:t>Dispositions générales</w:t>
            </w:r>
            <w:r>
              <w:rPr>
                <w:webHidden/>
              </w:rPr>
              <w:fldChar w:fldCharType="begin"/>
            </w:r>
            <w:r>
              <w:rPr>
                <w:webHidden/>
              </w:rPr>
              <w:instrText>PAGEREF _Toc32334861 \h</w:instrText>
            </w:r>
            <w:r>
              <w:rPr>
                <w:webHidden/>
              </w:rPr>
              <w:fldChar w:fldCharType="separate"/>
            </w:r>
            <w:r>
              <w:rPr>
                <w:rStyle w:val="Sautdindex"/>
                <w:vanish w:val="false"/>
              </w:rPr>
              <w:tab/>
              <w:t>155</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62">
            <w:r>
              <w:rPr>
                <w:webHidden/>
                <w:rStyle w:val="Sautdindex"/>
                <w:rFonts w:cs="Times New Roman"/>
                <w14:scene3d>
                  <w14:camera w14:prst="orthographicFront"/>
                  <w14:lightRig w14:rig="threePt" w14:dir="t">
                    <w14:rot w14:lat="0" w14:lon="0" w14:rev="0"/>
                  </w14:lightRig>
                </w14:scene3d>
              </w:rPr>
              <w:t>5.2.2.</w:t>
            </w:r>
            <w:r>
              <w:rPr>
                <w:rStyle w:val="Sautdindex"/>
                <w:rFonts w:eastAsia="" w:cs="" w:cstheme="minorBidi" w:eastAsiaTheme="minorEastAsia"/>
                <w:i w:val="false"/>
                <w:iCs w:val="false"/>
                <w:sz w:val="22"/>
                <w:szCs w:val="22"/>
              </w:rPr>
              <w:tab/>
            </w:r>
            <w:r>
              <w:rPr>
                <w:rStyle w:val="Sautdindex"/>
              </w:rPr>
              <w:t>Responsable des études et des méthodes d’exécution</w:t>
            </w:r>
            <w:r>
              <w:rPr>
                <w:webHidden/>
              </w:rPr>
              <w:fldChar w:fldCharType="begin"/>
            </w:r>
            <w:r>
              <w:rPr>
                <w:webHidden/>
              </w:rPr>
              <w:instrText>PAGEREF _Toc32334862 \h</w:instrText>
            </w:r>
            <w:r>
              <w:rPr>
                <w:webHidden/>
              </w:rPr>
              <w:fldChar w:fldCharType="separate"/>
            </w:r>
            <w:r>
              <w:rPr>
                <w:rStyle w:val="Sautdindex"/>
                <w:vanish w:val="false"/>
              </w:rPr>
              <w:tab/>
              <w:t>156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63">
            <w:r>
              <w:rPr>
                <w:webHidden/>
                <w:rStyle w:val="Sautdindex"/>
                <w:rFonts w:cs="Times New Roman"/>
                <w14:scene3d>
                  <w14:camera w14:prst="orthographicFront"/>
                  <w14:lightRig w14:rig="threePt" w14:dir="t">
                    <w14:rot w14:lat="0" w14:lon="0" w14:rev="0"/>
                  </w14:lightRig>
                </w14:scene3d>
              </w:rPr>
              <w:t>5.2.3.</w:t>
            </w:r>
            <w:r>
              <w:rPr>
                <w:rStyle w:val="Sautdindex"/>
                <w:rFonts w:eastAsia="" w:cs="" w:cstheme="minorBidi" w:eastAsiaTheme="minorEastAsia"/>
                <w:i w:val="false"/>
                <w:iCs w:val="false"/>
                <w:sz w:val="22"/>
                <w:szCs w:val="22"/>
              </w:rPr>
              <w:tab/>
            </w:r>
            <w:r>
              <w:rPr>
                <w:rStyle w:val="Sautdindex"/>
              </w:rPr>
              <w:t>Réunions d’études</w:t>
            </w:r>
            <w:r>
              <w:rPr>
                <w:webHidden/>
              </w:rPr>
              <w:fldChar w:fldCharType="begin"/>
            </w:r>
            <w:r>
              <w:rPr>
                <w:webHidden/>
              </w:rPr>
              <w:instrText>PAGEREF _Toc32334863 \h</w:instrText>
            </w:r>
            <w:r>
              <w:rPr>
                <w:webHidden/>
              </w:rPr>
              <w:fldChar w:fldCharType="separate"/>
            </w:r>
            <w:r>
              <w:rPr>
                <w:rStyle w:val="Sautdindex"/>
                <w:vanish w:val="false"/>
              </w:rPr>
              <w:tab/>
              <w:t>156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64">
            <w:r>
              <w:rPr>
                <w:webHidden/>
                <w:rStyle w:val="Sautdindex"/>
                <w:rFonts w:cs="Times New Roman"/>
                <w14:scene3d>
                  <w14:camera w14:prst="orthographicFront"/>
                  <w14:lightRig w14:rig="threePt" w14:dir="t">
                    <w14:rot w14:lat="0" w14:lon="0" w14:rev="0"/>
                  </w14:lightRig>
                </w14:scene3d>
              </w:rPr>
              <w:t>5.2.4.</w:t>
            </w:r>
            <w:r>
              <w:rPr>
                <w:rStyle w:val="Sautdindex"/>
                <w:rFonts w:eastAsia="" w:cs="" w:cstheme="minorBidi" w:eastAsiaTheme="minorEastAsia"/>
                <w:i w:val="false"/>
                <w:iCs w:val="false"/>
                <w:sz w:val="22"/>
                <w:szCs w:val="22"/>
              </w:rPr>
              <w:tab/>
            </w:r>
            <w:r>
              <w:rPr>
                <w:rStyle w:val="Sautdindex"/>
              </w:rPr>
              <w:t>Programme des études d’exécution</w:t>
            </w:r>
            <w:r>
              <w:rPr>
                <w:webHidden/>
              </w:rPr>
              <w:fldChar w:fldCharType="begin"/>
            </w:r>
            <w:r>
              <w:rPr>
                <w:webHidden/>
              </w:rPr>
              <w:instrText>PAGEREF _Toc32334864 \h</w:instrText>
            </w:r>
            <w:r>
              <w:rPr>
                <w:webHidden/>
              </w:rPr>
              <w:fldChar w:fldCharType="separate"/>
            </w:r>
            <w:r>
              <w:rPr>
                <w:rStyle w:val="Sautdindex"/>
                <w:vanish w:val="false"/>
              </w:rPr>
              <w:tab/>
              <w:t>156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65">
            <w:r>
              <w:rPr>
                <w:webHidden/>
                <w:rStyle w:val="Sautdindex"/>
                <w:rFonts w:cs="Times New Roman"/>
              </w:rPr>
              <w:t>5.2.4.1.</w:t>
            </w:r>
            <w:r>
              <w:rPr>
                <w:rStyle w:val="Sautdindex"/>
                <w:rFonts w:eastAsia="" w:cs="" w:cstheme="minorBidi" w:eastAsiaTheme="minorEastAsia"/>
                <w:sz w:val="22"/>
                <w:szCs w:val="22"/>
              </w:rPr>
              <w:tab/>
            </w:r>
            <w:r>
              <w:rPr>
                <w:rStyle w:val="Sautdindex"/>
              </w:rPr>
              <w:t>Généralités</w:t>
            </w:r>
            <w:r>
              <w:rPr>
                <w:webHidden/>
              </w:rPr>
              <w:fldChar w:fldCharType="begin"/>
            </w:r>
            <w:r>
              <w:rPr>
                <w:webHidden/>
              </w:rPr>
              <w:instrText>PAGEREF _Toc32334865 \h</w:instrText>
            </w:r>
            <w:r>
              <w:rPr>
                <w:webHidden/>
              </w:rPr>
              <w:fldChar w:fldCharType="separate"/>
            </w:r>
            <w:r>
              <w:rPr>
                <w:rStyle w:val="Sautdindex"/>
                <w:vanish w:val="false"/>
              </w:rPr>
              <w:tab/>
              <w:t>156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66">
            <w:r>
              <w:rPr>
                <w:webHidden/>
                <w:rStyle w:val="Sautdindex"/>
                <w:rFonts w:cs="Times New Roman"/>
              </w:rPr>
              <w:t>5.2.4.2.</w:t>
            </w:r>
            <w:r>
              <w:rPr>
                <w:rStyle w:val="Sautdindex"/>
                <w:rFonts w:eastAsia="" w:cs="" w:cstheme="minorBidi" w:eastAsiaTheme="minorEastAsia"/>
                <w:sz w:val="22"/>
                <w:szCs w:val="22"/>
              </w:rPr>
              <w:tab/>
            </w:r>
            <w:r>
              <w:rPr>
                <w:rStyle w:val="Sautdindex"/>
              </w:rPr>
              <w:t>Phasage des études</w:t>
            </w:r>
            <w:r>
              <w:rPr>
                <w:webHidden/>
              </w:rPr>
              <w:fldChar w:fldCharType="begin"/>
            </w:r>
            <w:r>
              <w:rPr>
                <w:webHidden/>
              </w:rPr>
              <w:instrText>PAGEREF _Toc32334866 \h</w:instrText>
            </w:r>
            <w:r>
              <w:rPr>
                <w:webHidden/>
              </w:rPr>
              <w:fldChar w:fldCharType="separate"/>
            </w:r>
            <w:r>
              <w:rPr>
                <w:rStyle w:val="Sautdindex"/>
                <w:vanish w:val="false"/>
              </w:rPr>
              <w:tab/>
              <w:t>157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67">
            <w:r>
              <w:rPr>
                <w:webHidden/>
                <w:rStyle w:val="Sautdindex"/>
                <w:rFonts w:cs="Times New Roman"/>
                <w14:scene3d>
                  <w14:camera w14:prst="orthographicFront"/>
                  <w14:lightRig w14:rig="threePt" w14:dir="t">
                    <w14:rot w14:lat="0" w14:lon="0" w14:rev="0"/>
                  </w14:lightRig>
                </w14:scene3d>
              </w:rPr>
              <w:t>5.2.5.</w:t>
            </w:r>
            <w:r>
              <w:rPr>
                <w:rStyle w:val="Sautdindex"/>
                <w:rFonts w:eastAsia="" w:cs="" w:cstheme="minorBidi" w:eastAsiaTheme="minorEastAsia"/>
                <w:i w:val="false"/>
                <w:iCs w:val="false"/>
                <w:sz w:val="22"/>
                <w:szCs w:val="22"/>
              </w:rPr>
              <w:tab/>
            </w:r>
            <w:r>
              <w:rPr>
                <w:rStyle w:val="Sautdindex"/>
              </w:rPr>
              <w:t>Gestion des documents</w:t>
            </w:r>
            <w:r>
              <w:rPr>
                <w:webHidden/>
              </w:rPr>
              <w:fldChar w:fldCharType="begin"/>
            </w:r>
            <w:r>
              <w:rPr>
                <w:webHidden/>
              </w:rPr>
              <w:instrText>PAGEREF _Toc32334867 \h</w:instrText>
            </w:r>
            <w:r>
              <w:rPr>
                <w:webHidden/>
              </w:rPr>
              <w:fldChar w:fldCharType="separate"/>
            </w:r>
            <w:r>
              <w:rPr>
                <w:rStyle w:val="Sautdindex"/>
                <w:vanish w:val="false"/>
              </w:rPr>
              <w:tab/>
              <w:t>160</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68">
            <w:r>
              <w:rPr>
                <w:webHidden/>
                <w:rStyle w:val="Sautdindex"/>
                <w:rFonts w:cs="Times New Roman"/>
              </w:rPr>
              <w:t>5.2.5.1.</w:t>
            </w:r>
            <w:r>
              <w:rPr>
                <w:rStyle w:val="Sautdindex"/>
                <w:rFonts w:eastAsia="" w:cs="" w:cstheme="minorBidi" w:eastAsiaTheme="minorEastAsia"/>
                <w:sz w:val="22"/>
                <w:szCs w:val="22"/>
              </w:rPr>
              <w:tab/>
            </w:r>
            <w:r>
              <w:rPr>
                <w:rStyle w:val="Sautdindex"/>
              </w:rPr>
              <w:t>Circulation des documents</w:t>
            </w:r>
            <w:r>
              <w:rPr>
                <w:webHidden/>
              </w:rPr>
              <w:fldChar w:fldCharType="begin"/>
            </w:r>
            <w:r>
              <w:rPr>
                <w:webHidden/>
              </w:rPr>
              <w:instrText>PAGEREF _Toc32334868 \h</w:instrText>
            </w:r>
            <w:r>
              <w:rPr>
                <w:webHidden/>
              </w:rPr>
              <w:fldChar w:fldCharType="separate"/>
            </w:r>
            <w:r>
              <w:rPr>
                <w:rStyle w:val="Sautdindex"/>
                <w:vanish w:val="false"/>
              </w:rPr>
              <w:tab/>
              <w:t>160</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69">
            <w:r>
              <w:rPr>
                <w:webHidden/>
                <w:rStyle w:val="Sautdindex"/>
                <w:rFonts w:cs="Times New Roman"/>
              </w:rPr>
              <w:t>5.2.5.2.</w:t>
            </w:r>
            <w:r>
              <w:rPr>
                <w:rStyle w:val="Sautdindex"/>
                <w:rFonts w:eastAsia="" w:cs="" w:cstheme="minorBidi" w:eastAsiaTheme="minorEastAsia"/>
                <w:sz w:val="22"/>
                <w:szCs w:val="22"/>
              </w:rPr>
              <w:tab/>
            </w:r>
            <w:r>
              <w:rPr>
                <w:rStyle w:val="Sautdindex"/>
              </w:rPr>
              <w:t>Présentation des documents</w:t>
            </w:r>
            <w:r>
              <w:rPr>
                <w:webHidden/>
              </w:rPr>
              <w:fldChar w:fldCharType="begin"/>
            </w:r>
            <w:r>
              <w:rPr>
                <w:webHidden/>
              </w:rPr>
              <w:instrText>PAGEREF _Toc32334869 \h</w:instrText>
            </w:r>
            <w:r>
              <w:rPr>
                <w:webHidden/>
              </w:rPr>
              <w:fldChar w:fldCharType="separate"/>
            </w:r>
            <w:r>
              <w:rPr>
                <w:rStyle w:val="Sautdindex"/>
                <w:vanish w:val="false"/>
              </w:rPr>
              <w:tab/>
              <w:t>161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70">
            <w:r>
              <w:rPr>
                <w:webHidden/>
                <w:rStyle w:val="Sautdindex"/>
                <w:rFonts w:cs="Times New Roman"/>
                <w14:scene3d>
                  <w14:camera w14:prst="orthographicFront"/>
                  <w14:lightRig w14:rig="threePt" w14:dir="t">
                    <w14:rot w14:lat="0" w14:lon="0" w14:rev="0"/>
                  </w14:lightRig>
                </w14:scene3d>
              </w:rPr>
              <w:t>5.2.6.</w:t>
            </w:r>
            <w:r>
              <w:rPr>
                <w:rStyle w:val="Sautdindex"/>
                <w:rFonts w:eastAsia="" w:cs="" w:cstheme="minorBidi" w:eastAsiaTheme="minorEastAsia"/>
                <w:i w:val="false"/>
                <w:iCs w:val="false"/>
                <w:sz w:val="22"/>
                <w:szCs w:val="22"/>
              </w:rPr>
              <w:tab/>
            </w:r>
            <w:r>
              <w:rPr>
                <w:rStyle w:val="Sautdindex"/>
              </w:rPr>
              <w:t>Plan d’Assurance de la Qualité des études</w:t>
            </w:r>
            <w:r>
              <w:rPr>
                <w:webHidden/>
              </w:rPr>
              <w:fldChar w:fldCharType="begin"/>
            </w:r>
            <w:r>
              <w:rPr>
                <w:webHidden/>
              </w:rPr>
              <w:instrText>PAGEREF _Toc32334870 \h</w:instrText>
            </w:r>
            <w:r>
              <w:rPr>
                <w:webHidden/>
              </w:rPr>
              <w:fldChar w:fldCharType="separate"/>
            </w:r>
            <w:r>
              <w:rPr>
                <w:rStyle w:val="Sautdindex"/>
                <w:vanish w:val="false"/>
              </w:rPr>
              <w:tab/>
              <w:t>161</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871">
            <w:r>
              <w:rPr>
                <w:webHidden/>
                <w:rStyle w:val="Sautdindex"/>
                <w:b/>
              </w:rPr>
              <w:t>5.3.</w:t>
            </w:r>
            <w:r>
              <w:rPr>
                <w:rStyle w:val="Sautdindex"/>
                <w:rFonts w:eastAsia="" w:cs="" w:cstheme="minorBidi" w:eastAsiaTheme="minorEastAsia"/>
                <w:caps w:val="false"/>
                <w:smallCaps w:val="false"/>
                <w:sz w:val="22"/>
                <w:szCs w:val="22"/>
              </w:rPr>
              <w:tab/>
            </w:r>
            <w:r>
              <w:rPr>
                <w:rStyle w:val="Sautdindex"/>
              </w:rPr>
              <w:t>Gestion et assurance de la qualité</w:t>
            </w:r>
            <w:r>
              <w:rPr>
                <w:webHidden/>
              </w:rPr>
              <w:fldChar w:fldCharType="begin"/>
            </w:r>
            <w:r>
              <w:rPr>
                <w:webHidden/>
              </w:rPr>
              <w:instrText>PAGEREF _Toc32334871 \h</w:instrText>
            </w:r>
            <w:r>
              <w:rPr>
                <w:webHidden/>
              </w:rPr>
              <w:fldChar w:fldCharType="separate"/>
            </w:r>
            <w:r>
              <w:rPr>
                <w:rStyle w:val="Sautdindex"/>
                <w:vanish w:val="false"/>
              </w:rPr>
              <w:tab/>
              <w:t>162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72">
            <w:r>
              <w:rPr>
                <w:webHidden/>
                <w:rStyle w:val="Sautdindex"/>
                <w:rFonts w:cs="Times New Roman"/>
                <w14:scene3d>
                  <w14:camera w14:prst="orthographicFront"/>
                  <w14:lightRig w14:rig="threePt" w14:dir="t">
                    <w14:rot w14:lat="0" w14:lon="0" w14:rev="0"/>
                  </w14:lightRig>
                </w14:scene3d>
              </w:rPr>
              <w:t>5.3.1.</w:t>
            </w:r>
            <w:r>
              <w:rPr>
                <w:rStyle w:val="Sautdindex"/>
                <w:rFonts w:eastAsia="" w:cs="" w:cstheme="minorBidi" w:eastAsiaTheme="minorEastAsia"/>
                <w:i w:val="false"/>
                <w:iCs w:val="false"/>
                <w:sz w:val="22"/>
                <w:szCs w:val="22"/>
              </w:rPr>
              <w:tab/>
            </w:r>
            <w:r>
              <w:rPr>
                <w:rStyle w:val="Sautdindex"/>
              </w:rPr>
              <w:t>Principes des contrôles de conformité</w:t>
            </w:r>
            <w:r>
              <w:rPr>
                <w:webHidden/>
              </w:rPr>
              <w:fldChar w:fldCharType="begin"/>
            </w:r>
            <w:r>
              <w:rPr>
                <w:webHidden/>
              </w:rPr>
              <w:instrText>PAGEREF _Toc32334872 \h</w:instrText>
            </w:r>
            <w:r>
              <w:rPr>
                <w:webHidden/>
              </w:rPr>
              <w:fldChar w:fldCharType="separate"/>
            </w:r>
            <w:r>
              <w:rPr>
                <w:rStyle w:val="Sautdindex"/>
                <w:vanish w:val="false"/>
              </w:rPr>
              <w:tab/>
              <w:t>162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73">
            <w:r>
              <w:rPr>
                <w:webHidden/>
                <w:rStyle w:val="Sautdindex"/>
                <w:rFonts w:cs="Times New Roman"/>
                <w14:scene3d>
                  <w14:camera w14:prst="orthographicFront"/>
                  <w14:lightRig w14:rig="threePt" w14:dir="t">
                    <w14:rot w14:lat="0" w14:lon="0" w14:rev="0"/>
                  </w14:lightRig>
                </w14:scene3d>
              </w:rPr>
              <w:t>5.3.2.</w:t>
            </w:r>
            <w:r>
              <w:rPr>
                <w:rStyle w:val="Sautdindex"/>
                <w:rFonts w:eastAsia="" w:cs="" w:cstheme="minorBidi" w:eastAsiaTheme="minorEastAsia"/>
                <w:i w:val="false"/>
                <w:iCs w:val="false"/>
                <w:sz w:val="22"/>
                <w:szCs w:val="22"/>
              </w:rPr>
              <w:tab/>
            </w:r>
            <w:r>
              <w:rPr>
                <w:rStyle w:val="Sautdindex"/>
              </w:rPr>
              <w:t>Contrôles intérieurs</w:t>
            </w:r>
            <w:r>
              <w:rPr>
                <w:webHidden/>
              </w:rPr>
              <w:fldChar w:fldCharType="begin"/>
            </w:r>
            <w:r>
              <w:rPr>
                <w:webHidden/>
              </w:rPr>
              <w:instrText>PAGEREF _Toc32334873 \h</w:instrText>
            </w:r>
            <w:r>
              <w:rPr>
                <w:webHidden/>
              </w:rPr>
              <w:fldChar w:fldCharType="separate"/>
            </w:r>
            <w:r>
              <w:rPr>
                <w:rStyle w:val="Sautdindex"/>
                <w:vanish w:val="false"/>
              </w:rPr>
              <w:tab/>
              <w:t>162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74">
            <w:r>
              <w:rPr>
                <w:webHidden/>
                <w:rStyle w:val="Sautdindex"/>
                <w:rFonts w:cs="Times New Roman"/>
              </w:rPr>
              <w:t>5.3.2.1.</w:t>
            </w:r>
            <w:r>
              <w:rPr>
                <w:rStyle w:val="Sautdindex"/>
                <w:rFonts w:eastAsia="" w:cs="" w:cstheme="minorBidi" w:eastAsiaTheme="minorEastAsia"/>
                <w:sz w:val="22"/>
                <w:szCs w:val="22"/>
              </w:rPr>
              <w:tab/>
            </w:r>
            <w:r>
              <w:rPr>
                <w:rStyle w:val="Sautdindex"/>
              </w:rPr>
              <w:t>Contrôles internes</w:t>
            </w:r>
            <w:r>
              <w:rPr>
                <w:webHidden/>
              </w:rPr>
              <w:fldChar w:fldCharType="begin"/>
            </w:r>
            <w:r>
              <w:rPr>
                <w:webHidden/>
              </w:rPr>
              <w:instrText>PAGEREF _Toc32334874 \h</w:instrText>
            </w:r>
            <w:r>
              <w:rPr>
                <w:webHidden/>
              </w:rPr>
              <w:fldChar w:fldCharType="separate"/>
            </w:r>
            <w:r>
              <w:rPr>
                <w:rStyle w:val="Sautdindex"/>
                <w:vanish w:val="false"/>
              </w:rPr>
              <w:tab/>
              <w:t>163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75">
            <w:r>
              <w:rPr>
                <w:webHidden/>
                <w:rStyle w:val="Sautdindex"/>
                <w:rFonts w:cs="Times New Roman"/>
              </w:rPr>
              <w:t>5.3.2.2.</w:t>
            </w:r>
            <w:r>
              <w:rPr>
                <w:rStyle w:val="Sautdindex"/>
                <w:rFonts w:eastAsia="" w:cs="" w:cstheme="minorBidi" w:eastAsiaTheme="minorEastAsia"/>
                <w:sz w:val="22"/>
                <w:szCs w:val="22"/>
              </w:rPr>
              <w:tab/>
            </w:r>
            <w:r>
              <w:rPr>
                <w:rStyle w:val="Sautdindex"/>
              </w:rPr>
              <w:t>Contrôles externes</w:t>
            </w:r>
            <w:r>
              <w:rPr>
                <w:webHidden/>
              </w:rPr>
              <w:fldChar w:fldCharType="begin"/>
            </w:r>
            <w:r>
              <w:rPr>
                <w:webHidden/>
              </w:rPr>
              <w:instrText>PAGEREF _Toc32334875 \h</w:instrText>
            </w:r>
            <w:r>
              <w:rPr>
                <w:webHidden/>
              </w:rPr>
              <w:fldChar w:fldCharType="separate"/>
            </w:r>
            <w:r>
              <w:rPr>
                <w:rStyle w:val="Sautdindex"/>
                <w:vanish w:val="false"/>
              </w:rPr>
              <w:tab/>
              <w:t>163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76">
            <w:r>
              <w:rPr>
                <w:webHidden/>
                <w:rStyle w:val="Sautdindex"/>
                <w:rFonts w:cs="Times New Roman"/>
                <w14:scene3d>
                  <w14:camera w14:prst="orthographicFront"/>
                  <w14:lightRig w14:rig="threePt" w14:dir="t">
                    <w14:rot w14:lat="0" w14:lon="0" w14:rev="0"/>
                  </w14:lightRig>
                </w14:scene3d>
              </w:rPr>
              <w:t>5.3.3.</w:t>
            </w:r>
            <w:r>
              <w:rPr>
                <w:rStyle w:val="Sautdindex"/>
                <w:rFonts w:eastAsia="" w:cs="" w:cstheme="minorBidi" w:eastAsiaTheme="minorEastAsia"/>
                <w:i w:val="false"/>
                <w:iCs w:val="false"/>
                <w:sz w:val="22"/>
                <w:szCs w:val="22"/>
              </w:rPr>
              <w:tab/>
            </w:r>
            <w:r>
              <w:rPr>
                <w:rStyle w:val="Sautdindex"/>
              </w:rPr>
              <w:t>Contrôles extérieurs</w:t>
            </w:r>
            <w:r>
              <w:rPr>
                <w:webHidden/>
              </w:rPr>
              <w:fldChar w:fldCharType="begin"/>
            </w:r>
            <w:r>
              <w:rPr>
                <w:webHidden/>
              </w:rPr>
              <w:instrText>PAGEREF _Toc32334876 \h</w:instrText>
            </w:r>
            <w:r>
              <w:rPr>
                <w:webHidden/>
              </w:rPr>
              <w:fldChar w:fldCharType="separate"/>
            </w:r>
            <w:r>
              <w:rPr>
                <w:rStyle w:val="Sautdindex"/>
                <w:vanish w:val="false"/>
              </w:rPr>
              <w:tab/>
              <w:t>163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77">
            <w:r>
              <w:rPr>
                <w:webHidden/>
                <w:rStyle w:val="Sautdindex"/>
                <w:rFonts w:cs="Times New Roman"/>
                <w14:scene3d>
                  <w14:camera w14:prst="orthographicFront"/>
                  <w14:lightRig w14:rig="threePt" w14:dir="t">
                    <w14:rot w14:lat="0" w14:lon="0" w14:rev="0"/>
                  </w14:lightRig>
                </w14:scene3d>
              </w:rPr>
              <w:t>5.3.4.</w:t>
            </w:r>
            <w:r>
              <w:rPr>
                <w:rStyle w:val="Sautdindex"/>
                <w:rFonts w:eastAsia="" w:cs="" w:cstheme="minorBidi" w:eastAsiaTheme="minorEastAsia"/>
                <w:i w:val="false"/>
                <w:iCs w:val="false"/>
                <w:sz w:val="22"/>
                <w:szCs w:val="22"/>
              </w:rPr>
              <w:tab/>
            </w:r>
            <w:r>
              <w:rPr>
                <w:rStyle w:val="Sautdindex"/>
              </w:rPr>
              <w:t>Responsable de la qualité</w:t>
            </w:r>
            <w:r>
              <w:rPr>
                <w:webHidden/>
              </w:rPr>
              <w:fldChar w:fldCharType="begin"/>
            </w:r>
            <w:r>
              <w:rPr>
                <w:webHidden/>
              </w:rPr>
              <w:instrText>PAGEREF _Toc32334877 \h</w:instrText>
            </w:r>
            <w:r>
              <w:rPr>
                <w:webHidden/>
              </w:rPr>
              <w:fldChar w:fldCharType="separate"/>
            </w:r>
            <w:r>
              <w:rPr>
                <w:rStyle w:val="Sautdindex"/>
                <w:vanish w:val="false"/>
              </w:rPr>
              <w:tab/>
              <w:t>164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78">
            <w:r>
              <w:rPr>
                <w:webHidden/>
                <w:rStyle w:val="Sautdindex"/>
                <w:rFonts w:cs="Times New Roman"/>
                <w14:scene3d>
                  <w14:camera w14:prst="orthographicFront"/>
                  <w14:lightRig w14:rig="threePt" w14:dir="t">
                    <w14:rot w14:lat="0" w14:lon="0" w14:rev="0"/>
                  </w14:lightRig>
                </w14:scene3d>
              </w:rPr>
              <w:t>5.3.5.</w:t>
            </w:r>
            <w:r>
              <w:rPr>
                <w:rStyle w:val="Sautdindex"/>
                <w:rFonts w:eastAsia="" w:cs="" w:cstheme="minorBidi" w:eastAsiaTheme="minorEastAsia"/>
                <w:i w:val="false"/>
                <w:iCs w:val="false"/>
                <w:sz w:val="22"/>
                <w:szCs w:val="22"/>
              </w:rPr>
              <w:tab/>
            </w:r>
            <w:r>
              <w:rPr>
                <w:rStyle w:val="Sautdindex"/>
              </w:rPr>
              <w:t>Plan Général d’Assurance de la Qualité (PAQ)</w:t>
            </w:r>
            <w:r>
              <w:rPr>
                <w:webHidden/>
              </w:rPr>
              <w:fldChar w:fldCharType="begin"/>
            </w:r>
            <w:r>
              <w:rPr>
                <w:webHidden/>
              </w:rPr>
              <w:instrText>PAGEREF _Toc32334878 \h</w:instrText>
            </w:r>
            <w:r>
              <w:rPr>
                <w:webHidden/>
              </w:rPr>
              <w:fldChar w:fldCharType="separate"/>
            </w:r>
            <w:r>
              <w:rPr>
                <w:rStyle w:val="Sautdindex"/>
                <w:vanish w:val="false"/>
              </w:rPr>
              <w:tab/>
              <w:t>164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79">
            <w:r>
              <w:rPr>
                <w:webHidden/>
                <w:rStyle w:val="Sautdindex"/>
                <w:rFonts w:cs="Times New Roman"/>
                <w14:scene3d>
                  <w14:camera w14:prst="orthographicFront"/>
                  <w14:lightRig w14:rig="threePt" w14:dir="t">
                    <w14:rot w14:lat="0" w14:lon="0" w14:rev="0"/>
                  </w14:lightRig>
                </w14:scene3d>
              </w:rPr>
              <w:t>5.3.6.</w:t>
            </w:r>
            <w:r>
              <w:rPr>
                <w:rStyle w:val="Sautdindex"/>
                <w:rFonts w:eastAsia="" w:cs="" w:cstheme="minorBidi" w:eastAsiaTheme="minorEastAsia"/>
                <w:i w:val="false"/>
                <w:iCs w:val="false"/>
                <w:sz w:val="22"/>
                <w:szCs w:val="22"/>
              </w:rPr>
              <w:tab/>
            </w:r>
            <w:r>
              <w:rPr>
                <w:rStyle w:val="Sautdindex"/>
              </w:rPr>
              <w:t>Etablissement du PAQ</w:t>
            </w:r>
            <w:r>
              <w:rPr>
                <w:webHidden/>
              </w:rPr>
              <w:fldChar w:fldCharType="begin"/>
            </w:r>
            <w:r>
              <w:rPr>
                <w:webHidden/>
              </w:rPr>
              <w:instrText>PAGEREF _Toc32334879 \h</w:instrText>
            </w:r>
            <w:r>
              <w:rPr>
                <w:webHidden/>
              </w:rPr>
              <w:fldChar w:fldCharType="separate"/>
            </w:r>
            <w:r>
              <w:rPr>
                <w:rStyle w:val="Sautdindex"/>
                <w:vanish w:val="false"/>
              </w:rPr>
              <w:tab/>
              <w:t>164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80">
            <w:r>
              <w:rPr>
                <w:webHidden/>
                <w:rStyle w:val="Sautdindex"/>
                <w:rFonts w:cs="Times New Roman"/>
                <w14:scene3d>
                  <w14:camera w14:prst="orthographicFront"/>
                  <w14:lightRig w14:rig="threePt" w14:dir="t">
                    <w14:rot w14:lat="0" w14:lon="0" w14:rev="0"/>
                  </w14:lightRig>
                </w14:scene3d>
              </w:rPr>
              <w:t>5.3.7.</w:t>
            </w:r>
            <w:r>
              <w:rPr>
                <w:rStyle w:val="Sautdindex"/>
                <w:rFonts w:eastAsia="" w:cs="" w:cstheme="minorBidi" w:eastAsiaTheme="minorEastAsia"/>
                <w:i w:val="false"/>
                <w:iCs w:val="false"/>
                <w:sz w:val="22"/>
                <w:szCs w:val="22"/>
              </w:rPr>
              <w:tab/>
            </w:r>
            <w:r>
              <w:rPr>
                <w:rStyle w:val="Sautdindex"/>
              </w:rPr>
              <w:t>Consistance du PAQ</w:t>
            </w:r>
            <w:r>
              <w:rPr>
                <w:webHidden/>
              </w:rPr>
              <w:fldChar w:fldCharType="begin"/>
            </w:r>
            <w:r>
              <w:rPr>
                <w:webHidden/>
              </w:rPr>
              <w:instrText>PAGEREF _Toc32334880 \h</w:instrText>
            </w:r>
            <w:r>
              <w:rPr>
                <w:webHidden/>
              </w:rPr>
              <w:fldChar w:fldCharType="separate"/>
            </w:r>
            <w:r>
              <w:rPr>
                <w:rStyle w:val="Sautdindex"/>
                <w:vanish w:val="false"/>
              </w:rPr>
              <w:tab/>
              <w:t>165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81">
            <w:r>
              <w:rPr>
                <w:webHidden/>
                <w:rStyle w:val="Sautdindex"/>
                <w:rFonts w:cs="Times New Roman"/>
              </w:rPr>
              <w:t>5.3.7.1.</w:t>
            </w:r>
            <w:r>
              <w:rPr>
                <w:rStyle w:val="Sautdindex"/>
                <w:rFonts w:eastAsia="" w:cs="" w:cstheme="minorBidi" w:eastAsiaTheme="minorEastAsia"/>
                <w:sz w:val="22"/>
                <w:szCs w:val="22"/>
              </w:rPr>
              <w:tab/>
            </w:r>
            <w:r>
              <w:rPr>
                <w:rStyle w:val="Sautdindex"/>
              </w:rPr>
              <w:t>Situation et consistance des travaux</w:t>
            </w:r>
            <w:r>
              <w:rPr>
                <w:webHidden/>
              </w:rPr>
              <w:fldChar w:fldCharType="begin"/>
            </w:r>
            <w:r>
              <w:rPr>
                <w:webHidden/>
              </w:rPr>
              <w:instrText>PAGEREF _Toc32334881 \h</w:instrText>
            </w:r>
            <w:r>
              <w:rPr>
                <w:webHidden/>
              </w:rPr>
              <w:fldChar w:fldCharType="separate"/>
            </w:r>
            <w:r>
              <w:rPr>
                <w:rStyle w:val="Sautdindex"/>
                <w:vanish w:val="false"/>
              </w:rPr>
              <w:tab/>
              <w:t>165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82">
            <w:r>
              <w:rPr>
                <w:webHidden/>
                <w:rStyle w:val="Sautdindex"/>
                <w:rFonts w:cs="Times New Roman"/>
              </w:rPr>
              <w:t>5.3.7.2.</w:t>
            </w:r>
            <w:r>
              <w:rPr>
                <w:rStyle w:val="Sautdindex"/>
                <w:rFonts w:eastAsia="" w:cs="" w:cstheme="minorBidi" w:eastAsiaTheme="minorEastAsia"/>
                <w:sz w:val="22"/>
                <w:szCs w:val="22"/>
              </w:rPr>
              <w:tab/>
            </w:r>
            <w:r>
              <w:rPr>
                <w:rStyle w:val="Sautdindex"/>
              </w:rPr>
              <w:t>Organisation générale et affectation des tâches</w:t>
            </w:r>
            <w:r>
              <w:rPr>
                <w:webHidden/>
              </w:rPr>
              <w:fldChar w:fldCharType="begin"/>
            </w:r>
            <w:r>
              <w:rPr>
                <w:webHidden/>
              </w:rPr>
              <w:instrText>PAGEREF _Toc32334882 \h</w:instrText>
            </w:r>
            <w:r>
              <w:rPr>
                <w:webHidden/>
              </w:rPr>
              <w:fldChar w:fldCharType="separate"/>
            </w:r>
            <w:r>
              <w:rPr>
                <w:rStyle w:val="Sautdindex"/>
                <w:vanish w:val="false"/>
              </w:rPr>
              <w:tab/>
              <w:t>165</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83">
            <w:r>
              <w:rPr>
                <w:webHidden/>
                <w:rStyle w:val="Sautdindex"/>
                <w:rFonts w:cs="Times New Roman"/>
              </w:rPr>
              <w:t>5.3.7.3.</w:t>
            </w:r>
            <w:r>
              <w:rPr>
                <w:rStyle w:val="Sautdindex"/>
                <w:rFonts w:eastAsia="" w:cs="" w:cstheme="minorBidi" w:eastAsiaTheme="minorEastAsia"/>
                <w:sz w:val="22"/>
                <w:szCs w:val="22"/>
              </w:rPr>
              <w:tab/>
            </w:r>
            <w:r>
              <w:rPr>
                <w:rStyle w:val="Sautdindex"/>
              </w:rPr>
              <w:t>Choix des matériaux et des fournitures</w:t>
            </w:r>
            <w:r>
              <w:rPr>
                <w:webHidden/>
              </w:rPr>
              <w:fldChar w:fldCharType="begin"/>
            </w:r>
            <w:r>
              <w:rPr>
                <w:webHidden/>
              </w:rPr>
              <w:instrText>PAGEREF _Toc32334883 \h</w:instrText>
            </w:r>
            <w:r>
              <w:rPr>
                <w:webHidden/>
              </w:rPr>
              <w:fldChar w:fldCharType="separate"/>
            </w:r>
            <w:r>
              <w:rPr>
                <w:rStyle w:val="Sautdindex"/>
                <w:vanish w:val="false"/>
              </w:rPr>
              <w:tab/>
              <w:t>166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84">
            <w:r>
              <w:rPr>
                <w:webHidden/>
                <w:rStyle w:val="Sautdindex"/>
                <w:rFonts w:cs="Times New Roman"/>
              </w:rPr>
              <w:t>5.3.7.4.</w:t>
            </w:r>
            <w:r>
              <w:rPr>
                <w:rStyle w:val="Sautdindex"/>
                <w:rFonts w:eastAsia="" w:cs="" w:cstheme="minorBidi" w:eastAsiaTheme="minorEastAsia"/>
                <w:sz w:val="22"/>
                <w:szCs w:val="22"/>
              </w:rPr>
              <w:tab/>
            </w:r>
            <w:r>
              <w:rPr>
                <w:rStyle w:val="Sautdindex"/>
              </w:rPr>
              <w:t>Maîtrise des fournisseurs et des sous-traitants</w:t>
            </w:r>
            <w:r>
              <w:rPr>
                <w:webHidden/>
              </w:rPr>
              <w:fldChar w:fldCharType="begin"/>
            </w:r>
            <w:r>
              <w:rPr>
                <w:webHidden/>
              </w:rPr>
              <w:instrText>PAGEREF _Toc32334884 \h</w:instrText>
            </w:r>
            <w:r>
              <w:rPr>
                <w:webHidden/>
              </w:rPr>
              <w:fldChar w:fldCharType="separate"/>
            </w:r>
            <w:r>
              <w:rPr>
                <w:rStyle w:val="Sautdindex"/>
                <w:vanish w:val="false"/>
              </w:rPr>
              <w:tab/>
              <w:t>166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85">
            <w:r>
              <w:rPr>
                <w:webHidden/>
                <w:rStyle w:val="Sautdindex"/>
                <w:rFonts w:cs="Times New Roman"/>
              </w:rPr>
              <w:t>5.3.7.5.</w:t>
            </w:r>
            <w:r>
              <w:rPr>
                <w:rStyle w:val="Sautdindex"/>
                <w:rFonts w:eastAsia="" w:cs="" w:cstheme="minorBidi" w:eastAsiaTheme="minorEastAsia"/>
                <w:sz w:val="22"/>
                <w:szCs w:val="22"/>
              </w:rPr>
              <w:tab/>
            </w:r>
            <w:r>
              <w:rPr>
                <w:rStyle w:val="Sautdindex"/>
              </w:rPr>
              <w:t>Moyens de production</w:t>
            </w:r>
            <w:r>
              <w:rPr>
                <w:webHidden/>
              </w:rPr>
              <w:fldChar w:fldCharType="begin"/>
            </w:r>
            <w:r>
              <w:rPr>
                <w:webHidden/>
              </w:rPr>
              <w:instrText>PAGEREF _Toc32334885 \h</w:instrText>
            </w:r>
            <w:r>
              <w:rPr>
                <w:webHidden/>
              </w:rPr>
              <w:fldChar w:fldCharType="separate"/>
            </w:r>
            <w:r>
              <w:rPr>
                <w:rStyle w:val="Sautdindex"/>
                <w:vanish w:val="false"/>
              </w:rPr>
              <w:tab/>
              <w:t>166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86">
            <w:r>
              <w:rPr>
                <w:webHidden/>
                <w:rStyle w:val="Sautdindex"/>
                <w:rFonts w:cs="Times New Roman"/>
              </w:rPr>
              <w:t>5.3.7.6.</w:t>
            </w:r>
            <w:r>
              <w:rPr>
                <w:rStyle w:val="Sautdindex"/>
                <w:rFonts w:eastAsia="" w:cs="" w:cstheme="minorBidi" w:eastAsiaTheme="minorEastAsia"/>
                <w:sz w:val="22"/>
                <w:szCs w:val="22"/>
              </w:rPr>
              <w:tab/>
            </w:r>
            <w:r>
              <w:rPr>
                <w:rStyle w:val="Sautdindex"/>
              </w:rPr>
              <w:t>Gestion des interfaces</w:t>
            </w:r>
            <w:r>
              <w:rPr>
                <w:webHidden/>
              </w:rPr>
              <w:fldChar w:fldCharType="begin"/>
            </w:r>
            <w:r>
              <w:rPr>
                <w:webHidden/>
              </w:rPr>
              <w:instrText>PAGEREF _Toc32334886 \h</w:instrText>
            </w:r>
            <w:r>
              <w:rPr>
                <w:webHidden/>
              </w:rPr>
              <w:fldChar w:fldCharType="separate"/>
            </w:r>
            <w:r>
              <w:rPr>
                <w:rStyle w:val="Sautdindex"/>
                <w:vanish w:val="false"/>
              </w:rPr>
              <w:tab/>
              <w:t>166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87">
            <w:r>
              <w:rPr>
                <w:webHidden/>
                <w:rStyle w:val="Sautdindex"/>
                <w:rFonts w:cs="Times New Roman"/>
              </w:rPr>
              <w:t>5.3.7.7.</w:t>
            </w:r>
            <w:r>
              <w:rPr>
                <w:rStyle w:val="Sautdindex"/>
                <w:rFonts w:eastAsia="" w:cs="" w:cstheme="minorBidi" w:eastAsiaTheme="minorEastAsia"/>
                <w:sz w:val="22"/>
                <w:szCs w:val="22"/>
              </w:rPr>
              <w:tab/>
            </w:r>
            <w:r>
              <w:rPr>
                <w:rStyle w:val="Sautdindex"/>
              </w:rPr>
              <w:t>Organisation des contrôles</w:t>
            </w:r>
            <w:r>
              <w:rPr>
                <w:webHidden/>
              </w:rPr>
              <w:fldChar w:fldCharType="begin"/>
            </w:r>
            <w:r>
              <w:rPr>
                <w:webHidden/>
              </w:rPr>
              <w:instrText>PAGEREF _Toc32334887 \h</w:instrText>
            </w:r>
            <w:r>
              <w:rPr>
                <w:webHidden/>
              </w:rPr>
              <w:fldChar w:fldCharType="separate"/>
            </w:r>
            <w:r>
              <w:rPr>
                <w:rStyle w:val="Sautdindex"/>
                <w:vanish w:val="false"/>
              </w:rPr>
              <w:tab/>
              <w:t>166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88">
            <w:r>
              <w:rPr>
                <w:webHidden/>
                <w:rStyle w:val="Sautdindex"/>
                <w:rFonts w:cs="Times New Roman"/>
              </w:rPr>
              <w:t>5.3.7.8.</w:t>
            </w:r>
            <w:r>
              <w:rPr>
                <w:rStyle w:val="Sautdindex"/>
                <w:rFonts w:eastAsia="" w:cs="" w:cstheme="minorBidi" w:eastAsiaTheme="minorEastAsia"/>
                <w:sz w:val="22"/>
                <w:szCs w:val="22"/>
              </w:rPr>
              <w:tab/>
            </w:r>
            <w:r>
              <w:rPr>
                <w:rStyle w:val="Sautdindex"/>
              </w:rPr>
              <w:t>Documents de suivi</w:t>
            </w:r>
            <w:r>
              <w:rPr>
                <w:webHidden/>
              </w:rPr>
              <w:fldChar w:fldCharType="begin"/>
            </w:r>
            <w:r>
              <w:rPr>
                <w:webHidden/>
              </w:rPr>
              <w:instrText>PAGEREF _Toc32334888 \h</w:instrText>
            </w:r>
            <w:r>
              <w:rPr>
                <w:webHidden/>
              </w:rPr>
              <w:fldChar w:fldCharType="separate"/>
            </w:r>
            <w:r>
              <w:rPr>
                <w:rStyle w:val="Sautdindex"/>
                <w:vanish w:val="false"/>
              </w:rPr>
              <w:tab/>
              <w:t>166</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89">
            <w:r>
              <w:rPr>
                <w:webHidden/>
                <w:rStyle w:val="Sautdindex"/>
                <w:rFonts w:cs="Times New Roman"/>
              </w:rPr>
              <w:t>5.3.7.9.</w:t>
            </w:r>
            <w:r>
              <w:rPr>
                <w:rStyle w:val="Sautdindex"/>
                <w:rFonts w:eastAsia="" w:cs="" w:cstheme="minorBidi" w:eastAsiaTheme="minorEastAsia"/>
                <w:sz w:val="22"/>
                <w:szCs w:val="22"/>
              </w:rPr>
              <w:tab/>
            </w:r>
            <w:r>
              <w:rPr>
                <w:rStyle w:val="Sautdindex"/>
              </w:rPr>
              <w:t>Modalités d’évaluation</w:t>
            </w:r>
            <w:r>
              <w:rPr>
                <w:webHidden/>
              </w:rPr>
              <w:fldChar w:fldCharType="begin"/>
            </w:r>
            <w:r>
              <w:rPr>
                <w:webHidden/>
              </w:rPr>
              <w:instrText>PAGEREF _Toc32334889 \h</w:instrText>
            </w:r>
            <w:r>
              <w:rPr>
                <w:webHidden/>
              </w:rPr>
              <w:fldChar w:fldCharType="separate"/>
            </w:r>
            <w:r>
              <w:rPr>
                <w:rStyle w:val="Sautdindex"/>
                <w:vanish w:val="false"/>
              </w:rPr>
              <w:tab/>
              <w:t>167</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90">
            <w:r>
              <w:rPr>
                <w:webHidden/>
                <w:rStyle w:val="Sautdindex"/>
                <w:rFonts w:cs="Times New Roman"/>
                <w14:scene3d>
                  <w14:camera w14:prst="orthographicFront"/>
                  <w14:lightRig w14:rig="threePt" w14:dir="t">
                    <w14:rot w14:lat="0" w14:lon="0" w14:rev="0"/>
                  </w14:lightRig>
                </w14:scene3d>
              </w:rPr>
              <w:t>5.3.8.</w:t>
            </w:r>
            <w:r>
              <w:rPr>
                <w:rStyle w:val="Sautdindex"/>
                <w:rFonts w:eastAsia="" w:cs="" w:cstheme="minorBidi" w:eastAsiaTheme="minorEastAsia"/>
                <w:i w:val="false"/>
                <w:iCs w:val="false"/>
                <w:sz w:val="22"/>
                <w:szCs w:val="22"/>
              </w:rPr>
              <w:tab/>
            </w:r>
            <w:r>
              <w:rPr>
                <w:rStyle w:val="Sautdindex"/>
              </w:rPr>
              <w:t>Contrôle de la qualité</w:t>
            </w:r>
            <w:r>
              <w:rPr>
                <w:webHidden/>
              </w:rPr>
              <w:fldChar w:fldCharType="begin"/>
            </w:r>
            <w:r>
              <w:rPr>
                <w:webHidden/>
              </w:rPr>
              <w:instrText>PAGEREF _Toc32334890 \h</w:instrText>
            </w:r>
            <w:r>
              <w:rPr>
                <w:webHidden/>
              </w:rPr>
              <w:fldChar w:fldCharType="separate"/>
            </w:r>
            <w:r>
              <w:rPr>
                <w:rStyle w:val="Sautdindex"/>
                <w:vanish w:val="false"/>
              </w:rPr>
              <w:tab/>
              <w:t>167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91">
            <w:r>
              <w:rPr>
                <w:webHidden/>
                <w:rStyle w:val="Sautdindex"/>
                <w:rFonts w:cs="Times New Roman"/>
              </w:rPr>
              <w:t>5.3.8.1.</w:t>
            </w:r>
            <w:r>
              <w:rPr>
                <w:rStyle w:val="Sautdindex"/>
                <w:rFonts w:eastAsia="" w:cs="" w:cstheme="minorBidi" w:eastAsiaTheme="minorEastAsia"/>
                <w:sz w:val="22"/>
                <w:szCs w:val="22"/>
              </w:rPr>
              <w:tab/>
            </w:r>
            <w:r>
              <w:rPr>
                <w:rStyle w:val="Sautdindex"/>
              </w:rPr>
              <w:t>Organisation de l’assurance de la qualité</w:t>
            </w:r>
            <w:r>
              <w:rPr>
                <w:webHidden/>
              </w:rPr>
              <w:fldChar w:fldCharType="begin"/>
            </w:r>
            <w:r>
              <w:rPr>
                <w:webHidden/>
              </w:rPr>
              <w:instrText>PAGEREF _Toc32334891 \h</w:instrText>
            </w:r>
            <w:r>
              <w:rPr>
                <w:webHidden/>
              </w:rPr>
              <w:fldChar w:fldCharType="separate"/>
            </w:r>
            <w:r>
              <w:rPr>
                <w:rStyle w:val="Sautdindex"/>
                <w:vanish w:val="false"/>
              </w:rPr>
              <w:tab/>
              <w:t>167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92">
            <w:r>
              <w:rPr>
                <w:webHidden/>
                <w:rStyle w:val="Sautdindex"/>
                <w:rFonts w:cs="Times New Roman"/>
              </w:rPr>
              <w:t>5.3.8.2.</w:t>
            </w:r>
            <w:r>
              <w:rPr>
                <w:rStyle w:val="Sautdindex"/>
                <w:rFonts w:eastAsia="" w:cs="" w:cstheme="minorBidi" w:eastAsiaTheme="minorEastAsia"/>
                <w:sz w:val="22"/>
                <w:szCs w:val="22"/>
              </w:rPr>
              <w:tab/>
            </w:r>
            <w:r>
              <w:rPr>
                <w:rStyle w:val="Sautdindex"/>
              </w:rPr>
              <w:t>Contrôle extérieur au producteur</w:t>
            </w:r>
            <w:r>
              <w:rPr>
                <w:webHidden/>
              </w:rPr>
              <w:fldChar w:fldCharType="begin"/>
            </w:r>
            <w:r>
              <w:rPr>
                <w:webHidden/>
              </w:rPr>
              <w:instrText>PAGEREF _Toc32334892 \h</w:instrText>
            </w:r>
            <w:r>
              <w:rPr>
                <w:webHidden/>
              </w:rPr>
              <w:fldChar w:fldCharType="separate"/>
            </w:r>
            <w:r>
              <w:rPr>
                <w:rStyle w:val="Sautdindex"/>
                <w:vanish w:val="false"/>
              </w:rPr>
              <w:tab/>
              <w:t>168</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893">
            <w:r>
              <w:rPr>
                <w:webHidden/>
                <w:rStyle w:val="Sautdindex"/>
                <w:rFonts w:cs="Times New Roman"/>
              </w:rPr>
              <w:t>5.3.8.3.</w:t>
            </w:r>
            <w:r>
              <w:rPr>
                <w:rStyle w:val="Sautdindex"/>
                <w:rFonts w:eastAsia="" w:cs="" w:cstheme="minorBidi" w:eastAsiaTheme="minorEastAsia"/>
                <w:sz w:val="22"/>
                <w:szCs w:val="22"/>
              </w:rPr>
              <w:tab/>
            </w:r>
            <w:r>
              <w:rPr>
                <w:rStyle w:val="Sautdindex"/>
              </w:rPr>
              <w:t>Points critiques – Points d’arrêt</w:t>
            </w:r>
            <w:r>
              <w:rPr>
                <w:webHidden/>
              </w:rPr>
              <w:fldChar w:fldCharType="begin"/>
            </w:r>
            <w:r>
              <w:rPr>
                <w:webHidden/>
              </w:rPr>
              <w:instrText>PAGEREF _Toc32334893 \h</w:instrText>
            </w:r>
            <w:r>
              <w:rPr>
                <w:webHidden/>
              </w:rPr>
              <w:fldChar w:fldCharType="separate"/>
            </w:r>
            <w:r>
              <w:rPr>
                <w:rStyle w:val="Sautdindex"/>
                <w:vanish w:val="false"/>
              </w:rPr>
              <w:tab/>
              <w:t>168</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894">
            <w:r>
              <w:rPr>
                <w:webHidden/>
                <w:rStyle w:val="Sautdindex"/>
                <w:b/>
              </w:rPr>
              <w:t>5.4.</w:t>
            </w:r>
            <w:r>
              <w:rPr>
                <w:rStyle w:val="Sautdindex"/>
                <w:rFonts w:eastAsia="" w:cs="" w:cstheme="minorBidi" w:eastAsiaTheme="minorEastAsia"/>
                <w:caps w:val="false"/>
                <w:smallCaps w:val="false"/>
                <w:sz w:val="22"/>
                <w:szCs w:val="22"/>
              </w:rPr>
              <w:tab/>
            </w:r>
            <w:r>
              <w:rPr>
                <w:rStyle w:val="Sautdindex"/>
              </w:rPr>
              <w:t>Respect de l’environnement</w:t>
            </w:r>
            <w:r>
              <w:rPr>
                <w:webHidden/>
              </w:rPr>
              <w:fldChar w:fldCharType="begin"/>
            </w:r>
            <w:r>
              <w:rPr>
                <w:webHidden/>
              </w:rPr>
              <w:instrText>PAGEREF _Toc32334894 \h</w:instrText>
            </w:r>
            <w:r>
              <w:rPr>
                <w:webHidden/>
              </w:rPr>
              <w:fldChar w:fldCharType="separate"/>
            </w:r>
            <w:r>
              <w:rPr>
                <w:rStyle w:val="Sautdindex"/>
                <w:vanish w:val="false"/>
              </w:rPr>
              <w:tab/>
              <w:t>169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95">
            <w:r>
              <w:rPr>
                <w:webHidden/>
                <w:rStyle w:val="Sautdindex"/>
                <w:rFonts w:cs="Times New Roman"/>
                <w14:scene3d>
                  <w14:camera w14:prst="orthographicFront"/>
                  <w14:lightRig w14:rig="threePt" w14:dir="t">
                    <w14:rot w14:lat="0" w14:lon="0" w14:rev="0"/>
                  </w14:lightRig>
                </w14:scene3d>
              </w:rPr>
              <w:t>5.4.1.</w:t>
            </w:r>
            <w:r>
              <w:rPr>
                <w:rStyle w:val="Sautdindex"/>
                <w:rFonts w:eastAsia="" w:cs="" w:cstheme="minorBidi" w:eastAsiaTheme="minorEastAsia"/>
                <w:i w:val="false"/>
                <w:iCs w:val="false"/>
                <w:sz w:val="22"/>
                <w:szCs w:val="22"/>
              </w:rPr>
              <w:tab/>
            </w:r>
            <w:r>
              <w:rPr>
                <w:rStyle w:val="Sautdindex"/>
              </w:rPr>
              <w:t>SOGED</w:t>
            </w:r>
            <w:r>
              <w:rPr>
                <w:webHidden/>
              </w:rPr>
              <w:fldChar w:fldCharType="begin"/>
            </w:r>
            <w:r>
              <w:rPr>
                <w:webHidden/>
              </w:rPr>
              <w:instrText>PAGEREF _Toc32334895 \h</w:instrText>
            </w:r>
            <w:r>
              <w:rPr>
                <w:webHidden/>
              </w:rPr>
              <w:fldChar w:fldCharType="separate"/>
            </w:r>
            <w:r>
              <w:rPr>
                <w:rStyle w:val="Sautdindex"/>
                <w:vanish w:val="false"/>
              </w:rPr>
              <w:tab/>
              <w:t>169</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896">
            <w:r>
              <w:rPr>
                <w:webHidden/>
                <w:rStyle w:val="Sautdindex"/>
                <w:b/>
              </w:rPr>
              <w:t>5.5.</w:t>
            </w:r>
            <w:r>
              <w:rPr>
                <w:rStyle w:val="Sautdindex"/>
                <w:rFonts w:eastAsia="" w:cs="" w:cstheme="minorBidi" w:eastAsiaTheme="minorEastAsia"/>
                <w:caps w:val="false"/>
                <w:smallCaps w:val="false"/>
                <w:sz w:val="22"/>
                <w:szCs w:val="22"/>
              </w:rPr>
              <w:tab/>
            </w:r>
            <w:r>
              <w:rPr>
                <w:rStyle w:val="Sautdindex"/>
              </w:rPr>
              <w:t>Etat prévisionnel des dépenses</w:t>
            </w:r>
            <w:r>
              <w:rPr>
                <w:webHidden/>
              </w:rPr>
              <w:fldChar w:fldCharType="begin"/>
            </w:r>
            <w:r>
              <w:rPr>
                <w:webHidden/>
              </w:rPr>
              <w:instrText>PAGEREF _Toc32334896 \h</w:instrText>
            </w:r>
            <w:r>
              <w:rPr>
                <w:webHidden/>
              </w:rPr>
              <w:fldChar w:fldCharType="separate"/>
            </w:r>
            <w:r>
              <w:rPr>
                <w:rStyle w:val="Sautdindex"/>
                <w:vanish w:val="false"/>
              </w:rPr>
              <w:tab/>
              <w:t>170</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897">
            <w:r>
              <w:rPr>
                <w:webHidden/>
                <w:rStyle w:val="Sautdindex"/>
                <w:b/>
              </w:rPr>
              <w:t>5.6.</w:t>
            </w:r>
            <w:r>
              <w:rPr>
                <w:rStyle w:val="Sautdindex"/>
                <w:rFonts w:eastAsia="" w:cs="" w:cstheme="minorBidi" w:eastAsiaTheme="minorEastAsia"/>
                <w:caps w:val="false"/>
                <w:smallCaps w:val="false"/>
                <w:sz w:val="22"/>
                <w:szCs w:val="22"/>
              </w:rPr>
              <w:tab/>
            </w:r>
            <w:r>
              <w:rPr>
                <w:rStyle w:val="Sautdindex"/>
              </w:rPr>
              <w:t>Dossier des ouvrages exécutés (récolement)</w:t>
            </w:r>
            <w:r>
              <w:rPr>
                <w:webHidden/>
              </w:rPr>
              <w:fldChar w:fldCharType="begin"/>
            </w:r>
            <w:r>
              <w:rPr>
                <w:webHidden/>
              </w:rPr>
              <w:instrText>PAGEREF _Toc32334897 \h</w:instrText>
            </w:r>
            <w:r>
              <w:rPr>
                <w:webHidden/>
              </w:rPr>
              <w:fldChar w:fldCharType="separate"/>
            </w:r>
            <w:r>
              <w:rPr>
                <w:rStyle w:val="Sautdindex"/>
                <w:vanish w:val="false"/>
              </w:rPr>
              <w:tab/>
              <w:t>170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98">
            <w:r>
              <w:rPr>
                <w:webHidden/>
                <w:rStyle w:val="Sautdindex"/>
                <w:rFonts w:cs="Times New Roman"/>
                <w14:scene3d>
                  <w14:camera w14:prst="orthographicFront"/>
                  <w14:lightRig w14:rig="threePt" w14:dir="t">
                    <w14:rot w14:lat="0" w14:lon="0" w14:rev="0"/>
                  </w14:lightRig>
                </w14:scene3d>
              </w:rPr>
              <w:t>5.6.1.</w:t>
            </w:r>
            <w:r>
              <w:rPr>
                <w:rStyle w:val="Sautdindex"/>
                <w:rFonts w:eastAsia="" w:cs="" w:cstheme="minorBidi" w:eastAsiaTheme="minorEastAsia"/>
                <w:i w:val="false"/>
                <w:iCs w:val="false"/>
                <w:sz w:val="22"/>
                <w:szCs w:val="22"/>
              </w:rPr>
              <w:tab/>
            </w:r>
            <w:r>
              <w:rPr>
                <w:rStyle w:val="Sautdindex"/>
              </w:rPr>
              <w:t>Formes du dossier des ouvrages exécutés</w:t>
            </w:r>
            <w:r>
              <w:rPr>
                <w:webHidden/>
              </w:rPr>
              <w:fldChar w:fldCharType="begin"/>
            </w:r>
            <w:r>
              <w:rPr>
                <w:webHidden/>
              </w:rPr>
              <w:instrText>PAGEREF _Toc32334898 \h</w:instrText>
            </w:r>
            <w:r>
              <w:rPr>
                <w:webHidden/>
              </w:rPr>
              <w:fldChar w:fldCharType="separate"/>
            </w:r>
            <w:r>
              <w:rPr>
                <w:rStyle w:val="Sautdindex"/>
                <w:vanish w:val="false"/>
              </w:rPr>
              <w:tab/>
              <w:t>170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899">
            <w:r>
              <w:rPr>
                <w:webHidden/>
                <w:rStyle w:val="Sautdindex"/>
                <w:rFonts w:cs="Times New Roman"/>
                <w14:scene3d>
                  <w14:camera w14:prst="orthographicFront"/>
                  <w14:lightRig w14:rig="threePt" w14:dir="t">
                    <w14:rot w14:lat="0" w14:lon="0" w14:rev="0"/>
                  </w14:lightRig>
                </w14:scene3d>
              </w:rPr>
              <w:t>5.6.2.</w:t>
            </w:r>
            <w:r>
              <w:rPr>
                <w:rStyle w:val="Sautdindex"/>
                <w:rFonts w:eastAsia="" w:cs="" w:cstheme="minorBidi" w:eastAsiaTheme="minorEastAsia"/>
                <w:i w:val="false"/>
                <w:iCs w:val="false"/>
                <w:sz w:val="22"/>
                <w:szCs w:val="22"/>
              </w:rPr>
              <w:tab/>
            </w:r>
            <w:r>
              <w:rPr>
                <w:rStyle w:val="Sautdindex"/>
              </w:rPr>
              <w:t>Décomposition du DOE provisoire ou définitif</w:t>
            </w:r>
            <w:r>
              <w:rPr>
                <w:webHidden/>
              </w:rPr>
              <w:fldChar w:fldCharType="begin"/>
            </w:r>
            <w:r>
              <w:rPr>
                <w:webHidden/>
              </w:rPr>
              <w:instrText>PAGEREF _Toc32334899 \h</w:instrText>
            </w:r>
            <w:r>
              <w:rPr>
                <w:webHidden/>
              </w:rPr>
              <w:fldChar w:fldCharType="separate"/>
            </w:r>
            <w:r>
              <w:rPr>
                <w:rStyle w:val="Sautdindex"/>
                <w:vanish w:val="false"/>
              </w:rPr>
              <w:tab/>
              <w:t>170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00">
            <w:r>
              <w:rPr>
                <w:webHidden/>
                <w:rStyle w:val="Sautdindex"/>
                <w:rFonts w:cs="Times New Roman"/>
                <w14:scene3d>
                  <w14:camera w14:prst="orthographicFront"/>
                  <w14:lightRig w14:rig="threePt" w14:dir="t">
                    <w14:rot w14:lat="0" w14:lon="0" w14:rev="0"/>
                  </w14:lightRig>
                </w14:scene3d>
              </w:rPr>
              <w:t>5.6.3.</w:t>
            </w:r>
            <w:r>
              <w:rPr>
                <w:rStyle w:val="Sautdindex"/>
                <w:rFonts w:eastAsia="" w:cs="" w:cstheme="minorBidi" w:eastAsiaTheme="minorEastAsia"/>
                <w:i w:val="false"/>
                <w:iCs w:val="false"/>
                <w:sz w:val="22"/>
                <w:szCs w:val="22"/>
              </w:rPr>
              <w:tab/>
            </w:r>
            <w:r>
              <w:rPr>
                <w:rStyle w:val="Sautdindex"/>
              </w:rPr>
              <w:t>Méthodologie de réalisation du DOE et d’intégration de la codification DIRIF</w:t>
            </w:r>
            <w:r>
              <w:rPr>
                <w:webHidden/>
              </w:rPr>
              <w:fldChar w:fldCharType="begin"/>
            </w:r>
            <w:r>
              <w:rPr>
                <w:webHidden/>
              </w:rPr>
              <w:instrText>PAGEREF _Toc32334900 \h</w:instrText>
            </w:r>
            <w:r>
              <w:rPr>
                <w:webHidden/>
              </w:rPr>
              <w:fldChar w:fldCharType="separate"/>
            </w:r>
            <w:r>
              <w:rPr>
                <w:rStyle w:val="Sautdindex"/>
                <w:vanish w:val="false"/>
              </w:rPr>
              <w:tab/>
              <w:t>172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01">
            <w:r>
              <w:rPr>
                <w:webHidden/>
                <w:rStyle w:val="Sautdindex"/>
                <w:rFonts w:cs="Times New Roman"/>
                <w14:scene3d>
                  <w14:camera w14:prst="orthographicFront"/>
                  <w14:lightRig w14:rig="threePt" w14:dir="t">
                    <w14:rot w14:lat="0" w14:lon="0" w14:rev="0"/>
                  </w14:lightRig>
                </w14:scene3d>
              </w:rPr>
              <w:t>5.6.4.</w:t>
            </w:r>
            <w:r>
              <w:rPr>
                <w:rStyle w:val="Sautdindex"/>
                <w:rFonts w:eastAsia="" w:cs="" w:cstheme="minorBidi" w:eastAsiaTheme="minorEastAsia"/>
                <w:i w:val="false"/>
                <w:iCs w:val="false"/>
                <w:sz w:val="22"/>
                <w:szCs w:val="22"/>
              </w:rPr>
              <w:tab/>
            </w:r>
            <w:r>
              <w:rPr>
                <w:rStyle w:val="Sautdindex"/>
              </w:rPr>
              <w:t>Contenu du DOE</w:t>
            </w:r>
            <w:r>
              <w:rPr>
                <w:webHidden/>
              </w:rPr>
              <w:fldChar w:fldCharType="begin"/>
            </w:r>
            <w:r>
              <w:rPr>
                <w:webHidden/>
              </w:rPr>
              <w:instrText>PAGEREF _Toc32334901 \h</w:instrText>
            </w:r>
            <w:r>
              <w:rPr>
                <w:webHidden/>
              </w:rPr>
              <w:fldChar w:fldCharType="separate"/>
            </w:r>
            <w:r>
              <w:rPr>
                <w:rStyle w:val="Sautdindex"/>
                <w:vanish w:val="false"/>
              </w:rPr>
              <w:tab/>
              <w:t>173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02">
            <w:r>
              <w:rPr>
                <w:webHidden/>
                <w:rStyle w:val="Sautdindex"/>
                <w:rFonts w:cs="Times New Roman"/>
                <w14:scene3d>
                  <w14:camera w14:prst="orthographicFront"/>
                  <w14:lightRig w14:rig="threePt" w14:dir="t">
                    <w14:rot w14:lat="0" w14:lon="0" w14:rev="0"/>
                  </w14:lightRig>
                </w14:scene3d>
              </w:rPr>
              <w:t>5.6.5.</w:t>
            </w:r>
            <w:r>
              <w:rPr>
                <w:rStyle w:val="Sautdindex"/>
                <w:rFonts w:eastAsia="" w:cs="" w:cstheme="minorBidi" w:eastAsiaTheme="minorEastAsia"/>
                <w:i w:val="false"/>
                <w:iCs w:val="false"/>
                <w:sz w:val="22"/>
                <w:szCs w:val="22"/>
              </w:rPr>
              <w:tab/>
            </w:r>
            <w:r>
              <w:rPr>
                <w:rStyle w:val="Sautdindex"/>
              </w:rPr>
              <w:t>Notices techniques d’utilisation et d’exploitation</w:t>
            </w:r>
            <w:r>
              <w:rPr>
                <w:webHidden/>
              </w:rPr>
              <w:fldChar w:fldCharType="begin"/>
            </w:r>
            <w:r>
              <w:rPr>
                <w:webHidden/>
              </w:rPr>
              <w:instrText>PAGEREF _Toc32334902 \h</w:instrText>
            </w:r>
            <w:r>
              <w:rPr>
                <w:webHidden/>
              </w:rPr>
              <w:fldChar w:fldCharType="separate"/>
            </w:r>
            <w:r>
              <w:rPr>
                <w:rStyle w:val="Sautdindex"/>
                <w:vanish w:val="false"/>
              </w:rPr>
              <w:tab/>
              <w:t>174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03">
            <w:r>
              <w:rPr>
                <w:webHidden/>
                <w:rStyle w:val="Sautdindex"/>
                <w:rFonts w:cs="Times New Roman"/>
                <w14:scene3d>
                  <w14:camera w14:prst="orthographicFront"/>
                  <w14:lightRig w14:rig="threePt" w14:dir="t">
                    <w14:rot w14:lat="0" w14:lon="0" w14:rev="0"/>
                  </w14:lightRig>
                </w14:scene3d>
              </w:rPr>
              <w:t>5.6.6.</w:t>
            </w:r>
            <w:r>
              <w:rPr>
                <w:rStyle w:val="Sautdindex"/>
                <w:rFonts w:eastAsia="" w:cs="" w:cstheme="minorBidi" w:eastAsiaTheme="minorEastAsia"/>
                <w:i w:val="false"/>
                <w:iCs w:val="false"/>
                <w:sz w:val="22"/>
                <w:szCs w:val="22"/>
              </w:rPr>
              <w:tab/>
            </w:r>
            <w:r>
              <w:rPr>
                <w:rStyle w:val="Sautdindex"/>
              </w:rPr>
              <w:t>Notices techniques d’entretiens, de maintenance et de dépannage</w:t>
            </w:r>
            <w:r>
              <w:rPr>
                <w:webHidden/>
              </w:rPr>
              <w:fldChar w:fldCharType="begin"/>
            </w:r>
            <w:r>
              <w:rPr>
                <w:webHidden/>
              </w:rPr>
              <w:instrText>PAGEREF _Toc32334903 \h</w:instrText>
            </w:r>
            <w:r>
              <w:rPr>
                <w:webHidden/>
              </w:rPr>
              <w:fldChar w:fldCharType="separate"/>
            </w:r>
            <w:r>
              <w:rPr>
                <w:rStyle w:val="Sautdindex"/>
                <w:vanish w:val="false"/>
              </w:rPr>
              <w:tab/>
              <w:t>175</w:t>
            </w:r>
            <w:r>
              <w:rPr>
                <w:webHidden/>
              </w:rPr>
              <w:fldChar w:fldCharType="end"/>
            </w:r>
          </w:hyperlink>
        </w:p>
        <w:p>
          <w:pPr>
            <w:pStyle w:val="Tabledesmatiresniveau1"/>
            <w:tabs>
              <w:tab w:val="clear" w:pos="708"/>
              <w:tab w:val="left" w:pos="400" w:leader="none"/>
              <w:tab w:val="right" w:pos="9629" w:leader="dot"/>
            </w:tabs>
            <w:rPr>
              <w:rFonts w:eastAsia="" w:cs="" w:cstheme="minorBidi" w:eastAsiaTheme="minorEastAsia"/>
              <w:b w:val="false"/>
              <w:b w:val="false"/>
              <w:bCs w:val="false"/>
              <w:caps w:val="false"/>
              <w:smallCaps w:val="false"/>
              <w:sz w:val="22"/>
              <w:szCs w:val="22"/>
            </w:rPr>
          </w:pPr>
          <w:hyperlink w:anchor="_Toc32334904">
            <w:r>
              <w:rPr>
                <w:webHidden/>
                <w:rStyle w:val="Sautdindex"/>
                <w:rFonts w:cs="Times New Roman"/>
              </w:rPr>
              <w:t>6.</w:t>
            </w:r>
            <w:r>
              <w:rPr>
                <w:rStyle w:val="Sautdindex"/>
                <w:rFonts w:eastAsia="" w:cs="" w:cstheme="minorBidi" w:eastAsiaTheme="minorEastAsia"/>
                <w:b w:val="false"/>
                <w:bCs w:val="false"/>
                <w:caps w:val="false"/>
                <w:smallCaps w:val="false"/>
                <w:sz w:val="22"/>
                <w:szCs w:val="22"/>
              </w:rPr>
              <w:tab/>
            </w:r>
            <w:r>
              <w:rPr>
                <w:rStyle w:val="Sautdindex"/>
              </w:rPr>
              <w:t>essais</w:t>
            </w:r>
            <w:r>
              <w:rPr>
                <w:webHidden/>
              </w:rPr>
              <w:fldChar w:fldCharType="begin"/>
            </w:r>
            <w:r>
              <w:rPr>
                <w:webHidden/>
              </w:rPr>
              <w:instrText>PAGEREF _Toc32334904 \h</w:instrText>
            </w:r>
            <w:r>
              <w:rPr>
                <w:webHidden/>
              </w:rPr>
              <w:fldChar w:fldCharType="separate"/>
            </w:r>
            <w:r>
              <w:rPr>
                <w:rStyle w:val="Sautdindex"/>
                <w:vanish w:val="false"/>
              </w:rPr>
              <w:tab/>
              <w:t>176</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05">
            <w:r>
              <w:rPr>
                <w:webHidden/>
                <w:rStyle w:val="Sautdindex"/>
                <w:b/>
              </w:rPr>
              <w:t>6.1.</w:t>
            </w:r>
            <w:r>
              <w:rPr>
                <w:rStyle w:val="Sautdindex"/>
                <w:rFonts w:eastAsia="" w:cs="" w:cstheme="minorBidi" w:eastAsiaTheme="minorEastAsia"/>
                <w:caps w:val="false"/>
                <w:smallCaps w:val="false"/>
                <w:sz w:val="22"/>
                <w:szCs w:val="22"/>
              </w:rPr>
              <w:tab/>
            </w:r>
            <w:r>
              <w:rPr>
                <w:rStyle w:val="Sautdindex"/>
              </w:rPr>
              <w:t>Dispositions générales</w:t>
            </w:r>
            <w:r>
              <w:rPr>
                <w:webHidden/>
              </w:rPr>
              <w:fldChar w:fldCharType="begin"/>
            </w:r>
            <w:r>
              <w:rPr>
                <w:webHidden/>
              </w:rPr>
              <w:instrText>PAGEREF _Toc32334905 \h</w:instrText>
            </w:r>
            <w:r>
              <w:rPr>
                <w:webHidden/>
              </w:rPr>
              <w:fldChar w:fldCharType="separate"/>
            </w:r>
            <w:r>
              <w:rPr>
                <w:rStyle w:val="Sautdindex"/>
                <w:vanish w:val="false"/>
              </w:rPr>
              <w:tab/>
              <w:t>176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06">
            <w:r>
              <w:rPr>
                <w:webHidden/>
                <w:rStyle w:val="Sautdindex"/>
                <w:rFonts w:cs="Times New Roman"/>
                <w14:scene3d>
                  <w14:camera w14:prst="orthographicFront"/>
                  <w14:lightRig w14:rig="threePt" w14:dir="t">
                    <w14:rot w14:lat="0" w14:lon="0" w14:rev="0"/>
                  </w14:lightRig>
                </w14:scene3d>
              </w:rPr>
              <w:t>6.1.1.</w:t>
            </w:r>
            <w:r>
              <w:rPr>
                <w:rStyle w:val="Sautdindex"/>
                <w:rFonts w:eastAsia="" w:cs="" w:cstheme="minorBidi" w:eastAsiaTheme="minorEastAsia"/>
                <w:i w:val="false"/>
                <w:iCs w:val="false"/>
                <w:sz w:val="22"/>
                <w:szCs w:val="22"/>
              </w:rPr>
              <w:tab/>
            </w:r>
            <w:r>
              <w:rPr>
                <w:rStyle w:val="Sautdindex"/>
              </w:rPr>
              <w:t>Préparation des essais et rédaction des documents d’essais</w:t>
            </w:r>
            <w:r>
              <w:rPr>
                <w:webHidden/>
              </w:rPr>
              <w:fldChar w:fldCharType="begin"/>
            </w:r>
            <w:r>
              <w:rPr>
                <w:webHidden/>
              </w:rPr>
              <w:instrText>PAGEREF _Toc32334906 \h</w:instrText>
            </w:r>
            <w:r>
              <w:rPr>
                <w:webHidden/>
              </w:rPr>
              <w:fldChar w:fldCharType="separate"/>
            </w:r>
            <w:r>
              <w:rPr>
                <w:rStyle w:val="Sautdindex"/>
                <w:vanish w:val="false"/>
              </w:rPr>
              <w:tab/>
              <w:t>176</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07">
            <w:r>
              <w:rPr>
                <w:webHidden/>
                <w:rStyle w:val="Sautdindex"/>
                <w:rFonts w:cs="Times New Roman"/>
                <w14:scene3d>
                  <w14:camera w14:prst="orthographicFront"/>
                  <w14:lightRig w14:rig="threePt" w14:dir="t">
                    <w14:rot w14:lat="0" w14:lon="0" w14:rev="0"/>
                  </w14:lightRig>
                </w14:scene3d>
              </w:rPr>
              <w:t>6.1.2.</w:t>
            </w:r>
            <w:r>
              <w:rPr>
                <w:rStyle w:val="Sautdindex"/>
                <w:rFonts w:eastAsia="" w:cs="" w:cstheme="minorBidi" w:eastAsiaTheme="minorEastAsia"/>
                <w:i w:val="false"/>
                <w:iCs w:val="false"/>
                <w:sz w:val="22"/>
                <w:szCs w:val="22"/>
              </w:rPr>
              <w:tab/>
            </w:r>
            <w:r>
              <w:rPr>
                <w:rStyle w:val="Sautdindex"/>
              </w:rPr>
              <w:t>Conditions d'environnement</w:t>
            </w:r>
            <w:r>
              <w:rPr>
                <w:webHidden/>
              </w:rPr>
              <w:fldChar w:fldCharType="begin"/>
            </w:r>
            <w:r>
              <w:rPr>
                <w:webHidden/>
              </w:rPr>
              <w:instrText>PAGEREF _Toc32334907 \h</w:instrText>
            </w:r>
            <w:r>
              <w:rPr>
                <w:webHidden/>
              </w:rPr>
              <w:fldChar w:fldCharType="separate"/>
            </w:r>
            <w:r>
              <w:rPr>
                <w:rStyle w:val="Sautdindex"/>
                <w:vanish w:val="false"/>
              </w:rPr>
              <w:tab/>
              <w:t>177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908">
            <w:r>
              <w:rPr>
                <w:webHidden/>
                <w:rStyle w:val="Sautdindex"/>
                <w:rFonts w:cs="Times New Roman"/>
              </w:rPr>
              <w:t>6.1.2.1.</w:t>
            </w:r>
            <w:r>
              <w:rPr>
                <w:rStyle w:val="Sautdindex"/>
                <w:rFonts w:eastAsia="" w:cs="" w:cstheme="minorBidi" w:eastAsiaTheme="minorEastAsia"/>
                <w:sz w:val="22"/>
                <w:szCs w:val="22"/>
              </w:rPr>
              <w:tab/>
            </w:r>
            <w:r>
              <w:rPr>
                <w:rStyle w:val="Sautdindex"/>
              </w:rPr>
              <w:t>Essais en fonctionnement normal</w:t>
            </w:r>
            <w:r>
              <w:rPr>
                <w:webHidden/>
              </w:rPr>
              <w:fldChar w:fldCharType="begin"/>
            </w:r>
            <w:r>
              <w:rPr>
                <w:webHidden/>
              </w:rPr>
              <w:instrText>PAGEREF _Toc32334908 \h</w:instrText>
            </w:r>
            <w:r>
              <w:rPr>
                <w:webHidden/>
              </w:rPr>
              <w:fldChar w:fldCharType="separate"/>
            </w:r>
            <w:r>
              <w:rPr>
                <w:rStyle w:val="Sautdindex"/>
                <w:vanish w:val="false"/>
              </w:rPr>
              <w:tab/>
              <w:t>177</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909">
            <w:r>
              <w:rPr>
                <w:webHidden/>
                <w:rStyle w:val="Sautdindex"/>
                <w:rFonts w:cs="Times New Roman"/>
              </w:rPr>
              <w:t>6.1.2.2.</w:t>
            </w:r>
            <w:r>
              <w:rPr>
                <w:rStyle w:val="Sautdindex"/>
                <w:rFonts w:eastAsia="" w:cs="" w:cstheme="minorBidi" w:eastAsiaTheme="minorEastAsia"/>
                <w:sz w:val="22"/>
                <w:szCs w:val="22"/>
              </w:rPr>
              <w:tab/>
            </w:r>
            <w:r>
              <w:rPr>
                <w:rStyle w:val="Sautdindex"/>
              </w:rPr>
              <w:t>Vérification du comportement du système lors de défaillance</w:t>
            </w:r>
            <w:r>
              <w:rPr>
                <w:webHidden/>
              </w:rPr>
              <w:fldChar w:fldCharType="begin"/>
            </w:r>
            <w:r>
              <w:rPr>
                <w:webHidden/>
              </w:rPr>
              <w:instrText>PAGEREF _Toc32334909 \h</w:instrText>
            </w:r>
            <w:r>
              <w:rPr>
                <w:webHidden/>
              </w:rPr>
              <w:fldChar w:fldCharType="separate"/>
            </w:r>
            <w:r>
              <w:rPr>
                <w:rStyle w:val="Sautdindex"/>
                <w:vanish w:val="false"/>
              </w:rPr>
              <w:tab/>
              <w:t>178</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910">
            <w:r>
              <w:rPr>
                <w:webHidden/>
                <w:rStyle w:val="Sautdindex"/>
                <w:rFonts w:cs="Times New Roman"/>
              </w:rPr>
              <w:t>6.1.2.3.</w:t>
            </w:r>
            <w:r>
              <w:rPr>
                <w:rStyle w:val="Sautdindex"/>
                <w:rFonts w:eastAsia="" w:cs="" w:cstheme="minorBidi" w:eastAsiaTheme="minorEastAsia"/>
                <w:sz w:val="22"/>
                <w:szCs w:val="22"/>
              </w:rPr>
              <w:tab/>
            </w:r>
            <w:r>
              <w:rPr>
                <w:rStyle w:val="Sautdindex"/>
              </w:rPr>
              <w:t>Vérification systématiques</w:t>
            </w:r>
            <w:r>
              <w:rPr>
                <w:webHidden/>
              </w:rPr>
              <w:fldChar w:fldCharType="begin"/>
            </w:r>
            <w:r>
              <w:rPr>
                <w:webHidden/>
              </w:rPr>
              <w:instrText>PAGEREF _Toc32334910 \h</w:instrText>
            </w:r>
            <w:r>
              <w:rPr>
                <w:webHidden/>
              </w:rPr>
              <w:fldChar w:fldCharType="separate"/>
            </w:r>
            <w:r>
              <w:rPr>
                <w:rStyle w:val="Sautdindex"/>
                <w:vanish w:val="false"/>
              </w:rPr>
              <w:tab/>
              <w:t>178</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11">
            <w:r>
              <w:rPr>
                <w:webHidden/>
                <w:rStyle w:val="Sautdindex"/>
                <w:b/>
              </w:rPr>
              <w:t>6.2.</w:t>
            </w:r>
            <w:r>
              <w:rPr>
                <w:rStyle w:val="Sautdindex"/>
                <w:rFonts w:eastAsia="" w:cs="" w:cstheme="minorBidi" w:eastAsiaTheme="minorEastAsia"/>
                <w:caps w:val="false"/>
                <w:smallCaps w:val="false"/>
                <w:sz w:val="22"/>
                <w:szCs w:val="22"/>
              </w:rPr>
              <w:tab/>
            </w:r>
            <w:r>
              <w:rPr>
                <w:rStyle w:val="Sautdindex"/>
              </w:rPr>
              <w:t>Essais usine</w:t>
            </w:r>
            <w:r>
              <w:rPr>
                <w:webHidden/>
              </w:rPr>
              <w:fldChar w:fldCharType="begin"/>
            </w:r>
            <w:r>
              <w:rPr>
                <w:webHidden/>
              </w:rPr>
              <w:instrText>PAGEREF _Toc32334911 \h</w:instrText>
            </w:r>
            <w:r>
              <w:rPr>
                <w:webHidden/>
              </w:rPr>
              <w:fldChar w:fldCharType="separate"/>
            </w:r>
            <w:r>
              <w:rPr>
                <w:rStyle w:val="Sautdindex"/>
                <w:vanish w:val="false"/>
              </w:rPr>
              <w:tab/>
              <w:t>178</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12">
            <w:r>
              <w:rPr>
                <w:webHidden/>
                <w:rStyle w:val="Sautdindex"/>
                <w:b/>
              </w:rPr>
              <w:t>6.3.</w:t>
            </w:r>
            <w:r>
              <w:rPr>
                <w:rStyle w:val="Sautdindex"/>
                <w:rFonts w:eastAsia="" w:cs="" w:cstheme="minorBidi" w:eastAsiaTheme="minorEastAsia"/>
                <w:caps w:val="false"/>
                <w:smallCaps w:val="false"/>
                <w:sz w:val="22"/>
                <w:szCs w:val="22"/>
              </w:rPr>
              <w:tab/>
            </w:r>
            <w:r>
              <w:rPr>
                <w:rStyle w:val="Sautdindex"/>
              </w:rPr>
              <w:t>Opérations préalables à la réception</w:t>
            </w:r>
            <w:r>
              <w:rPr>
                <w:webHidden/>
              </w:rPr>
              <w:fldChar w:fldCharType="begin"/>
            </w:r>
            <w:r>
              <w:rPr>
                <w:webHidden/>
              </w:rPr>
              <w:instrText>PAGEREF _Toc32334912 \h</w:instrText>
            </w:r>
            <w:r>
              <w:rPr>
                <w:webHidden/>
              </w:rPr>
              <w:fldChar w:fldCharType="separate"/>
            </w:r>
            <w:r>
              <w:rPr>
                <w:rStyle w:val="Sautdindex"/>
                <w:vanish w:val="false"/>
              </w:rPr>
              <w:tab/>
              <w:t>179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13">
            <w:r>
              <w:rPr>
                <w:webHidden/>
                <w:rStyle w:val="Sautdindex"/>
                <w:rFonts w:cs="Times New Roman"/>
                <w14:scene3d>
                  <w14:camera w14:prst="orthographicFront"/>
                  <w14:lightRig w14:rig="threePt" w14:dir="t">
                    <w14:rot w14:lat="0" w14:lon="0" w14:rev="0"/>
                  </w14:lightRig>
                </w14:scene3d>
              </w:rPr>
              <w:t>6.3.1.</w:t>
            </w:r>
            <w:r>
              <w:rPr>
                <w:rStyle w:val="Sautdindex"/>
                <w:rFonts w:eastAsia="" w:cs="" w:cstheme="minorBidi" w:eastAsiaTheme="minorEastAsia"/>
                <w:i w:val="false"/>
                <w:iCs w:val="false"/>
                <w:sz w:val="22"/>
                <w:szCs w:val="22"/>
              </w:rPr>
              <w:tab/>
            </w:r>
            <w:r>
              <w:rPr>
                <w:rStyle w:val="Sautdindex"/>
              </w:rPr>
              <w:t>Epreuves générales</w:t>
            </w:r>
            <w:r>
              <w:rPr>
                <w:webHidden/>
              </w:rPr>
              <w:fldChar w:fldCharType="begin"/>
            </w:r>
            <w:r>
              <w:rPr>
                <w:webHidden/>
              </w:rPr>
              <w:instrText>PAGEREF _Toc32334913 \h</w:instrText>
            </w:r>
            <w:r>
              <w:rPr>
                <w:webHidden/>
              </w:rPr>
              <w:fldChar w:fldCharType="separate"/>
            </w:r>
            <w:r>
              <w:rPr>
                <w:rStyle w:val="Sautdindex"/>
                <w:vanish w:val="false"/>
              </w:rPr>
              <w:tab/>
              <w:t>179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14">
            <w:r>
              <w:rPr>
                <w:webHidden/>
                <w:rStyle w:val="Sautdindex"/>
                <w:rFonts w:cs="Times New Roman"/>
                <w14:scene3d>
                  <w14:camera w14:prst="orthographicFront"/>
                  <w14:lightRig w14:rig="threePt" w14:dir="t">
                    <w14:rot w14:lat="0" w14:lon="0" w14:rev="0"/>
                  </w14:lightRig>
                </w14:scene3d>
              </w:rPr>
              <w:t>6.3.2.</w:t>
            </w:r>
            <w:r>
              <w:rPr>
                <w:rStyle w:val="Sautdindex"/>
                <w:rFonts w:eastAsia="" w:cs="" w:cstheme="minorBidi" w:eastAsiaTheme="minorEastAsia"/>
                <w:i w:val="false"/>
                <w:iCs w:val="false"/>
                <w:sz w:val="22"/>
                <w:szCs w:val="22"/>
              </w:rPr>
              <w:tab/>
            </w:r>
            <w:r>
              <w:rPr>
                <w:rStyle w:val="Sautdindex"/>
              </w:rPr>
              <w:t>Spécificités relatives aux câblages réseau informatique et téléphonique</w:t>
            </w:r>
            <w:r>
              <w:rPr>
                <w:webHidden/>
              </w:rPr>
              <w:fldChar w:fldCharType="begin"/>
            </w:r>
            <w:r>
              <w:rPr>
                <w:webHidden/>
              </w:rPr>
              <w:instrText>PAGEREF _Toc32334914 \h</w:instrText>
            </w:r>
            <w:r>
              <w:rPr>
                <w:webHidden/>
              </w:rPr>
              <w:fldChar w:fldCharType="separate"/>
            </w:r>
            <w:r>
              <w:rPr>
                <w:rStyle w:val="Sautdindex"/>
                <w:vanish w:val="false"/>
              </w:rPr>
              <w:tab/>
              <w:t>180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15">
            <w:r>
              <w:rPr>
                <w:webHidden/>
                <w:rStyle w:val="Sautdindex"/>
                <w:rFonts w:cs="Times New Roman"/>
                <w14:scene3d>
                  <w14:camera w14:prst="orthographicFront"/>
                  <w14:lightRig w14:rig="threePt" w14:dir="t">
                    <w14:rot w14:lat="0" w14:lon="0" w14:rev="0"/>
                  </w14:lightRig>
                </w14:scene3d>
              </w:rPr>
              <w:t>6.3.3.</w:t>
            </w:r>
            <w:r>
              <w:rPr>
                <w:rStyle w:val="Sautdindex"/>
                <w:rFonts w:eastAsia="" w:cs="" w:cstheme="minorBidi" w:eastAsiaTheme="minorEastAsia"/>
                <w:i w:val="false"/>
                <w:iCs w:val="false"/>
                <w:sz w:val="22"/>
                <w:szCs w:val="22"/>
              </w:rPr>
              <w:tab/>
            </w:r>
            <w:r>
              <w:rPr>
                <w:rStyle w:val="Sautdindex"/>
              </w:rPr>
              <w:t>Spécificités relatives à la climatisation</w:t>
            </w:r>
            <w:r>
              <w:rPr>
                <w:webHidden/>
              </w:rPr>
              <w:fldChar w:fldCharType="begin"/>
            </w:r>
            <w:r>
              <w:rPr>
                <w:webHidden/>
              </w:rPr>
              <w:instrText>PAGEREF _Toc32334915 \h</w:instrText>
            </w:r>
            <w:r>
              <w:rPr>
                <w:webHidden/>
              </w:rPr>
              <w:fldChar w:fldCharType="separate"/>
            </w:r>
            <w:r>
              <w:rPr>
                <w:rStyle w:val="Sautdindex"/>
                <w:vanish w:val="false"/>
              </w:rPr>
              <w:tab/>
              <w:t>181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916">
            <w:r>
              <w:rPr>
                <w:webHidden/>
                <w:rStyle w:val="Sautdindex"/>
                <w:rFonts w:cs="Times New Roman"/>
              </w:rPr>
              <w:t>6.3.3.1.</w:t>
            </w:r>
            <w:r>
              <w:rPr>
                <w:rStyle w:val="Sautdindex"/>
                <w:rFonts w:eastAsia="" w:cs="" w:cstheme="minorBidi" w:eastAsiaTheme="minorEastAsia"/>
                <w:sz w:val="22"/>
                <w:szCs w:val="22"/>
              </w:rPr>
              <w:tab/>
            </w:r>
            <w:r>
              <w:rPr>
                <w:rStyle w:val="Sautdindex"/>
              </w:rPr>
              <w:t>Généralités</w:t>
            </w:r>
            <w:r>
              <w:rPr>
                <w:webHidden/>
              </w:rPr>
              <w:fldChar w:fldCharType="begin"/>
            </w:r>
            <w:r>
              <w:rPr>
                <w:webHidden/>
              </w:rPr>
              <w:instrText>PAGEREF _Toc32334916 \h</w:instrText>
            </w:r>
            <w:r>
              <w:rPr>
                <w:webHidden/>
              </w:rPr>
              <w:fldChar w:fldCharType="separate"/>
            </w:r>
            <w:r>
              <w:rPr>
                <w:rStyle w:val="Sautdindex"/>
                <w:vanish w:val="false"/>
              </w:rPr>
              <w:tab/>
              <w:t>181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917">
            <w:r>
              <w:rPr>
                <w:webHidden/>
                <w:rStyle w:val="Sautdindex"/>
                <w:rFonts w:cs="Times New Roman"/>
              </w:rPr>
              <w:t>6.3.3.2.</w:t>
            </w:r>
            <w:r>
              <w:rPr>
                <w:rStyle w:val="Sautdindex"/>
                <w:rFonts w:eastAsia="" w:cs="" w:cstheme="minorBidi" w:eastAsiaTheme="minorEastAsia"/>
                <w:sz w:val="22"/>
                <w:szCs w:val="22"/>
              </w:rPr>
              <w:tab/>
            </w:r>
            <w:r>
              <w:rPr>
                <w:rStyle w:val="Sautdindex"/>
              </w:rPr>
              <w:t>Vérification générale</w:t>
            </w:r>
            <w:r>
              <w:rPr>
                <w:webHidden/>
              </w:rPr>
              <w:fldChar w:fldCharType="begin"/>
            </w:r>
            <w:r>
              <w:rPr>
                <w:webHidden/>
              </w:rPr>
              <w:instrText>PAGEREF _Toc32334917 \h</w:instrText>
            </w:r>
            <w:r>
              <w:rPr>
                <w:webHidden/>
              </w:rPr>
              <w:fldChar w:fldCharType="separate"/>
            </w:r>
            <w:r>
              <w:rPr>
                <w:rStyle w:val="Sautdindex"/>
                <w:vanish w:val="false"/>
              </w:rPr>
              <w:tab/>
              <w:t>181</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918">
            <w:r>
              <w:rPr>
                <w:webHidden/>
                <w:rStyle w:val="Sautdindex"/>
                <w:rFonts w:cs="Times New Roman"/>
              </w:rPr>
              <w:t>6.3.3.3.</w:t>
            </w:r>
            <w:r>
              <w:rPr>
                <w:rStyle w:val="Sautdindex"/>
                <w:rFonts w:eastAsia="" w:cs="" w:cstheme="minorBidi" w:eastAsiaTheme="minorEastAsia"/>
                <w:sz w:val="22"/>
                <w:szCs w:val="22"/>
              </w:rPr>
              <w:tab/>
            </w:r>
            <w:r>
              <w:rPr>
                <w:rStyle w:val="Sautdindex"/>
              </w:rPr>
              <w:t>Essais d’étanchéité</w:t>
            </w:r>
            <w:r>
              <w:rPr>
                <w:webHidden/>
              </w:rPr>
              <w:fldChar w:fldCharType="begin"/>
            </w:r>
            <w:r>
              <w:rPr>
                <w:webHidden/>
              </w:rPr>
              <w:instrText>PAGEREF _Toc32334918 \h</w:instrText>
            </w:r>
            <w:r>
              <w:rPr>
                <w:webHidden/>
              </w:rPr>
              <w:fldChar w:fldCharType="separate"/>
            </w:r>
            <w:r>
              <w:rPr>
                <w:rStyle w:val="Sautdindex"/>
                <w:vanish w:val="false"/>
              </w:rPr>
              <w:tab/>
              <w:t>182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919">
            <w:r>
              <w:rPr>
                <w:webHidden/>
                <w:rStyle w:val="Sautdindex"/>
                <w:rFonts w:cs="Times New Roman"/>
              </w:rPr>
              <w:t>6.3.3.4.</w:t>
            </w:r>
            <w:r>
              <w:rPr>
                <w:rStyle w:val="Sautdindex"/>
                <w:rFonts w:eastAsia="" w:cs="" w:cstheme="minorBidi" w:eastAsiaTheme="minorEastAsia"/>
                <w:sz w:val="22"/>
                <w:szCs w:val="22"/>
              </w:rPr>
              <w:tab/>
            </w:r>
            <w:r>
              <w:rPr>
                <w:rStyle w:val="Sautdindex"/>
              </w:rPr>
              <w:t>Essais statiques</w:t>
            </w:r>
            <w:r>
              <w:rPr>
                <w:webHidden/>
              </w:rPr>
              <w:fldChar w:fldCharType="begin"/>
            </w:r>
            <w:r>
              <w:rPr>
                <w:webHidden/>
              </w:rPr>
              <w:instrText>PAGEREF _Toc32334919 \h</w:instrText>
            </w:r>
            <w:r>
              <w:rPr>
                <w:webHidden/>
              </w:rPr>
              <w:fldChar w:fldCharType="separate"/>
            </w:r>
            <w:r>
              <w:rPr>
                <w:rStyle w:val="Sautdindex"/>
                <w:vanish w:val="false"/>
              </w:rPr>
              <w:tab/>
              <w:t>183</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920">
            <w:r>
              <w:rPr>
                <w:webHidden/>
                <w:rStyle w:val="Sautdindex"/>
                <w:rFonts w:cs="Times New Roman"/>
              </w:rPr>
              <w:t>6.3.3.5.</w:t>
            </w:r>
            <w:r>
              <w:rPr>
                <w:rStyle w:val="Sautdindex"/>
                <w:rFonts w:eastAsia="" w:cs="" w:cstheme="minorBidi" w:eastAsiaTheme="minorEastAsia"/>
                <w:sz w:val="22"/>
                <w:szCs w:val="22"/>
              </w:rPr>
              <w:tab/>
            </w:r>
            <w:r>
              <w:rPr>
                <w:rStyle w:val="Sautdindex"/>
              </w:rPr>
              <w:t>Essais de fonctionnement</w:t>
            </w:r>
            <w:r>
              <w:rPr>
                <w:webHidden/>
              </w:rPr>
              <w:fldChar w:fldCharType="begin"/>
            </w:r>
            <w:r>
              <w:rPr>
                <w:webHidden/>
              </w:rPr>
              <w:instrText>PAGEREF _Toc32334920 \h</w:instrText>
            </w:r>
            <w:r>
              <w:rPr>
                <w:webHidden/>
              </w:rPr>
              <w:fldChar w:fldCharType="separate"/>
            </w:r>
            <w:r>
              <w:rPr>
                <w:rStyle w:val="Sautdindex"/>
                <w:vanish w:val="false"/>
              </w:rPr>
              <w:tab/>
              <w:t>183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21">
            <w:r>
              <w:rPr>
                <w:webHidden/>
                <w:rStyle w:val="Sautdindex"/>
                <w:rFonts w:cs="Times New Roman"/>
                <w14:scene3d>
                  <w14:camera w14:prst="orthographicFront"/>
                  <w14:lightRig w14:rig="threePt" w14:dir="t">
                    <w14:rot w14:lat="0" w14:lon="0" w14:rev="0"/>
                  </w14:lightRig>
                </w14:scene3d>
              </w:rPr>
              <w:t>6.3.4.</w:t>
            </w:r>
            <w:r>
              <w:rPr>
                <w:rStyle w:val="Sautdindex"/>
                <w:rFonts w:eastAsia="" w:cs="" w:cstheme="minorBidi" w:eastAsiaTheme="minorEastAsia"/>
                <w:i w:val="false"/>
                <w:iCs w:val="false"/>
                <w:sz w:val="22"/>
                <w:szCs w:val="22"/>
              </w:rPr>
              <w:tab/>
            </w:r>
            <w:r>
              <w:rPr>
                <w:rStyle w:val="Sautdindex"/>
              </w:rPr>
              <w:t>Spécificités relatives à l’énergie</w:t>
            </w:r>
            <w:r>
              <w:rPr>
                <w:webHidden/>
              </w:rPr>
              <w:fldChar w:fldCharType="begin"/>
            </w:r>
            <w:r>
              <w:rPr>
                <w:webHidden/>
              </w:rPr>
              <w:instrText>PAGEREF _Toc32334921 \h</w:instrText>
            </w:r>
            <w:r>
              <w:rPr>
                <w:webHidden/>
              </w:rPr>
              <w:fldChar w:fldCharType="separate"/>
            </w:r>
            <w:r>
              <w:rPr>
                <w:rStyle w:val="Sautdindex"/>
                <w:vanish w:val="false"/>
              </w:rPr>
              <w:tab/>
              <w:t>184</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22">
            <w:r>
              <w:rPr>
                <w:webHidden/>
                <w:rStyle w:val="Sautdindex"/>
                <w:b/>
              </w:rPr>
              <w:t>6.4.</w:t>
            </w:r>
            <w:r>
              <w:rPr>
                <w:rStyle w:val="Sautdindex"/>
                <w:rFonts w:eastAsia="" w:cs="" w:cstheme="minorBidi" w:eastAsiaTheme="minorEastAsia"/>
                <w:caps w:val="false"/>
                <w:smallCaps w:val="false"/>
                <w:sz w:val="22"/>
                <w:szCs w:val="22"/>
              </w:rPr>
              <w:tab/>
            </w:r>
            <w:r>
              <w:rPr>
                <w:rStyle w:val="Sautdindex"/>
              </w:rPr>
              <w:t>Verification des reserves</w:t>
            </w:r>
            <w:r>
              <w:rPr>
                <w:webHidden/>
              </w:rPr>
              <w:fldChar w:fldCharType="begin"/>
            </w:r>
            <w:r>
              <w:rPr>
                <w:webHidden/>
              </w:rPr>
              <w:instrText>PAGEREF _Toc32334922 \h</w:instrText>
            </w:r>
            <w:r>
              <w:rPr>
                <w:webHidden/>
              </w:rPr>
              <w:fldChar w:fldCharType="separate"/>
            </w:r>
            <w:r>
              <w:rPr>
                <w:rStyle w:val="Sautdindex"/>
                <w:vanish w:val="false"/>
              </w:rPr>
              <w:tab/>
              <w:t>184</w:t>
            </w:r>
            <w:r>
              <w:rPr>
                <w:webHidden/>
              </w:rPr>
              <w:fldChar w:fldCharType="end"/>
            </w:r>
          </w:hyperlink>
        </w:p>
        <w:p>
          <w:pPr>
            <w:pStyle w:val="Tabledesmatiresniveau1"/>
            <w:tabs>
              <w:tab w:val="clear" w:pos="708"/>
              <w:tab w:val="left" w:pos="400" w:leader="none"/>
              <w:tab w:val="right" w:pos="9629" w:leader="dot"/>
            </w:tabs>
            <w:rPr>
              <w:rFonts w:eastAsia="" w:cs="" w:cstheme="minorBidi" w:eastAsiaTheme="minorEastAsia"/>
              <w:b w:val="false"/>
              <w:b w:val="false"/>
              <w:bCs w:val="false"/>
              <w:caps w:val="false"/>
              <w:smallCaps w:val="false"/>
              <w:sz w:val="22"/>
              <w:szCs w:val="22"/>
            </w:rPr>
          </w:pPr>
          <w:hyperlink w:anchor="_Toc32334923">
            <w:r>
              <w:rPr>
                <w:webHidden/>
                <w:rStyle w:val="Sautdindex"/>
                <w:rFonts w:cs="Times New Roman"/>
              </w:rPr>
              <w:t>7.</w:t>
            </w:r>
            <w:r>
              <w:rPr>
                <w:rStyle w:val="Sautdindex"/>
                <w:rFonts w:eastAsia="" w:cs="" w:cstheme="minorBidi" w:eastAsiaTheme="minorEastAsia"/>
                <w:b w:val="false"/>
                <w:bCs w:val="false"/>
                <w:caps w:val="false"/>
                <w:smallCaps w:val="false"/>
                <w:sz w:val="22"/>
                <w:szCs w:val="22"/>
              </w:rPr>
              <w:tab/>
            </w:r>
            <w:r>
              <w:rPr>
                <w:rStyle w:val="Sautdindex"/>
              </w:rPr>
              <w:t>Reception des travaux</w:t>
            </w:r>
            <w:r>
              <w:rPr>
                <w:webHidden/>
              </w:rPr>
              <w:fldChar w:fldCharType="begin"/>
            </w:r>
            <w:r>
              <w:rPr>
                <w:webHidden/>
              </w:rPr>
              <w:instrText>PAGEREF _Toc32334923 \h</w:instrText>
            </w:r>
            <w:r>
              <w:rPr>
                <w:webHidden/>
              </w:rPr>
              <w:fldChar w:fldCharType="separate"/>
            </w:r>
            <w:r>
              <w:rPr>
                <w:rStyle w:val="Sautdindex"/>
                <w:vanish w:val="false"/>
              </w:rPr>
              <w:tab/>
              <w:t>185</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24">
            <w:r>
              <w:rPr>
                <w:webHidden/>
                <w:rStyle w:val="Sautdindex"/>
                <w:b/>
              </w:rPr>
              <w:t>7.1.</w:t>
            </w:r>
            <w:r>
              <w:rPr>
                <w:rStyle w:val="Sautdindex"/>
                <w:rFonts w:eastAsia="" w:cs="" w:cstheme="minorBidi" w:eastAsiaTheme="minorEastAsia"/>
                <w:caps w:val="false"/>
                <w:smallCaps w:val="false"/>
                <w:sz w:val="22"/>
                <w:szCs w:val="22"/>
              </w:rPr>
              <w:tab/>
            </w:r>
            <w:r>
              <w:rPr>
                <w:rStyle w:val="Sautdindex"/>
              </w:rPr>
              <w:t>Mise en ordre de marche</w:t>
            </w:r>
            <w:r>
              <w:rPr>
                <w:webHidden/>
              </w:rPr>
              <w:fldChar w:fldCharType="begin"/>
            </w:r>
            <w:r>
              <w:rPr>
                <w:webHidden/>
              </w:rPr>
              <w:instrText>PAGEREF _Toc32334924 \h</w:instrText>
            </w:r>
            <w:r>
              <w:rPr>
                <w:webHidden/>
              </w:rPr>
              <w:fldChar w:fldCharType="separate"/>
            </w:r>
            <w:r>
              <w:rPr>
                <w:rStyle w:val="Sautdindex"/>
                <w:vanish w:val="false"/>
              </w:rPr>
              <w:tab/>
              <w:t>185</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25">
            <w:r>
              <w:rPr>
                <w:webHidden/>
                <w:rStyle w:val="Sautdindex"/>
                <w:b/>
              </w:rPr>
              <w:t>7.2.</w:t>
            </w:r>
            <w:r>
              <w:rPr>
                <w:rStyle w:val="Sautdindex"/>
                <w:rFonts w:eastAsia="" w:cs="" w:cstheme="minorBidi" w:eastAsiaTheme="minorEastAsia"/>
                <w:caps w:val="false"/>
                <w:smallCaps w:val="false"/>
                <w:sz w:val="22"/>
                <w:szCs w:val="22"/>
              </w:rPr>
              <w:tab/>
            </w:r>
            <w:r>
              <w:rPr>
                <w:rStyle w:val="Sautdindex"/>
              </w:rPr>
              <w:t>Réception</w:t>
            </w:r>
            <w:r>
              <w:rPr>
                <w:webHidden/>
              </w:rPr>
              <w:fldChar w:fldCharType="begin"/>
            </w:r>
            <w:r>
              <w:rPr>
                <w:webHidden/>
              </w:rPr>
              <w:instrText>PAGEREF _Toc32334925 \h</w:instrText>
            </w:r>
            <w:r>
              <w:rPr>
                <w:webHidden/>
              </w:rPr>
              <w:fldChar w:fldCharType="separate"/>
            </w:r>
            <w:r>
              <w:rPr>
                <w:rStyle w:val="Sautdindex"/>
                <w:vanish w:val="false"/>
              </w:rPr>
              <w:tab/>
              <w:t>185</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26">
            <w:r>
              <w:rPr>
                <w:webHidden/>
                <w:rStyle w:val="Sautdindex"/>
                <w:b/>
              </w:rPr>
              <w:t>7.3.</w:t>
            </w:r>
            <w:r>
              <w:rPr>
                <w:rStyle w:val="Sautdindex"/>
                <w:rFonts w:eastAsia="" w:cs="" w:cstheme="minorBidi" w:eastAsiaTheme="minorEastAsia"/>
                <w:caps w:val="false"/>
                <w:smallCaps w:val="false"/>
                <w:sz w:val="22"/>
                <w:szCs w:val="22"/>
              </w:rPr>
              <w:tab/>
            </w:r>
            <w:r>
              <w:rPr>
                <w:rStyle w:val="Sautdindex"/>
              </w:rPr>
              <w:t>Formation à la maintenance</w:t>
            </w:r>
            <w:r>
              <w:rPr>
                <w:webHidden/>
              </w:rPr>
              <w:fldChar w:fldCharType="begin"/>
            </w:r>
            <w:r>
              <w:rPr>
                <w:webHidden/>
              </w:rPr>
              <w:instrText>PAGEREF _Toc32334926 \h</w:instrText>
            </w:r>
            <w:r>
              <w:rPr>
                <w:webHidden/>
              </w:rPr>
              <w:fldChar w:fldCharType="separate"/>
            </w:r>
            <w:r>
              <w:rPr>
                <w:rStyle w:val="Sautdindex"/>
                <w:vanish w:val="false"/>
              </w:rPr>
              <w:tab/>
              <w:t>185</w:t>
            </w:r>
            <w:r>
              <w:rPr>
                <w:webHidden/>
              </w:rPr>
              <w:fldChar w:fldCharType="end"/>
            </w:r>
          </w:hyperlink>
        </w:p>
        <w:p>
          <w:pPr>
            <w:pStyle w:val="Tabledesmatiresniveau1"/>
            <w:tabs>
              <w:tab w:val="clear" w:pos="708"/>
              <w:tab w:val="left" w:pos="400" w:leader="none"/>
              <w:tab w:val="right" w:pos="9629" w:leader="dot"/>
            </w:tabs>
            <w:rPr>
              <w:rFonts w:eastAsia="" w:cs="" w:cstheme="minorBidi" w:eastAsiaTheme="minorEastAsia"/>
              <w:b w:val="false"/>
              <w:b w:val="false"/>
              <w:bCs w:val="false"/>
              <w:caps w:val="false"/>
              <w:smallCaps w:val="false"/>
              <w:sz w:val="22"/>
              <w:szCs w:val="22"/>
            </w:rPr>
          </w:pPr>
          <w:hyperlink w:anchor="_Toc32334927">
            <w:r>
              <w:rPr>
                <w:webHidden/>
                <w:rStyle w:val="Sautdindex"/>
                <w:rFonts w:cs="Times New Roman"/>
              </w:rPr>
              <w:t>8.</w:t>
            </w:r>
            <w:r>
              <w:rPr>
                <w:rStyle w:val="Sautdindex"/>
                <w:rFonts w:eastAsia="" w:cs="" w:cstheme="minorBidi" w:eastAsiaTheme="minorEastAsia"/>
                <w:b w:val="false"/>
                <w:bCs w:val="false"/>
                <w:caps w:val="false"/>
                <w:smallCaps w:val="false"/>
                <w:sz w:val="22"/>
                <w:szCs w:val="22"/>
              </w:rPr>
              <w:tab/>
            </w:r>
            <w:r>
              <w:rPr>
                <w:rStyle w:val="Sautdindex"/>
              </w:rPr>
              <w:t>Garantie</w:t>
            </w:r>
            <w:r>
              <w:rPr>
                <w:webHidden/>
              </w:rPr>
              <w:fldChar w:fldCharType="begin"/>
            </w:r>
            <w:r>
              <w:rPr>
                <w:webHidden/>
              </w:rPr>
              <w:instrText>PAGEREF _Toc32334927 \h</w:instrText>
            </w:r>
            <w:r>
              <w:rPr>
                <w:webHidden/>
              </w:rPr>
              <w:fldChar w:fldCharType="separate"/>
            </w:r>
            <w:r>
              <w:rPr>
                <w:rStyle w:val="Sautdindex"/>
                <w:vanish w:val="false"/>
              </w:rPr>
              <w:tab/>
              <w:t>186</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28">
            <w:r>
              <w:rPr>
                <w:webHidden/>
                <w:rStyle w:val="Sautdindex"/>
                <w:b/>
              </w:rPr>
              <w:t>8.1.</w:t>
            </w:r>
            <w:r>
              <w:rPr>
                <w:rStyle w:val="Sautdindex"/>
                <w:rFonts w:eastAsia="" w:cs="" w:cstheme="minorBidi" w:eastAsiaTheme="minorEastAsia"/>
                <w:caps w:val="false"/>
                <w:smallCaps w:val="false"/>
                <w:sz w:val="22"/>
                <w:szCs w:val="22"/>
              </w:rPr>
              <w:tab/>
            </w:r>
            <w:r>
              <w:rPr>
                <w:rStyle w:val="Sautdindex"/>
              </w:rPr>
              <w:t>Généralités</w:t>
            </w:r>
            <w:r>
              <w:rPr>
                <w:webHidden/>
              </w:rPr>
              <w:fldChar w:fldCharType="begin"/>
            </w:r>
            <w:r>
              <w:rPr>
                <w:webHidden/>
              </w:rPr>
              <w:instrText>PAGEREF _Toc32334928 \h</w:instrText>
            </w:r>
            <w:r>
              <w:rPr>
                <w:webHidden/>
              </w:rPr>
              <w:fldChar w:fldCharType="separate"/>
            </w:r>
            <w:r>
              <w:rPr>
                <w:rStyle w:val="Sautdindex"/>
                <w:vanish w:val="false"/>
              </w:rPr>
              <w:tab/>
              <w:t>186</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29">
            <w:r>
              <w:rPr>
                <w:webHidden/>
                <w:rStyle w:val="Sautdindex"/>
                <w:b/>
              </w:rPr>
              <w:t>8.2.</w:t>
            </w:r>
            <w:r>
              <w:rPr>
                <w:rStyle w:val="Sautdindex"/>
                <w:rFonts w:eastAsia="" w:cs="" w:cstheme="minorBidi" w:eastAsiaTheme="minorEastAsia"/>
                <w:caps w:val="false"/>
                <w:smallCaps w:val="false"/>
                <w:sz w:val="22"/>
                <w:szCs w:val="22"/>
              </w:rPr>
              <w:tab/>
            </w:r>
            <w:r>
              <w:rPr>
                <w:rStyle w:val="Sautdindex"/>
              </w:rPr>
              <w:t>Durée de la garantie</w:t>
            </w:r>
            <w:r>
              <w:rPr>
                <w:webHidden/>
              </w:rPr>
              <w:fldChar w:fldCharType="begin"/>
            </w:r>
            <w:r>
              <w:rPr>
                <w:webHidden/>
              </w:rPr>
              <w:instrText>PAGEREF _Toc32334929 \h</w:instrText>
            </w:r>
            <w:r>
              <w:rPr>
                <w:webHidden/>
              </w:rPr>
              <w:fldChar w:fldCharType="separate"/>
            </w:r>
            <w:r>
              <w:rPr>
                <w:rStyle w:val="Sautdindex"/>
                <w:vanish w:val="false"/>
              </w:rPr>
              <w:tab/>
              <w:t>186</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30">
            <w:r>
              <w:rPr>
                <w:webHidden/>
                <w:rStyle w:val="Sautdindex"/>
                <w:b/>
              </w:rPr>
              <w:t>8.3.</w:t>
            </w:r>
            <w:r>
              <w:rPr>
                <w:rStyle w:val="Sautdindex"/>
                <w:rFonts w:eastAsia="" w:cs="" w:cstheme="minorBidi" w:eastAsiaTheme="minorEastAsia"/>
                <w:caps w:val="false"/>
                <w:smallCaps w:val="false"/>
                <w:sz w:val="22"/>
                <w:szCs w:val="22"/>
              </w:rPr>
              <w:tab/>
            </w:r>
            <w:r>
              <w:rPr>
                <w:rStyle w:val="Sautdindex"/>
              </w:rPr>
              <w:t>Définition d’une panne</w:t>
            </w:r>
            <w:r>
              <w:rPr>
                <w:webHidden/>
              </w:rPr>
              <w:fldChar w:fldCharType="begin"/>
            </w:r>
            <w:r>
              <w:rPr>
                <w:webHidden/>
              </w:rPr>
              <w:instrText>PAGEREF _Toc32334930 \h</w:instrText>
            </w:r>
            <w:r>
              <w:rPr>
                <w:webHidden/>
              </w:rPr>
              <w:fldChar w:fldCharType="separate"/>
            </w:r>
            <w:r>
              <w:rPr>
                <w:rStyle w:val="Sautdindex"/>
                <w:vanish w:val="false"/>
              </w:rPr>
              <w:tab/>
              <w:t>186</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31">
            <w:r>
              <w:rPr>
                <w:webHidden/>
                <w:rStyle w:val="Sautdindex"/>
                <w:b/>
              </w:rPr>
              <w:t>8.4.</w:t>
            </w:r>
            <w:r>
              <w:rPr>
                <w:rStyle w:val="Sautdindex"/>
                <w:rFonts w:eastAsia="" w:cs="" w:cstheme="minorBidi" w:eastAsiaTheme="minorEastAsia"/>
                <w:caps w:val="false"/>
                <w:smallCaps w:val="false"/>
                <w:sz w:val="22"/>
                <w:szCs w:val="22"/>
              </w:rPr>
              <w:tab/>
            </w:r>
            <w:r>
              <w:rPr>
                <w:rStyle w:val="Sautdindex"/>
              </w:rPr>
              <w:t>Obligations de l’Entrepreneur</w:t>
            </w:r>
            <w:r>
              <w:rPr>
                <w:webHidden/>
              </w:rPr>
              <w:fldChar w:fldCharType="begin"/>
            </w:r>
            <w:r>
              <w:rPr>
                <w:webHidden/>
              </w:rPr>
              <w:instrText>PAGEREF _Toc32334931 \h</w:instrText>
            </w:r>
            <w:r>
              <w:rPr>
                <w:webHidden/>
              </w:rPr>
              <w:fldChar w:fldCharType="separate"/>
            </w:r>
            <w:r>
              <w:rPr>
                <w:rStyle w:val="Sautdindex"/>
                <w:vanish w:val="false"/>
              </w:rPr>
              <w:tab/>
              <w:t>186</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32">
            <w:r>
              <w:rPr>
                <w:webHidden/>
                <w:rStyle w:val="Sautdindex"/>
                <w:b/>
              </w:rPr>
              <w:t>8.5.</w:t>
            </w:r>
            <w:r>
              <w:rPr>
                <w:rStyle w:val="Sautdindex"/>
                <w:rFonts w:eastAsia="" w:cs="" w:cstheme="minorBidi" w:eastAsiaTheme="minorEastAsia"/>
                <w:caps w:val="false"/>
                <w:smallCaps w:val="false"/>
                <w:sz w:val="22"/>
                <w:szCs w:val="22"/>
              </w:rPr>
              <w:tab/>
            </w:r>
            <w:r>
              <w:rPr>
                <w:rStyle w:val="Sautdindex"/>
              </w:rPr>
              <w:t>Déclaration d’une panne</w:t>
            </w:r>
            <w:r>
              <w:rPr>
                <w:webHidden/>
              </w:rPr>
              <w:fldChar w:fldCharType="begin"/>
            </w:r>
            <w:r>
              <w:rPr>
                <w:webHidden/>
              </w:rPr>
              <w:instrText>PAGEREF _Toc32334932 \h</w:instrText>
            </w:r>
            <w:r>
              <w:rPr>
                <w:webHidden/>
              </w:rPr>
              <w:fldChar w:fldCharType="separate"/>
            </w:r>
            <w:r>
              <w:rPr>
                <w:rStyle w:val="Sautdindex"/>
                <w:vanish w:val="false"/>
              </w:rPr>
              <w:tab/>
              <w:t>187</w:t>
            </w:r>
            <w:r>
              <w:rPr>
                <w:webHidden/>
              </w:rPr>
              <w:fldChar w:fldCharType="end"/>
            </w:r>
          </w:hyperlink>
        </w:p>
        <w:p>
          <w:pPr>
            <w:pStyle w:val="Tabledesmatiresniveau1"/>
            <w:tabs>
              <w:tab w:val="clear" w:pos="708"/>
              <w:tab w:val="left" w:pos="400" w:leader="none"/>
              <w:tab w:val="right" w:pos="9629" w:leader="dot"/>
            </w:tabs>
            <w:rPr>
              <w:rFonts w:eastAsia="" w:cs="" w:cstheme="minorBidi" w:eastAsiaTheme="minorEastAsia"/>
              <w:b w:val="false"/>
              <w:b w:val="false"/>
              <w:bCs w:val="false"/>
              <w:caps w:val="false"/>
              <w:smallCaps w:val="false"/>
              <w:sz w:val="22"/>
              <w:szCs w:val="22"/>
            </w:rPr>
          </w:pPr>
          <w:hyperlink w:anchor="_Toc32334933">
            <w:r>
              <w:rPr>
                <w:webHidden/>
                <w:rStyle w:val="Sautdindex"/>
                <w:rFonts w:cs="Times New Roman"/>
              </w:rPr>
              <w:t>9.</w:t>
            </w:r>
            <w:r>
              <w:rPr>
                <w:rStyle w:val="Sautdindex"/>
                <w:rFonts w:eastAsia="" w:cs="" w:cstheme="minorBidi" w:eastAsiaTheme="minorEastAsia"/>
                <w:b w:val="false"/>
                <w:bCs w:val="false"/>
                <w:caps w:val="false"/>
                <w:smallCaps w:val="false"/>
                <w:sz w:val="22"/>
                <w:szCs w:val="22"/>
              </w:rPr>
              <w:tab/>
            </w:r>
            <w:r>
              <w:rPr>
                <w:rStyle w:val="Sautdindex"/>
              </w:rPr>
              <w:t>Exploitation et Maintenance</w:t>
            </w:r>
            <w:r>
              <w:rPr>
                <w:webHidden/>
              </w:rPr>
              <w:fldChar w:fldCharType="begin"/>
            </w:r>
            <w:r>
              <w:rPr>
                <w:webHidden/>
              </w:rPr>
              <w:instrText>PAGEREF _Toc32334933 \h</w:instrText>
            </w:r>
            <w:r>
              <w:rPr>
                <w:webHidden/>
              </w:rPr>
              <w:fldChar w:fldCharType="separate"/>
            </w:r>
            <w:r>
              <w:rPr>
                <w:rStyle w:val="Sautdindex"/>
                <w:vanish w:val="false"/>
              </w:rPr>
              <w:tab/>
              <w:t>188</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34">
            <w:r>
              <w:rPr>
                <w:webHidden/>
                <w:rStyle w:val="Sautdindex"/>
                <w:b/>
              </w:rPr>
              <w:t>9.1.</w:t>
            </w:r>
            <w:r>
              <w:rPr>
                <w:rStyle w:val="Sautdindex"/>
                <w:rFonts w:eastAsia="" w:cs="" w:cstheme="minorBidi" w:eastAsiaTheme="minorEastAsia"/>
                <w:caps w:val="false"/>
                <w:smallCaps w:val="false"/>
                <w:sz w:val="22"/>
                <w:szCs w:val="22"/>
              </w:rPr>
              <w:tab/>
            </w:r>
            <w:r>
              <w:rPr>
                <w:rStyle w:val="Sautdindex"/>
              </w:rPr>
              <w:t>Généralités</w:t>
            </w:r>
            <w:r>
              <w:rPr>
                <w:webHidden/>
              </w:rPr>
              <w:fldChar w:fldCharType="begin"/>
            </w:r>
            <w:r>
              <w:rPr>
                <w:webHidden/>
              </w:rPr>
              <w:instrText>PAGEREF _Toc32334934 \h</w:instrText>
            </w:r>
            <w:r>
              <w:rPr>
                <w:webHidden/>
              </w:rPr>
              <w:fldChar w:fldCharType="separate"/>
            </w:r>
            <w:r>
              <w:rPr>
                <w:rStyle w:val="Sautdindex"/>
                <w:vanish w:val="false"/>
              </w:rPr>
              <w:tab/>
              <w:t>188</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35">
            <w:r>
              <w:rPr>
                <w:webHidden/>
                <w:rStyle w:val="Sautdindex"/>
                <w:b/>
              </w:rPr>
              <w:t>9.2.</w:t>
            </w:r>
            <w:r>
              <w:rPr>
                <w:rStyle w:val="Sautdindex"/>
                <w:rFonts w:eastAsia="" w:cs="" w:cstheme="minorBidi" w:eastAsiaTheme="minorEastAsia"/>
                <w:caps w:val="false"/>
                <w:smallCaps w:val="false"/>
                <w:sz w:val="22"/>
                <w:szCs w:val="22"/>
              </w:rPr>
              <w:tab/>
            </w:r>
            <w:r>
              <w:rPr>
                <w:rStyle w:val="Sautdindex"/>
              </w:rPr>
              <w:t>Exploitation</w:t>
            </w:r>
            <w:r>
              <w:rPr>
                <w:webHidden/>
              </w:rPr>
              <w:fldChar w:fldCharType="begin"/>
            </w:r>
            <w:r>
              <w:rPr>
                <w:webHidden/>
              </w:rPr>
              <w:instrText>PAGEREF _Toc32334935 \h</w:instrText>
            </w:r>
            <w:r>
              <w:rPr>
                <w:webHidden/>
              </w:rPr>
              <w:fldChar w:fldCharType="separate"/>
            </w:r>
            <w:r>
              <w:rPr>
                <w:rStyle w:val="Sautdindex"/>
                <w:vanish w:val="false"/>
              </w:rPr>
              <w:tab/>
              <w:t>188</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36">
            <w:r>
              <w:rPr>
                <w:webHidden/>
                <w:rStyle w:val="Sautdindex"/>
                <w:b/>
              </w:rPr>
              <w:t>9.3.</w:t>
            </w:r>
            <w:r>
              <w:rPr>
                <w:rStyle w:val="Sautdindex"/>
                <w:rFonts w:eastAsia="" w:cs="" w:cstheme="minorBidi" w:eastAsiaTheme="minorEastAsia"/>
                <w:caps w:val="false"/>
                <w:smallCaps w:val="false"/>
                <w:sz w:val="22"/>
                <w:szCs w:val="22"/>
              </w:rPr>
              <w:tab/>
            </w:r>
            <w:r>
              <w:rPr>
                <w:rStyle w:val="Sautdindex"/>
              </w:rPr>
              <w:t>Maintenance</w:t>
            </w:r>
            <w:r>
              <w:rPr>
                <w:webHidden/>
              </w:rPr>
              <w:fldChar w:fldCharType="begin"/>
            </w:r>
            <w:r>
              <w:rPr>
                <w:webHidden/>
              </w:rPr>
              <w:instrText>PAGEREF _Toc32334936 \h</w:instrText>
            </w:r>
            <w:r>
              <w:rPr>
                <w:webHidden/>
              </w:rPr>
              <w:fldChar w:fldCharType="separate"/>
            </w:r>
            <w:r>
              <w:rPr>
                <w:rStyle w:val="Sautdindex"/>
                <w:vanish w:val="false"/>
              </w:rPr>
              <w:tab/>
              <w:t>188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37">
            <w:r>
              <w:rPr>
                <w:webHidden/>
                <w:rStyle w:val="Sautdindex"/>
                <w:rFonts w:cs="Times New Roman"/>
                <w14:scene3d>
                  <w14:camera w14:prst="orthographicFront"/>
                  <w14:lightRig w14:rig="threePt" w14:dir="t">
                    <w14:rot w14:lat="0" w14:lon="0" w14:rev="0"/>
                  </w14:lightRig>
                </w14:scene3d>
              </w:rPr>
              <w:t>9.3.1.</w:t>
            </w:r>
            <w:r>
              <w:rPr>
                <w:rStyle w:val="Sautdindex"/>
                <w:rFonts w:eastAsia="" w:cs="" w:cstheme="minorBidi" w:eastAsiaTheme="minorEastAsia"/>
                <w:i w:val="false"/>
                <w:iCs w:val="false"/>
                <w:sz w:val="22"/>
                <w:szCs w:val="22"/>
              </w:rPr>
              <w:tab/>
            </w:r>
            <w:r>
              <w:rPr>
                <w:rStyle w:val="Sautdindex"/>
              </w:rPr>
              <w:t>Généralités</w:t>
            </w:r>
            <w:r>
              <w:rPr>
                <w:webHidden/>
              </w:rPr>
              <w:fldChar w:fldCharType="begin"/>
            </w:r>
            <w:r>
              <w:rPr>
                <w:webHidden/>
              </w:rPr>
              <w:instrText>PAGEREF _Toc32334937 \h</w:instrText>
            </w:r>
            <w:r>
              <w:rPr>
                <w:webHidden/>
              </w:rPr>
              <w:fldChar w:fldCharType="separate"/>
            </w:r>
            <w:r>
              <w:rPr>
                <w:rStyle w:val="Sautdindex"/>
                <w:vanish w:val="false"/>
              </w:rPr>
              <w:tab/>
              <w:t>188</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38">
            <w:r>
              <w:rPr>
                <w:webHidden/>
                <w:rStyle w:val="Sautdindex"/>
                <w:rFonts w:cs="Times New Roman"/>
                <w14:scene3d>
                  <w14:camera w14:prst="orthographicFront"/>
                  <w14:lightRig w14:rig="threePt" w14:dir="t">
                    <w14:rot w14:lat="0" w14:lon="0" w14:rev="0"/>
                  </w14:lightRig>
                </w14:scene3d>
              </w:rPr>
              <w:t>9.3.2.</w:t>
            </w:r>
            <w:r>
              <w:rPr>
                <w:rStyle w:val="Sautdindex"/>
                <w:rFonts w:eastAsia="" w:cs="" w:cstheme="minorBidi" w:eastAsiaTheme="minorEastAsia"/>
                <w:i w:val="false"/>
                <w:iCs w:val="false"/>
                <w:sz w:val="22"/>
                <w:szCs w:val="22"/>
              </w:rPr>
              <w:tab/>
            </w:r>
            <w:r>
              <w:rPr>
                <w:rStyle w:val="Sautdindex"/>
              </w:rPr>
              <w:t>Maintenance ordinaire</w:t>
            </w:r>
            <w:r>
              <w:rPr>
                <w:webHidden/>
              </w:rPr>
              <w:fldChar w:fldCharType="begin"/>
            </w:r>
            <w:r>
              <w:rPr>
                <w:webHidden/>
              </w:rPr>
              <w:instrText>PAGEREF _Toc32334938 \h</w:instrText>
            </w:r>
            <w:r>
              <w:rPr>
                <w:webHidden/>
              </w:rPr>
              <w:fldChar w:fldCharType="separate"/>
            </w:r>
            <w:r>
              <w:rPr>
                <w:rStyle w:val="Sautdindex"/>
                <w:vanish w:val="false"/>
              </w:rPr>
              <w:tab/>
              <w:t>189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39">
            <w:r>
              <w:rPr>
                <w:webHidden/>
                <w:rStyle w:val="Sautdindex"/>
                <w:rFonts w:cs="Times New Roman"/>
                <w14:scene3d>
                  <w14:camera w14:prst="orthographicFront"/>
                  <w14:lightRig w14:rig="threePt" w14:dir="t">
                    <w14:rot w14:lat="0" w14:lon="0" w14:rev="0"/>
                  </w14:lightRig>
                </w14:scene3d>
              </w:rPr>
              <w:t>9.3.3.</w:t>
            </w:r>
            <w:r>
              <w:rPr>
                <w:rStyle w:val="Sautdindex"/>
                <w:rFonts w:eastAsia="" w:cs="" w:cstheme="minorBidi" w:eastAsiaTheme="minorEastAsia"/>
                <w:i w:val="false"/>
                <w:iCs w:val="false"/>
                <w:sz w:val="22"/>
                <w:szCs w:val="22"/>
              </w:rPr>
              <w:tab/>
            </w:r>
            <w:r>
              <w:rPr>
                <w:rStyle w:val="Sautdindex"/>
              </w:rPr>
              <w:t>Maintenance accélérée</w:t>
            </w:r>
            <w:r>
              <w:rPr>
                <w:webHidden/>
              </w:rPr>
              <w:fldChar w:fldCharType="begin"/>
            </w:r>
            <w:r>
              <w:rPr>
                <w:webHidden/>
              </w:rPr>
              <w:instrText>PAGEREF _Toc32334939 \h</w:instrText>
            </w:r>
            <w:r>
              <w:rPr>
                <w:webHidden/>
              </w:rPr>
              <w:fldChar w:fldCharType="separate"/>
            </w:r>
            <w:r>
              <w:rPr>
                <w:rStyle w:val="Sautdindex"/>
                <w:vanish w:val="false"/>
              </w:rPr>
              <w:tab/>
              <w:t>189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40">
            <w:r>
              <w:rPr>
                <w:webHidden/>
                <w:rStyle w:val="Sautdindex"/>
                <w:rFonts w:cs="Times New Roman"/>
                <w14:scene3d>
                  <w14:camera w14:prst="orthographicFront"/>
                  <w14:lightRig w14:rig="threePt" w14:dir="t">
                    <w14:rot w14:lat="0" w14:lon="0" w14:rev="0"/>
                  </w14:lightRig>
                </w14:scene3d>
              </w:rPr>
              <w:t>9.3.4.</w:t>
            </w:r>
            <w:r>
              <w:rPr>
                <w:rStyle w:val="Sautdindex"/>
                <w:rFonts w:eastAsia="" w:cs="" w:cstheme="minorBidi" w:eastAsiaTheme="minorEastAsia"/>
                <w:i w:val="false"/>
                <w:iCs w:val="false"/>
                <w:sz w:val="22"/>
                <w:szCs w:val="22"/>
              </w:rPr>
              <w:tab/>
            </w:r>
            <w:r>
              <w:rPr>
                <w:rStyle w:val="Sautdindex"/>
              </w:rPr>
              <w:t>Maintenance d’urgence</w:t>
            </w:r>
            <w:r>
              <w:rPr>
                <w:webHidden/>
              </w:rPr>
              <w:fldChar w:fldCharType="begin"/>
            </w:r>
            <w:r>
              <w:rPr>
                <w:webHidden/>
              </w:rPr>
              <w:instrText>PAGEREF _Toc32334940 \h</w:instrText>
            </w:r>
            <w:r>
              <w:rPr>
                <w:webHidden/>
              </w:rPr>
              <w:fldChar w:fldCharType="separate"/>
            </w:r>
            <w:r>
              <w:rPr>
                <w:rStyle w:val="Sautdindex"/>
                <w:vanish w:val="false"/>
              </w:rPr>
              <w:tab/>
              <w:t>189</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41">
            <w:r>
              <w:rPr>
                <w:webHidden/>
                <w:rStyle w:val="Sautdindex"/>
                <w:rFonts w:cs="Times New Roman"/>
                <w14:scene3d>
                  <w14:camera w14:prst="orthographicFront"/>
                  <w14:lightRig w14:rig="threePt" w14:dir="t">
                    <w14:rot w14:lat="0" w14:lon="0" w14:rev="0"/>
                  </w14:lightRig>
                </w14:scene3d>
              </w:rPr>
              <w:t>9.3.5.</w:t>
            </w:r>
            <w:r>
              <w:rPr>
                <w:rStyle w:val="Sautdindex"/>
                <w:rFonts w:eastAsia="" w:cs="" w:cstheme="minorBidi" w:eastAsiaTheme="minorEastAsia"/>
                <w:i w:val="false"/>
                <w:iCs w:val="false"/>
                <w:sz w:val="22"/>
                <w:szCs w:val="22"/>
              </w:rPr>
              <w:tab/>
            </w:r>
            <w:r>
              <w:rPr>
                <w:rStyle w:val="Sautdindex"/>
              </w:rPr>
              <w:t>Maintenance préventive</w:t>
            </w:r>
            <w:r>
              <w:rPr>
                <w:webHidden/>
              </w:rPr>
              <w:fldChar w:fldCharType="begin"/>
            </w:r>
            <w:r>
              <w:rPr>
                <w:webHidden/>
              </w:rPr>
              <w:instrText>PAGEREF _Toc32334941 \h</w:instrText>
            </w:r>
            <w:r>
              <w:rPr>
                <w:webHidden/>
              </w:rPr>
              <w:fldChar w:fldCharType="separate"/>
            </w:r>
            <w:r>
              <w:rPr>
                <w:rStyle w:val="Sautdindex"/>
                <w:vanish w:val="false"/>
              </w:rPr>
              <w:tab/>
              <w:t>190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42">
            <w:r>
              <w:rPr>
                <w:webHidden/>
                <w:rStyle w:val="Sautdindex"/>
                <w:rFonts w:cs="Times New Roman"/>
                <w14:scene3d>
                  <w14:camera w14:prst="orthographicFront"/>
                  <w14:lightRig w14:rig="threePt" w14:dir="t">
                    <w14:rot w14:lat="0" w14:lon="0" w14:rev="0"/>
                  </w14:lightRig>
                </w14:scene3d>
              </w:rPr>
              <w:t>9.3.6.</w:t>
            </w:r>
            <w:r>
              <w:rPr>
                <w:rStyle w:val="Sautdindex"/>
                <w:rFonts w:eastAsia="" w:cs="" w:cstheme="minorBidi" w:eastAsiaTheme="minorEastAsia"/>
                <w:i w:val="false"/>
                <w:iCs w:val="false"/>
                <w:sz w:val="22"/>
                <w:szCs w:val="22"/>
              </w:rPr>
              <w:tab/>
            </w:r>
            <w:r>
              <w:rPr>
                <w:rStyle w:val="Sautdindex"/>
              </w:rPr>
              <w:t>Maintenance curative</w:t>
            </w:r>
            <w:r>
              <w:rPr>
                <w:webHidden/>
              </w:rPr>
              <w:fldChar w:fldCharType="begin"/>
            </w:r>
            <w:r>
              <w:rPr>
                <w:webHidden/>
              </w:rPr>
              <w:instrText>PAGEREF _Toc32334942 \h</w:instrText>
            </w:r>
            <w:r>
              <w:rPr>
                <w:webHidden/>
              </w:rPr>
              <w:fldChar w:fldCharType="separate"/>
            </w:r>
            <w:r>
              <w:rPr>
                <w:rStyle w:val="Sautdindex"/>
                <w:vanish w:val="false"/>
              </w:rPr>
              <w:tab/>
              <w:t>190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43">
            <w:r>
              <w:rPr>
                <w:webHidden/>
                <w:rStyle w:val="Sautdindex"/>
                <w:rFonts w:cs="Times New Roman"/>
                <w14:scene3d>
                  <w14:camera w14:prst="orthographicFront"/>
                  <w14:lightRig w14:rig="threePt" w14:dir="t">
                    <w14:rot w14:lat="0" w14:lon="0" w14:rev="0"/>
                  </w14:lightRig>
                </w14:scene3d>
              </w:rPr>
              <w:t>9.3.7.</w:t>
            </w:r>
            <w:r>
              <w:rPr>
                <w:rStyle w:val="Sautdindex"/>
                <w:rFonts w:eastAsia="" w:cs="" w:cstheme="minorBidi" w:eastAsiaTheme="minorEastAsia"/>
                <w:i w:val="false"/>
                <w:iCs w:val="false"/>
                <w:sz w:val="22"/>
                <w:szCs w:val="22"/>
              </w:rPr>
              <w:tab/>
            </w:r>
            <w:r>
              <w:rPr>
                <w:rStyle w:val="Sautdindex"/>
              </w:rPr>
              <w:t>Matières consommables</w:t>
            </w:r>
            <w:r>
              <w:rPr>
                <w:webHidden/>
              </w:rPr>
              <w:fldChar w:fldCharType="begin"/>
            </w:r>
            <w:r>
              <w:rPr>
                <w:webHidden/>
              </w:rPr>
              <w:instrText>PAGEREF _Toc32334943 \h</w:instrText>
            </w:r>
            <w:r>
              <w:rPr>
                <w:webHidden/>
              </w:rPr>
              <w:fldChar w:fldCharType="separate"/>
            </w:r>
            <w:r>
              <w:rPr>
                <w:rStyle w:val="Sautdindex"/>
                <w:vanish w:val="false"/>
              </w:rPr>
              <w:tab/>
              <w:t>190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44">
            <w:r>
              <w:rPr>
                <w:webHidden/>
                <w:rStyle w:val="Sautdindex"/>
                <w:rFonts w:cs="Times New Roman"/>
                <w14:scene3d>
                  <w14:camera w14:prst="orthographicFront"/>
                  <w14:lightRig w14:rig="threePt" w14:dir="t">
                    <w14:rot w14:lat="0" w14:lon="0" w14:rev="0"/>
                  </w14:lightRig>
                </w14:scene3d>
              </w:rPr>
              <w:t>9.3.8.</w:t>
            </w:r>
            <w:r>
              <w:rPr>
                <w:rStyle w:val="Sautdindex"/>
                <w:rFonts w:eastAsia="" w:cs="" w:cstheme="minorBidi" w:eastAsiaTheme="minorEastAsia"/>
                <w:i w:val="false"/>
                <w:iCs w:val="false"/>
                <w:sz w:val="22"/>
                <w:szCs w:val="22"/>
              </w:rPr>
              <w:tab/>
            </w:r>
            <w:r>
              <w:rPr>
                <w:rStyle w:val="Sautdindex"/>
              </w:rPr>
              <w:t>Modalités d’intervention</w:t>
            </w:r>
            <w:r>
              <w:rPr>
                <w:webHidden/>
              </w:rPr>
              <w:fldChar w:fldCharType="begin"/>
            </w:r>
            <w:r>
              <w:rPr>
                <w:webHidden/>
              </w:rPr>
              <w:instrText>PAGEREF _Toc32334944 \h</w:instrText>
            </w:r>
            <w:r>
              <w:rPr>
                <w:webHidden/>
              </w:rPr>
              <w:fldChar w:fldCharType="separate"/>
            </w:r>
            <w:r>
              <w:rPr>
                <w:rStyle w:val="Sautdindex"/>
                <w:vanish w:val="false"/>
              </w:rPr>
              <w:tab/>
              <w:t>190</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45">
            <w:r>
              <w:rPr>
                <w:webHidden/>
                <w:rStyle w:val="Sautdindex"/>
                <w:rFonts w:cs="Times New Roman"/>
                <w14:scene3d>
                  <w14:camera w14:prst="orthographicFront"/>
                  <w14:lightRig w14:rig="threePt" w14:dir="t">
                    <w14:rot w14:lat="0" w14:lon="0" w14:rev="0"/>
                  </w14:lightRig>
                </w14:scene3d>
              </w:rPr>
              <w:t>9.3.9.</w:t>
            </w:r>
            <w:r>
              <w:rPr>
                <w:rStyle w:val="Sautdindex"/>
                <w:rFonts w:eastAsia="" w:cs="" w:cstheme="minorBidi" w:eastAsiaTheme="minorEastAsia"/>
                <w:i w:val="false"/>
                <w:iCs w:val="false"/>
                <w:sz w:val="22"/>
                <w:szCs w:val="22"/>
              </w:rPr>
              <w:tab/>
            </w:r>
            <w:r>
              <w:rPr>
                <w:rStyle w:val="Sautdindex"/>
              </w:rPr>
              <w:t>Remise en service par l’exploitant DiRIF</w:t>
            </w:r>
            <w:r>
              <w:rPr>
                <w:webHidden/>
              </w:rPr>
              <w:fldChar w:fldCharType="begin"/>
            </w:r>
            <w:r>
              <w:rPr>
                <w:webHidden/>
              </w:rPr>
              <w:instrText>PAGEREF _Toc32334945 \h</w:instrText>
            </w:r>
            <w:r>
              <w:rPr>
                <w:webHidden/>
              </w:rPr>
              <w:fldChar w:fldCharType="separate"/>
            </w:r>
            <w:r>
              <w:rPr>
                <w:rStyle w:val="Sautdindex"/>
                <w:vanish w:val="false"/>
              </w:rPr>
              <w:tab/>
              <w:t>191</w:t>
            </w:r>
            <w:r>
              <w:rPr>
                <w:webHidden/>
              </w:rPr>
              <w:fldChar w:fldCharType="end"/>
            </w:r>
          </w:hyperlink>
        </w:p>
        <w:p>
          <w:pPr>
            <w:pStyle w:val="Tabledesmatiresniveau2"/>
            <w:tabs>
              <w:tab w:val="clear" w:pos="708"/>
              <w:tab w:val="left" w:pos="800" w:leader="none"/>
              <w:tab w:val="right" w:pos="9629" w:leader="dot"/>
            </w:tabs>
            <w:rPr>
              <w:rFonts w:eastAsia="" w:cs="" w:cstheme="minorBidi" w:eastAsiaTheme="minorEastAsia"/>
              <w:caps w:val="false"/>
              <w:smallCaps w:val="false"/>
              <w:sz w:val="22"/>
              <w:szCs w:val="22"/>
            </w:rPr>
          </w:pPr>
          <w:hyperlink w:anchor="_Toc32334946">
            <w:r>
              <w:rPr>
                <w:webHidden/>
                <w:rStyle w:val="Sautdindex"/>
                <w:b/>
              </w:rPr>
              <w:t>9.4.</w:t>
            </w:r>
            <w:r>
              <w:rPr>
                <w:rStyle w:val="Sautdindex"/>
                <w:rFonts w:eastAsia="" w:cs="" w:cstheme="minorBidi" w:eastAsiaTheme="minorEastAsia"/>
                <w:caps w:val="false"/>
                <w:smallCaps w:val="false"/>
                <w:sz w:val="22"/>
                <w:szCs w:val="22"/>
              </w:rPr>
              <w:tab/>
            </w:r>
            <w:r>
              <w:rPr>
                <w:rStyle w:val="Sautdindex"/>
              </w:rPr>
              <w:t>Modalités  d’exploitation et maintenance</w:t>
            </w:r>
            <w:r>
              <w:rPr>
                <w:webHidden/>
              </w:rPr>
              <w:fldChar w:fldCharType="begin"/>
            </w:r>
            <w:r>
              <w:rPr>
                <w:webHidden/>
              </w:rPr>
              <w:instrText>PAGEREF _Toc32334946 \h</w:instrText>
            </w:r>
            <w:r>
              <w:rPr>
                <w:webHidden/>
              </w:rPr>
              <w:fldChar w:fldCharType="separate"/>
            </w:r>
            <w:r>
              <w:rPr>
                <w:rStyle w:val="Sautdindex"/>
                <w:vanish w:val="false"/>
              </w:rPr>
              <w:tab/>
              <w:t>191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47">
            <w:r>
              <w:rPr>
                <w:webHidden/>
                <w:rStyle w:val="Sautdindex"/>
                <w:rFonts w:cs="Times New Roman"/>
                <w14:scene3d>
                  <w14:camera w14:prst="orthographicFront"/>
                  <w14:lightRig w14:rig="threePt" w14:dir="t">
                    <w14:rot w14:lat="0" w14:lon="0" w14:rev="0"/>
                  </w14:lightRig>
                </w14:scene3d>
              </w:rPr>
              <w:t>9.4.1.</w:t>
            </w:r>
            <w:r>
              <w:rPr>
                <w:rStyle w:val="Sautdindex"/>
                <w:rFonts w:eastAsia="" w:cs="" w:cstheme="minorBidi" w:eastAsiaTheme="minorEastAsia"/>
                <w:i w:val="false"/>
                <w:iCs w:val="false"/>
                <w:sz w:val="22"/>
                <w:szCs w:val="22"/>
              </w:rPr>
              <w:tab/>
            </w:r>
            <w:r>
              <w:rPr>
                <w:rStyle w:val="Sautdindex"/>
              </w:rPr>
              <w:t>Eclairage</w:t>
            </w:r>
            <w:r>
              <w:rPr>
                <w:webHidden/>
              </w:rPr>
              <w:fldChar w:fldCharType="begin"/>
            </w:r>
            <w:r>
              <w:rPr>
                <w:webHidden/>
              </w:rPr>
              <w:instrText>PAGEREF _Toc32334947 \h</w:instrText>
            </w:r>
            <w:r>
              <w:rPr>
                <w:webHidden/>
              </w:rPr>
              <w:fldChar w:fldCharType="separate"/>
            </w:r>
            <w:r>
              <w:rPr>
                <w:rStyle w:val="Sautdindex"/>
                <w:vanish w:val="false"/>
              </w:rPr>
              <w:tab/>
              <w:t>191</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48">
            <w:r>
              <w:rPr>
                <w:webHidden/>
                <w:rStyle w:val="Sautdindex"/>
                <w:rFonts w:cs="Times New Roman"/>
                <w14:scene3d>
                  <w14:camera w14:prst="orthographicFront"/>
                  <w14:lightRig w14:rig="threePt" w14:dir="t">
                    <w14:rot w14:lat="0" w14:lon="0" w14:rev="0"/>
                  </w14:lightRig>
                </w14:scene3d>
              </w:rPr>
              <w:t>9.4.2.</w:t>
            </w:r>
            <w:r>
              <w:rPr>
                <w:rStyle w:val="Sautdindex"/>
                <w:rFonts w:eastAsia="" w:cs="" w:cstheme="minorBidi" w:eastAsiaTheme="minorEastAsia"/>
                <w:i w:val="false"/>
                <w:iCs w:val="false"/>
                <w:sz w:val="22"/>
                <w:szCs w:val="22"/>
              </w:rPr>
              <w:tab/>
            </w:r>
            <w:r>
              <w:rPr>
                <w:rStyle w:val="Sautdindex"/>
              </w:rPr>
              <w:t>Climatisation</w:t>
            </w:r>
            <w:r>
              <w:rPr>
                <w:webHidden/>
              </w:rPr>
              <w:fldChar w:fldCharType="begin"/>
            </w:r>
            <w:r>
              <w:rPr>
                <w:webHidden/>
              </w:rPr>
              <w:instrText>PAGEREF _Toc32334948 \h</w:instrText>
            </w:r>
            <w:r>
              <w:rPr>
                <w:webHidden/>
              </w:rPr>
              <w:fldChar w:fldCharType="separate"/>
            </w:r>
            <w:r>
              <w:rPr>
                <w:rStyle w:val="Sautdindex"/>
                <w:vanish w:val="false"/>
              </w:rPr>
              <w:tab/>
              <w:t>192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949">
            <w:r>
              <w:rPr>
                <w:webHidden/>
                <w:rStyle w:val="Sautdindex"/>
                <w:rFonts w:cs="Times New Roman"/>
              </w:rPr>
              <w:t>9.4.2.1.</w:t>
            </w:r>
            <w:r>
              <w:rPr>
                <w:rStyle w:val="Sautdindex"/>
                <w:rFonts w:eastAsia="" w:cs="" w:cstheme="minorBidi" w:eastAsiaTheme="minorEastAsia"/>
                <w:sz w:val="22"/>
                <w:szCs w:val="22"/>
              </w:rPr>
              <w:tab/>
            </w:r>
            <w:r>
              <w:rPr>
                <w:rStyle w:val="Sautdindex"/>
              </w:rPr>
              <w:t>Exploitation</w:t>
            </w:r>
            <w:r>
              <w:rPr>
                <w:webHidden/>
              </w:rPr>
              <w:fldChar w:fldCharType="begin"/>
            </w:r>
            <w:r>
              <w:rPr>
                <w:webHidden/>
              </w:rPr>
              <w:instrText>PAGEREF _Toc32334949 \h</w:instrText>
            </w:r>
            <w:r>
              <w:rPr>
                <w:webHidden/>
              </w:rPr>
              <w:fldChar w:fldCharType="separate"/>
            </w:r>
            <w:r>
              <w:rPr>
                <w:rStyle w:val="Sautdindex"/>
                <w:vanish w:val="false"/>
              </w:rPr>
              <w:tab/>
              <w:t>192</w:t>
            </w:r>
            <w:r>
              <w:rPr>
                <w:webHidden/>
              </w:rPr>
              <w:fldChar w:fldCharType="end"/>
            </w:r>
          </w:hyperlink>
        </w:p>
        <w:p>
          <w:pPr>
            <w:pStyle w:val="Tabledesmatiresniveau4"/>
            <w:tabs>
              <w:tab w:val="clear" w:pos="708"/>
              <w:tab w:val="left" w:pos="1400" w:leader="none"/>
              <w:tab w:val="right" w:pos="9629" w:leader="dot"/>
            </w:tabs>
            <w:rPr>
              <w:rFonts w:eastAsia="" w:cs="" w:cstheme="minorBidi" w:eastAsiaTheme="minorEastAsia"/>
              <w:sz w:val="22"/>
              <w:szCs w:val="22"/>
            </w:rPr>
          </w:pPr>
          <w:hyperlink w:anchor="_Toc32334950">
            <w:r>
              <w:rPr>
                <w:webHidden/>
                <w:rStyle w:val="Sautdindex"/>
                <w:rFonts w:cs="Times New Roman"/>
              </w:rPr>
              <w:t>9.4.2.2.</w:t>
            </w:r>
            <w:r>
              <w:rPr>
                <w:rStyle w:val="Sautdindex"/>
                <w:rFonts w:eastAsia="" w:cs="" w:cstheme="minorBidi" w:eastAsiaTheme="minorEastAsia"/>
                <w:sz w:val="22"/>
                <w:szCs w:val="22"/>
              </w:rPr>
              <w:tab/>
            </w:r>
            <w:r>
              <w:rPr>
                <w:rStyle w:val="Sautdindex"/>
              </w:rPr>
              <w:t>Maintenance</w:t>
            </w:r>
            <w:r>
              <w:rPr>
                <w:webHidden/>
              </w:rPr>
              <w:fldChar w:fldCharType="begin"/>
            </w:r>
            <w:r>
              <w:rPr>
                <w:webHidden/>
              </w:rPr>
              <w:instrText>PAGEREF _Toc32334950 \h</w:instrText>
            </w:r>
            <w:r>
              <w:rPr>
                <w:webHidden/>
              </w:rPr>
              <w:fldChar w:fldCharType="separate"/>
            </w:r>
            <w:r>
              <w:rPr>
                <w:rStyle w:val="Sautdindex"/>
                <w:vanish w:val="false"/>
              </w:rPr>
              <w:tab/>
              <w:t>192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51">
            <w:r>
              <w:rPr>
                <w:webHidden/>
                <w:rStyle w:val="Sautdindex"/>
                <w:rFonts w:cs="Times New Roman"/>
                <w14:scene3d>
                  <w14:camera w14:prst="orthographicFront"/>
                  <w14:lightRig w14:rig="threePt" w14:dir="t">
                    <w14:rot w14:lat="0" w14:lon="0" w14:rev="0"/>
                  </w14:lightRig>
                </w14:scene3d>
              </w:rPr>
              <w:t>9.4.3.</w:t>
            </w:r>
            <w:r>
              <w:rPr>
                <w:rStyle w:val="Sautdindex"/>
                <w:rFonts w:eastAsia="" w:cs="" w:cstheme="minorBidi" w:eastAsiaTheme="minorEastAsia"/>
                <w:i w:val="false"/>
                <w:iCs w:val="false"/>
                <w:sz w:val="22"/>
                <w:szCs w:val="22"/>
              </w:rPr>
              <w:tab/>
            </w:r>
            <w:r>
              <w:rPr>
                <w:rStyle w:val="Sautdindex"/>
              </w:rPr>
              <w:t>Systèmes de Sureté et de Sécurité</w:t>
            </w:r>
            <w:r>
              <w:rPr>
                <w:webHidden/>
              </w:rPr>
              <w:fldChar w:fldCharType="begin"/>
            </w:r>
            <w:r>
              <w:rPr>
                <w:webHidden/>
              </w:rPr>
              <w:instrText>PAGEREF _Toc32334951 \h</w:instrText>
            </w:r>
            <w:r>
              <w:rPr>
                <w:webHidden/>
              </w:rPr>
              <w:fldChar w:fldCharType="separate"/>
            </w:r>
            <w:r>
              <w:rPr>
                <w:rStyle w:val="Sautdindex"/>
                <w:vanish w:val="false"/>
              </w:rPr>
              <w:tab/>
              <w:t>192</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52">
            <w:r>
              <w:rPr>
                <w:webHidden/>
                <w:rStyle w:val="Sautdindex"/>
                <w:rFonts w:cs="Times New Roman"/>
                <w14:scene3d>
                  <w14:camera w14:prst="orthographicFront"/>
                  <w14:lightRig w14:rig="threePt" w14:dir="t">
                    <w14:rot w14:lat="0" w14:lon="0" w14:rev="0"/>
                  </w14:lightRig>
                </w14:scene3d>
              </w:rPr>
              <w:t>9.4.4.</w:t>
            </w:r>
            <w:r>
              <w:rPr>
                <w:rStyle w:val="Sautdindex"/>
                <w:rFonts w:eastAsia="" w:cs="" w:cstheme="minorBidi" w:eastAsiaTheme="minorEastAsia"/>
                <w:i w:val="false"/>
                <w:iCs w:val="false"/>
                <w:sz w:val="22"/>
                <w:szCs w:val="22"/>
              </w:rPr>
              <w:tab/>
            </w:r>
            <w:r>
              <w:rPr>
                <w:rStyle w:val="Sautdindex"/>
              </w:rPr>
              <w:t>Tableaux Généraux Basse Tension</w:t>
            </w:r>
            <w:r>
              <w:rPr>
                <w:webHidden/>
              </w:rPr>
              <w:fldChar w:fldCharType="begin"/>
            </w:r>
            <w:r>
              <w:rPr>
                <w:webHidden/>
              </w:rPr>
              <w:instrText>PAGEREF _Toc32334952 \h</w:instrText>
            </w:r>
            <w:r>
              <w:rPr>
                <w:webHidden/>
              </w:rPr>
              <w:fldChar w:fldCharType="separate"/>
            </w:r>
            <w:r>
              <w:rPr>
                <w:rStyle w:val="Sautdindex"/>
                <w:vanish w:val="false"/>
              </w:rPr>
              <w:tab/>
              <w:t>193</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53">
            <w:r>
              <w:rPr>
                <w:webHidden/>
                <w:rStyle w:val="Sautdindex"/>
                <w:rFonts w:cs="Times New Roman"/>
                <w14:scene3d>
                  <w14:camera w14:prst="orthographicFront"/>
                  <w14:lightRig w14:rig="threePt" w14:dir="t">
                    <w14:rot w14:lat="0" w14:lon="0" w14:rev="0"/>
                  </w14:lightRig>
                </w14:scene3d>
              </w:rPr>
              <w:t>9.4.5.</w:t>
            </w:r>
            <w:r>
              <w:rPr>
                <w:rStyle w:val="Sautdindex"/>
                <w:rFonts w:eastAsia="" w:cs="" w:cstheme="minorBidi" w:eastAsiaTheme="minorEastAsia"/>
                <w:i w:val="false"/>
                <w:iCs w:val="false"/>
                <w:sz w:val="22"/>
                <w:szCs w:val="22"/>
              </w:rPr>
              <w:tab/>
            </w:r>
            <w:r>
              <w:rPr>
                <w:rStyle w:val="Sautdindex"/>
              </w:rPr>
              <w:t>Nettoyage</w:t>
            </w:r>
            <w:r>
              <w:rPr>
                <w:webHidden/>
              </w:rPr>
              <w:fldChar w:fldCharType="begin"/>
            </w:r>
            <w:r>
              <w:rPr>
                <w:webHidden/>
              </w:rPr>
              <w:instrText>PAGEREF _Toc32334953 \h</w:instrText>
            </w:r>
            <w:r>
              <w:rPr>
                <w:webHidden/>
              </w:rPr>
              <w:fldChar w:fldCharType="separate"/>
            </w:r>
            <w:r>
              <w:rPr>
                <w:rStyle w:val="Sautdindex"/>
                <w:vanish w:val="false"/>
              </w:rPr>
              <w:tab/>
              <w:t>194</w:t>
            </w:r>
            <w:r>
              <w:rPr>
                <w:webHidden/>
              </w:rPr>
              <w:fldChar w:fldCharType="end"/>
            </w:r>
          </w:hyperlink>
        </w:p>
        <w:p>
          <w:pPr>
            <w:pStyle w:val="Tabledesmatiresniveau3"/>
            <w:tabs>
              <w:tab w:val="clear" w:pos="708"/>
              <w:tab w:val="left" w:pos="1200" w:leader="none"/>
              <w:tab w:val="right" w:pos="9629" w:leader="dot"/>
            </w:tabs>
            <w:rPr>
              <w:rFonts w:eastAsia="" w:cs="" w:cstheme="minorBidi" w:eastAsiaTheme="minorEastAsia"/>
              <w:i w:val="false"/>
              <w:i w:val="false"/>
              <w:iCs w:val="false"/>
              <w:sz w:val="22"/>
              <w:szCs w:val="22"/>
            </w:rPr>
          </w:pPr>
          <w:hyperlink w:anchor="_Toc32334954">
            <w:r>
              <w:rPr>
                <w:webHidden/>
                <w:rStyle w:val="Sautdindex"/>
                <w:rFonts w:cs="Times New Roman"/>
                <w14:scene3d>
                  <w14:camera w14:prst="orthographicFront"/>
                  <w14:lightRig w14:rig="threePt" w14:dir="t">
                    <w14:rot w14:lat="0" w14:lon="0" w14:rev="0"/>
                  </w14:lightRig>
                </w14:scene3d>
              </w:rPr>
              <w:t>9.4.6.</w:t>
            </w:r>
            <w:r>
              <w:rPr>
                <w:rStyle w:val="Sautdindex"/>
                <w:rFonts w:eastAsia="" w:cs="" w:cstheme="minorBidi" w:eastAsiaTheme="minorEastAsia"/>
                <w:i w:val="false"/>
                <w:iCs w:val="false"/>
                <w:sz w:val="22"/>
                <w:szCs w:val="22"/>
              </w:rPr>
              <w:tab/>
            </w:r>
            <w:r>
              <w:rPr>
                <w:rStyle w:val="Sautdindex"/>
              </w:rPr>
              <w:t>Récapitulatif</w:t>
            </w:r>
            <w:r>
              <w:rPr>
                <w:webHidden/>
              </w:rPr>
              <w:fldChar w:fldCharType="begin"/>
            </w:r>
            <w:r>
              <w:rPr>
                <w:webHidden/>
              </w:rPr>
              <w:instrText>PAGEREF _Toc32334954 \h</w:instrText>
            </w:r>
            <w:r>
              <w:rPr>
                <w:webHidden/>
              </w:rPr>
              <w:fldChar w:fldCharType="separate"/>
            </w:r>
            <w:r>
              <w:rPr>
                <w:rStyle w:val="Sautdindex"/>
                <w:vanish w:val="false"/>
              </w:rPr>
              <w:tab/>
              <w:t>195</w:t>
            </w:r>
            <w:r>
              <w:rPr>
                <w:webHidden/>
              </w:rPr>
              <w:fldChar w:fldCharType="end"/>
            </w:r>
          </w:hyperlink>
          <w:r>
            <w:rPr>
              <w:rStyle w:val="Sautdindex"/>
              <w:vanish w:val="false"/>
            </w:rPr>
            <w:fldChar w:fldCharType="end"/>
          </w:r>
        </w:p>
      </w:sdtContent>
    </w:sdt>
    <w:p>
      <w:pPr>
        <w:pStyle w:val="Normal"/>
        <w:widowControl/>
        <w:bidi w:val="0"/>
        <w:spacing w:before="0" w:after="0"/>
        <w:jc w:val="both"/>
        <w:rPr>
          <w:rFonts w:ascii="Arial" w:hAnsi="Arial"/>
        </w:rPr>
      </w:pPr>
      <w:r>
        <w:rPr/>
      </w:r>
    </w:p>
    <w:p>
      <w:pPr>
        <w:pStyle w:val="Normal"/>
        <w:rPr>
          <w:rFonts w:cs="Arial"/>
          <w:sz w:val="28"/>
          <w:szCs w:val="28"/>
        </w:rPr>
      </w:pPr>
      <w:r>
        <w:rPr>
          <w:rFonts w:cs="Arial"/>
          <w:sz w:val="28"/>
          <w:szCs w:val="28"/>
        </w:rPr>
      </w:r>
    </w:p>
    <w:p>
      <w:pPr>
        <w:pStyle w:val="Normal"/>
        <w:jc w:val="center"/>
        <w:rPr>
          <w:rFonts w:cs="Arial"/>
          <w:sz w:val="28"/>
          <w:szCs w:val="28"/>
        </w:rPr>
      </w:pPr>
      <w:r>
        <w:rPr>
          <w:rFonts w:cs="Arial"/>
          <w:sz w:val="28"/>
          <w:szCs w:val="28"/>
        </w:rPr>
        <w:t>SOMMAIRE DES ANNEXES</w:t>
      </w:r>
    </w:p>
    <w:p>
      <w:pPr>
        <w:pStyle w:val="Normal"/>
        <w:rPr/>
      </w:pPr>
      <w:r>
        <w:rPr/>
      </w:r>
    </w:p>
    <w:p>
      <w:pPr>
        <w:pStyle w:val="Tabledesmatiresniveau1"/>
        <w:tabs>
          <w:tab w:val="clear" w:pos="708"/>
          <w:tab w:val="left" w:pos="800" w:leader="none"/>
          <w:tab w:val="right" w:pos="9629" w:leader="dot"/>
        </w:tabs>
        <w:rPr/>
      </w:pPr>
      <w:r>
        <w:rPr/>
        <w:t>Annexe 1 : Mobilier 3</w:t>
      </w:r>
    </w:p>
    <w:p>
      <w:pPr>
        <w:pStyle w:val="Tabledesmatiresniveau1"/>
        <w:tabs>
          <w:tab w:val="clear" w:pos="708"/>
          <w:tab w:val="left" w:pos="800" w:leader="none"/>
          <w:tab w:val="right" w:pos="9629" w:leader="dot"/>
        </w:tabs>
        <w:rPr/>
      </w:pPr>
      <w:r>
        <w:rPr/>
        <w:t>Annexe 2 : etude d’ergonomie</w:t>
      </w:r>
    </w:p>
    <w:p>
      <w:pPr>
        <w:pStyle w:val="Tabledesmatiresniveau1"/>
        <w:tabs>
          <w:tab w:val="clear" w:pos="708"/>
          <w:tab w:val="left" w:pos="800" w:leader="none"/>
          <w:tab w:val="right" w:pos="9629" w:leader="dot"/>
        </w:tabs>
        <w:rPr/>
      </w:pPr>
      <w:r>
        <w:rPr/>
        <w:t>Annexe 3 : FICHE EQUIPEMENTS par local</w:t>
      </w:r>
    </w:p>
    <w:p>
      <w:pPr>
        <w:pStyle w:val="Tabledesmatiresniveau1"/>
        <w:tabs>
          <w:tab w:val="clear" w:pos="708"/>
          <w:tab w:val="left" w:pos="800" w:leader="none"/>
          <w:tab w:val="right" w:pos="9629" w:leader="dot"/>
        </w:tabs>
        <w:rPr/>
      </w:pPr>
      <w:r>
        <w:rPr/>
        <w:t>Annexe 4 : Bilan thermique de la Climatisation</w:t>
      </w:r>
    </w:p>
    <w:p>
      <w:pPr>
        <w:pStyle w:val="Tabledesmatiresniveau1"/>
        <w:tabs>
          <w:tab w:val="clear" w:pos="708"/>
          <w:tab w:val="left" w:pos="800" w:leader="none"/>
          <w:tab w:val="right" w:pos="9629" w:leader="dot"/>
        </w:tabs>
        <w:rPr/>
      </w:pPr>
      <w:r>
        <w:rPr/>
        <w:t>Annexe 5 : calendrier prévisionnel de réalisation</w:t>
      </w:r>
    </w:p>
    <w:p>
      <w:pPr>
        <w:pStyle w:val="Tabledesmatiresniveau1"/>
        <w:tabs>
          <w:tab w:val="clear" w:pos="708"/>
          <w:tab w:val="left" w:pos="800" w:leader="none"/>
          <w:tab w:val="right" w:pos="9629" w:leader="dot"/>
        </w:tabs>
        <w:rPr/>
      </w:pPr>
      <w:r>
        <w:rPr/>
        <w:t>Annexe 6 : estimation financière</w:t>
      </w:r>
    </w:p>
    <w:p>
      <w:pPr>
        <w:pStyle w:val="Tabledesmatiresniveau1"/>
        <w:tabs>
          <w:tab w:val="clear" w:pos="708"/>
          <w:tab w:val="left" w:pos="800" w:leader="none"/>
          <w:tab w:val="right" w:pos="9629" w:leader="dot"/>
        </w:tabs>
        <w:rPr/>
      </w:pPr>
      <w:r>
        <w:rPr/>
        <w:t>Annexe 7 : spécification technique E1 dirif</w:t>
      </w:r>
    </w:p>
    <w:p>
      <w:pPr>
        <w:pStyle w:val="Tabledesmatiresniveau1"/>
        <w:tabs>
          <w:tab w:val="clear" w:pos="708"/>
          <w:tab w:val="left" w:pos="800" w:leader="none"/>
          <w:tab w:val="right" w:pos="9629" w:leader="dot"/>
        </w:tabs>
        <w:rPr/>
      </w:pPr>
      <w:r>
        <w:rPr/>
        <w:t>Annexe 8 : spécification technique G1 dirif</w:t>
      </w:r>
    </w:p>
    <w:p>
      <w:pPr>
        <w:pStyle w:val="Tabledesmatiresniveau1"/>
        <w:tabs>
          <w:tab w:val="clear" w:pos="708"/>
          <w:tab w:val="left" w:pos="800" w:leader="none"/>
          <w:tab w:val="right" w:pos="9629" w:leader="dot"/>
        </w:tabs>
        <w:rPr/>
      </w:pPr>
      <w:r>
        <w:rPr/>
        <w:t>Annexe 9 : spécifications documentaires dirif</w:t>
      </w:r>
    </w:p>
    <w:p>
      <w:pPr>
        <w:pStyle w:val="Tabledesmatiresniveau1"/>
        <w:numPr>
          <w:ilvl w:val="3"/>
          <w:numId w:val="37"/>
        </w:numPr>
        <w:tabs>
          <w:tab w:val="clear" w:pos="708"/>
          <w:tab w:val="left" w:pos="0" w:leader="none"/>
          <w:tab w:val="right" w:pos="9629" w:leader="dot"/>
        </w:tabs>
        <w:ind w:left="709" w:hanging="283"/>
        <w:rPr/>
      </w:pPr>
      <w:r>
        <w:rPr/>
        <w:t>Annexe 9.1 : Description tatouages (DQD_DOE_TAT_00000305_V2.04),</w:t>
      </w:r>
    </w:p>
    <w:p>
      <w:pPr>
        <w:pStyle w:val="Tabledesmatiresniveau1"/>
        <w:numPr>
          <w:ilvl w:val="3"/>
          <w:numId w:val="37"/>
        </w:numPr>
        <w:tabs>
          <w:tab w:val="clear" w:pos="708"/>
          <w:tab w:val="left" w:pos="0" w:leader="none"/>
          <w:tab w:val="right" w:pos="9629" w:leader="dot"/>
        </w:tabs>
        <w:ind w:left="709" w:hanging="283"/>
        <w:rPr/>
      </w:pPr>
      <w:r>
        <w:rPr/>
        <w:t>Annexe 9.2 : Procédure codification (PQD_DOE_COD_00000307_V1.00),</w:t>
      </w:r>
    </w:p>
    <w:p>
      <w:pPr>
        <w:pStyle w:val="Tabledesmatiresniveau1"/>
        <w:numPr>
          <w:ilvl w:val="3"/>
          <w:numId w:val="37"/>
        </w:numPr>
        <w:tabs>
          <w:tab w:val="clear" w:pos="708"/>
          <w:tab w:val="left" w:pos="0" w:leader="none"/>
          <w:tab w:val="right" w:pos="9629" w:leader="dot"/>
        </w:tabs>
        <w:ind w:left="709" w:hanging="283"/>
        <w:rPr/>
      </w:pPr>
      <w:r>
        <w:rPr/>
        <w:t>annexe 9.3 : Specification codification (SQD_DOE_COD_00000300_V1.04),</w:t>
      </w:r>
    </w:p>
    <w:p>
      <w:pPr>
        <w:pStyle w:val="Tabledesmatiresniveau1"/>
        <w:tabs>
          <w:tab w:val="clear" w:pos="708"/>
          <w:tab w:val="left" w:pos="800" w:leader="none"/>
          <w:tab w:val="right" w:pos="9629" w:leader="dot"/>
        </w:tabs>
        <w:rPr/>
      </w:pPr>
      <w:r>
        <w:rPr/>
        <w:t>Annexe 10 : spécifications techniques de câblage du ministère de l’intérieur version du 14/02/2014</w:t>
      </w:r>
    </w:p>
    <w:p>
      <w:pPr>
        <w:pStyle w:val="Normal"/>
        <w:rPr>
          <w:rFonts w:cs="Arial"/>
          <w:sz w:val="28"/>
          <w:szCs w:val="28"/>
        </w:rPr>
      </w:pPr>
      <w:r>
        <w:rPr>
          <w:rFonts w:cs="Arial"/>
          <w:sz w:val="28"/>
          <w:szCs w:val="28"/>
        </w:rPr>
      </w:r>
    </w:p>
    <w:p>
      <w:pPr>
        <w:pStyle w:val="Normal"/>
        <w:jc w:val="center"/>
        <w:rPr>
          <w:rFonts w:cs="Arial"/>
          <w:sz w:val="28"/>
          <w:szCs w:val="28"/>
        </w:rPr>
      </w:pPr>
      <w:r>
        <w:rPr>
          <w:rFonts w:cs="Arial"/>
          <w:sz w:val="28"/>
          <w:szCs w:val="28"/>
        </w:rPr>
        <w:t>TABLE DES ILLUSTRATIONS</w:t>
      </w:r>
      <w:bookmarkStart w:id="2" w:name="_GoBack"/>
      <w:bookmarkEnd w:id="2"/>
    </w:p>
    <w:sdt>
      <w:sdtPr>
        <w:docPartObj>
          <w:docPartGallery w:val="Table of Contents"/>
          <w:docPartUnique w:val="true"/>
        </w:docPartObj>
      </w:sdtPr>
      <w:sdtContent>
        <w:p>
          <w:pPr>
            <w:pStyle w:val="Tabledesmatiresniveau1"/>
            <w:tabs>
              <w:tab w:val="clear" w:pos="708"/>
              <w:tab w:val="left" w:pos="800" w:leader="none"/>
              <w:tab w:val="right" w:pos="9629" w:leader="dot"/>
            </w:tabs>
            <w:rPr>
              <w:rFonts w:eastAsia="" w:cs="" w:cstheme="minorBidi" w:eastAsiaTheme="minorEastAsia"/>
              <w:b w:val="false"/>
              <w:b w:val="false"/>
              <w:bCs w:val="false"/>
              <w:caps w:val="false"/>
              <w:smallCaps w:val="false"/>
              <w:sz w:val="22"/>
              <w:szCs w:val="22"/>
            </w:rPr>
          </w:pPr>
          <w:r>
            <w:fldChar w:fldCharType="begin"/>
          </w:r>
          <w:r>
            <w:rPr>
              <w:webHidden/>
              <w:rStyle w:val="Sautdindex"/>
              <w:rFonts w:eastAsia="Calibri" w:cs="Arial"/>
            </w:rPr>
            <w:instrText> TOC \z \h</w:instrText>
          </w:r>
          <w:r>
            <w:rPr>
              <w:webHidden/>
              <w:rStyle w:val="Sautdindex"/>
              <w:rFonts w:eastAsia="Calibri" w:cs="Arial"/>
            </w:rPr>
            <w:fldChar w:fldCharType="separate"/>
          </w:r>
          <w:hyperlink w:anchor="_Toc32334955">
            <w:r>
              <w:rPr>
                <w:webHidden/>
                <w:rStyle w:val="Sautdindex"/>
                <w:rFonts w:eastAsia="Calibri" w:cs="Arial" w:eastAsiaTheme="minorHAnsi"/>
              </w:rPr>
              <w:t>Fig. 1.</w:t>
            </w:r>
            <w:r>
              <w:rPr>
                <w:rStyle w:val="Sautdindex"/>
                <w:rFonts w:eastAsia="" w:cs="" w:cstheme="minorBidi" w:eastAsiaTheme="minorEastAsia"/>
                <w:b w:val="false"/>
                <w:bCs w:val="false"/>
                <w:caps w:val="false"/>
                <w:smallCaps w:val="false"/>
                <w:sz w:val="22"/>
                <w:szCs w:val="22"/>
              </w:rPr>
              <w:tab/>
            </w:r>
            <w:r>
              <w:rPr>
                <w:rStyle w:val="Sautdindex"/>
              </w:rPr>
              <w:t>Plan de situation du PCTT de Nanterre</w:t>
            </w:r>
            <w:r>
              <w:rPr>
                <w:webHidden/>
              </w:rPr>
              <w:fldChar w:fldCharType="begin"/>
            </w:r>
            <w:r>
              <w:rPr>
                <w:webHidden/>
              </w:rPr>
              <w:instrText>PAGEREF _Toc32334955 \h</w:instrText>
            </w:r>
            <w:r>
              <w:rPr>
                <w:webHidden/>
              </w:rPr>
              <w:fldChar w:fldCharType="separate"/>
            </w:r>
            <w:r>
              <w:rPr>
                <w:rStyle w:val="Sautdindex"/>
                <w:vanish w:val="false"/>
              </w:rPr>
              <w:tab/>
              <w:t>25</w:t>
            </w:r>
            <w:r>
              <w:rPr>
                <w:webHidden/>
              </w:rPr>
              <w:fldChar w:fldCharType="end"/>
            </w:r>
          </w:hyperlink>
        </w:p>
        <w:p>
          <w:pPr>
            <w:pStyle w:val="Tabledesmatiresniveau1"/>
            <w:tabs>
              <w:tab w:val="clear" w:pos="708"/>
              <w:tab w:val="left" w:pos="800" w:leader="none"/>
              <w:tab w:val="right" w:pos="9629" w:leader="dot"/>
            </w:tabs>
            <w:rPr>
              <w:rFonts w:eastAsia="" w:cs="" w:cstheme="minorBidi" w:eastAsiaTheme="minorEastAsia"/>
              <w:b w:val="false"/>
              <w:b w:val="false"/>
              <w:bCs w:val="false"/>
              <w:caps w:val="false"/>
              <w:smallCaps w:val="false"/>
              <w:sz w:val="22"/>
              <w:szCs w:val="22"/>
            </w:rPr>
          </w:pPr>
          <w:hyperlink w:anchor="_Toc32334956">
            <w:r>
              <w:rPr>
                <w:webHidden/>
                <w:rStyle w:val="Sautdindex"/>
                <w:rFonts w:cs="Arial"/>
              </w:rPr>
              <w:t>Fig. 2.</w:t>
            </w:r>
            <w:r>
              <w:rPr>
                <w:rStyle w:val="Sautdindex"/>
                <w:rFonts w:eastAsia="" w:cs="" w:cstheme="minorBidi" w:eastAsiaTheme="minorEastAsia"/>
                <w:b w:val="false"/>
                <w:bCs w:val="false"/>
                <w:caps w:val="false"/>
                <w:smallCaps w:val="false"/>
                <w:sz w:val="22"/>
                <w:szCs w:val="22"/>
              </w:rPr>
              <w:tab/>
            </w:r>
            <w:r>
              <w:rPr>
                <w:rStyle w:val="Sautdindex"/>
              </w:rPr>
              <w:t>Vue aérienne du PCTT de Nanterre</w:t>
            </w:r>
            <w:r>
              <w:rPr>
                <w:webHidden/>
              </w:rPr>
              <w:fldChar w:fldCharType="begin"/>
            </w:r>
            <w:r>
              <w:rPr>
                <w:webHidden/>
              </w:rPr>
              <w:instrText>PAGEREF _Toc32334956 \h</w:instrText>
            </w:r>
            <w:r>
              <w:rPr>
                <w:webHidden/>
              </w:rPr>
              <w:fldChar w:fldCharType="separate"/>
            </w:r>
            <w:r>
              <w:rPr>
                <w:rStyle w:val="Sautdindex"/>
                <w:vanish w:val="false"/>
              </w:rPr>
              <w:tab/>
              <w:t>25</w:t>
            </w:r>
            <w:r>
              <w:rPr>
                <w:webHidden/>
              </w:rPr>
              <w:fldChar w:fldCharType="end"/>
            </w:r>
          </w:hyperlink>
        </w:p>
        <w:p>
          <w:pPr>
            <w:pStyle w:val="Tabledesmatiresniveau1"/>
            <w:tabs>
              <w:tab w:val="clear" w:pos="708"/>
              <w:tab w:val="left" w:pos="800" w:leader="none"/>
              <w:tab w:val="right" w:pos="9629" w:leader="dot"/>
            </w:tabs>
            <w:rPr>
              <w:rFonts w:eastAsia="" w:cs="" w:cstheme="minorBidi" w:eastAsiaTheme="minorEastAsia"/>
              <w:b w:val="false"/>
              <w:b w:val="false"/>
              <w:bCs w:val="false"/>
              <w:caps w:val="false"/>
              <w:smallCaps w:val="false"/>
              <w:sz w:val="22"/>
              <w:szCs w:val="22"/>
            </w:rPr>
          </w:pPr>
          <w:hyperlink w:anchor="_Toc32334957">
            <w:r>
              <w:rPr>
                <w:webHidden/>
                <w:rStyle w:val="Sautdindex"/>
                <w:rFonts w:cs="Arial"/>
              </w:rPr>
              <w:t>Fig. 3.</w:t>
            </w:r>
            <w:r>
              <w:rPr>
                <w:rStyle w:val="Sautdindex"/>
                <w:rFonts w:eastAsia="" w:cs="" w:cstheme="minorBidi" w:eastAsiaTheme="minorEastAsia"/>
                <w:b w:val="false"/>
                <w:bCs w:val="false"/>
                <w:caps w:val="false"/>
                <w:smallCaps w:val="false"/>
                <w:sz w:val="22"/>
                <w:szCs w:val="22"/>
              </w:rPr>
              <w:tab/>
            </w:r>
            <w:r>
              <w:rPr>
                <w:rStyle w:val="Sautdindex"/>
              </w:rPr>
              <w:t>Plan du 1</w:t>
            </w:r>
            <w:r>
              <w:rPr>
                <w:rStyle w:val="Sautdindex"/>
                <w:vertAlign w:val="superscript"/>
              </w:rPr>
              <w:t>er</w:t>
            </w:r>
            <w:r>
              <w:rPr>
                <w:rStyle w:val="Sautdindex"/>
              </w:rPr>
              <w:t xml:space="preserve"> niveau en configuration existante du PCTT de Nanterre</w:t>
            </w:r>
            <w:r>
              <w:rPr>
                <w:webHidden/>
              </w:rPr>
              <w:fldChar w:fldCharType="begin"/>
            </w:r>
            <w:r>
              <w:rPr>
                <w:webHidden/>
              </w:rPr>
              <w:instrText>PAGEREF _Toc32334957 \h</w:instrText>
            </w:r>
            <w:r>
              <w:rPr>
                <w:webHidden/>
              </w:rPr>
              <w:fldChar w:fldCharType="separate"/>
            </w:r>
            <w:r>
              <w:rPr>
                <w:rStyle w:val="Sautdindex"/>
                <w:vanish w:val="false"/>
              </w:rPr>
              <w:tab/>
              <w:t>26</w:t>
            </w:r>
            <w:r>
              <w:rPr>
                <w:webHidden/>
              </w:rPr>
              <w:fldChar w:fldCharType="end"/>
            </w:r>
          </w:hyperlink>
        </w:p>
        <w:p>
          <w:pPr>
            <w:pStyle w:val="Tabledesmatiresniveau1"/>
            <w:tabs>
              <w:tab w:val="clear" w:pos="708"/>
              <w:tab w:val="left" w:pos="800" w:leader="none"/>
              <w:tab w:val="right" w:pos="9629" w:leader="dot"/>
            </w:tabs>
            <w:rPr>
              <w:rFonts w:eastAsia="" w:cs="" w:cstheme="minorBidi" w:eastAsiaTheme="minorEastAsia"/>
              <w:b w:val="false"/>
              <w:b w:val="false"/>
              <w:bCs w:val="false"/>
              <w:caps w:val="false"/>
              <w:smallCaps w:val="false"/>
              <w:sz w:val="22"/>
              <w:szCs w:val="22"/>
            </w:rPr>
          </w:pPr>
          <w:hyperlink w:anchor="_Toc32334958">
            <w:r>
              <w:rPr>
                <w:webHidden/>
                <w:rStyle w:val="Sautdindex"/>
                <w:rFonts w:cs="Arial"/>
              </w:rPr>
              <w:t>Fig. 4.</w:t>
            </w:r>
            <w:r>
              <w:rPr>
                <w:rStyle w:val="Sautdindex"/>
                <w:rFonts w:eastAsia="" w:cs="" w:cstheme="minorBidi" w:eastAsiaTheme="minorEastAsia"/>
                <w:b w:val="false"/>
                <w:bCs w:val="false"/>
                <w:caps w:val="false"/>
                <w:smallCaps w:val="false"/>
                <w:sz w:val="22"/>
                <w:szCs w:val="22"/>
              </w:rPr>
              <w:tab/>
            </w:r>
            <w:r>
              <w:rPr>
                <w:rStyle w:val="Sautdindex"/>
              </w:rPr>
              <w:t>Schéma fonctionnel en situation d’exploitation actuelle</w:t>
            </w:r>
            <w:r>
              <w:rPr>
                <w:webHidden/>
              </w:rPr>
              <w:fldChar w:fldCharType="begin"/>
            </w:r>
            <w:r>
              <w:rPr>
                <w:webHidden/>
              </w:rPr>
              <w:instrText>PAGEREF _Toc32334958 \h</w:instrText>
            </w:r>
            <w:r>
              <w:rPr>
                <w:webHidden/>
              </w:rPr>
              <w:fldChar w:fldCharType="separate"/>
            </w:r>
            <w:r>
              <w:rPr>
                <w:rStyle w:val="Sautdindex"/>
                <w:vanish w:val="false"/>
              </w:rPr>
              <w:tab/>
              <w:t>29</w:t>
            </w:r>
            <w:r>
              <w:rPr>
                <w:webHidden/>
              </w:rPr>
              <w:fldChar w:fldCharType="end"/>
            </w:r>
          </w:hyperlink>
        </w:p>
        <w:p>
          <w:pPr>
            <w:pStyle w:val="Tabledesmatiresniveau1"/>
            <w:tabs>
              <w:tab w:val="clear" w:pos="708"/>
              <w:tab w:val="left" w:pos="800" w:leader="none"/>
              <w:tab w:val="right" w:pos="9629" w:leader="dot"/>
            </w:tabs>
            <w:rPr>
              <w:rFonts w:eastAsia="" w:cs="" w:cstheme="minorBidi" w:eastAsiaTheme="minorEastAsia"/>
              <w:b w:val="false"/>
              <w:b w:val="false"/>
              <w:bCs w:val="false"/>
              <w:caps w:val="false"/>
              <w:smallCaps w:val="false"/>
              <w:sz w:val="22"/>
              <w:szCs w:val="22"/>
            </w:rPr>
          </w:pPr>
          <w:hyperlink w:anchor="_Toc32334959">
            <w:r>
              <w:rPr>
                <w:webHidden/>
                <w:rStyle w:val="Sautdindex"/>
                <w:rFonts w:cs="Arial"/>
              </w:rPr>
              <w:t>Fig. 5.</w:t>
            </w:r>
            <w:r>
              <w:rPr>
                <w:rStyle w:val="Sautdindex"/>
                <w:rFonts w:eastAsia="" w:cs="" w:cstheme="minorBidi" w:eastAsiaTheme="minorEastAsia"/>
                <w:b w:val="false"/>
                <w:bCs w:val="false"/>
                <w:caps w:val="false"/>
                <w:smallCaps w:val="false"/>
                <w:sz w:val="22"/>
                <w:szCs w:val="22"/>
              </w:rPr>
              <w:tab/>
            </w:r>
            <w:r>
              <w:rPr>
                <w:rStyle w:val="Sautdindex"/>
              </w:rPr>
              <w:t>Plan de masse en situation d’exploitation actuelle</w:t>
            </w:r>
            <w:r>
              <w:rPr>
                <w:webHidden/>
              </w:rPr>
              <w:fldChar w:fldCharType="begin"/>
            </w:r>
            <w:r>
              <w:rPr>
                <w:webHidden/>
              </w:rPr>
              <w:instrText>PAGEREF _Toc32334959 \h</w:instrText>
            </w:r>
            <w:r>
              <w:rPr>
                <w:webHidden/>
              </w:rPr>
              <w:fldChar w:fldCharType="separate"/>
            </w:r>
            <w:r>
              <w:rPr>
                <w:rStyle w:val="Sautdindex"/>
                <w:vanish w:val="false"/>
              </w:rPr>
              <w:tab/>
              <w:t>29</w:t>
            </w:r>
            <w:r>
              <w:rPr>
                <w:webHidden/>
              </w:rPr>
              <w:fldChar w:fldCharType="end"/>
            </w:r>
          </w:hyperlink>
        </w:p>
        <w:p>
          <w:pPr>
            <w:pStyle w:val="Tabledesmatiresniveau1"/>
            <w:tabs>
              <w:tab w:val="clear" w:pos="708"/>
              <w:tab w:val="left" w:pos="800" w:leader="none"/>
              <w:tab w:val="right" w:pos="9629" w:leader="dot"/>
            </w:tabs>
            <w:rPr>
              <w:rFonts w:eastAsia="" w:cs="" w:cstheme="minorBidi" w:eastAsiaTheme="minorEastAsia"/>
              <w:b w:val="false"/>
              <w:b w:val="false"/>
              <w:bCs w:val="false"/>
              <w:caps w:val="false"/>
              <w:smallCaps w:val="false"/>
              <w:sz w:val="22"/>
              <w:szCs w:val="22"/>
            </w:rPr>
          </w:pPr>
          <w:hyperlink w:anchor="_Toc32334960">
            <w:r>
              <w:rPr>
                <w:webHidden/>
                <w:rStyle w:val="Sautdindex"/>
                <w:rFonts w:cs="Arial"/>
              </w:rPr>
              <w:t>Fig. 6.</w:t>
            </w:r>
            <w:r>
              <w:rPr>
                <w:rStyle w:val="Sautdindex"/>
                <w:rFonts w:eastAsia="" w:cs="" w:cstheme="minorBidi" w:eastAsiaTheme="minorEastAsia"/>
                <w:b w:val="false"/>
                <w:bCs w:val="false"/>
                <w:caps w:val="false"/>
                <w:smallCaps w:val="false"/>
                <w:sz w:val="22"/>
                <w:szCs w:val="22"/>
              </w:rPr>
              <w:tab/>
            </w:r>
            <w:r>
              <w:rPr>
                <w:rStyle w:val="Sautdindex"/>
              </w:rPr>
              <w:t>Schéma fonctionnel en situation d’exploitation provisoire</w:t>
            </w:r>
            <w:r>
              <w:rPr>
                <w:webHidden/>
              </w:rPr>
              <w:fldChar w:fldCharType="begin"/>
            </w:r>
            <w:r>
              <w:rPr>
                <w:webHidden/>
              </w:rPr>
              <w:instrText>PAGEREF _Toc32334960 \h</w:instrText>
            </w:r>
            <w:r>
              <w:rPr>
                <w:webHidden/>
              </w:rPr>
              <w:fldChar w:fldCharType="separate"/>
            </w:r>
            <w:r>
              <w:rPr>
                <w:rStyle w:val="Sautdindex"/>
                <w:vanish w:val="false"/>
              </w:rPr>
              <w:tab/>
              <w:t>30</w:t>
            </w:r>
            <w:r>
              <w:rPr>
                <w:webHidden/>
              </w:rPr>
              <w:fldChar w:fldCharType="end"/>
            </w:r>
          </w:hyperlink>
        </w:p>
        <w:p>
          <w:pPr>
            <w:pStyle w:val="Tabledesmatiresniveau1"/>
            <w:tabs>
              <w:tab w:val="clear" w:pos="708"/>
              <w:tab w:val="left" w:pos="800" w:leader="none"/>
              <w:tab w:val="right" w:pos="9629" w:leader="dot"/>
            </w:tabs>
            <w:rPr>
              <w:rFonts w:eastAsia="" w:cs="" w:cstheme="minorBidi" w:eastAsiaTheme="minorEastAsia"/>
              <w:b w:val="false"/>
              <w:b w:val="false"/>
              <w:bCs w:val="false"/>
              <w:caps w:val="false"/>
              <w:smallCaps w:val="false"/>
              <w:sz w:val="22"/>
              <w:szCs w:val="22"/>
            </w:rPr>
          </w:pPr>
          <w:hyperlink w:anchor="_Toc32334961">
            <w:r>
              <w:rPr>
                <w:webHidden/>
                <w:rStyle w:val="Sautdindex"/>
                <w:rFonts w:cs="Arial"/>
              </w:rPr>
              <w:t>Fig. 7.</w:t>
            </w:r>
            <w:r>
              <w:rPr>
                <w:rStyle w:val="Sautdindex"/>
                <w:rFonts w:eastAsia="" w:cs="" w:cstheme="minorBidi" w:eastAsiaTheme="minorEastAsia"/>
                <w:b w:val="false"/>
                <w:bCs w:val="false"/>
                <w:caps w:val="false"/>
                <w:smallCaps w:val="false"/>
                <w:sz w:val="22"/>
                <w:szCs w:val="22"/>
              </w:rPr>
              <w:tab/>
            </w:r>
            <w:r>
              <w:rPr>
                <w:rStyle w:val="Sautdindex"/>
              </w:rPr>
              <w:t>Plan de masse du 1</w:t>
            </w:r>
            <w:r>
              <w:rPr>
                <w:rStyle w:val="Sautdindex"/>
                <w:vertAlign w:val="superscript"/>
              </w:rPr>
              <w:t>er</w:t>
            </w:r>
            <w:r>
              <w:rPr>
                <w:rStyle w:val="Sautdindex"/>
              </w:rPr>
              <w:t xml:space="preserve"> niveau en situation d’exploitation provisoire</w:t>
            </w:r>
            <w:r>
              <w:rPr>
                <w:webHidden/>
              </w:rPr>
              <w:fldChar w:fldCharType="begin"/>
            </w:r>
            <w:r>
              <w:rPr>
                <w:webHidden/>
              </w:rPr>
              <w:instrText>PAGEREF _Toc32334961 \h</w:instrText>
            </w:r>
            <w:r>
              <w:rPr>
                <w:webHidden/>
              </w:rPr>
              <w:fldChar w:fldCharType="separate"/>
            </w:r>
            <w:r>
              <w:rPr>
                <w:rStyle w:val="Sautdindex"/>
                <w:vanish w:val="false"/>
              </w:rPr>
              <w:tab/>
              <w:t>31</w:t>
            </w:r>
            <w:r>
              <w:rPr>
                <w:webHidden/>
              </w:rPr>
              <w:fldChar w:fldCharType="end"/>
            </w:r>
          </w:hyperlink>
        </w:p>
        <w:p>
          <w:pPr>
            <w:pStyle w:val="Tabledesmatiresniveau1"/>
            <w:tabs>
              <w:tab w:val="clear" w:pos="708"/>
              <w:tab w:val="left" w:pos="800" w:leader="none"/>
              <w:tab w:val="right" w:pos="9629" w:leader="dot"/>
            </w:tabs>
            <w:rPr>
              <w:rFonts w:eastAsia="" w:cs="" w:cstheme="minorBidi" w:eastAsiaTheme="minorEastAsia"/>
              <w:b w:val="false"/>
              <w:b w:val="false"/>
              <w:bCs w:val="false"/>
              <w:caps w:val="false"/>
              <w:smallCaps w:val="false"/>
              <w:sz w:val="22"/>
              <w:szCs w:val="22"/>
            </w:rPr>
          </w:pPr>
          <w:hyperlink w:anchor="_Toc32334962">
            <w:r>
              <w:rPr>
                <w:webHidden/>
                <w:rStyle w:val="Sautdindex"/>
                <w:rFonts w:cs="Arial"/>
              </w:rPr>
              <w:t>Fig. 8.</w:t>
            </w:r>
            <w:r>
              <w:rPr>
                <w:rStyle w:val="Sautdindex"/>
                <w:rFonts w:eastAsia="" w:cs="" w:cstheme="minorBidi" w:eastAsiaTheme="minorEastAsia"/>
                <w:b w:val="false"/>
                <w:bCs w:val="false"/>
                <w:caps w:val="false"/>
                <w:smallCaps w:val="false"/>
                <w:sz w:val="22"/>
                <w:szCs w:val="22"/>
              </w:rPr>
              <w:tab/>
            </w:r>
            <w:r>
              <w:rPr>
                <w:rStyle w:val="Sautdindex"/>
              </w:rPr>
              <w:t>Schéma fonctionnel d’exploitation définitive</w:t>
            </w:r>
            <w:r>
              <w:rPr>
                <w:webHidden/>
              </w:rPr>
              <w:fldChar w:fldCharType="begin"/>
            </w:r>
            <w:r>
              <w:rPr>
                <w:webHidden/>
              </w:rPr>
              <w:instrText>PAGEREF _Toc32334962 \h</w:instrText>
            </w:r>
            <w:r>
              <w:rPr>
                <w:webHidden/>
              </w:rPr>
              <w:fldChar w:fldCharType="separate"/>
            </w:r>
            <w:r>
              <w:rPr>
                <w:rStyle w:val="Sautdindex"/>
                <w:vanish w:val="false"/>
              </w:rPr>
              <w:tab/>
              <w:t>32</w:t>
            </w:r>
            <w:r>
              <w:rPr>
                <w:webHidden/>
              </w:rPr>
              <w:fldChar w:fldCharType="end"/>
            </w:r>
          </w:hyperlink>
        </w:p>
        <w:p>
          <w:pPr>
            <w:pStyle w:val="Tabledesmatiresniveau1"/>
            <w:tabs>
              <w:tab w:val="clear" w:pos="708"/>
              <w:tab w:val="left" w:pos="800" w:leader="none"/>
              <w:tab w:val="right" w:pos="9629" w:leader="dot"/>
            </w:tabs>
            <w:rPr>
              <w:rFonts w:eastAsia="" w:cs="" w:cstheme="minorBidi" w:eastAsiaTheme="minorEastAsia"/>
              <w:b w:val="false"/>
              <w:b w:val="false"/>
              <w:bCs w:val="false"/>
              <w:caps w:val="false"/>
              <w:smallCaps w:val="false"/>
              <w:sz w:val="22"/>
              <w:szCs w:val="22"/>
            </w:rPr>
          </w:pPr>
          <w:hyperlink w:anchor="_Toc32334963">
            <w:r>
              <w:rPr>
                <w:webHidden/>
                <w:rStyle w:val="Sautdindex"/>
                <w:rFonts w:cs="Arial"/>
              </w:rPr>
              <w:t>Fig. 9.</w:t>
            </w:r>
            <w:r>
              <w:rPr>
                <w:rStyle w:val="Sautdindex"/>
                <w:rFonts w:eastAsia="" w:cs="" w:cstheme="minorBidi" w:eastAsiaTheme="minorEastAsia"/>
                <w:b w:val="false"/>
                <w:bCs w:val="false"/>
                <w:caps w:val="false"/>
                <w:smallCaps w:val="false"/>
                <w:sz w:val="22"/>
                <w:szCs w:val="22"/>
              </w:rPr>
              <w:tab/>
            </w:r>
            <w:r>
              <w:rPr>
                <w:rStyle w:val="Sautdindex"/>
              </w:rPr>
              <w:t>Plan de masse en situation d’exploitation définitive</w:t>
            </w:r>
            <w:r>
              <w:rPr>
                <w:webHidden/>
              </w:rPr>
              <w:fldChar w:fldCharType="begin"/>
            </w:r>
            <w:r>
              <w:rPr>
                <w:webHidden/>
              </w:rPr>
              <w:instrText>PAGEREF _Toc32334963 \h</w:instrText>
            </w:r>
            <w:r>
              <w:rPr>
                <w:webHidden/>
              </w:rPr>
              <w:fldChar w:fldCharType="separate"/>
            </w:r>
            <w:r>
              <w:rPr>
                <w:rStyle w:val="Sautdindex"/>
                <w:vanish w:val="false"/>
              </w:rPr>
              <w:tab/>
              <w:t>32</w:t>
            </w:r>
            <w:r>
              <w:rPr>
                <w:webHidden/>
              </w:rPr>
              <w:fldChar w:fldCharType="end"/>
            </w:r>
          </w:hyperlink>
        </w:p>
        <w:p>
          <w:pPr>
            <w:pStyle w:val="Tabledesmatiresniveau1"/>
            <w:tabs>
              <w:tab w:val="clear" w:pos="708"/>
              <w:tab w:val="left" w:pos="1000" w:leader="none"/>
              <w:tab w:val="right" w:pos="9629" w:leader="dot"/>
            </w:tabs>
            <w:rPr>
              <w:rFonts w:eastAsia="" w:cs="" w:cstheme="minorBidi" w:eastAsiaTheme="minorEastAsia"/>
              <w:b w:val="false"/>
              <w:b w:val="false"/>
              <w:bCs w:val="false"/>
              <w:caps w:val="false"/>
              <w:smallCaps w:val="false"/>
              <w:sz w:val="22"/>
              <w:szCs w:val="22"/>
            </w:rPr>
          </w:pPr>
          <w:hyperlink w:anchor="_Toc32334964">
            <w:r>
              <w:rPr>
                <w:webHidden/>
                <w:rStyle w:val="Sautdindex"/>
                <w:rFonts w:cs="Arial"/>
              </w:rPr>
              <w:t>Fig. 10.</w:t>
            </w:r>
            <w:r>
              <w:rPr>
                <w:rStyle w:val="Sautdindex"/>
                <w:rFonts w:eastAsia="" w:cs="" w:cstheme="minorBidi" w:eastAsiaTheme="minorEastAsia"/>
                <w:b w:val="false"/>
                <w:bCs w:val="false"/>
                <w:caps w:val="false"/>
                <w:smallCaps w:val="false"/>
                <w:sz w:val="22"/>
                <w:szCs w:val="22"/>
              </w:rPr>
              <w:tab/>
            </w:r>
            <w:r>
              <w:rPr>
                <w:rStyle w:val="Sautdindex"/>
              </w:rPr>
              <w:t>Schéma synoptique des installations radio</w:t>
            </w:r>
            <w:r>
              <w:rPr>
                <w:webHidden/>
              </w:rPr>
              <w:fldChar w:fldCharType="begin"/>
            </w:r>
            <w:r>
              <w:rPr>
                <w:webHidden/>
              </w:rPr>
              <w:instrText>PAGEREF _Toc32334964 \h</w:instrText>
            </w:r>
            <w:r>
              <w:rPr>
                <w:webHidden/>
              </w:rPr>
              <w:fldChar w:fldCharType="separate"/>
            </w:r>
            <w:r>
              <w:rPr>
                <w:rStyle w:val="Sautdindex"/>
                <w:vanish w:val="false"/>
              </w:rPr>
              <w:tab/>
              <w:t>47</w:t>
            </w:r>
            <w:r>
              <w:rPr>
                <w:webHidden/>
              </w:rPr>
              <w:fldChar w:fldCharType="end"/>
            </w:r>
          </w:hyperlink>
        </w:p>
        <w:p>
          <w:pPr>
            <w:pStyle w:val="Tabledesmatiresniveau1"/>
            <w:tabs>
              <w:tab w:val="clear" w:pos="708"/>
              <w:tab w:val="left" w:pos="1000" w:leader="none"/>
              <w:tab w:val="right" w:pos="9629" w:leader="dot"/>
            </w:tabs>
            <w:rPr>
              <w:rFonts w:eastAsia="" w:cs="" w:cstheme="minorBidi" w:eastAsiaTheme="minorEastAsia"/>
              <w:b w:val="false"/>
              <w:b w:val="false"/>
              <w:bCs w:val="false"/>
              <w:caps w:val="false"/>
              <w:smallCaps w:val="false"/>
              <w:sz w:val="22"/>
              <w:szCs w:val="22"/>
            </w:rPr>
          </w:pPr>
          <w:hyperlink w:anchor="_Toc32334965">
            <w:r>
              <w:rPr>
                <w:webHidden/>
                <w:rStyle w:val="Sautdindex"/>
                <w:rFonts w:cs="Arial"/>
              </w:rPr>
              <w:t>Fig. 11.</w:t>
            </w:r>
            <w:r>
              <w:rPr>
                <w:rStyle w:val="Sautdindex"/>
                <w:rFonts w:eastAsia="" w:cs="" w:cstheme="minorBidi" w:eastAsiaTheme="minorEastAsia"/>
                <w:b w:val="false"/>
                <w:bCs w:val="false"/>
                <w:caps w:val="false"/>
                <w:smallCaps w:val="false"/>
                <w:sz w:val="22"/>
                <w:szCs w:val="22"/>
              </w:rPr>
              <w:tab/>
            </w:r>
            <w:r>
              <w:rPr>
                <w:rStyle w:val="Sautdindex"/>
              </w:rPr>
              <w:t>Architecture réseau Existante</w:t>
            </w:r>
            <w:r>
              <w:rPr>
                <w:webHidden/>
              </w:rPr>
              <w:fldChar w:fldCharType="begin"/>
            </w:r>
            <w:r>
              <w:rPr>
                <w:webHidden/>
              </w:rPr>
              <w:instrText>PAGEREF _Toc32334965 \h</w:instrText>
            </w:r>
            <w:r>
              <w:rPr>
                <w:webHidden/>
              </w:rPr>
              <w:fldChar w:fldCharType="separate"/>
            </w:r>
            <w:r>
              <w:rPr>
                <w:rStyle w:val="Sautdindex"/>
                <w:vanish w:val="false"/>
              </w:rPr>
              <w:tab/>
              <w:t>51</w:t>
            </w:r>
            <w:r>
              <w:rPr>
                <w:webHidden/>
              </w:rPr>
              <w:fldChar w:fldCharType="end"/>
            </w:r>
          </w:hyperlink>
        </w:p>
        <w:p>
          <w:pPr>
            <w:pStyle w:val="Tabledesmatiresniveau1"/>
            <w:tabs>
              <w:tab w:val="clear" w:pos="708"/>
              <w:tab w:val="left" w:pos="1000" w:leader="none"/>
              <w:tab w:val="right" w:pos="9629" w:leader="dot"/>
            </w:tabs>
            <w:rPr>
              <w:rFonts w:eastAsia="" w:cs="" w:cstheme="minorBidi" w:eastAsiaTheme="minorEastAsia"/>
              <w:b w:val="false"/>
              <w:b w:val="false"/>
              <w:bCs w:val="false"/>
              <w:caps w:val="false"/>
              <w:smallCaps w:val="false"/>
              <w:sz w:val="22"/>
              <w:szCs w:val="22"/>
            </w:rPr>
          </w:pPr>
          <w:hyperlink w:anchor="_Toc32334966">
            <w:r>
              <w:rPr>
                <w:webHidden/>
                <w:rStyle w:val="Sautdindex"/>
                <w:rFonts w:cs="Arial"/>
              </w:rPr>
              <w:t>Fig. 12.</w:t>
            </w:r>
            <w:r>
              <w:rPr>
                <w:rStyle w:val="Sautdindex"/>
                <w:rFonts w:eastAsia="" w:cs="" w:cstheme="minorBidi" w:eastAsiaTheme="minorEastAsia"/>
                <w:b w:val="false"/>
                <w:bCs w:val="false"/>
                <w:caps w:val="false"/>
                <w:smallCaps w:val="false"/>
                <w:sz w:val="22"/>
                <w:szCs w:val="22"/>
              </w:rPr>
              <w:tab/>
            </w:r>
            <w:r>
              <w:rPr>
                <w:rStyle w:val="Sautdindex"/>
              </w:rPr>
              <w:t>Phase 1 : Déplacement poste opérateur normal (GTC, TSE, etc…)</w:t>
            </w:r>
            <w:r>
              <w:rPr>
                <w:webHidden/>
              </w:rPr>
              <w:fldChar w:fldCharType="begin"/>
            </w:r>
            <w:r>
              <w:rPr>
                <w:webHidden/>
              </w:rPr>
              <w:instrText>PAGEREF _Toc32334966 \h</w:instrText>
            </w:r>
            <w:r>
              <w:rPr>
                <w:webHidden/>
              </w:rPr>
              <w:fldChar w:fldCharType="separate"/>
            </w:r>
            <w:r>
              <w:rPr>
                <w:rStyle w:val="Sautdindex"/>
                <w:vanish w:val="false"/>
              </w:rPr>
              <w:tab/>
              <w:t>52</w:t>
            </w:r>
            <w:r>
              <w:rPr>
                <w:webHidden/>
              </w:rPr>
              <w:fldChar w:fldCharType="end"/>
            </w:r>
          </w:hyperlink>
        </w:p>
        <w:p>
          <w:pPr>
            <w:pStyle w:val="Tabledesmatiresniveau1"/>
            <w:tabs>
              <w:tab w:val="clear" w:pos="708"/>
              <w:tab w:val="left" w:pos="1000" w:leader="none"/>
              <w:tab w:val="right" w:pos="9629" w:leader="dot"/>
            </w:tabs>
            <w:rPr>
              <w:rFonts w:eastAsia="" w:cs="" w:cstheme="minorBidi" w:eastAsiaTheme="minorEastAsia"/>
              <w:b w:val="false"/>
              <w:b w:val="false"/>
              <w:bCs w:val="false"/>
              <w:caps w:val="false"/>
              <w:smallCaps w:val="false"/>
              <w:sz w:val="22"/>
              <w:szCs w:val="22"/>
            </w:rPr>
          </w:pPr>
          <w:hyperlink w:anchor="_Toc32334967">
            <w:r>
              <w:rPr>
                <w:webHidden/>
                <w:rStyle w:val="Sautdindex"/>
                <w:rFonts w:cs="Arial"/>
              </w:rPr>
              <w:t>Fig. 13.</w:t>
            </w:r>
            <w:r>
              <w:rPr>
                <w:rStyle w:val="Sautdindex"/>
                <w:rFonts w:eastAsia="" w:cs="" w:cstheme="minorBidi" w:eastAsiaTheme="minorEastAsia"/>
                <w:b w:val="false"/>
                <w:bCs w:val="false"/>
                <w:caps w:val="false"/>
                <w:smallCaps w:val="false"/>
                <w:sz w:val="22"/>
                <w:szCs w:val="22"/>
              </w:rPr>
              <w:tab/>
            </w:r>
            <w:r>
              <w:rPr>
                <w:rStyle w:val="Sautdindex"/>
              </w:rPr>
              <w:t>Phase 2 : Déplacement du poste opérateur secours (situation d’exploitation stabilisée)</w:t>
            </w:r>
            <w:r>
              <w:rPr>
                <w:webHidden/>
              </w:rPr>
              <w:fldChar w:fldCharType="begin"/>
            </w:r>
            <w:r>
              <w:rPr>
                <w:webHidden/>
              </w:rPr>
              <w:instrText>PAGEREF _Toc32334967 \h</w:instrText>
            </w:r>
            <w:r>
              <w:rPr>
                <w:webHidden/>
              </w:rPr>
              <w:fldChar w:fldCharType="separate"/>
            </w:r>
            <w:r>
              <w:rPr>
                <w:rStyle w:val="Sautdindex"/>
                <w:vanish w:val="false"/>
              </w:rPr>
              <w:tab/>
              <w:t>53</w:t>
            </w:r>
            <w:r>
              <w:rPr>
                <w:webHidden/>
              </w:rPr>
              <w:fldChar w:fldCharType="end"/>
            </w:r>
          </w:hyperlink>
        </w:p>
        <w:p>
          <w:pPr>
            <w:pStyle w:val="Tabledesmatiresniveau1"/>
            <w:tabs>
              <w:tab w:val="clear" w:pos="708"/>
              <w:tab w:val="left" w:pos="1000" w:leader="none"/>
              <w:tab w:val="right" w:pos="9629" w:leader="dot"/>
            </w:tabs>
            <w:rPr>
              <w:rFonts w:eastAsia="" w:cs="" w:cstheme="minorBidi" w:eastAsiaTheme="minorEastAsia"/>
              <w:b w:val="false"/>
              <w:b w:val="false"/>
              <w:bCs w:val="false"/>
              <w:caps w:val="false"/>
              <w:smallCaps w:val="false"/>
              <w:sz w:val="22"/>
              <w:szCs w:val="22"/>
            </w:rPr>
          </w:pPr>
          <w:hyperlink w:anchor="_Toc32334968">
            <w:r>
              <w:rPr>
                <w:webHidden/>
                <w:rStyle w:val="Sautdindex"/>
                <w:rFonts w:cs="Arial"/>
              </w:rPr>
              <w:t>Fig. 14.</w:t>
            </w:r>
            <w:r>
              <w:rPr>
                <w:rStyle w:val="Sautdindex"/>
                <w:rFonts w:eastAsia="" w:cs="" w:cstheme="minorBidi" w:eastAsiaTheme="minorEastAsia"/>
                <w:b w:val="false"/>
                <w:bCs w:val="false"/>
                <w:caps w:val="false"/>
                <w:smallCaps w:val="false"/>
                <w:sz w:val="22"/>
                <w:szCs w:val="22"/>
              </w:rPr>
              <w:tab/>
            </w:r>
            <w:r>
              <w:rPr>
                <w:rStyle w:val="Sautdindex"/>
              </w:rPr>
              <w:t>Liste des postes DiRIF à virtualiser</w:t>
            </w:r>
            <w:r>
              <w:rPr>
                <w:webHidden/>
              </w:rPr>
              <w:fldChar w:fldCharType="begin"/>
            </w:r>
            <w:r>
              <w:rPr>
                <w:webHidden/>
              </w:rPr>
              <w:instrText>PAGEREF _Toc32334968 \h</w:instrText>
            </w:r>
            <w:r>
              <w:rPr>
                <w:webHidden/>
              </w:rPr>
              <w:fldChar w:fldCharType="separate"/>
            </w:r>
            <w:r>
              <w:rPr>
                <w:rStyle w:val="Sautdindex"/>
                <w:vanish w:val="false"/>
              </w:rPr>
              <w:tab/>
              <w:t>62</w:t>
            </w:r>
            <w:r>
              <w:rPr>
                <w:webHidden/>
              </w:rPr>
              <w:fldChar w:fldCharType="end"/>
            </w:r>
          </w:hyperlink>
        </w:p>
        <w:p>
          <w:pPr>
            <w:pStyle w:val="Tabledesmatiresniveau1"/>
            <w:tabs>
              <w:tab w:val="clear" w:pos="708"/>
              <w:tab w:val="left" w:pos="1000" w:leader="none"/>
              <w:tab w:val="right" w:pos="9629" w:leader="dot"/>
            </w:tabs>
            <w:rPr>
              <w:rFonts w:eastAsia="" w:cs="" w:cstheme="minorBidi" w:eastAsiaTheme="minorEastAsia"/>
              <w:b w:val="false"/>
              <w:b w:val="false"/>
              <w:bCs w:val="false"/>
              <w:caps w:val="false"/>
              <w:smallCaps w:val="false"/>
              <w:sz w:val="22"/>
              <w:szCs w:val="22"/>
            </w:rPr>
          </w:pPr>
          <w:hyperlink w:anchor="_Toc32334969">
            <w:r>
              <w:rPr>
                <w:webHidden/>
                <w:rStyle w:val="Sautdindex"/>
                <w:rFonts w:cs="Arial"/>
              </w:rPr>
              <w:t>Fig. 15.</w:t>
            </w:r>
            <w:r>
              <w:rPr>
                <w:rStyle w:val="Sautdindex"/>
                <w:rFonts w:eastAsia="" w:cs="" w:cstheme="minorBidi" w:eastAsiaTheme="minorEastAsia"/>
                <w:b w:val="false"/>
                <w:bCs w:val="false"/>
                <w:caps w:val="false"/>
                <w:smallCaps w:val="false"/>
                <w:sz w:val="22"/>
                <w:szCs w:val="22"/>
              </w:rPr>
              <w:tab/>
            </w:r>
            <w:r>
              <w:rPr>
                <w:rStyle w:val="Sautdindex"/>
              </w:rPr>
              <w:t>Liste des postes CRS à virtualiser</w:t>
            </w:r>
            <w:r>
              <w:rPr>
                <w:webHidden/>
              </w:rPr>
              <w:fldChar w:fldCharType="begin"/>
            </w:r>
            <w:r>
              <w:rPr>
                <w:webHidden/>
              </w:rPr>
              <w:instrText>PAGEREF _Toc32334969 \h</w:instrText>
            </w:r>
            <w:r>
              <w:rPr>
                <w:webHidden/>
              </w:rPr>
              <w:fldChar w:fldCharType="separate"/>
            </w:r>
            <w:r>
              <w:rPr>
                <w:rStyle w:val="Sautdindex"/>
                <w:vanish w:val="false"/>
              </w:rPr>
              <w:tab/>
              <w:t>62</w:t>
            </w:r>
            <w:r>
              <w:rPr>
                <w:webHidden/>
              </w:rPr>
              <w:fldChar w:fldCharType="end"/>
            </w:r>
          </w:hyperlink>
        </w:p>
        <w:p>
          <w:pPr>
            <w:pStyle w:val="Tabledesmatiresniveau1"/>
            <w:tabs>
              <w:tab w:val="clear" w:pos="708"/>
              <w:tab w:val="left" w:pos="1000" w:leader="none"/>
              <w:tab w:val="right" w:pos="9629" w:leader="dot"/>
            </w:tabs>
            <w:rPr>
              <w:rFonts w:eastAsia="" w:cs="" w:cstheme="minorBidi" w:eastAsiaTheme="minorEastAsia"/>
              <w:b w:val="false"/>
              <w:b w:val="false"/>
              <w:bCs w:val="false"/>
              <w:caps w:val="false"/>
              <w:smallCaps w:val="false"/>
              <w:sz w:val="22"/>
              <w:szCs w:val="22"/>
            </w:rPr>
          </w:pPr>
          <w:hyperlink w:anchor="_Toc32334970">
            <w:r>
              <w:rPr>
                <w:webHidden/>
                <w:rStyle w:val="Sautdindex"/>
                <w:rFonts w:cs="Arial"/>
              </w:rPr>
              <w:t>Fig. 16.</w:t>
            </w:r>
            <w:r>
              <w:rPr>
                <w:rStyle w:val="Sautdindex"/>
                <w:rFonts w:eastAsia="" w:cs="" w:cstheme="minorBidi" w:eastAsiaTheme="minorEastAsia"/>
                <w:b w:val="false"/>
                <w:bCs w:val="false"/>
                <w:caps w:val="false"/>
                <w:smallCaps w:val="false"/>
                <w:sz w:val="22"/>
                <w:szCs w:val="22"/>
              </w:rPr>
              <w:tab/>
            </w:r>
            <w:r>
              <w:rPr>
                <w:rStyle w:val="Sautdindex"/>
              </w:rPr>
              <w:t>Plan de masse des travaux en phase 1</w:t>
            </w:r>
            <w:r>
              <w:rPr>
                <w:webHidden/>
              </w:rPr>
              <w:fldChar w:fldCharType="begin"/>
            </w:r>
            <w:r>
              <w:rPr>
                <w:webHidden/>
              </w:rPr>
              <w:instrText>PAGEREF _Toc32334970 \h</w:instrText>
            </w:r>
            <w:r>
              <w:rPr>
                <w:webHidden/>
              </w:rPr>
              <w:fldChar w:fldCharType="separate"/>
            </w:r>
            <w:r>
              <w:rPr>
                <w:rStyle w:val="Sautdindex"/>
                <w:vanish w:val="false"/>
              </w:rPr>
              <w:tab/>
              <w:t>86</w:t>
            </w:r>
            <w:r>
              <w:rPr>
                <w:webHidden/>
              </w:rPr>
              <w:fldChar w:fldCharType="end"/>
            </w:r>
          </w:hyperlink>
        </w:p>
        <w:p>
          <w:pPr>
            <w:pStyle w:val="Tabledesmatiresniveau1"/>
            <w:tabs>
              <w:tab w:val="clear" w:pos="708"/>
              <w:tab w:val="left" w:pos="1000" w:leader="none"/>
              <w:tab w:val="right" w:pos="9629" w:leader="dot"/>
            </w:tabs>
            <w:rPr>
              <w:rFonts w:eastAsia="" w:cs="" w:cstheme="minorBidi" w:eastAsiaTheme="minorEastAsia"/>
              <w:b w:val="false"/>
              <w:b w:val="false"/>
              <w:bCs w:val="false"/>
              <w:caps w:val="false"/>
              <w:smallCaps w:val="false"/>
              <w:sz w:val="22"/>
              <w:szCs w:val="22"/>
            </w:rPr>
          </w:pPr>
          <w:hyperlink w:anchor="_Toc32334971">
            <w:r>
              <w:rPr>
                <w:webHidden/>
                <w:rStyle w:val="Sautdindex"/>
                <w:rFonts w:cs="Arial"/>
              </w:rPr>
              <w:t>Fig. 17.</w:t>
            </w:r>
            <w:r>
              <w:rPr>
                <w:rStyle w:val="Sautdindex"/>
                <w:rFonts w:eastAsia="" w:cs="" w:cstheme="minorBidi" w:eastAsiaTheme="minorEastAsia"/>
                <w:b w:val="false"/>
                <w:bCs w:val="false"/>
                <w:caps w:val="false"/>
                <w:smallCaps w:val="false"/>
                <w:sz w:val="22"/>
                <w:szCs w:val="22"/>
              </w:rPr>
              <w:tab/>
            </w:r>
            <w:r>
              <w:rPr>
                <w:rStyle w:val="Sautdindex"/>
              </w:rPr>
              <w:t>Plan de masse des travaux en phase 3</w:t>
            </w:r>
            <w:r>
              <w:rPr>
                <w:webHidden/>
              </w:rPr>
              <w:fldChar w:fldCharType="begin"/>
            </w:r>
            <w:r>
              <w:rPr>
                <w:webHidden/>
              </w:rPr>
              <w:instrText>PAGEREF _Toc32334971 \h</w:instrText>
            </w:r>
            <w:r>
              <w:rPr>
                <w:webHidden/>
              </w:rPr>
              <w:fldChar w:fldCharType="separate"/>
            </w:r>
            <w:r>
              <w:rPr>
                <w:rStyle w:val="Sautdindex"/>
                <w:vanish w:val="false"/>
              </w:rPr>
              <w:tab/>
              <w:t>87</w:t>
            </w:r>
            <w:r>
              <w:rPr>
                <w:webHidden/>
              </w:rPr>
              <w:fldChar w:fldCharType="end"/>
            </w:r>
          </w:hyperlink>
        </w:p>
        <w:p>
          <w:pPr>
            <w:pStyle w:val="Tabledesmatiresniveau1"/>
            <w:tabs>
              <w:tab w:val="clear" w:pos="708"/>
              <w:tab w:val="left" w:pos="1000" w:leader="none"/>
              <w:tab w:val="right" w:pos="9629" w:leader="dot"/>
            </w:tabs>
            <w:rPr>
              <w:rFonts w:eastAsia="" w:cs="" w:cstheme="minorBidi" w:eastAsiaTheme="minorEastAsia"/>
              <w:b w:val="false"/>
              <w:b w:val="false"/>
              <w:bCs w:val="false"/>
              <w:caps w:val="false"/>
              <w:smallCaps w:val="false"/>
              <w:sz w:val="22"/>
              <w:szCs w:val="22"/>
            </w:rPr>
          </w:pPr>
          <w:hyperlink w:anchor="_Toc32334972">
            <w:r>
              <w:rPr>
                <w:webHidden/>
                <w:rStyle w:val="Sautdindex"/>
                <w:rFonts w:cs="Arial"/>
              </w:rPr>
              <w:t>Fig. 18.</w:t>
            </w:r>
            <w:r>
              <w:rPr>
                <w:rStyle w:val="Sautdindex"/>
                <w:rFonts w:eastAsia="" w:cs="" w:cstheme="minorBidi" w:eastAsiaTheme="minorEastAsia"/>
                <w:b w:val="false"/>
                <w:bCs w:val="false"/>
                <w:caps w:val="false"/>
                <w:smallCaps w:val="false"/>
                <w:sz w:val="22"/>
                <w:szCs w:val="22"/>
              </w:rPr>
              <w:tab/>
            </w:r>
            <w:r>
              <w:rPr>
                <w:rStyle w:val="Sautdindex"/>
              </w:rPr>
              <w:t>Représentation schématique du réseau de masse</w:t>
            </w:r>
            <w:r>
              <w:rPr>
                <w:webHidden/>
              </w:rPr>
              <w:fldChar w:fldCharType="begin"/>
            </w:r>
            <w:r>
              <w:rPr>
                <w:webHidden/>
              </w:rPr>
              <w:instrText>PAGEREF _Toc32334972 \h</w:instrText>
            </w:r>
            <w:r>
              <w:rPr>
                <w:webHidden/>
              </w:rPr>
              <w:fldChar w:fldCharType="separate"/>
            </w:r>
            <w:r>
              <w:rPr>
                <w:rStyle w:val="Sautdindex"/>
                <w:vanish w:val="false"/>
              </w:rPr>
              <w:tab/>
              <w:t>110</w:t>
            </w:r>
            <w:r>
              <w:rPr>
                <w:webHidden/>
              </w:rPr>
              <w:fldChar w:fldCharType="end"/>
            </w:r>
          </w:hyperlink>
          <w:r>
            <w:rPr>
              <w:rStyle w:val="Sautdindex"/>
              <w:vanish w:val="false"/>
            </w:rPr>
            <w:fldChar w:fldCharType="end"/>
          </w:r>
        </w:p>
      </w:sdtContent>
    </w:sdt>
    <w:p>
      <w:pPr>
        <w:sectPr>
          <w:headerReference w:type="default" r:id="rId3"/>
          <w:footerReference w:type="default" r:id="rId4"/>
          <w:type w:val="nextPage"/>
          <w:pgSz w:w="11906" w:h="16838"/>
          <w:pgMar w:left="1134" w:right="1134" w:gutter="0" w:header="454" w:top="2268" w:footer="454" w:bottom="1418"/>
          <w:pgNumType w:start="2" w:fmt="decimal"/>
          <w:formProt w:val="false"/>
          <w:textDirection w:val="lrTb"/>
          <w:docGrid w:type="default" w:linePitch="272" w:charSpace="8192"/>
        </w:sectPr>
        <w:pStyle w:val="Normal"/>
        <w:widowControl/>
        <w:bidi w:val="0"/>
        <w:spacing w:before="0" w:after="0"/>
        <w:jc w:val="both"/>
        <w:rPr>
          <w:rFonts w:ascii="Arial" w:hAnsi="Arial"/>
        </w:rPr>
      </w:pPr>
      <w:r>
        <w:rPr/>
      </w:r>
    </w:p>
    <w:p>
      <w:pPr>
        <w:pStyle w:val="Titre1"/>
        <w:rPr/>
      </w:pPr>
      <w:bookmarkStart w:id="3" w:name="_Toc32334490"/>
      <w:r>
        <w:rPr/>
        <w:t>présentation générale</w:t>
      </w:r>
      <w:bookmarkEnd w:id="3"/>
    </w:p>
    <w:p>
      <w:pPr>
        <w:pStyle w:val="Titre2"/>
        <w:tabs>
          <w:tab w:val="clear" w:pos="0"/>
          <w:tab w:val="clear" w:pos="8789"/>
          <w:tab w:val="left" w:pos="426" w:leader="none"/>
        </w:tabs>
        <w:ind w:left="0" w:hanging="0"/>
        <w:rPr/>
      </w:pPr>
      <w:bookmarkStart w:id="4" w:name="_Toc32334491"/>
      <w:r>
        <w:rPr/>
        <w:t>objet du projet</w:t>
      </w:r>
      <w:bookmarkEnd w:id="4"/>
    </w:p>
    <w:p>
      <w:pPr>
        <w:pStyle w:val="TEXTE"/>
        <w:rPr/>
      </w:pPr>
      <w:r>
        <w:rPr/>
        <w:t>Le présent projet a pour objet le réaménagement du Poste de Contrôle Trafic et Tunnel (PCTT) de Nanterre, dans le cadre de l’opération de réhabilitation et de rénovation des quatre PCTT de la région d’Ile-de-France.</w:t>
      </w:r>
    </w:p>
    <w:p>
      <w:pPr>
        <w:pStyle w:val="Normal"/>
        <w:rPr/>
      </w:pPr>
      <w:r>
        <w:rPr/>
        <w:t xml:space="preserve">Les études de projet ont donné lieu en novembre 2015 à l’établissement d’un dossier projet, validé par l’ensemble des acteurs concernés par l’opération. Les évolutions intervenues depuis le projet de 2015 ont conduit le maître d’œuvre à établir une version modificative du présent cahier explicatif et de l’estimation financière de travaux. Il est à noter que les pièces écrites et graphiques non modifiées ne font pas l’objet d’une nouvelle édition.   </w:t>
      </w:r>
    </w:p>
    <w:p>
      <w:pPr>
        <w:pStyle w:val="TEXTE"/>
        <w:spacing w:before="200" w:after="120"/>
        <w:rPr/>
      </w:pPr>
      <w:r>
        <w:rPr/>
        <w:t>Les principales adaptations concernent :</w:t>
      </w:r>
    </w:p>
    <w:p>
      <w:pPr>
        <w:pStyle w:val="F1"/>
        <w:numPr>
          <w:ilvl w:val="0"/>
          <w:numId w:val="51"/>
        </w:numPr>
        <w:rPr/>
      </w:pPr>
      <w:r>
        <w:rPr/>
        <w:t>Le mur d’image ;</w:t>
      </w:r>
    </w:p>
    <w:p>
      <w:pPr>
        <w:pStyle w:val="F1"/>
        <w:numPr>
          <w:ilvl w:val="0"/>
          <w:numId w:val="51"/>
        </w:numPr>
        <w:rPr/>
      </w:pPr>
      <w:r>
        <w:rPr/>
        <w:t>La salle d’exploitation provisoire ;</w:t>
      </w:r>
    </w:p>
    <w:p>
      <w:pPr>
        <w:pStyle w:val="F1"/>
        <w:numPr>
          <w:ilvl w:val="0"/>
          <w:numId w:val="51"/>
        </w:numPr>
        <w:rPr/>
      </w:pPr>
      <w:r>
        <w:rPr/>
        <w:t>Le mobilier standard.</w:t>
      </w:r>
    </w:p>
    <w:p>
      <w:pPr>
        <w:pStyle w:val="TEXTE"/>
        <w:spacing w:before="200" w:after="120"/>
        <w:rPr/>
      </w:pPr>
      <w:r>
        <w:rPr/>
        <w:t>Le contenu du dossier projet de 2015 est le suivant :</w:t>
      </w:r>
    </w:p>
    <w:p>
      <w:pPr>
        <w:pStyle w:val="F1"/>
        <w:numPr>
          <w:ilvl w:val="0"/>
          <w:numId w:val="51"/>
        </w:numPr>
        <w:rPr/>
      </w:pPr>
      <w:r>
        <w:rPr/>
        <w:t>Cahier explicatif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Présentation générale de l’opération « réaménagement du PCTT de Nanterre »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Réponses faites aux observations formulées lors de l’approbation de l’APD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Liste des adaptations apportées à l’APD par le projet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Descriptif fonctionnel du projet architectural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Descriptif technique des dispositions projetées (structure, fondation, clos-couvert, second œuvre, cloisonnement, installations techniques, …)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Spécifications techniques particulières et compatibilité du projet vis-à-vis de la réglementation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Note d’organisation des travaux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Conditions d’exécution projetées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Maintien de la continuité d’exploitation 24h/24 et 7j/7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Phasage des travaux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Etudes et documentation des ouvrages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Contrôle, essais, réception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Garantie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Exploitation des ouvrages.</w:t>
      </w:r>
    </w:p>
    <w:p>
      <w:pPr>
        <w:pStyle w:val="P1"/>
        <w:numPr>
          <w:ilvl w:val="0"/>
          <w:numId w:val="20"/>
        </w:numPr>
        <w:spacing w:before="200" w:after="120"/>
        <w:rPr/>
      </w:pPr>
      <w:r>
        <w:rPr/>
        <w:t>Annexes au cahier explicatif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Annexe 1 : Description des mobiliers standards (Mobilier 3)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Annexe 2 : Etude d’’ergonomie y compris la description des mobiliers sur-mesure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Annexe 3 : Fiche équipements par local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Annexe 4 : Bilan thermique de la climatisation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Annexe 5 : Calendrier prévisionnel de réalisation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Annexe 6 : Estimation financière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 xml:space="preserve">Annexe 7 : </w:t>
      </w:r>
      <w:r>
        <w:rPr/>
        <w:t>Spécification technique E1 DiRIF ;</w:t>
      </w:r>
    </w:p>
    <w:p>
      <w:pPr>
        <w:pStyle w:val="P2"/>
        <w:numPr>
          <w:ilvl w:val="1"/>
          <w:numId w:val="20"/>
        </w:numPr>
        <w:spacing w:before="120" w:after="120"/>
        <w:ind w:left="1434" w:hanging="357"/>
        <w:rPr>
          <w:rFonts w:eastAsia="Calibri" w:eastAsiaTheme="minorHAnsi"/>
          <w:lang w:eastAsia="en-US"/>
        </w:rPr>
      </w:pPr>
      <w:r>
        <w:rPr/>
        <w:t>Annexe 8 : Spécification technique G1 DiRIF ;</w:t>
      </w:r>
    </w:p>
    <w:p>
      <w:pPr>
        <w:pStyle w:val="P2"/>
        <w:numPr>
          <w:ilvl w:val="1"/>
          <w:numId w:val="20"/>
        </w:numPr>
        <w:spacing w:before="120" w:after="120"/>
        <w:ind w:left="1434" w:hanging="357"/>
        <w:rPr>
          <w:rFonts w:eastAsia="Calibri" w:eastAsiaTheme="minorHAnsi"/>
          <w:lang w:eastAsia="en-US"/>
        </w:rPr>
      </w:pPr>
      <w:r>
        <w:rPr/>
        <w:t>Annexe 9.1 : Description tatouages (DQD_DOE_TAT_00000305_V2.04) ;</w:t>
      </w:r>
    </w:p>
    <w:p>
      <w:pPr>
        <w:pStyle w:val="P2"/>
        <w:numPr>
          <w:ilvl w:val="1"/>
          <w:numId w:val="20"/>
        </w:numPr>
        <w:spacing w:before="120" w:after="120"/>
        <w:ind w:left="1434" w:hanging="357"/>
        <w:rPr>
          <w:rFonts w:eastAsia="Calibri" w:eastAsiaTheme="minorHAnsi"/>
          <w:lang w:eastAsia="en-US"/>
        </w:rPr>
      </w:pPr>
      <w:r>
        <w:rPr/>
        <w:t>Annexe 9.2 : Procédure codification (PQD_DOE_COD_00000307_V1.00) ;</w:t>
      </w:r>
    </w:p>
    <w:p>
      <w:pPr>
        <w:pStyle w:val="P2"/>
        <w:numPr>
          <w:ilvl w:val="1"/>
          <w:numId w:val="20"/>
        </w:numPr>
        <w:spacing w:before="120" w:after="120"/>
        <w:ind w:left="1434" w:hanging="357"/>
        <w:rPr>
          <w:rFonts w:eastAsia="Calibri" w:eastAsiaTheme="minorHAnsi"/>
          <w:lang w:eastAsia="en-US"/>
        </w:rPr>
      </w:pPr>
      <w:r>
        <w:rPr/>
        <w:t>Annexe 9.3 : Spécification codification (SQD_DOE_COD_00000300_V1.04) ;</w:t>
      </w:r>
    </w:p>
    <w:p>
      <w:pPr>
        <w:pStyle w:val="P2"/>
        <w:numPr>
          <w:ilvl w:val="1"/>
          <w:numId w:val="20"/>
        </w:numPr>
        <w:spacing w:before="120" w:after="120"/>
        <w:ind w:left="1434" w:hanging="357"/>
        <w:rPr>
          <w:rFonts w:eastAsia="Calibri" w:eastAsiaTheme="minorHAnsi"/>
          <w:lang w:eastAsia="en-US"/>
        </w:rPr>
      </w:pPr>
      <w:r>
        <w:rPr/>
        <w:t>Annexe 10 : Spécifications techniques de câblage du ministère de l’intérieur. Version 2014-01 du 14 février 2014 ;</w:t>
      </w:r>
    </w:p>
    <w:p>
      <w:pPr>
        <w:pStyle w:val="P1"/>
        <w:numPr>
          <w:ilvl w:val="0"/>
          <w:numId w:val="20"/>
        </w:numPr>
        <w:spacing w:before="200" w:after="120"/>
        <w:rPr/>
      </w:pPr>
      <w:r>
        <w:rPr/>
        <w:t>Dossier graphique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Dossier de plans de masse et de situation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Dossier de plans du 1</w:t>
      </w:r>
      <w:r>
        <w:rPr>
          <w:rFonts w:eastAsia="Calibri" w:eastAsiaTheme="minorHAnsi"/>
          <w:vertAlign w:val="superscript"/>
          <w:lang w:eastAsia="en-US"/>
        </w:rPr>
        <w:t>er</w:t>
      </w:r>
      <w:r>
        <w:rPr>
          <w:rFonts w:eastAsia="Calibri" w:eastAsiaTheme="minorHAnsi"/>
          <w:lang w:eastAsia="en-US"/>
        </w:rPr>
        <w:t xml:space="preserve"> niveau au 1/50éme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Aménagements intérieurs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Plans des aménagements intérieurs au 1/50 comprenant : Cloisons, menuiseries intérieures, faux plafonds, faux planchers, revêtements muraux et sols, serrureries intérieures, peintures, équipement mobilier intégré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Installations d’accueil temporaire 24h /24 pendant la durée des travaux : Cloisons, menuiseries intérieures, faux plafonds, faux planchers, revêtements muraux et sols, serrureries intérieures, peintures, équipement mobilier intégré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Equipements thermiques, ventilation et désenfumage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Plans d’équipement thermiques de ventilation et de désenfumage au 1/50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Schémas généraux de la climatisation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Plans de tracés des gaines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Plan de principe de positionnement des équipements et locaux techniques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 xml:space="preserve">Plan d’implantation des terminaux ;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Plomberie et sanitaires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tracé des principaux réseaux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plan d’implantation des matériels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Electricité, Eclairage et Courants faibles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schéma d’architecture HT/BT de l’installation existante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schéma d’architecture HT/BT de l’installation provisoire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schéma d’architecture HT/BT de l’installation définitive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Les plans d’implantation des armoires électriques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Les tracés des chemins de câbles courant fort et courant faible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L’implantation des équipements dans les locaux (prises de courant, centrale SSI, équipements SSI, contrôle d’accès, téléphones, …)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L’implantation de l’installation d’éclairage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schéma fibres optiques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Mobiliers :</w:t>
      </w:r>
    </w:p>
    <w:p>
      <w:pPr>
        <w:pStyle w:val="F3"/>
        <w:ind w:left="1418" w:hanging="0"/>
        <w:rPr/>
      </w:pPr>
      <w:r>
        <w:rPr/>
        <w:t>Les plans des mobiliers au 1/20eme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plan de repérage de leur emplacement et encombrement précis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Les plans de détail spécifique de conception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Pour les installations provisoires nécessitant un fonctionnement 24h/24 pendant les travaux :</w:t>
      </w:r>
    </w:p>
    <w:p>
      <w:pPr>
        <w:pStyle w:val="P2"/>
        <w:numPr>
          <w:ilvl w:val="0"/>
          <w:numId w:val="29"/>
        </w:numPr>
        <w:spacing w:before="120" w:after="120"/>
        <w:ind w:left="2552" w:hanging="142"/>
        <w:rPr>
          <w:rFonts w:eastAsia="Calibri" w:eastAsiaTheme="minorHAnsi"/>
          <w:lang w:eastAsia="en-US"/>
        </w:rPr>
      </w:pPr>
      <w:r>
        <w:rPr>
          <w:rFonts w:eastAsia="Calibri" w:eastAsiaTheme="minorHAnsi"/>
          <w:lang w:eastAsia="en-US"/>
        </w:rPr>
        <w:t>Les plans de repérage de leur emplacement et encombrement précis ;</w:t>
      </w:r>
    </w:p>
    <w:p>
      <w:pPr>
        <w:pStyle w:val="P2"/>
        <w:numPr>
          <w:ilvl w:val="0"/>
          <w:numId w:val="29"/>
        </w:numPr>
        <w:spacing w:before="120" w:after="120"/>
        <w:ind w:left="2552" w:hanging="142"/>
        <w:rPr>
          <w:rFonts w:eastAsia="Calibri" w:eastAsiaTheme="minorHAnsi"/>
          <w:lang w:eastAsia="en-US"/>
        </w:rPr>
      </w:pPr>
      <w:r>
        <w:rPr>
          <w:rFonts w:eastAsia="Calibri" w:eastAsiaTheme="minorHAnsi"/>
          <w:lang w:eastAsia="en-US"/>
        </w:rPr>
        <w:t>Les plans des détails spécifiques de conception.</w:t>
      </w:r>
    </w:p>
    <w:p>
      <w:pPr>
        <w:pStyle w:val="Titre2"/>
        <w:tabs>
          <w:tab w:val="clear" w:pos="0"/>
          <w:tab w:val="clear" w:pos="8789"/>
          <w:tab w:val="left" w:pos="426" w:leader="none"/>
        </w:tabs>
        <w:ind w:left="0" w:hanging="0"/>
        <w:rPr/>
      </w:pPr>
      <w:bookmarkStart w:id="5" w:name="_Toc368398688"/>
      <w:bookmarkStart w:id="6" w:name="_Toc32334492"/>
      <w:r>
        <w:rPr/>
        <w:t>Contexte</w:t>
      </w:r>
      <w:bookmarkEnd w:id="6"/>
    </w:p>
    <w:p>
      <w:pPr>
        <w:pStyle w:val="Titre3"/>
        <w:rPr/>
      </w:pPr>
      <w:bookmarkStart w:id="7" w:name="_Toc32334493"/>
      <w:r>
        <w:rPr/>
        <w:t>Présentation de l’opération</w:t>
      </w:r>
      <w:bookmarkEnd w:id="7"/>
    </w:p>
    <w:p>
      <w:pPr>
        <w:pStyle w:val="TEXTE"/>
        <w:rPr/>
      </w:pPr>
      <w:r>
        <w:rPr/>
        <w:t xml:space="preserve">Suite aux graves incendies survenus dans les tunnels du Mont Blanc, Gothard et du Fréjus, la réglementation (décret et circulaire d’application publiés en 2005 et 2006 respectivement) a été révisée en profondeur pour renforcer la sécurité dans les tunnels (équipements, modes d’exploitation, tenue au feu etc…) et l’information au public qui s’y trouve. Pour se conformer à ce cadre réglementaire, la DRIEA-IF a décidé de moderniser 22 tunnels sur son réseau, en termes d’équipements technologiques, matériaux de prévention d’incidents, éclairage, etc., initiative qui est achevée, pour certains. </w:t>
      </w:r>
    </w:p>
    <w:p>
      <w:pPr>
        <w:pStyle w:val="TEXTE"/>
        <w:spacing w:before="200" w:after="120"/>
        <w:rPr/>
      </w:pPr>
      <w:r>
        <w:rPr/>
        <w:t xml:space="preserve">Suivant la logique de ce programme d’envergure, la réhabilitation et rénovation des postes de contrôle et de gestion de trafic se sont révélées également nécessaires afin : </w:t>
      </w:r>
    </w:p>
    <w:p>
      <w:pPr>
        <w:pStyle w:val="F1"/>
        <w:numPr>
          <w:ilvl w:val="0"/>
          <w:numId w:val="51"/>
        </w:numPr>
        <w:rPr/>
      </w:pPr>
      <w:r>
        <w:rPr/>
        <w:t>D’assurer leur mise en cohérence technologique avec les équipements déployés dans les tunnels ;</w:t>
      </w:r>
    </w:p>
    <w:p>
      <w:pPr>
        <w:pStyle w:val="F1"/>
        <w:numPr>
          <w:ilvl w:val="0"/>
          <w:numId w:val="51"/>
        </w:numPr>
        <w:rPr/>
      </w:pPr>
      <w:r>
        <w:rPr/>
        <w:t>D’améliorer le confort et l’environnement de travail des exploitants (OST et CRS) ;</w:t>
      </w:r>
    </w:p>
    <w:p>
      <w:pPr>
        <w:pStyle w:val="F1"/>
        <w:numPr>
          <w:ilvl w:val="0"/>
          <w:numId w:val="51"/>
        </w:numPr>
        <w:rPr/>
      </w:pPr>
      <w:r>
        <w:rPr/>
        <w:t xml:space="preserve">D’accueillir le nouveau système de Gestion Technique Centralisée (GTC). </w:t>
      </w:r>
    </w:p>
    <w:p>
      <w:pPr>
        <w:pStyle w:val="TEXTE"/>
        <w:spacing w:before="200" w:after="120"/>
        <w:rPr/>
      </w:pPr>
      <w:r>
        <w:rPr/>
        <w:t xml:space="preserve">Les travaux de rénovation des tunnels, en cours actuellement, s’attachent donc à améliorer la prévention des dangers et la mise en sécurité des usagers et des ouvrages : </w:t>
      </w:r>
    </w:p>
    <w:p>
      <w:pPr>
        <w:pStyle w:val="F1"/>
        <w:numPr>
          <w:ilvl w:val="0"/>
          <w:numId w:val="51"/>
        </w:numPr>
        <w:rPr/>
      </w:pPr>
      <w:r>
        <w:rPr/>
        <w:t xml:space="preserve">Mise en place d’une nouvelle GTC ; </w:t>
      </w:r>
    </w:p>
    <w:p>
      <w:pPr>
        <w:pStyle w:val="F1"/>
        <w:numPr>
          <w:ilvl w:val="0"/>
          <w:numId w:val="51"/>
        </w:numPr>
        <w:rPr/>
      </w:pPr>
      <w:r>
        <w:rPr/>
        <w:t>Installation de caméras intelligentes pour faciliter la Détection Automatique d’Incidents (DAI) ;</w:t>
      </w:r>
    </w:p>
    <w:p>
      <w:pPr>
        <w:pStyle w:val="F1"/>
        <w:numPr>
          <w:ilvl w:val="0"/>
          <w:numId w:val="51"/>
        </w:numPr>
        <w:rPr/>
      </w:pPr>
      <w:r>
        <w:rPr/>
        <w:t xml:space="preserve">Installation de dispositifs de barrières télécommandées pour la fermeture des tunnels ; </w:t>
      </w:r>
    </w:p>
    <w:p>
      <w:pPr>
        <w:pStyle w:val="F1"/>
        <w:numPr>
          <w:ilvl w:val="0"/>
          <w:numId w:val="51"/>
        </w:numPr>
        <w:rPr/>
      </w:pPr>
      <w:r>
        <w:rPr/>
        <w:t>Création de nouvelles issues de secours et signaux d’évacuation ;</w:t>
      </w:r>
    </w:p>
    <w:p>
      <w:pPr>
        <w:pStyle w:val="F1"/>
        <w:numPr>
          <w:ilvl w:val="0"/>
          <w:numId w:val="51"/>
        </w:numPr>
        <w:rPr/>
      </w:pPr>
      <w:r>
        <w:rPr/>
        <w:t xml:space="preserve">Etc… </w:t>
      </w:r>
    </w:p>
    <w:p>
      <w:pPr>
        <w:pStyle w:val="TEXTE"/>
        <w:rPr/>
      </w:pPr>
      <w:r>
        <w:rPr/>
        <w:t>Ainsi, le PCTT de Nanterre doit maîtriser de nouveaux outils et systèmes pour gérer son périmètre réseau, responsabilité de taille au vu des enjeux humains, économiques et d’infrastructure.</w:t>
      </w:r>
    </w:p>
    <w:p>
      <w:pPr>
        <w:pStyle w:val="Titre3"/>
        <w:rPr/>
      </w:pPr>
      <w:bookmarkStart w:id="8" w:name="_Toc32334494"/>
      <w:r>
        <w:rPr/>
        <w:t>Objectifs de l’opération</w:t>
      </w:r>
      <w:bookmarkEnd w:id="8"/>
      <w:r>
        <w:rPr/>
        <w:t xml:space="preserve"> </w:t>
      </w:r>
    </w:p>
    <w:p>
      <w:pPr>
        <w:pStyle w:val="Normal"/>
        <w:jc w:val="left"/>
        <w:rPr>
          <w:rFonts w:cs="Arial"/>
          <w:color w:val="000000"/>
        </w:rPr>
      </w:pPr>
      <w:r>
        <w:rPr>
          <w:rFonts w:cs="Arial"/>
          <w:color w:val="000000"/>
        </w:rPr>
      </w:r>
    </w:p>
    <w:p>
      <w:pPr>
        <w:pStyle w:val="Normal"/>
        <w:spacing w:before="0" w:after="120"/>
        <w:jc w:val="left"/>
        <w:rPr>
          <w:rFonts w:cs="Arial"/>
          <w:color w:val="000000"/>
        </w:rPr>
      </w:pPr>
      <w:r>
        <w:rPr>
          <w:rFonts w:cs="Arial"/>
          <w:color w:val="000000"/>
        </w:rPr>
        <w:t xml:space="preserve">L’objectif de l’opération de réaménagement du PCTT de Nanterre est multiple : </w:t>
      </w:r>
    </w:p>
    <w:p>
      <w:pPr>
        <w:pStyle w:val="F1"/>
        <w:numPr>
          <w:ilvl w:val="0"/>
          <w:numId w:val="51"/>
        </w:numPr>
        <w:rPr/>
      </w:pPr>
      <w:r>
        <w:rPr/>
        <w:t>Assurer la mise en cohérence technologique du PCTT avec les nouveaux équipements déployés dans les tunnels ;</w:t>
      </w:r>
    </w:p>
    <w:p>
      <w:pPr>
        <w:pStyle w:val="F1"/>
        <w:numPr>
          <w:ilvl w:val="0"/>
          <w:numId w:val="51"/>
        </w:numPr>
        <w:rPr/>
      </w:pPr>
      <w:r>
        <w:rPr/>
        <w:t>Améliorer le confort et l’environnement de travail des exploitants (OST et CRS) et Techniciens Diagnostic Maintenance (TDM).</w:t>
      </w:r>
    </w:p>
    <w:p>
      <w:pPr>
        <w:pStyle w:val="Titre2"/>
        <w:tabs>
          <w:tab w:val="clear" w:pos="0"/>
          <w:tab w:val="clear" w:pos="8789"/>
          <w:tab w:val="left" w:pos="426" w:leader="none"/>
        </w:tabs>
        <w:ind w:left="0" w:hanging="0"/>
        <w:rPr/>
      </w:pPr>
      <w:bookmarkStart w:id="9" w:name="_Toc32334495"/>
      <w:bookmarkStart w:id="10" w:name="_Toc375130303"/>
      <w:r>
        <w:rPr/>
        <w:t>Intervenants</w:t>
      </w:r>
      <w:bookmarkEnd w:id="9"/>
      <w:bookmarkEnd w:id="10"/>
    </w:p>
    <w:p>
      <w:pPr>
        <w:pStyle w:val="Titre3"/>
        <w:rPr/>
      </w:pPr>
      <w:bookmarkStart w:id="11" w:name="_Toc32334496"/>
      <w:bookmarkStart w:id="12" w:name="_Toc375130304"/>
      <w:r>
        <w:rPr/>
        <w:t>Le maître de l'ouvrage et son représentant</w:t>
      </w:r>
      <w:bookmarkEnd w:id="11"/>
      <w:bookmarkEnd w:id="12"/>
    </w:p>
    <w:p>
      <w:pPr>
        <w:pStyle w:val="TEXTE"/>
        <w:rPr/>
      </w:pPr>
      <w:r>
        <w:rPr/>
        <w:t>Le maître d'ouvrage est le Ministère de l'Écologie, du Développement Durable et de l'Énergie. Il est représenté par Monsieur le Directeur régional et interdépartemental de l'Équipement et de l'Aménagement d'Ile-de-France (DRIEA Ile-de-France).</w:t>
      </w:r>
    </w:p>
    <w:p>
      <w:pPr>
        <w:pStyle w:val="TEXTE"/>
        <w:rPr/>
      </w:pPr>
      <w:r>
        <w:rPr/>
        <w:t>Le directeur interdépartemental des routes d'Ile-de-France, disposant de la délégation prévue par décision du DRIEA Ile-de-France portant subdélégation de signature en matière de signature administrative, il est habilité à prendre les décisions au nom de celui-ci dans les limites fixées par la décision de subdélégation.</w:t>
      </w:r>
    </w:p>
    <w:p>
      <w:pPr>
        <w:pStyle w:val="Titre3"/>
        <w:rPr/>
      </w:pPr>
      <w:bookmarkStart w:id="13" w:name="_Toc32334497"/>
      <w:bookmarkStart w:id="14" w:name="_Toc375130305"/>
      <w:r>
        <w:rPr/>
        <w:t>Représentant du pouvoir adjudicateur pour l'exécution du marché</w:t>
      </w:r>
      <w:bookmarkEnd w:id="13"/>
      <w:bookmarkEnd w:id="14"/>
    </w:p>
    <w:p>
      <w:pPr>
        <w:pStyle w:val="TEXTE"/>
        <w:rPr/>
      </w:pPr>
      <w:r>
        <w:rPr/>
        <w:t>Le Représentant du Pouvoir Adjudicateur est Monsieur le Directeur régional et interdépartemental de l'équipement et de l'aménagement (DRIEA) de la région Ile-de-France, par arrêté préfectoral de Monsieur le Préfet de la région Ile-de-France donnant délégation de signature à Monsieur le Directeur régional et interdépartemental de l'équipement et de l'aménagement de la région Ile-de-France en matière d'ordonnancement secondaire et de commande publique.</w:t>
      </w:r>
    </w:p>
    <w:p>
      <w:pPr>
        <w:pStyle w:val="TEXTE"/>
        <w:rPr/>
      </w:pPr>
      <w:r>
        <w:rPr/>
        <w:t>Le Directeur interdépartemental des routes d'Ile-de-France disposant de la délégation de signature prévue par décision du DRIEA Ile-de-France portant subdélégation de signature en matière de commande publique, il est habilité à prendre les décisions au nom de celui-ci dans les limites fixées par la décision de subdélégation.</w:t>
      </w:r>
    </w:p>
    <w:p>
      <w:pPr>
        <w:pStyle w:val="Titre3"/>
        <w:rPr/>
      </w:pPr>
      <w:bookmarkStart w:id="15" w:name="_Toc32334498"/>
      <w:bookmarkStart w:id="16" w:name="_Toc375130306"/>
      <w:r>
        <w:rPr/>
        <w:t>Conduite d'opération</w:t>
      </w:r>
      <w:bookmarkEnd w:id="15"/>
      <w:bookmarkEnd w:id="16"/>
    </w:p>
    <w:p>
      <w:pPr>
        <w:pStyle w:val="TEXTE"/>
        <w:rPr/>
      </w:pPr>
      <w:bookmarkStart w:id="17" w:name="_Toc375130307"/>
      <w:r>
        <w:rPr/>
        <w:t>Le conducteur d'opération disposant de la délégation de signature prévue par la décision du DRIEA Ile-de-France portant subdélégation de signature en matière de commande publique, il est habilité à prendre les décisions au nom de celui-ci dans les limites fixées par la décision de subdélégation.</w:t>
      </w:r>
    </w:p>
    <w:p>
      <w:pPr>
        <w:pStyle w:val="TEXTE"/>
        <w:spacing w:before="200" w:after="120"/>
        <w:rPr/>
      </w:pPr>
      <w:r>
        <w:rPr/>
        <w:t>La fonction de conduite d'opération est assurée, suivant le niveau de responsabilité demandé et prévu dans la décision susmentionnée, par :</w:t>
      </w:r>
    </w:p>
    <w:p>
      <w:pPr>
        <w:pStyle w:val="F1"/>
        <w:numPr>
          <w:ilvl w:val="0"/>
          <w:numId w:val="51"/>
        </w:numPr>
        <w:rPr>
          <w:color w:val="000000" w:themeColor="text1"/>
        </w:rPr>
      </w:pPr>
      <w:r>
        <w:rPr>
          <w:color w:val="000000" w:themeColor="text1"/>
        </w:rPr>
        <w:t xml:space="preserve">Le Chef du Service des Politiques de l'Immobilier et du Bâtiment (SPIB) ; </w:t>
      </w:r>
    </w:p>
    <w:p>
      <w:pPr>
        <w:pStyle w:val="F1"/>
        <w:numPr>
          <w:ilvl w:val="0"/>
          <w:numId w:val="51"/>
        </w:numPr>
        <w:rPr>
          <w:color w:val="000000" w:themeColor="text1"/>
        </w:rPr>
      </w:pPr>
      <w:r>
        <w:rPr>
          <w:color w:val="000000" w:themeColor="text1"/>
        </w:rPr>
        <w:t>La Responsable du Département d'Appui à la Gestion de Parc Immobilier (AGEP) ;</w:t>
      </w:r>
    </w:p>
    <w:p>
      <w:pPr>
        <w:pStyle w:val="F1"/>
        <w:numPr>
          <w:ilvl w:val="0"/>
          <w:numId w:val="51"/>
        </w:numPr>
        <w:rPr>
          <w:color w:val="000000" w:themeColor="text1"/>
        </w:rPr>
      </w:pPr>
      <w:r>
        <w:rPr>
          <w:color w:val="000000" w:themeColor="text1"/>
        </w:rPr>
        <w:t>Le Responsable du Pôle Études et Projets 1 (PEP1).</w:t>
      </w:r>
    </w:p>
    <w:p>
      <w:pPr>
        <w:pStyle w:val="Titre3"/>
        <w:rPr/>
      </w:pPr>
      <w:bookmarkStart w:id="18" w:name="_Toc375130307"/>
      <w:bookmarkStart w:id="19" w:name="_Toc32334499"/>
      <w:r>
        <w:rPr/>
        <w:t>Maitrise d’œuvre</w:t>
      </w:r>
      <w:bookmarkEnd w:id="18"/>
      <w:bookmarkEnd w:id="19"/>
    </w:p>
    <w:p>
      <w:pPr>
        <w:pStyle w:val="TEXTE"/>
        <w:rPr/>
      </w:pPr>
      <w:r>
        <w:rPr/>
        <w:t xml:space="preserve">La maîtrise d’œuvre complète du réaménagement des 4 PCTT d’Ile de France est assurée par le bureau d’études ARTELIA Ville </w:t>
      </w:r>
      <w:r>
        <w:rPr>
          <w:rFonts w:ascii="Calibri" w:hAnsi="Calibri"/>
        </w:rPr>
        <w:t>&amp;</w:t>
      </w:r>
      <w:r>
        <w:rPr/>
        <w:t xml:space="preserve"> Transport et plus précisément le Département système de Transport Intelligent (STI).</w:t>
      </w:r>
    </w:p>
    <w:p>
      <w:pPr>
        <w:pStyle w:val="Titre3"/>
        <w:rPr/>
      </w:pPr>
      <w:bookmarkStart w:id="20" w:name="_Toc32334500"/>
      <w:r>
        <w:rPr/>
        <w:t>Autres intervenants</w:t>
      </w:r>
      <w:bookmarkEnd w:id="20"/>
    </w:p>
    <w:p>
      <w:pPr>
        <w:pStyle w:val="TEXTE"/>
        <w:rPr/>
      </w:pPr>
      <w:r>
        <w:rPr/>
        <w:t>L’exploitant DRIEA-IF / DiRIF du PCTT.</w:t>
      </w:r>
    </w:p>
    <w:p>
      <w:pPr>
        <w:pStyle w:val="TEXTE"/>
        <w:rPr/>
      </w:pPr>
      <w:r>
        <w:rPr/>
        <w:t>Les forces de l’ordre (CRS) du ministère de l’Intérieur.</w:t>
      </w:r>
    </w:p>
    <w:p>
      <w:pPr>
        <w:pStyle w:val="Titre3"/>
        <w:rPr/>
      </w:pPr>
      <w:bookmarkStart w:id="21" w:name="_Toc32334501"/>
      <w:r>
        <w:rPr/>
        <w:t>Coordination en matière de Sécurité et de Protection de la Santé des travailleurs (SPS)</w:t>
      </w:r>
      <w:bookmarkEnd w:id="21"/>
    </w:p>
    <w:p>
      <w:pPr>
        <w:pStyle w:val="TEXTE"/>
        <w:spacing w:before="200" w:after="0"/>
        <w:rPr/>
      </w:pPr>
      <w:r>
        <w:rPr/>
        <w:t>L'opération, objet du présent marché, relève de la catégorie 1 au sens du Code du Travail (loi n°</w:t>
      </w:r>
    </w:p>
    <w:p>
      <w:pPr>
        <w:pStyle w:val="TEXTE"/>
        <w:spacing w:before="0" w:after="240"/>
        <w:rPr/>
      </w:pPr>
      <w:r>
        <w:rPr/>
        <w:t>93-1418 du 31 décembre 1993).</w:t>
      </w:r>
    </w:p>
    <w:p>
      <w:pPr>
        <w:pStyle w:val="TEXTE"/>
        <w:rPr>
          <w:bCs/>
          <w:iCs/>
        </w:rPr>
      </w:pPr>
      <w:r>
        <w:rPr>
          <w:bCs/>
          <w:iCs/>
        </w:rPr>
        <w:t>La mission de coordination en matière de SPS sera assurée par la société Alpha CONCEPT/B2e/SPIMO sise au 15 boulevard de Champlain à Melun.</w:t>
      </w:r>
    </w:p>
    <w:p>
      <w:pPr>
        <w:pStyle w:val="TEXTE"/>
        <w:rPr>
          <w:bCs/>
          <w:iCs/>
        </w:rPr>
      </w:pPr>
      <w:r>
        <w:rPr>
          <w:bCs/>
          <w:iCs/>
        </w:rPr>
        <w:t>Le Coordonnateur désigné est Mr Patrick ESCAICH.</w:t>
      </w:r>
    </w:p>
    <w:p>
      <w:pPr>
        <w:pStyle w:val="Titre3"/>
        <w:rPr/>
      </w:pPr>
      <w:bookmarkStart w:id="22" w:name="_Toc32334502"/>
      <w:r>
        <w:rPr/>
        <w:t>Contrôle technique</w:t>
      </w:r>
      <w:bookmarkEnd w:id="22"/>
    </w:p>
    <w:p>
      <w:pPr>
        <w:pStyle w:val="TEXTE"/>
        <w:rPr>
          <w:bCs/>
          <w:iCs/>
        </w:rPr>
      </w:pPr>
      <w:bookmarkStart w:id="23" w:name="_Toc376788929"/>
      <w:bookmarkStart w:id="24" w:name="_Toc376783109"/>
      <w:bookmarkStart w:id="25" w:name="_Toc376781655"/>
      <w:bookmarkEnd w:id="23"/>
      <w:bookmarkEnd w:id="24"/>
      <w:bookmarkEnd w:id="25"/>
      <w:r>
        <w:rPr>
          <w:bCs/>
          <w:iCs/>
        </w:rPr>
        <w:t xml:space="preserve">La mission de contrôle technique est réalisée par la société BTP Consultants située à l’adresse suivante : </w:t>
      </w:r>
    </w:p>
    <w:p>
      <w:pPr>
        <w:pStyle w:val="TEXTE"/>
        <w:jc w:val="center"/>
        <w:rPr>
          <w:rFonts w:cs="Arial"/>
          <w:color w:val="000000"/>
          <w:shd w:fill="FFFFFF" w:val="clear"/>
        </w:rPr>
      </w:pPr>
      <w:r>
        <w:rPr>
          <w:rFonts w:cs="Arial"/>
          <w:color w:val="000000"/>
          <w:shd w:fill="FFFFFF" w:val="clear"/>
        </w:rPr>
        <w:t>BTP Consultants</w:t>
      </w:r>
    </w:p>
    <w:p>
      <w:pPr>
        <w:pStyle w:val="TEXTE"/>
        <w:jc w:val="center"/>
        <w:rPr>
          <w:rFonts w:cs="Arial"/>
          <w:bCs/>
          <w:iCs/>
        </w:rPr>
      </w:pPr>
      <w:r>
        <w:rPr>
          <w:rFonts w:cs="Arial"/>
          <w:color w:val="000000"/>
          <w:shd w:fill="FFFFFF" w:val="clear"/>
        </w:rPr>
        <w:t>Immeuble Le Central II</w:t>
      </w:r>
      <w:r>
        <w:rPr>
          <w:rFonts w:cs="Arial"/>
          <w:color w:val="000000"/>
        </w:rPr>
        <w:br/>
      </w:r>
      <w:r>
        <w:rPr>
          <w:rFonts w:cs="Arial"/>
          <w:color w:val="000000"/>
          <w:shd w:fill="FFFFFF" w:val="clear"/>
        </w:rPr>
        <w:t>460 clos de la Courtine</w:t>
      </w:r>
      <w:r>
        <w:rPr>
          <w:rFonts w:cs="Arial"/>
          <w:color w:val="000000"/>
        </w:rPr>
        <w:br/>
      </w:r>
      <w:r>
        <w:rPr>
          <w:rFonts w:cs="Arial"/>
          <w:color w:val="000000"/>
          <w:shd w:fill="FFFFFF" w:val="clear"/>
        </w:rPr>
        <w:t>93160 NOISY-LE-GRAND</w:t>
      </w:r>
    </w:p>
    <w:p>
      <w:pPr>
        <w:pStyle w:val="TEXTE"/>
        <w:rPr>
          <w:bCs/>
          <w:iCs/>
        </w:rPr>
      </w:pPr>
      <w:r>
        <w:rPr>
          <w:bCs/>
          <w:iCs/>
        </w:rPr>
        <w:t>La personne intervenant dans le cadre de cette opération est M. Antoine LOUE.</w:t>
      </w:r>
    </w:p>
    <w:p>
      <w:pPr>
        <w:pStyle w:val="Titre2"/>
        <w:tabs>
          <w:tab w:val="clear" w:pos="0"/>
          <w:tab w:val="clear" w:pos="8789"/>
          <w:tab w:val="left" w:pos="426" w:leader="none"/>
        </w:tabs>
        <w:ind w:left="0" w:hanging="0"/>
        <w:rPr/>
      </w:pPr>
      <w:bookmarkStart w:id="26" w:name="_Toc368398688"/>
      <w:bookmarkStart w:id="27" w:name="_Toc32334503"/>
      <w:r>
        <w:rPr/>
        <w:t xml:space="preserve">Périmètre </w:t>
      </w:r>
      <w:bookmarkEnd w:id="26"/>
      <w:r>
        <w:rPr/>
        <w:t>de l’étude</w:t>
      </w:r>
      <w:bookmarkEnd w:id="27"/>
    </w:p>
    <w:p>
      <w:pPr>
        <w:pStyle w:val="Titre3"/>
        <w:keepNext w:val="false"/>
        <w:widowControl w:val="false"/>
        <w:rPr/>
      </w:pPr>
      <w:bookmarkStart w:id="28" w:name="_Toc32334504"/>
      <w:r>
        <w:rPr/>
        <w:t>Généralités</w:t>
      </w:r>
      <w:bookmarkEnd w:id="28"/>
    </w:p>
    <w:p>
      <w:pPr>
        <w:pStyle w:val="Normal"/>
        <w:tabs>
          <w:tab w:val="clear" w:pos="708"/>
          <w:tab w:val="right" w:pos="8789" w:leader="underscore"/>
        </w:tabs>
        <w:spacing w:before="200" w:after="240"/>
        <w:rPr/>
      </w:pPr>
      <w:r>
        <w:rPr/>
        <w:t>Le périmètre de l’étude couvre notamment :</w:t>
      </w:r>
    </w:p>
    <w:p>
      <w:pPr>
        <w:pStyle w:val="Normal"/>
        <w:numPr>
          <w:ilvl w:val="0"/>
          <w:numId w:val="19"/>
        </w:numPr>
        <w:tabs>
          <w:tab w:val="clear" w:pos="708"/>
          <w:tab w:val="right" w:pos="8789" w:leader="underscore"/>
        </w:tabs>
        <w:spacing w:before="200" w:after="240"/>
        <w:ind w:left="720" w:hanging="360"/>
        <w:rPr/>
      </w:pPr>
      <w:r>
        <w:rPr/>
        <w:t>Le réaménagement de la salle d’exploitation et locaux associés comprenant :</w:t>
      </w:r>
    </w:p>
    <w:p>
      <w:pPr>
        <w:pStyle w:val="Normal"/>
        <w:numPr>
          <w:ilvl w:val="1"/>
          <w:numId w:val="20"/>
        </w:numPr>
        <w:tabs>
          <w:tab w:val="clear" w:pos="708"/>
          <w:tab w:val="right" w:pos="8789" w:leader="underscore"/>
        </w:tabs>
        <w:spacing w:before="200" w:after="240"/>
        <w:rPr/>
      </w:pPr>
      <w:r>
        <w:rPr/>
        <w:t>Le mur d’image (conservé et non déplacé ; à protéger uniquement),</w:t>
      </w:r>
    </w:p>
    <w:p>
      <w:pPr>
        <w:pStyle w:val="Normal"/>
        <w:numPr>
          <w:ilvl w:val="1"/>
          <w:numId w:val="20"/>
        </w:numPr>
        <w:tabs>
          <w:tab w:val="clear" w:pos="708"/>
          <w:tab w:val="right" w:pos="8789" w:leader="underscore"/>
        </w:tabs>
        <w:spacing w:before="200" w:after="240"/>
        <w:rPr/>
      </w:pPr>
      <w:r>
        <w:rPr/>
        <w:t>Le pupitre des Opérateur Sécurité Trafic (OST) et des Renforts (OST-R),</w:t>
      </w:r>
    </w:p>
    <w:p>
      <w:pPr>
        <w:pStyle w:val="Normal"/>
        <w:numPr>
          <w:ilvl w:val="1"/>
          <w:numId w:val="20"/>
        </w:numPr>
        <w:tabs>
          <w:tab w:val="clear" w:pos="708"/>
          <w:tab w:val="right" w:pos="8789" w:leader="underscore"/>
        </w:tabs>
        <w:spacing w:before="200" w:after="240"/>
        <w:rPr/>
      </w:pPr>
      <w:r>
        <w:rPr/>
        <w:t>Le pupitre des CRS et de son Renfort (CRS-R),</w:t>
      </w:r>
    </w:p>
    <w:p>
      <w:pPr>
        <w:pStyle w:val="Normal"/>
        <w:numPr>
          <w:ilvl w:val="1"/>
          <w:numId w:val="20"/>
        </w:numPr>
        <w:tabs>
          <w:tab w:val="clear" w:pos="708"/>
          <w:tab w:val="right" w:pos="8789" w:leader="underscore"/>
        </w:tabs>
        <w:spacing w:before="200" w:after="240"/>
        <w:rPr/>
      </w:pPr>
      <w:r>
        <w:rPr/>
        <w:t>Le pupitre Technicien Diagnostic Maintenance (TDM),</w:t>
      </w:r>
    </w:p>
    <w:p>
      <w:pPr>
        <w:pStyle w:val="Normal"/>
        <w:numPr>
          <w:ilvl w:val="1"/>
          <w:numId w:val="20"/>
        </w:numPr>
        <w:tabs>
          <w:tab w:val="clear" w:pos="708"/>
          <w:tab w:val="right" w:pos="8789" w:leader="underscore"/>
        </w:tabs>
        <w:spacing w:before="200" w:after="240"/>
        <w:rPr/>
      </w:pPr>
      <w:r>
        <w:rPr/>
        <w:t>L’espace technique,</w:t>
      </w:r>
    </w:p>
    <w:p>
      <w:pPr>
        <w:pStyle w:val="Normal"/>
        <w:numPr>
          <w:ilvl w:val="1"/>
          <w:numId w:val="20"/>
        </w:numPr>
        <w:tabs>
          <w:tab w:val="clear" w:pos="708"/>
          <w:tab w:val="right" w:pos="8789" w:leader="underscore"/>
        </w:tabs>
        <w:spacing w:before="200" w:after="240"/>
        <w:rPr/>
      </w:pPr>
      <w:r>
        <w:rPr/>
        <w:t>Les mobiliers sur-mesure et équipements annexes,</w:t>
      </w:r>
    </w:p>
    <w:p>
      <w:pPr>
        <w:pStyle w:val="Normal"/>
        <w:numPr>
          <w:ilvl w:val="0"/>
          <w:numId w:val="19"/>
        </w:numPr>
        <w:tabs>
          <w:tab w:val="clear" w:pos="708"/>
          <w:tab w:val="right" w:pos="8789" w:leader="underscore"/>
        </w:tabs>
        <w:spacing w:before="200" w:after="240"/>
        <w:ind w:left="720" w:hanging="360"/>
        <w:rPr/>
      </w:pPr>
      <w:r>
        <w:rPr/>
        <w:t>La modification de l’espace vie existant pour les opérateurs et le personnel du PCTT, y compris les mobiliers et équipements annexes,</w:t>
      </w:r>
    </w:p>
    <w:p>
      <w:pPr>
        <w:pStyle w:val="Normal"/>
        <w:numPr>
          <w:ilvl w:val="0"/>
          <w:numId w:val="19"/>
        </w:numPr>
        <w:tabs>
          <w:tab w:val="clear" w:pos="708"/>
          <w:tab w:val="right" w:pos="8789" w:leader="underscore"/>
        </w:tabs>
        <w:spacing w:before="200" w:after="240"/>
        <w:ind w:left="720" w:hanging="360"/>
        <w:rPr/>
      </w:pPr>
      <w:r>
        <w:rPr/>
        <w:t>L’aménagement d’un espace crise avec équipements et ses mobiliers sur mesure,</w:t>
      </w:r>
    </w:p>
    <w:p>
      <w:pPr>
        <w:pStyle w:val="Normal"/>
        <w:numPr>
          <w:ilvl w:val="0"/>
          <w:numId w:val="19"/>
        </w:numPr>
        <w:tabs>
          <w:tab w:val="clear" w:pos="708"/>
          <w:tab w:val="right" w:pos="8789" w:leader="underscore"/>
        </w:tabs>
        <w:spacing w:before="200" w:after="240"/>
        <w:ind w:left="720" w:hanging="360"/>
        <w:rPr/>
      </w:pPr>
      <w:r>
        <w:rPr/>
        <w:t>La rénovation des sanitaires,</w:t>
      </w:r>
    </w:p>
    <w:p>
      <w:pPr>
        <w:pStyle w:val="Normal"/>
        <w:numPr>
          <w:ilvl w:val="0"/>
          <w:numId w:val="19"/>
        </w:numPr>
        <w:tabs>
          <w:tab w:val="clear" w:pos="708"/>
          <w:tab w:val="right" w:pos="8789" w:leader="underscore"/>
        </w:tabs>
        <w:spacing w:before="200" w:after="240"/>
        <w:ind w:left="720" w:hanging="360"/>
        <w:rPr/>
      </w:pPr>
      <w:r>
        <w:rPr/>
        <w:t>Les modifications de l’actuelle salle de réunion,</w:t>
      </w:r>
    </w:p>
    <w:p>
      <w:pPr>
        <w:pStyle w:val="Normal"/>
        <w:keepNext w:val="true"/>
        <w:numPr>
          <w:ilvl w:val="0"/>
          <w:numId w:val="19"/>
        </w:numPr>
        <w:tabs>
          <w:tab w:val="clear" w:pos="708"/>
          <w:tab w:val="right" w:pos="8789" w:leader="underscore"/>
        </w:tabs>
        <w:spacing w:before="200" w:after="240"/>
        <w:ind w:left="714" w:hanging="357"/>
        <w:rPr/>
      </w:pPr>
      <w:r>
        <w:rPr/>
        <w:t>La prise en compte des besoins capacitaires associés à une éventuelle mise en place de Plan de Reprise d’Activité (PRA),</w:t>
      </w:r>
    </w:p>
    <w:p>
      <w:pPr>
        <w:pStyle w:val="Normal"/>
        <w:keepNext w:val="true"/>
        <w:numPr>
          <w:ilvl w:val="0"/>
          <w:numId w:val="19"/>
        </w:numPr>
        <w:tabs>
          <w:tab w:val="clear" w:pos="708"/>
          <w:tab w:val="right" w:pos="8789" w:leader="underscore"/>
        </w:tabs>
        <w:spacing w:before="200" w:after="240"/>
        <w:ind w:left="714" w:hanging="357"/>
        <w:rPr/>
      </w:pPr>
      <w:r>
        <w:rPr/>
        <w:t>L’aménagement (hors fourniture des mobiliers et du mur d’image) d’une salle d’exploitation temporaire destinée à assurer la continuité d’exploitation pendant les travaux,</w:t>
      </w:r>
    </w:p>
    <w:p>
      <w:pPr>
        <w:pStyle w:val="Normal"/>
        <w:keepNext w:val="true"/>
        <w:numPr>
          <w:ilvl w:val="0"/>
          <w:numId w:val="19"/>
        </w:numPr>
        <w:tabs>
          <w:tab w:val="clear" w:pos="708"/>
          <w:tab w:val="right" w:pos="8789" w:leader="underscore"/>
        </w:tabs>
        <w:spacing w:before="200" w:after="240"/>
        <w:ind w:left="714" w:hanging="357"/>
        <w:rPr/>
      </w:pPr>
      <w:r>
        <w:rPr/>
        <w:t>La création d’une zone de casiers,</w:t>
      </w:r>
    </w:p>
    <w:p>
      <w:pPr>
        <w:pStyle w:val="Normal"/>
        <w:numPr>
          <w:ilvl w:val="0"/>
          <w:numId w:val="19"/>
        </w:numPr>
        <w:tabs>
          <w:tab w:val="clear" w:pos="708"/>
          <w:tab w:val="right" w:pos="8789" w:leader="underscore"/>
        </w:tabs>
        <w:spacing w:before="200" w:after="240"/>
        <w:ind w:left="720" w:hanging="360"/>
        <w:rPr/>
      </w:pPr>
      <w:r>
        <w:rPr/>
        <w:t>La mise en conformité de la climatisation et ventilation,</w:t>
      </w:r>
    </w:p>
    <w:p>
      <w:pPr>
        <w:pStyle w:val="Normal"/>
        <w:numPr>
          <w:ilvl w:val="0"/>
          <w:numId w:val="19"/>
        </w:numPr>
        <w:tabs>
          <w:tab w:val="clear" w:pos="708"/>
          <w:tab w:val="right" w:pos="8789" w:leader="underscore"/>
        </w:tabs>
        <w:spacing w:before="200" w:after="240"/>
        <w:ind w:left="720" w:hanging="360"/>
        <w:rPr/>
      </w:pPr>
      <w:r>
        <w:rPr/>
        <w:t>La mise en œuvre d’un système de contrôle d’accès à la zone d’exploitation,</w:t>
      </w:r>
    </w:p>
    <w:p>
      <w:pPr>
        <w:pStyle w:val="Normal"/>
        <w:numPr>
          <w:ilvl w:val="0"/>
          <w:numId w:val="19"/>
        </w:numPr>
        <w:tabs>
          <w:tab w:val="clear" w:pos="708"/>
          <w:tab w:val="right" w:pos="8789" w:leader="underscore"/>
        </w:tabs>
        <w:spacing w:before="200" w:after="240"/>
        <w:ind w:left="720" w:hanging="360"/>
        <w:rPr/>
      </w:pPr>
      <w:r>
        <w:rPr/>
        <w:t>La mise en conformité du système de sécurité incendie.</w:t>
      </w:r>
    </w:p>
    <w:p>
      <w:pPr>
        <w:pStyle w:val="Normal"/>
        <w:tabs>
          <w:tab w:val="clear" w:pos="708"/>
          <w:tab w:val="right" w:pos="8789" w:leader="underscore"/>
        </w:tabs>
        <w:spacing w:before="200" w:after="240"/>
        <w:rPr/>
      </w:pPr>
      <w:r>
        <w:rPr/>
        <w:t>La rénovation du PCTT devra être effectuée en complète continuité de service. En effet la spécificité du site, de ses occupants et des travaux à réaliser, nécessite la prise de précautions liées aux contraintes suivantes :</w:t>
      </w:r>
    </w:p>
    <w:p>
      <w:pPr>
        <w:pStyle w:val="Normal"/>
        <w:numPr>
          <w:ilvl w:val="0"/>
          <w:numId w:val="19"/>
        </w:numPr>
        <w:tabs>
          <w:tab w:val="clear" w:pos="708"/>
          <w:tab w:val="right" w:pos="8789" w:leader="underscore"/>
        </w:tabs>
        <w:spacing w:before="200" w:after="240"/>
        <w:ind w:left="720" w:hanging="360"/>
        <w:rPr/>
      </w:pPr>
      <w:r>
        <w:rPr/>
        <w:t>Contraintes associées à la réalisation des travaux en site occupé (nuisance sonore, locaux indisponibles provisoirement, …),</w:t>
      </w:r>
    </w:p>
    <w:p>
      <w:pPr>
        <w:pStyle w:val="Normal"/>
        <w:numPr>
          <w:ilvl w:val="0"/>
          <w:numId w:val="19"/>
        </w:numPr>
        <w:tabs>
          <w:tab w:val="clear" w:pos="708"/>
          <w:tab w:val="right" w:pos="8789" w:leader="underscore"/>
        </w:tabs>
        <w:spacing w:before="200" w:after="240"/>
        <w:ind w:left="720" w:hanging="360"/>
        <w:rPr/>
      </w:pPr>
      <w:r>
        <w:rPr/>
        <w:t xml:space="preserve">Contraintes associées à la nature et à la spécificité des occupants du site (continuité des activités du PCTT. </w:t>
      </w:r>
    </w:p>
    <w:p>
      <w:pPr>
        <w:pStyle w:val="Normal"/>
        <w:tabs>
          <w:tab w:val="clear" w:pos="708"/>
          <w:tab w:val="right" w:pos="8789" w:leader="underscore"/>
        </w:tabs>
        <w:spacing w:before="200" w:after="240"/>
        <w:rPr/>
      </w:pPr>
      <w:r>
        <w:rPr/>
        <w:t>D’une manière générale le périmètre de l’étude se limite aux zones à modifier dans le cadre de l’opération, à l’exception de la mise aux normes d’une partie des réseaux Courant Fort.</w:t>
      </w:r>
    </w:p>
    <w:p>
      <w:pPr>
        <w:pStyle w:val="Titre3"/>
        <w:keepNext w:val="false"/>
        <w:widowControl w:val="false"/>
        <w:rPr/>
      </w:pPr>
      <w:bookmarkStart w:id="29" w:name="_Toc32334505"/>
      <w:r>
        <w:rPr/>
        <w:t>Documents de référence</w:t>
      </w:r>
      <w:bookmarkEnd w:id="29"/>
    </w:p>
    <w:p>
      <w:pPr>
        <w:pStyle w:val="TEXTE"/>
        <w:spacing w:before="200" w:after="120"/>
        <w:rPr/>
      </w:pPr>
      <w:r>
        <w:rPr/>
        <w:t>Les pièces mises à disposition pour la réalisation du dossier projet sont :</w:t>
      </w:r>
    </w:p>
    <w:p>
      <w:pPr>
        <w:pStyle w:val="F1"/>
        <w:numPr>
          <w:ilvl w:val="0"/>
          <w:numId w:val="51"/>
        </w:numPr>
        <w:rPr/>
      </w:pPr>
      <w:r>
        <w:rPr/>
        <w:t xml:space="preserve">L’APS (version v2 du mois d’avril 2014) construit sur la base des éléments suivants : </w:t>
      </w:r>
    </w:p>
    <w:p>
      <w:pPr>
        <w:pStyle w:val="P2"/>
        <w:numPr>
          <w:ilvl w:val="1"/>
          <w:numId w:val="19"/>
        </w:numPr>
        <w:spacing w:before="120" w:after="120"/>
        <w:ind w:left="1434" w:hanging="357"/>
        <w:rPr>
          <w:rFonts w:eastAsia="Calibri" w:eastAsiaTheme="minorHAnsi"/>
          <w:lang w:eastAsia="en-US"/>
        </w:rPr>
      </w:pPr>
      <w:r>
        <w:rPr>
          <w:rFonts w:eastAsia="Calibri" w:eastAsiaTheme="minorHAnsi"/>
          <w:lang w:eastAsia="en-US"/>
        </w:rPr>
        <w:t>Le cahier des clauses administratives particulières (CCAP) et son annexe, au sens de l'article 13 du code des marchés publics ;</w:t>
      </w:r>
    </w:p>
    <w:p>
      <w:pPr>
        <w:pStyle w:val="P2"/>
        <w:numPr>
          <w:ilvl w:val="1"/>
          <w:numId w:val="19"/>
        </w:numPr>
        <w:spacing w:before="120" w:after="120"/>
        <w:ind w:left="1434" w:hanging="357"/>
        <w:rPr>
          <w:rFonts w:eastAsia="Calibri" w:eastAsiaTheme="minorHAnsi"/>
          <w:lang w:eastAsia="en-US"/>
        </w:rPr>
      </w:pPr>
      <w:r>
        <w:rPr>
          <w:rFonts w:eastAsia="Calibri" w:eastAsiaTheme="minorHAnsi"/>
          <w:lang w:eastAsia="en-US"/>
        </w:rPr>
        <w:t>Le programme technique et fonctionnel détaillé, réalisé pour le PCTT ;</w:t>
      </w:r>
    </w:p>
    <w:p>
      <w:pPr>
        <w:pStyle w:val="P2"/>
        <w:numPr>
          <w:ilvl w:val="1"/>
          <w:numId w:val="19"/>
        </w:numPr>
        <w:spacing w:before="120" w:after="120"/>
        <w:ind w:left="1434" w:hanging="357"/>
        <w:rPr>
          <w:rFonts w:eastAsia="Calibri" w:eastAsiaTheme="minorHAnsi"/>
          <w:lang w:eastAsia="en-US"/>
        </w:rPr>
      </w:pPr>
      <w:r>
        <w:rPr>
          <w:rFonts w:eastAsia="Calibri" w:eastAsiaTheme="minorHAnsi"/>
          <w:lang w:eastAsia="en-US"/>
        </w:rPr>
        <w:t>Le diagnostic technique amiante réalisé pour le PCTT ;</w:t>
      </w:r>
    </w:p>
    <w:p>
      <w:pPr>
        <w:pStyle w:val="P2"/>
        <w:numPr>
          <w:ilvl w:val="1"/>
          <w:numId w:val="19"/>
        </w:numPr>
        <w:spacing w:before="120" w:after="120"/>
        <w:ind w:left="1434" w:hanging="357"/>
        <w:rPr>
          <w:rFonts w:eastAsia="Calibri" w:eastAsiaTheme="minorHAnsi"/>
          <w:lang w:eastAsia="en-US"/>
        </w:rPr>
      </w:pPr>
      <w:r>
        <w:rPr>
          <w:rFonts w:eastAsia="Calibri" w:eastAsiaTheme="minorHAnsi"/>
          <w:lang w:eastAsia="en-US"/>
        </w:rPr>
        <w:t>Le diagnostic préalable des PCTT, réalisé dans le cadre de la mission complémentaire N°1 ;</w:t>
      </w:r>
    </w:p>
    <w:p>
      <w:pPr>
        <w:pStyle w:val="P2"/>
        <w:numPr>
          <w:ilvl w:val="1"/>
          <w:numId w:val="19"/>
        </w:numPr>
        <w:spacing w:before="120" w:after="120"/>
        <w:ind w:left="1434" w:hanging="357"/>
        <w:rPr>
          <w:rFonts w:eastAsia="Calibri" w:eastAsiaTheme="minorHAnsi"/>
          <w:lang w:eastAsia="en-US"/>
        </w:rPr>
      </w:pPr>
      <w:r>
        <w:rPr>
          <w:rFonts w:eastAsia="Calibri" w:eastAsiaTheme="minorHAnsi"/>
          <w:lang w:eastAsia="en-US"/>
        </w:rPr>
        <w:t>Les diagnostics relatifs au gros entretien des bâtiments, à la performance énergétique, à l'accessibilité et à la sécurité incendie pour le PCTT ;</w:t>
      </w:r>
    </w:p>
    <w:p>
      <w:pPr>
        <w:pStyle w:val="P2"/>
        <w:numPr>
          <w:ilvl w:val="1"/>
          <w:numId w:val="19"/>
        </w:numPr>
        <w:spacing w:before="120" w:after="120"/>
        <w:ind w:left="1434" w:hanging="357"/>
        <w:rPr>
          <w:rFonts w:eastAsia="Calibri" w:eastAsiaTheme="minorHAnsi"/>
          <w:lang w:eastAsia="en-US"/>
        </w:rPr>
      </w:pPr>
      <w:r>
        <w:rPr>
          <w:rFonts w:eastAsia="Calibri" w:eastAsiaTheme="minorHAnsi"/>
          <w:lang w:eastAsia="en-US"/>
        </w:rPr>
        <w:t>Les prescriptions techniques nationales du ministère de l'intérieur concernant les prestations de câblage « voix, données, images » (V.D.I.) – version 2012.01 du 10 février 2012 ».</w:t>
      </w:r>
    </w:p>
    <w:p>
      <w:pPr>
        <w:pStyle w:val="F1"/>
        <w:numPr>
          <w:ilvl w:val="0"/>
          <w:numId w:val="51"/>
        </w:numPr>
        <w:rPr/>
      </w:pPr>
      <w:r>
        <w:rPr/>
        <w:t>Les avis sur l’APS formulées par les services instructeurs et validés par le maître d’ouvrage ;</w:t>
      </w:r>
    </w:p>
    <w:p>
      <w:pPr>
        <w:pStyle w:val="F1"/>
        <w:numPr>
          <w:ilvl w:val="0"/>
          <w:numId w:val="51"/>
        </w:numPr>
        <w:rPr/>
      </w:pPr>
      <w:r>
        <w:rPr/>
        <w:t>Les nouvelles prescriptions techniques nationales du ministère de l'intérieur concernant les prestations de câblage « voix, données, images » (V.D.I.) – version 2014.01 du 14 février 2014 ;</w:t>
      </w:r>
    </w:p>
    <w:p>
      <w:pPr>
        <w:pStyle w:val="F1"/>
        <w:numPr>
          <w:ilvl w:val="0"/>
          <w:numId w:val="51"/>
        </w:numPr>
        <w:rPr/>
      </w:pPr>
      <w:r>
        <w:rPr/>
        <w:t>L’APD (version v2 du 17/10/2014) ;</w:t>
      </w:r>
    </w:p>
    <w:p>
      <w:pPr>
        <w:pStyle w:val="F1"/>
        <w:numPr>
          <w:ilvl w:val="0"/>
          <w:numId w:val="51"/>
        </w:numPr>
        <w:rPr/>
      </w:pPr>
      <w:r>
        <w:rPr/>
        <w:t>Les avis sur l’APD formulées par les services instructeurs et validés par le maître d’ouvrage.</w:t>
      </w:r>
    </w:p>
    <w:p>
      <w:pPr>
        <w:pStyle w:val="Titre2"/>
        <w:tabs>
          <w:tab w:val="clear" w:pos="0"/>
          <w:tab w:val="clear" w:pos="8789"/>
          <w:tab w:val="left" w:pos="426" w:leader="none"/>
        </w:tabs>
        <w:ind w:left="0" w:hanging="0"/>
        <w:rPr/>
      </w:pPr>
      <w:bookmarkStart w:id="30" w:name="_Toc32334506"/>
      <w:r>
        <w:rPr/>
        <w:t>Etudes antérieures</w:t>
      </w:r>
      <w:bookmarkEnd w:id="30"/>
    </w:p>
    <w:p>
      <w:pPr>
        <w:pStyle w:val="Titre3"/>
        <w:keepNext w:val="false"/>
        <w:widowControl w:val="false"/>
        <w:rPr/>
      </w:pPr>
      <w:bookmarkStart w:id="31" w:name="_Toc32334507"/>
      <w:r>
        <w:rPr/>
        <w:t>Le programme</w:t>
      </w:r>
      <w:bookmarkEnd w:id="31"/>
    </w:p>
    <w:p>
      <w:pPr>
        <w:pStyle w:val="TEXTE"/>
        <w:rPr/>
      </w:pPr>
      <w:r>
        <w:rPr/>
        <w:t xml:space="preserve">Le programme technique et fonctionnel détaillé a été établi entre 2011 et 2012 par la société Pixys, en concertation avec les utilisateurs, et validé par le Directeur des Routes d’Île-de-France au début de l’année 2013.  </w:t>
      </w:r>
    </w:p>
    <w:p>
      <w:pPr>
        <w:pStyle w:val="TEXTE"/>
        <w:rPr/>
      </w:pPr>
      <w:r>
        <w:rPr/>
        <w:t xml:space="preserve">Ce document résulte d’une étude d’ergonomie et de faisabilité détaillée. Il présente les principes d’aménagement qui ont été retenus pour le réaménagement de la salle d’exploitation et les pièces s’y rattachant fonctionnellement. </w:t>
      </w:r>
    </w:p>
    <w:p>
      <w:pPr>
        <w:pStyle w:val="Titre3"/>
        <w:keepNext w:val="false"/>
        <w:widowControl w:val="false"/>
        <w:rPr/>
      </w:pPr>
      <w:bookmarkStart w:id="32" w:name="_Toc32334508"/>
      <w:r>
        <w:rPr/>
        <w:t>Le diagnostic</w:t>
      </w:r>
      <w:bookmarkEnd w:id="32"/>
    </w:p>
    <w:p>
      <w:pPr>
        <w:pStyle w:val="TEXTE"/>
        <w:widowControl w:val="false"/>
        <w:rPr/>
      </w:pPr>
      <w:r>
        <w:rPr/>
        <w:t>Le diagnostic du PCTT de Nanterre a été établi entre octobre et novembre 2013 par la maîtrise d’œuvre et a permis de recueillir les informations indispensables à la poursuite des études de conception et de s’assurer de la faisabilité de la solution proposée.</w:t>
      </w:r>
    </w:p>
    <w:p>
      <w:pPr>
        <w:pStyle w:val="TEXTE"/>
        <w:spacing w:before="200" w:after="120"/>
        <w:rPr/>
      </w:pPr>
      <w:r>
        <w:rPr/>
        <w:t>Le diagnostic a donné lieu à l’établissement d’un document de synthèse décrivant notamment :</w:t>
      </w:r>
    </w:p>
    <w:p>
      <w:pPr>
        <w:pStyle w:val="F1"/>
        <w:numPr>
          <w:ilvl w:val="0"/>
          <w:numId w:val="51"/>
        </w:numPr>
        <w:rPr/>
      </w:pPr>
      <w:r>
        <w:rPr/>
        <w:t>L’état de la conformité du réseau électrique du bâtiment, Courant Fort et Courant faible ;</w:t>
      </w:r>
    </w:p>
    <w:p>
      <w:pPr>
        <w:pStyle w:val="F1"/>
        <w:numPr>
          <w:ilvl w:val="0"/>
          <w:numId w:val="51"/>
        </w:numPr>
        <w:rPr/>
      </w:pPr>
      <w:r>
        <w:rPr/>
        <w:t>La conformité ou non du bâtiment avec la réglementation en vigueur, en terme de sécurité incendie ;</w:t>
      </w:r>
    </w:p>
    <w:p>
      <w:pPr>
        <w:pStyle w:val="F1"/>
        <w:numPr>
          <w:ilvl w:val="0"/>
          <w:numId w:val="51"/>
        </w:numPr>
        <w:rPr/>
      </w:pPr>
      <w:r>
        <w:rPr/>
        <w:t>La vérification de la capacité portante des planchers susceptibles d’accueillir les équipements à déplacer ;</w:t>
      </w:r>
    </w:p>
    <w:p>
      <w:pPr>
        <w:pStyle w:val="F1"/>
        <w:numPr>
          <w:ilvl w:val="0"/>
          <w:numId w:val="51"/>
        </w:numPr>
        <w:rPr/>
      </w:pPr>
      <w:r>
        <w:rPr/>
        <w:t>La vérification des différentes mesures de surface.</w:t>
      </w:r>
    </w:p>
    <w:p>
      <w:pPr>
        <w:pStyle w:val="TEXTE"/>
        <w:rPr/>
      </w:pPr>
      <w:r>
        <w:rPr/>
        <w:t>Le périmètre du diagnostic était limité aux zones concernées par l’opération.</w:t>
      </w:r>
    </w:p>
    <w:p>
      <w:pPr>
        <w:pStyle w:val="TEXTE"/>
        <w:rPr/>
      </w:pPr>
      <w:r>
        <w:rPr/>
      </w:r>
    </w:p>
    <w:p>
      <w:pPr>
        <w:pStyle w:val="Titre3"/>
        <w:keepNext w:val="false"/>
        <w:widowControl w:val="false"/>
        <w:rPr/>
      </w:pPr>
      <w:bookmarkStart w:id="33" w:name="_Toc32334509"/>
      <w:r>
        <w:rPr/>
        <w:t>L’Avant-Projet Sommaire (APS)</w:t>
      </w:r>
      <w:bookmarkEnd w:id="33"/>
    </w:p>
    <w:p>
      <w:pPr>
        <w:pStyle w:val="TEXTE"/>
        <w:rPr/>
      </w:pPr>
      <w:r>
        <w:rPr/>
        <w:t>L’avant-projet Sommaire (V2 du mois d’avril 2014) a été établi par la maîtrise d’œuvre.</w:t>
      </w:r>
    </w:p>
    <w:p>
      <w:pPr>
        <w:pStyle w:val="TEXTE"/>
        <w:rPr/>
      </w:pPr>
      <w:r>
        <w:rPr/>
        <w:t xml:space="preserve">Lors de la concertation préalable à la validation de l’APS par les utilisateurs, quelques adaptations vis-à-vis du programme ont été validées par le maître d’ouvrage. Ces modifications ont donné lieu à la version V2 de l’APS. </w:t>
      </w:r>
    </w:p>
    <w:p>
      <w:pPr>
        <w:pStyle w:val="Titre4"/>
        <w:rPr/>
      </w:pPr>
      <w:bookmarkStart w:id="34" w:name="_Toc32334510"/>
      <w:r>
        <w:rPr/>
        <w:t>Adaptations apportées au programme par l’APS</w:t>
      </w:r>
      <w:bookmarkEnd w:id="34"/>
    </w:p>
    <w:p>
      <w:pPr>
        <w:pStyle w:val="TEXTE"/>
        <w:rPr>
          <w:u w:val="single"/>
        </w:rPr>
      </w:pPr>
      <w:r>
        <w:rPr>
          <w:u w:val="single"/>
        </w:rPr>
        <w:t>Salle d’exploitation</w:t>
      </w:r>
    </w:p>
    <w:p>
      <w:pPr>
        <w:pStyle w:val="Normal"/>
        <w:jc w:val="left"/>
        <w:rPr>
          <w:rFonts w:cs="Arial"/>
        </w:rPr>
      </w:pPr>
      <w:r>
        <w:rPr>
          <w:rFonts w:cs="Arial"/>
        </w:rPr>
      </w:r>
    </w:p>
    <w:p>
      <w:pPr>
        <w:pStyle w:val="Normal"/>
        <w:jc w:val="left"/>
        <w:rPr>
          <w:rFonts w:cs="Arial"/>
        </w:rPr>
      </w:pPr>
      <w:r>
        <w:rPr>
          <w:rFonts w:cs="Arial"/>
        </w:rPr>
        <w:t>À la demande du PCTT il a été intégré l’ajout de rangement dans la salle au niveau du plan incliné ainsi que la création d’un espace commun DIRIF CRS en bout de pupitre. Les PC gestion hivernale actuellement au pupitre ont été déplacés en salle de crise.</w:t>
      </w:r>
    </w:p>
    <w:p>
      <w:pPr>
        <w:pStyle w:val="Normal"/>
        <w:tabs>
          <w:tab w:val="clear" w:pos="708"/>
          <w:tab w:val="right" w:pos="8789" w:leader="underscore"/>
        </w:tabs>
        <w:spacing w:before="200" w:after="240"/>
        <w:rPr>
          <w:rFonts w:cs="Arial"/>
        </w:rPr>
      </w:pPr>
      <w:r>
        <w:rPr>
          <w:rFonts w:cs="Arial"/>
        </w:rPr>
        <w:t>Quelques dalles de faux-plancher dans la cuisine sont à remplacer cette remarque a été intégrée dans l’APS.</w:t>
      </w:r>
    </w:p>
    <w:p>
      <w:pPr>
        <w:pStyle w:val="TEXTE"/>
        <w:rPr>
          <w:u w:val="single"/>
        </w:rPr>
      </w:pPr>
      <w:r>
        <w:rPr>
          <w:u w:val="single"/>
        </w:rPr>
        <w:t>Gestion de la climatisation</w:t>
      </w:r>
    </w:p>
    <w:p>
      <w:pPr>
        <w:pStyle w:val="TEXTE"/>
        <w:rPr/>
      </w:pPr>
      <w:r>
        <w:rPr/>
        <w:t>L’intérêt des systèmes de gestion de l’humidité dans des locaux comportant de nombreux équipements électroniques n’étant pas opportun, cette fonction ne sera pas recherchée, notamment pour les raisons suivantes :</w:t>
      </w:r>
    </w:p>
    <w:p>
      <w:pPr>
        <w:pStyle w:val="P1"/>
        <w:numPr>
          <w:ilvl w:val="0"/>
          <w:numId w:val="24"/>
        </w:numPr>
        <w:rPr/>
      </w:pPr>
      <w:r>
        <w:rPr/>
        <w:t>Ces systèmes très spécifiques ont un fonctionnement très fin en terme de gestion qu’il est difficile (voir impossible) de rendre adéquat pour un centre d’exploitation ou les espaces sont multiples et les passages très fréquents (modifiant sans cesse le réglage du système).</w:t>
      </w:r>
    </w:p>
    <w:p>
      <w:pPr>
        <w:pStyle w:val="P1"/>
        <w:numPr>
          <w:ilvl w:val="0"/>
          <w:numId w:val="24"/>
        </w:numPr>
        <w:rPr/>
      </w:pPr>
      <w:r>
        <w:rPr/>
        <w:t>Ces dispositifs sont générateurs de pannes, de fuites, etc. et ont été déposés sur les sites DIRIF qui en disposaient.</w:t>
      </w:r>
    </w:p>
    <w:p>
      <w:pPr>
        <w:pStyle w:val="P1"/>
        <w:numPr>
          <w:ilvl w:val="0"/>
          <w:numId w:val="24"/>
        </w:numPr>
        <w:rPr/>
      </w:pPr>
      <w:r>
        <w:rPr/>
        <w:t>La fiabilité de ces systèmes nécessite de très fréquentes maintenances impactant l’exploitation.</w:t>
      </w:r>
    </w:p>
    <w:p>
      <w:pPr>
        <w:pStyle w:val="P1"/>
        <w:numPr>
          <w:ilvl w:val="0"/>
          <w:numId w:val="24"/>
        </w:numPr>
        <w:rPr/>
      </w:pPr>
      <w:r>
        <w:rPr/>
        <w:t>Le bénéfice sur le confort des occupants est pratiquement nul.</w:t>
      </w:r>
    </w:p>
    <w:p>
      <w:pPr>
        <w:pStyle w:val="TEXTE"/>
        <w:rPr/>
      </w:pPr>
      <w:r>
        <w:rPr/>
        <w:t>L’objectif est d’installer des systèmes performants qui permettent un confort optimum des opérateurs en minimisant le risque de dysfonctionnements.</w:t>
      </w:r>
    </w:p>
    <w:p>
      <w:pPr>
        <w:pStyle w:val="TEXTE"/>
        <w:rPr>
          <w:u w:val="single"/>
        </w:rPr>
      </w:pPr>
      <w:r>
        <w:rPr>
          <w:u w:val="single"/>
        </w:rPr>
        <w:t xml:space="preserve">Salle d’exploitation temporaire </w:t>
      </w:r>
    </w:p>
    <w:p>
      <w:pPr>
        <w:pStyle w:val="Corpsdetexte"/>
        <w:rPr/>
      </w:pPr>
      <w:r>
        <w:rPr/>
        <w:t>La zone d’exploitation provisoire telle que définie au programme condamne les accès principaux aux bureaux (ou il faut passer par la zone d’exploitation).</w:t>
      </w:r>
    </w:p>
    <w:p>
      <w:pPr>
        <w:pStyle w:val="Corpsdetexte"/>
        <w:rPr/>
      </w:pPr>
      <w:r>
        <w:rPr/>
        <w:t>Nous proposons de décaler la nouvelle cloison dans le sas d’accueil, juste après les deux portes d’accès. Cela permettrait de disposer d’une zone permettant une exploitation provisoire dans de bonnes conditions.</w:t>
      </w:r>
    </w:p>
    <w:p>
      <w:pPr>
        <w:pStyle w:val="Corpsdetexte"/>
        <w:rPr/>
      </w:pPr>
      <w:r>
        <w:rPr/>
        <w:t>La partie vitrée séparant le sas de la coursive serait déposée. Les deux extrémités de la coursive seraient obturées dans l’alignement des cloisons actuelles, afin d’obtenir une surface globale correcte.</w:t>
      </w:r>
    </w:p>
    <w:p>
      <w:pPr>
        <w:pStyle w:val="TEXTE"/>
        <w:rPr>
          <w:u w:val="single"/>
        </w:rPr>
      </w:pPr>
      <w:r>
        <w:rPr>
          <w:u w:val="single"/>
        </w:rPr>
        <w:t>Distribution électrique</w:t>
      </w:r>
    </w:p>
    <w:p>
      <w:pPr>
        <w:pStyle w:val="TEXTE"/>
        <w:rPr/>
      </w:pPr>
      <w:r>
        <w:rPr/>
        <w:t>Le diagnostic a permis d’identifier les points faibles de l’installation existante et de proposer au maître d’ouvrage des solutions d’amélioration.  Les dispositions projetées sont basées sur :</w:t>
      </w:r>
    </w:p>
    <w:p>
      <w:pPr>
        <w:pStyle w:val="P1"/>
        <w:rPr/>
      </w:pPr>
      <w:r>
        <w:rPr/>
        <w:t>Le remplacement et le regroupement des armoires électriques du 1er niveau du bâtiment (local situé à côté du mur d’image).</w:t>
      </w:r>
    </w:p>
    <w:p>
      <w:pPr>
        <w:pStyle w:val="Titre4"/>
        <w:rPr/>
      </w:pPr>
      <w:bookmarkStart w:id="35" w:name="_Toc32334511"/>
      <w:r>
        <w:rPr/>
        <w:t>Bilan des observations formulées sur l’APS</w:t>
      </w:r>
      <w:bookmarkEnd w:id="35"/>
      <w:r>
        <w:rPr/>
        <w:t xml:space="preserve"> </w:t>
      </w:r>
    </w:p>
    <w:p>
      <w:pPr>
        <w:pStyle w:val="Corpsdetexte"/>
        <w:rPr/>
      </w:pPr>
      <w:r>
        <w:rPr/>
        <w:t>Le présent paragraphe a pour objet de formaliser les réponses faites par le maître d’œuvre aux observations formulées par les organismes instructeurs lors de l’approbation de l’APS.</w:t>
      </w:r>
    </w:p>
    <w:p>
      <w:pPr>
        <w:pStyle w:val="Titre5"/>
        <w:rPr/>
      </w:pPr>
      <w:r>
        <w:rPr/>
        <w:t>Avis du contrôleur technique</w:t>
      </w:r>
    </w:p>
    <w:p>
      <w:pPr>
        <w:pStyle w:val="TEXTE"/>
        <w:ind w:left="709" w:hanging="0"/>
        <w:rPr>
          <w:highlight w:val="yellow"/>
        </w:rPr>
      </w:pPr>
      <w:r>
        <w:rPr/>
        <w:t xml:space="preserve">Le contrôleur technique n’a émis aucun avis suspendus (S) ou défavorables (D) sur l’APS. </w:t>
      </w:r>
    </w:p>
    <w:p>
      <w:pPr>
        <w:pStyle w:val="Titre5"/>
        <w:rPr/>
      </w:pPr>
      <w:r>
        <w:rPr/>
        <w:t>Avis des services instructeurs de la DRIEA</w:t>
      </w:r>
    </w:p>
    <w:p>
      <w:pPr>
        <w:pStyle w:val="Corpsdetexte"/>
        <w:rPr/>
      </w:pPr>
      <w:r>
        <w:rPr/>
        <w:t>L’avis formulé par les utilisateurs ne donne lieu à aucun commentaire du maître d’œuvre.</w:t>
      </w:r>
    </w:p>
    <w:p>
      <w:pPr>
        <w:pStyle w:val="Titre4"/>
        <w:rPr/>
      </w:pPr>
      <w:bookmarkStart w:id="36" w:name="_Toc32334512"/>
      <w:r>
        <w:rPr/>
        <w:t>Adaptations apportées à l’APS par l’APD</w:t>
      </w:r>
      <w:bookmarkEnd w:id="36"/>
      <w:r>
        <w:rPr/>
        <w:t xml:space="preserve"> </w:t>
      </w:r>
    </w:p>
    <w:p>
      <w:pPr>
        <w:pStyle w:val="Corpsdetexte"/>
        <w:rPr/>
      </w:pPr>
      <w:r>
        <w:rPr/>
        <w:t xml:space="preserve">Les observations formulées par les utilisateurs ont donné lieu à l’établissement d’un tableau récapitulatif de suivi des observations et des décisions correspondantes prises par le maître d’ouvrage. </w:t>
      </w:r>
    </w:p>
    <w:p>
      <w:pPr>
        <w:pStyle w:val="Corpsdetexte"/>
        <w:rPr/>
      </w:pPr>
      <w:r>
        <w:rPr/>
        <w:t>Les adaptations apportées à l’APS par l’APD sont mineures, elles concernent :</w:t>
      </w:r>
    </w:p>
    <w:p>
      <w:pPr>
        <w:pStyle w:val="Corpsdetexte"/>
        <w:numPr>
          <w:ilvl w:val="0"/>
          <w:numId w:val="51"/>
        </w:numPr>
        <w:rPr/>
      </w:pPr>
      <w:r>
        <w:rPr/>
        <w:t>La reprise des chaises des fauteuils utilisés actuellement en salle d’exploitation lors de la phase provisoire.</w:t>
      </w:r>
    </w:p>
    <w:p>
      <w:pPr>
        <w:pStyle w:val="F1"/>
        <w:numPr>
          <w:ilvl w:val="0"/>
          <w:numId w:val="51"/>
        </w:numPr>
        <w:rPr/>
      </w:pPr>
      <w:r>
        <w:rPr/>
        <w:t>La mise en jour de l’estimation concernant la climatisation du local reprographie.</w:t>
      </w:r>
    </w:p>
    <w:p>
      <w:pPr>
        <w:pStyle w:val="F1"/>
        <w:numPr>
          <w:ilvl w:val="0"/>
          <w:numId w:val="51"/>
        </w:numPr>
        <w:rPr/>
      </w:pPr>
      <w:r>
        <w:rPr/>
        <w:t>Le maître d’ouvrage a demandé que la virtualisation soit prise en compte dès les études de l’APD. Notons que la virtualisation consiste à remplacer la majorité des unités centrales existantes dans les pupitres de la salle d’exploitation, par une baie informatique à installer en salle technique ainsi qu’un module d’interface en lieu et place des UC en salle d’exploitation ;</w:t>
      </w:r>
    </w:p>
    <w:p>
      <w:pPr>
        <w:pStyle w:val="P1"/>
        <w:widowControl w:val="false"/>
        <w:ind w:left="709" w:hanging="0"/>
        <w:rPr>
          <w:rFonts w:eastAsia="Calibri" w:eastAsiaTheme="minorHAnsi"/>
        </w:rPr>
      </w:pPr>
      <w:r>
        <w:rPr>
          <w:rFonts w:eastAsia="Calibri" w:eastAsiaTheme="minorHAnsi"/>
        </w:rPr>
        <w:t>La Maîtrise d’</w:t>
      </w:r>
      <w:r>
        <w:rPr>
          <w:rFonts w:eastAsia="Calibri" w:ascii="Calibri" w:hAnsi="Calibri" w:eastAsiaTheme="minorHAnsi"/>
        </w:rPr>
        <w:t>Œ</w:t>
      </w:r>
      <w:r>
        <w:rPr>
          <w:rFonts w:eastAsia="Calibri" w:eastAsiaTheme="minorHAnsi"/>
        </w:rPr>
        <w:t xml:space="preserve">uvre de la virtualisation est assurée par le service UIRC de la DiRIF. </w:t>
      </w:r>
    </w:p>
    <w:p>
      <w:pPr>
        <w:pStyle w:val="P1"/>
        <w:widowControl w:val="false"/>
        <w:ind w:left="709" w:hanging="0"/>
        <w:rPr>
          <w:rFonts w:eastAsia="Calibri" w:eastAsiaTheme="minorHAnsi"/>
        </w:rPr>
      </w:pPr>
      <w:r>
        <w:rPr>
          <w:rFonts w:eastAsia="Calibri" w:eastAsiaTheme="minorHAnsi"/>
        </w:rPr>
        <w:t>L’impact de la virtualisation sur le projet de rénovation du PCTT fera l’objet d’études ultérieures. Les modalités décrites à l’APD concernent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L’incidence financière, technique et administrative.</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L’incidence sur le calendrier prévisionnel des travaux.</w:t>
      </w:r>
    </w:p>
    <w:p>
      <w:pPr>
        <w:pStyle w:val="Titre3"/>
        <w:keepNext w:val="false"/>
        <w:widowControl w:val="false"/>
        <w:rPr/>
      </w:pPr>
      <w:bookmarkStart w:id="37" w:name="_Toc32334513"/>
      <w:r>
        <w:rPr/>
        <w:t>L’Avant-Projet Définitif (APD)</w:t>
      </w:r>
      <w:bookmarkEnd w:id="37"/>
      <w:r>
        <w:rPr/>
        <w:t xml:space="preserve"> </w:t>
      </w:r>
    </w:p>
    <w:p>
      <w:pPr>
        <w:pStyle w:val="Titre4"/>
        <w:rPr/>
      </w:pPr>
      <w:bookmarkStart w:id="38" w:name="_Toc32334514"/>
      <w:r>
        <w:rPr/>
        <w:t>Bilan des observations formulées sur l’APD</w:t>
      </w:r>
      <w:bookmarkEnd w:id="38"/>
    </w:p>
    <w:p>
      <w:pPr>
        <w:pStyle w:val="Corpsdetexte"/>
        <w:rPr/>
      </w:pPr>
      <w:r>
        <w:rPr/>
        <w:t>Le présent paragraphe a pour objet de formaliser les réponses du maître d’œuvre aux observations formulées par les organismes instructeurs lors de l’approbation de l’APD.</w:t>
      </w:r>
    </w:p>
    <w:p>
      <w:pPr>
        <w:pStyle w:val="Titre5"/>
        <w:rPr/>
      </w:pPr>
      <w:r>
        <w:rPr/>
        <w:t>Avis du contrôleur technique</w:t>
      </w:r>
    </w:p>
    <w:p>
      <w:pPr>
        <w:pStyle w:val="Corpsdetexte"/>
        <w:rPr/>
      </w:pPr>
      <w:r>
        <w:rPr/>
        <w:t>Les réponses faites par le maitre d’œuvre ne concernent que les avis suspendus (S) ou défavorables (D) du bureau de contrôle technique. Les observations ont pour objet :</w:t>
      </w:r>
    </w:p>
    <w:p>
      <w:pPr>
        <w:pStyle w:val="P1"/>
        <w:numPr>
          <w:ilvl w:val="0"/>
          <w:numId w:val="24"/>
        </w:numPr>
        <w:rPr/>
      </w:pPr>
      <w:r>
        <w:rPr/>
        <w:t>Avis D1 : « s’assurer de l’associativité des équipements terminaux du Système de Sécurité Incendie situés au rez-de-chaussée avec le matériel central à installer au 1</w:t>
      </w:r>
      <w:r>
        <w:rPr>
          <w:vertAlign w:val="superscript"/>
        </w:rPr>
        <w:t>er</w:t>
      </w:r>
      <w:r>
        <w:rPr/>
        <w:t xml:space="preserve"> niveau. Dans le cas contraire, ils devront être remplacés ».</w:t>
      </w:r>
    </w:p>
    <w:p>
      <w:pPr>
        <w:pStyle w:val="TEXTE"/>
        <w:ind w:left="709" w:hanging="0"/>
        <w:rPr/>
      </w:pPr>
      <w:r>
        <w:rPr/>
        <w:t xml:space="preserve">Commentaire du maître d’œuvre : Le périmètre de l’étude est élargi à l’ensemble du bâtiment. Le Système de Sécurité Incendie (SSI) sera donc mis en conformité vis-à-vis de la règlementation. </w:t>
      </w:r>
    </w:p>
    <w:p>
      <w:pPr>
        <w:pStyle w:val="P1"/>
        <w:numPr>
          <w:ilvl w:val="0"/>
          <w:numId w:val="24"/>
        </w:numPr>
        <w:rPr/>
      </w:pPr>
      <w:r>
        <w:rPr/>
        <w:t>Avis D2 : « Les passages dans les escaliers doivent être de 1,4 mètres au moins »,</w:t>
      </w:r>
    </w:p>
    <w:p>
      <w:pPr>
        <w:pStyle w:val="P1"/>
        <w:ind w:left="709" w:hanging="0"/>
        <w:rPr/>
      </w:pPr>
      <w:r>
        <w:rPr/>
        <w:t>Commentaires du maître d’œuvre : Les escaliers existent et ne sont pas impactés dans le cadre du réaménagement. Le passage dans les escaliers est de 1,60 m.</w:t>
      </w:r>
    </w:p>
    <w:p>
      <w:pPr>
        <w:pStyle w:val="Titre5"/>
        <w:rPr/>
      </w:pPr>
      <w:r>
        <w:rPr/>
        <w:t>Avis des utilisateurs du PCTT</w:t>
      </w:r>
    </w:p>
    <w:p>
      <w:pPr>
        <w:pStyle w:val="Corpsdetexte"/>
        <w:rPr/>
      </w:pPr>
      <w:r>
        <w:rPr/>
        <w:t xml:space="preserve">Les observations formulées par les utilisateurs du PCTT ont donné lieu à l’établissement d’un tableau récapitulatif de suivi des observations et des décisions correspondantes prises par le maître d’ouvrage. </w:t>
      </w:r>
    </w:p>
    <w:p>
      <w:pPr>
        <w:pStyle w:val="Corpsdetexte"/>
        <w:rPr/>
      </w:pPr>
      <w:r>
        <w:rPr/>
        <w:t>Les remarques sont mineures, elles concernent :</w:t>
      </w:r>
    </w:p>
    <w:p>
      <w:pPr>
        <w:pStyle w:val="F1"/>
        <w:numPr>
          <w:ilvl w:val="0"/>
          <w:numId w:val="51"/>
        </w:numPr>
        <w:rPr/>
      </w:pPr>
      <w:r>
        <w:rPr/>
        <w:t xml:space="preserve">Dossier architectural : Rendre le plus transparent possible les cloisons entre, espace de vie, lieu de vie et salle d’exploitation ; </w:t>
      </w:r>
    </w:p>
    <w:p>
      <w:pPr>
        <w:pStyle w:val="F1"/>
        <w:numPr>
          <w:ilvl w:val="0"/>
          <w:numId w:val="51"/>
        </w:numPr>
        <w:rPr/>
      </w:pPr>
      <w:r>
        <w:rPr/>
        <w:t>Dispositions techniques projetées : Veillez à ne pas orienter les injecteurs d’air vers les opérateurs en salle d’exploitation ;</w:t>
      </w:r>
    </w:p>
    <w:p>
      <w:pPr>
        <w:pStyle w:val="F1"/>
        <w:numPr>
          <w:ilvl w:val="0"/>
          <w:numId w:val="51"/>
        </w:numPr>
        <w:rPr/>
      </w:pPr>
      <w:r>
        <w:rPr/>
        <w:t>Continuité d’exploitation : Vérifier le nombre nécessaire d’écrans en lien avec les affichages à prévoir et notamment les cycles de vidéo surveillance ;</w:t>
      </w:r>
    </w:p>
    <w:p>
      <w:pPr>
        <w:pStyle w:val="F1"/>
        <w:numPr>
          <w:ilvl w:val="0"/>
          <w:numId w:val="51"/>
        </w:numPr>
        <w:rPr/>
      </w:pPr>
      <w:r>
        <w:rPr/>
        <w:t>Etude d’ergonomie : Vérifier le nombre d’écrans à prévoir sur les pupitres. L’exploitant a observé quelques différences entre les pièces et plans du dossier. Prévoir une réserve de place pour insérer les équipements de « demain » ;</w:t>
      </w:r>
    </w:p>
    <w:p>
      <w:pPr>
        <w:pStyle w:val="Titre5"/>
        <w:rPr/>
      </w:pPr>
      <w:r>
        <w:rPr/>
        <w:t>Avis du programmiste</w:t>
      </w:r>
    </w:p>
    <w:p>
      <w:pPr>
        <w:pStyle w:val="Corpsdetexte"/>
        <w:rPr/>
      </w:pPr>
      <w:r>
        <w:rPr/>
        <w:t>La mission d’assistance technique pour l’analyse des études de l’APD a été confiée à la société PIXYS et a donné lieu à l’établissement du rapport n° 1-1 en date du 16/12/2014.</w:t>
      </w:r>
    </w:p>
    <w:p>
      <w:pPr>
        <w:pStyle w:val="Corpsdetexte"/>
        <w:rPr/>
      </w:pPr>
      <w:r>
        <w:rPr/>
        <w:t>L’avis formulé par le programmiste PIXYS donne lieu à quelques commentaires du maître d’œuvre, Les observations sont prises en compte (sauf avis contraire de l’exploitant et/ou du maître d’ouvrage) à l’exception de :</w:t>
      </w:r>
    </w:p>
    <w:p>
      <w:pPr>
        <w:pStyle w:val="F1"/>
        <w:numPr>
          <w:ilvl w:val="0"/>
          <w:numId w:val="51"/>
        </w:numPr>
        <w:rPr/>
      </w:pPr>
      <w:r>
        <w:rPr/>
        <w:t>Les dimensions des pupitres provisoires (pupitre en forme de U sur un linéaire de 8,40 m et profondeur de 2,20 m) ont été optimisées suite à la suppression des équipements liés à la virtualisation des systèmes. Le pupitre prévu au programme de 12 ml à donc été réduit;</w:t>
      </w:r>
    </w:p>
    <w:p>
      <w:pPr>
        <w:pStyle w:val="F1"/>
        <w:numPr>
          <w:ilvl w:val="0"/>
          <w:numId w:val="51"/>
        </w:numPr>
        <w:rPr/>
      </w:pPr>
      <w:r>
        <w:rPr/>
        <w:t>Passage libre de 90cm pour toutes les portes : ces dernières sont existantes</w:t>
      </w:r>
    </w:p>
    <w:p>
      <w:pPr>
        <w:pStyle w:val="F1"/>
        <w:numPr>
          <w:ilvl w:val="0"/>
          <w:numId w:val="51"/>
        </w:numPr>
        <w:rPr/>
      </w:pPr>
      <w:r>
        <w:rPr/>
        <w:t>Les imprimantes et fax du pupitre sont implantées selon la volonté des utilisateurs.</w:t>
      </w:r>
    </w:p>
    <w:p>
      <w:pPr>
        <w:pStyle w:val="Titre5"/>
        <w:rPr/>
      </w:pPr>
      <w:r>
        <w:rPr/>
        <w:t>Diagnostic amiante</w:t>
      </w:r>
    </w:p>
    <w:p>
      <w:pPr>
        <w:pStyle w:val="Corpsdetexte"/>
        <w:rPr/>
      </w:pPr>
      <w:r>
        <w:rPr/>
        <w:t>La mission de repérage des matériaux et produits contenant de l’amiante a été confiée à la société DIMOTECK et a donné lieu à l’établissement du rapport n° RP-DIM-15-0032 en date du 16/01/2015.</w:t>
      </w:r>
    </w:p>
    <w:p>
      <w:pPr>
        <w:pStyle w:val="Corpsdetexte"/>
        <w:rPr/>
      </w:pPr>
      <w:r>
        <w:rPr/>
        <w:t>Les conclusions du rapport précisent :</w:t>
      </w:r>
    </w:p>
    <w:p>
      <w:pPr>
        <w:pStyle w:val="Corpsdetexte"/>
        <w:numPr>
          <w:ilvl w:val="0"/>
          <w:numId w:val="115"/>
        </w:numPr>
        <w:rPr/>
      </w:pPr>
      <w:r>
        <w:rPr/>
        <w:t>L’absence d’amiante sur les zones travaux.</w:t>
      </w:r>
    </w:p>
    <w:p>
      <w:pPr>
        <w:pStyle w:val="Titre4"/>
        <w:rPr/>
      </w:pPr>
      <w:bookmarkStart w:id="39" w:name="_Toc32334515"/>
      <w:r>
        <w:rPr/>
        <w:t>Adaptations apportées à l’APD par le PROv1</w:t>
      </w:r>
      <w:bookmarkEnd w:id="39"/>
    </w:p>
    <w:p>
      <w:pPr>
        <w:pStyle w:val="Corpsdetexte"/>
        <w:rPr/>
      </w:pPr>
      <w:r>
        <w:rPr/>
        <w:t>Les adaptations apportées à l’APD par le dossier PRO sont mineures et concernent la prise en compte des avis formulés par les organismes instructeurs.</w:t>
      </w:r>
    </w:p>
    <w:p>
      <w:pPr>
        <w:pStyle w:val="Corpsdetexte"/>
        <w:rPr/>
      </w:pPr>
      <w:r>
        <w:rPr/>
        <w:t>Les principales adaptations portent sur :</w:t>
      </w:r>
    </w:p>
    <w:p>
      <w:pPr>
        <w:pStyle w:val="F1"/>
        <w:numPr>
          <w:ilvl w:val="0"/>
          <w:numId w:val="51"/>
        </w:numPr>
        <w:rPr/>
      </w:pPr>
      <w:r>
        <w:rPr/>
        <w:t>La prise en compte de l’impact de la virtualisation des Systèmes Informatiques sur les travaux d’aménagement du PCTT (réduction des coûts induits par l’opération de virtualisation).</w:t>
      </w:r>
    </w:p>
    <w:p>
      <w:pPr>
        <w:pStyle w:val="Titre4"/>
        <w:rPr/>
      </w:pPr>
      <w:bookmarkStart w:id="40" w:name="_Toc32334516"/>
      <w:r>
        <w:rPr/>
        <w:t>Adaptations apportées au PROv1 par le PROv2</w:t>
      </w:r>
      <w:bookmarkEnd w:id="40"/>
    </w:p>
    <w:p>
      <w:pPr>
        <w:pStyle w:val="TEXTE"/>
        <w:spacing w:before="200" w:after="120"/>
        <w:rPr/>
      </w:pPr>
      <w:r>
        <w:rPr/>
        <w:t>Les principales adaptations concernent :</w:t>
      </w:r>
    </w:p>
    <w:p>
      <w:pPr>
        <w:pStyle w:val="F1"/>
        <w:numPr>
          <w:ilvl w:val="0"/>
          <w:numId w:val="51"/>
        </w:numPr>
        <w:rPr/>
      </w:pPr>
      <w:r>
        <w:rPr/>
        <w:t>Le mur d’image : Le mur d’image existant est très récent, il vient d’être installé dans le cadre d’un projet spécifique piloté par la DiRIF. En fait il ne s’agit plus d’un mur d’images classique, mais d’un écran statique sur lequel sont projetées des images;</w:t>
      </w:r>
    </w:p>
    <w:p>
      <w:pPr>
        <w:pStyle w:val="F1"/>
        <w:numPr>
          <w:ilvl w:val="0"/>
          <w:numId w:val="51"/>
        </w:numPr>
        <w:rPr>
          <w:lang w:val="fr-CA"/>
        </w:rPr>
      </w:pPr>
      <w:r>
        <w:rPr/>
        <w:t xml:space="preserve">La salle d’exploitation provisoire : </w:t>
      </w:r>
      <w:r>
        <w:rPr>
          <w:lang w:val="fr-CA"/>
        </w:rPr>
        <w:t xml:space="preserve">Les mobiliers provisoires, le matériel de climatisation ainsi que les équipements du mur d’image ne sont pas à fournir dans le cadre du présent projet ; les matériels seront mis à disposition par la DiRIF et installés par le titulaire du présent marché. </w:t>
      </w:r>
    </w:p>
    <w:p>
      <w:pPr>
        <w:pStyle w:val="F1"/>
        <w:numPr>
          <w:ilvl w:val="0"/>
          <w:numId w:val="51"/>
        </w:numPr>
        <w:rPr>
          <w:rFonts w:eastAsia="Calibri" w:eastAsiaTheme="minorHAnsi"/>
          <w:lang w:eastAsia="en-US"/>
        </w:rPr>
      </w:pPr>
      <w:r>
        <w:rPr/>
        <w:t>Le mobilier standard : Tous les mobiliers standards seront neufs et approvisionnés directement par la DiRIF, ils seront installés par le titulaire du présent marché.</w:t>
      </w:r>
      <w:r>
        <w:br w:type="page"/>
      </w:r>
    </w:p>
    <w:p>
      <w:pPr>
        <w:pStyle w:val="Titre2"/>
        <w:keepNext w:val="false"/>
        <w:widowControl w:val="false"/>
        <w:tabs>
          <w:tab w:val="clear" w:pos="0"/>
          <w:tab w:val="clear" w:pos="8789"/>
          <w:tab w:val="left" w:pos="426" w:leader="none"/>
        </w:tabs>
        <w:ind w:left="0" w:hanging="0"/>
        <w:rPr/>
      </w:pPr>
      <w:bookmarkStart w:id="41" w:name="_Toc32334517"/>
      <w:r>
        <w:rPr/>
        <w:t>Présentation du PCTT de Nanterre</w:t>
      </w:r>
      <w:bookmarkEnd w:id="41"/>
    </w:p>
    <w:p>
      <w:pPr>
        <w:pStyle w:val="Titre3"/>
        <w:keepNext w:val="false"/>
        <w:widowControl w:val="false"/>
        <w:rPr/>
      </w:pPr>
      <w:bookmarkStart w:id="42" w:name="_Toc32334518"/>
      <w:r>
        <w:rPr/>
        <w:t>Localisation</w:t>
      </w:r>
      <w:bookmarkEnd w:id="42"/>
    </w:p>
    <w:p>
      <w:pPr>
        <w:pStyle w:val="TEXTE"/>
        <w:rPr/>
      </w:pPr>
      <w:r>
        <w:rPr/>
        <w:t xml:space="preserve">Le PCTT de Nanterre gère le secteur Ouest de la région Ile-de-France. Son secteur couvre notamment les autoroutes A12, A13, A14, A86 et 8 tunnels. </w:t>
      </w:r>
    </w:p>
    <w:p>
      <w:pPr>
        <w:pStyle w:val="TEXTE"/>
        <w:rPr>
          <w:rFonts w:eastAsia="Calibri" w:eastAsiaTheme="minorHAnsi"/>
        </w:rPr>
      </w:pPr>
      <w:r>
        <w:rPr>
          <w:rFonts w:eastAsia="Calibri" w:eastAsiaTheme="minorHAnsi"/>
        </w:rPr>
        <w:t xml:space="preserve">Le PCTT de Nanterre est situé </w:t>
      </w:r>
      <w:r>
        <w:rPr/>
        <w:t>Rue Gutenberg 92000 Nanterre</w:t>
      </w:r>
    </w:p>
    <w:p>
      <w:pPr>
        <w:pStyle w:val="P1"/>
        <w:rPr>
          <w:rFonts w:eastAsia="Calibri" w:eastAsiaTheme="minorHAnsi"/>
        </w:rPr>
      </w:pPr>
      <w:r>
        <w:rPr/>
        <w:drawing>
          <wp:inline distT="0" distB="0" distL="0" distR="0">
            <wp:extent cx="5572760" cy="3381375"/>
            <wp:effectExtent l="0" t="0" r="0" b="0"/>
            <wp:docPr id="3" name="Imag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5" descr=""/>
                    <pic:cNvPicPr>
                      <a:picLocks noChangeAspect="1" noChangeArrowheads="1"/>
                    </pic:cNvPicPr>
                  </pic:nvPicPr>
                  <pic:blipFill>
                    <a:blip r:embed="rId5"/>
                    <a:stretch>
                      <a:fillRect/>
                    </a:stretch>
                  </pic:blipFill>
                  <pic:spPr bwMode="auto">
                    <a:xfrm>
                      <a:off x="0" y="0"/>
                      <a:ext cx="5572760" cy="3381375"/>
                    </a:xfrm>
                    <a:prstGeom prst="rect">
                      <a:avLst/>
                    </a:prstGeom>
                  </pic:spPr>
                </pic:pic>
              </a:graphicData>
            </a:graphic>
          </wp:inline>
        </w:drawing>
      </w:r>
    </w:p>
    <w:p>
      <w:pPr>
        <w:pStyle w:val="TFIG"/>
        <w:numPr>
          <w:ilvl w:val="0"/>
          <w:numId w:val="4"/>
        </w:numPr>
        <w:tabs>
          <w:tab w:val="left" w:pos="567" w:leader="none"/>
          <w:tab w:val="left" w:pos="709" w:leader="none"/>
          <w:tab w:val="left" w:pos="851" w:leader="none"/>
        </w:tabs>
        <w:ind w:left="567" w:hanging="567"/>
        <w:rPr>
          <w:rFonts w:eastAsia="Calibri" w:eastAsiaTheme="minorHAnsi"/>
        </w:rPr>
      </w:pPr>
      <w:bookmarkStart w:id="43" w:name="_Toc32334955"/>
      <w:bookmarkStart w:id="44" w:name="_Toc396398417"/>
      <w:r>
        <w:rPr/>
        <w:t>Plan de situation du PCTT de Nanterre</w:t>
      </w:r>
      <w:bookmarkEnd w:id="43"/>
      <w:bookmarkEnd w:id="44"/>
    </w:p>
    <w:p>
      <w:pPr>
        <w:pStyle w:val="P1"/>
        <w:rPr>
          <w:rFonts w:eastAsia="Calibri" w:eastAsiaTheme="minorHAnsi"/>
          <w:lang w:val="fr-FR"/>
        </w:rPr>
      </w:pPr>
      <w:r>
        <w:rPr>
          <w:rFonts w:eastAsia="Calibri" w:eastAsiaTheme="minorHAnsi"/>
          <w:lang w:val="fr-FR"/>
        </w:rPr>
      </w:r>
    </w:p>
    <w:p>
      <w:pPr>
        <w:pStyle w:val="P1"/>
        <w:rPr>
          <w:rFonts w:eastAsia="Calibri" w:eastAsiaTheme="minorHAnsi"/>
        </w:rPr>
      </w:pPr>
      <w:r>
        <w:rPr/>
        <w:drawing>
          <wp:inline distT="0" distB="0" distL="0" distR="0">
            <wp:extent cx="5572760" cy="1742440"/>
            <wp:effectExtent l="0" t="0" r="0" b="0"/>
            <wp:docPr id="4"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descr=""/>
                    <pic:cNvPicPr>
                      <a:picLocks noChangeAspect="1" noChangeArrowheads="1"/>
                    </pic:cNvPicPr>
                  </pic:nvPicPr>
                  <pic:blipFill>
                    <a:blip r:embed="rId6"/>
                    <a:stretch>
                      <a:fillRect/>
                    </a:stretch>
                  </pic:blipFill>
                  <pic:spPr bwMode="auto">
                    <a:xfrm>
                      <a:off x="0" y="0"/>
                      <a:ext cx="5572760" cy="1742440"/>
                    </a:xfrm>
                    <a:prstGeom prst="rect">
                      <a:avLst/>
                    </a:prstGeom>
                  </pic:spPr>
                </pic:pic>
              </a:graphicData>
            </a:graphic>
          </wp:inline>
        </w:drawing>
      </w:r>
    </w:p>
    <w:p>
      <w:pPr>
        <w:pStyle w:val="TFIG"/>
        <w:numPr>
          <w:ilvl w:val="0"/>
          <w:numId w:val="4"/>
        </w:numPr>
        <w:ind w:left="6096" w:hanging="6096"/>
        <w:rPr/>
      </w:pPr>
      <w:bookmarkStart w:id="45" w:name="_Toc32334956"/>
      <w:bookmarkStart w:id="46" w:name="_Toc396398418"/>
      <w:r>
        <w:rPr/>
        <w:t>Vue aérienne du PCTT de Nanterre</w:t>
      </w:r>
      <w:bookmarkEnd w:id="45"/>
      <w:bookmarkEnd w:id="46"/>
    </w:p>
    <w:p>
      <w:pPr>
        <w:pStyle w:val="Titre3"/>
        <w:rPr/>
      </w:pPr>
      <w:bookmarkStart w:id="47" w:name="_Toc32334519"/>
      <w:r>
        <w:rPr/>
        <w:t>Aménagement actuel</w:t>
      </w:r>
      <w:bookmarkEnd w:id="47"/>
    </w:p>
    <w:p>
      <w:pPr>
        <w:pStyle w:val="TEXTE"/>
        <w:rPr/>
      </w:pPr>
      <w:r>
        <w:rPr/>
        <w:t>Afin de bien appréhender les difficultés de réaménagement de la zone d’exploitation, le schéma ci-après cible les divers locaux impactés, ceux-ci sont situés au 1</w:t>
      </w:r>
      <w:r>
        <w:rPr>
          <w:vertAlign w:val="superscript"/>
        </w:rPr>
        <w:t>er</w:t>
      </w:r>
      <w:r>
        <w:rPr/>
        <w:t xml:space="preserve"> niveau du bâtiment.</w:t>
      </w:r>
    </w:p>
    <w:p>
      <w:pPr>
        <w:pStyle w:val="TEXTE"/>
        <w:rPr/>
      </w:pPr>
      <w:r>
        <w:rPr/>
      </w:r>
    </w:p>
    <w:p>
      <w:pPr>
        <w:pStyle w:val="Corpsdetexte"/>
        <w:jc w:val="center"/>
        <w:rPr>
          <w:b/>
          <w:b/>
          <w:sz w:val="22"/>
        </w:rPr>
      </w:pPr>
      <w:r>
        <w:rPr/>
        <w:drawing>
          <wp:inline distT="0" distB="0" distL="0" distR="0">
            <wp:extent cx="5581015" cy="3631565"/>
            <wp:effectExtent l="0" t="0" r="0" b="0"/>
            <wp:docPr id="5" name="Image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0" descr=""/>
                    <pic:cNvPicPr>
                      <a:picLocks noChangeAspect="1" noChangeArrowheads="1"/>
                    </pic:cNvPicPr>
                  </pic:nvPicPr>
                  <pic:blipFill>
                    <a:blip r:embed="rId7"/>
                    <a:stretch>
                      <a:fillRect/>
                    </a:stretch>
                  </pic:blipFill>
                  <pic:spPr bwMode="auto">
                    <a:xfrm>
                      <a:off x="0" y="0"/>
                      <a:ext cx="5581015" cy="3631565"/>
                    </a:xfrm>
                    <a:prstGeom prst="rect">
                      <a:avLst/>
                    </a:prstGeom>
                  </pic:spPr>
                </pic:pic>
              </a:graphicData>
            </a:graphic>
          </wp:inline>
        </w:drawing>
      </w:r>
    </w:p>
    <w:p>
      <w:pPr>
        <w:pStyle w:val="TFIG"/>
        <w:numPr>
          <w:ilvl w:val="0"/>
          <w:numId w:val="4"/>
        </w:numPr>
        <w:tabs>
          <w:tab w:val="left" w:pos="567" w:leader="none"/>
          <w:tab w:val="left" w:pos="709" w:leader="none"/>
          <w:tab w:val="left" w:pos="851" w:leader="none"/>
        </w:tabs>
        <w:ind w:left="567" w:hanging="567"/>
        <w:rPr/>
      </w:pPr>
      <w:bookmarkStart w:id="48" w:name="_Toc32334957"/>
      <w:bookmarkStart w:id="49" w:name="_Toc396398419"/>
      <w:bookmarkStart w:id="50" w:name="_Toc374609809"/>
      <w:r>
        <w:rPr/>
        <w:t>Plan du 1</w:t>
      </w:r>
      <w:r>
        <w:rPr>
          <w:vertAlign w:val="superscript"/>
        </w:rPr>
        <w:t>er</w:t>
      </w:r>
      <w:r>
        <w:rPr/>
        <w:t xml:space="preserve"> niveau en configuration existante du PCTT de Nanterre</w:t>
      </w:r>
      <w:bookmarkEnd w:id="48"/>
      <w:bookmarkEnd w:id="49"/>
      <w:bookmarkEnd w:id="50"/>
    </w:p>
    <w:p>
      <w:pPr>
        <w:pStyle w:val="TEXTE"/>
        <w:rPr/>
      </w:pPr>
      <w:r>
        <w:rPr/>
        <w:t>Les locaux impactés par l’opération de réaménagement sont listés ci-après :</w:t>
      </w:r>
    </w:p>
    <w:p>
      <w:pPr>
        <w:pStyle w:val="TEXTE"/>
        <w:numPr>
          <w:ilvl w:val="0"/>
          <w:numId w:val="20"/>
        </w:numPr>
        <w:rPr>
          <w:lang w:val="fr-CA"/>
        </w:rPr>
      </w:pPr>
      <w:r>
        <w:rPr>
          <w:lang w:val="fr-CA"/>
        </w:rPr>
        <w:t>La salle d’exploitation.</w:t>
      </w:r>
    </w:p>
    <w:p>
      <w:pPr>
        <w:pStyle w:val="TEXTE"/>
        <w:numPr>
          <w:ilvl w:val="0"/>
          <w:numId w:val="20"/>
        </w:numPr>
        <w:rPr>
          <w:lang w:val="fr-CA"/>
        </w:rPr>
      </w:pPr>
      <w:r>
        <w:rPr>
          <w:lang w:val="fr-CA"/>
        </w:rPr>
        <w:t>La zone des casiers.</w:t>
      </w:r>
    </w:p>
    <w:p>
      <w:pPr>
        <w:pStyle w:val="TEXTE"/>
        <w:numPr>
          <w:ilvl w:val="0"/>
          <w:numId w:val="20"/>
        </w:numPr>
        <w:rPr>
          <w:lang w:val="fr-CA"/>
        </w:rPr>
      </w:pPr>
      <w:r>
        <w:rPr>
          <w:lang w:val="fr-CA"/>
        </w:rPr>
        <w:t>Les sanitaires.</w:t>
      </w:r>
    </w:p>
    <w:p>
      <w:pPr>
        <w:pStyle w:val="TEXTE"/>
        <w:numPr>
          <w:ilvl w:val="0"/>
          <w:numId w:val="20"/>
        </w:numPr>
        <w:rPr>
          <w:lang w:val="fr-CA"/>
        </w:rPr>
      </w:pPr>
      <w:r>
        <w:rPr>
          <w:lang w:val="fr-CA"/>
        </w:rPr>
        <w:t>Les circulations.</w:t>
      </w:r>
    </w:p>
    <w:p>
      <w:pPr>
        <w:pStyle w:val="TEXTE"/>
        <w:numPr>
          <w:ilvl w:val="0"/>
          <w:numId w:val="20"/>
        </w:numPr>
        <w:rPr>
          <w:lang w:val="fr-CA"/>
        </w:rPr>
      </w:pPr>
      <w:r>
        <w:rPr>
          <w:lang w:val="fr-CA"/>
        </w:rPr>
        <w:t>Salle de réunion.</w:t>
      </w:r>
    </w:p>
    <w:p>
      <w:pPr>
        <w:pStyle w:val="Titre3"/>
        <w:rPr/>
      </w:pPr>
      <w:bookmarkStart w:id="51" w:name="_Toc32334520"/>
      <w:r>
        <w:rPr/>
        <w:t>Principaux dysfonctionnements</w:t>
      </w:r>
      <w:bookmarkEnd w:id="51"/>
    </w:p>
    <w:p>
      <w:pPr>
        <w:pStyle w:val="TEXTE"/>
        <w:rPr/>
      </w:pPr>
      <w:r>
        <w:rPr/>
        <w:t xml:space="preserve">L’inventaire des dysfonctionnements a été réalisé au cours de l’étude d’ergonomie et de faisabilité. En synthèse, les principaux problèmes (classés par local) à traiter sont les suivants : </w:t>
      </w:r>
    </w:p>
    <w:p>
      <w:pPr>
        <w:pStyle w:val="P1"/>
        <w:spacing w:before="200" w:after="120"/>
        <w:rPr>
          <w:rFonts w:eastAsia="Calibri" w:eastAsiaTheme="minorHAnsi"/>
          <w:b/>
          <w:b/>
        </w:rPr>
      </w:pPr>
      <w:r>
        <w:rPr>
          <w:rFonts w:eastAsia="Calibri" w:eastAsiaTheme="minorHAnsi"/>
          <w:b/>
        </w:rPr>
        <w:t xml:space="preserve">Salle d’exploitation : </w:t>
      </w:r>
    </w:p>
    <w:p>
      <w:pPr>
        <w:pStyle w:val="F1"/>
        <w:numPr>
          <w:ilvl w:val="0"/>
          <w:numId w:val="51"/>
        </w:numPr>
        <w:rPr/>
      </w:pPr>
      <w:r>
        <w:rPr/>
        <w:t>Spacieuse mais encombrée par un pupitre massif.</w:t>
      </w:r>
    </w:p>
    <w:p>
      <w:pPr>
        <w:pStyle w:val="F1"/>
        <w:numPr>
          <w:ilvl w:val="0"/>
          <w:numId w:val="51"/>
        </w:numPr>
        <w:rPr/>
      </w:pPr>
      <w:r>
        <w:rPr/>
        <w:t>Beaucoup de circulation.</w:t>
      </w:r>
    </w:p>
    <w:p>
      <w:pPr>
        <w:pStyle w:val="F1"/>
        <w:numPr>
          <w:ilvl w:val="0"/>
          <w:numId w:val="51"/>
        </w:numPr>
        <w:rPr/>
      </w:pPr>
      <w:r>
        <w:rPr/>
        <w:t>TDM et OST dos à dos.</w:t>
      </w:r>
    </w:p>
    <w:p>
      <w:pPr>
        <w:pStyle w:val="F1"/>
        <w:numPr>
          <w:ilvl w:val="0"/>
          <w:numId w:val="51"/>
        </w:numPr>
        <w:rPr/>
      </w:pPr>
      <w:r>
        <w:rPr/>
        <w:t>Écrans OST disposés avec un angle trop important par rapport au mur d’images.</w:t>
      </w:r>
    </w:p>
    <w:p>
      <w:pPr>
        <w:pStyle w:val="F1"/>
        <w:numPr>
          <w:ilvl w:val="0"/>
          <w:numId w:val="51"/>
        </w:numPr>
        <w:rPr/>
      </w:pPr>
      <w:r>
        <w:rPr/>
        <w:t>Ambiance thermique à améliorer.</w:t>
      </w:r>
    </w:p>
    <w:p>
      <w:pPr>
        <w:pStyle w:val="F1"/>
        <w:numPr>
          <w:ilvl w:val="0"/>
          <w:numId w:val="51"/>
        </w:numPr>
        <w:rPr/>
      </w:pPr>
      <w:r>
        <w:rPr/>
        <w:t>Nuisances sonores (beaucoup de circulation dans la salle).</w:t>
      </w:r>
    </w:p>
    <w:p>
      <w:pPr>
        <w:pStyle w:val="F1"/>
        <w:numPr>
          <w:ilvl w:val="0"/>
          <w:numId w:val="51"/>
        </w:numPr>
        <w:rPr/>
      </w:pPr>
      <w:r>
        <w:rPr/>
        <w:t>Luminosité insuffisante et non homogène.</w:t>
      </w:r>
    </w:p>
    <w:p>
      <w:pPr>
        <w:pStyle w:val="P1"/>
        <w:rPr>
          <w:rFonts w:eastAsia="Calibri" w:eastAsiaTheme="minorHAnsi"/>
          <w:b/>
          <w:b/>
        </w:rPr>
      </w:pPr>
      <w:r>
        <w:rPr>
          <w:rFonts w:eastAsia="Calibri" w:eastAsiaTheme="minorHAnsi"/>
          <w:b/>
        </w:rPr>
        <w:t xml:space="preserve">Espace crise : </w:t>
      </w:r>
    </w:p>
    <w:p>
      <w:pPr>
        <w:pStyle w:val="F1"/>
        <w:numPr>
          <w:ilvl w:val="0"/>
          <w:numId w:val="51"/>
        </w:numPr>
        <w:rPr/>
      </w:pPr>
      <w:r>
        <w:rPr/>
        <w:t>Pas de salle de crise dédiée. Seule la salle de réunion, à l’opposé de la salle d’exploitation, peut faire office de salle de crise.</w:t>
      </w:r>
    </w:p>
    <w:p>
      <w:pPr>
        <w:pStyle w:val="P1"/>
        <w:rPr>
          <w:rFonts w:eastAsia="Calibri" w:eastAsiaTheme="minorHAnsi"/>
          <w:b/>
          <w:b/>
        </w:rPr>
      </w:pPr>
      <w:r>
        <w:rPr>
          <w:rFonts w:eastAsia="Calibri" w:eastAsiaTheme="minorHAnsi"/>
          <w:b/>
        </w:rPr>
        <w:t xml:space="preserve">Lieu de vie : </w:t>
      </w:r>
    </w:p>
    <w:p>
      <w:pPr>
        <w:pStyle w:val="F1"/>
        <w:numPr>
          <w:ilvl w:val="0"/>
          <w:numId w:val="51"/>
        </w:numPr>
        <w:rPr/>
      </w:pPr>
      <w:r>
        <w:rPr/>
        <w:t>Pas de vue sur la salle d’exploitation.</w:t>
      </w:r>
    </w:p>
    <w:p>
      <w:pPr>
        <w:pStyle w:val="TEXTE"/>
        <w:rPr/>
      </w:pPr>
      <w:r>
        <w:rPr/>
      </w:r>
    </w:p>
    <w:p>
      <w:pPr>
        <w:pStyle w:val="Normal"/>
        <w:jc w:val="left"/>
        <w:rPr/>
      </w:pPr>
      <w:r>
        <w:rPr/>
      </w:r>
      <w:r>
        <w:br w:type="page"/>
      </w:r>
    </w:p>
    <w:p>
      <w:pPr>
        <w:pStyle w:val="Titre1"/>
        <w:rPr/>
      </w:pPr>
      <w:bookmarkStart w:id="52" w:name="_Toc32334521"/>
      <w:r>
        <w:rPr/>
        <w:t>Description des Dispositions projetées</w:t>
      </w:r>
      <w:bookmarkEnd w:id="52"/>
    </w:p>
    <w:p>
      <w:pPr>
        <w:pStyle w:val="Titre2"/>
        <w:tabs>
          <w:tab w:val="clear" w:pos="0"/>
          <w:tab w:val="clear" w:pos="8789"/>
          <w:tab w:val="left" w:pos="426" w:leader="none"/>
        </w:tabs>
        <w:ind w:left="0" w:hanging="0"/>
        <w:rPr/>
      </w:pPr>
      <w:bookmarkStart w:id="53" w:name="_Toc32334522"/>
      <w:r>
        <w:rPr/>
        <w:t>Descriptif fonctionnel des locaux</w:t>
      </w:r>
      <w:bookmarkEnd w:id="53"/>
    </w:p>
    <w:p>
      <w:pPr>
        <w:pStyle w:val="Titre3"/>
        <w:rPr/>
      </w:pPr>
      <w:bookmarkStart w:id="54" w:name="_Toc32334523"/>
      <w:r>
        <w:rPr/>
        <w:t>Schémas fonctionnels des locaux</w:t>
      </w:r>
      <w:bookmarkEnd w:id="54"/>
    </w:p>
    <w:p>
      <w:pPr>
        <w:pStyle w:val="Normal"/>
        <w:tabs>
          <w:tab w:val="clear" w:pos="708"/>
          <w:tab w:val="right" w:pos="8789" w:leader="underscore"/>
        </w:tabs>
        <w:spacing w:before="200" w:after="240"/>
        <w:rPr/>
      </w:pPr>
      <w:r>
        <w:rPr/>
        <w:t>L’organigramme fonctionnel des locaux et le plan de masse associé, pour chaque situation, d’exploitation (actuelle, provisoire et définitive) font l’objet du présent paragraphe. Le phasage général proposé est le suivant :</w:t>
      </w:r>
    </w:p>
    <w:p>
      <w:pPr>
        <w:pStyle w:val="Normal"/>
        <w:numPr>
          <w:ilvl w:val="0"/>
          <w:numId w:val="19"/>
        </w:numPr>
        <w:tabs>
          <w:tab w:val="clear" w:pos="708"/>
          <w:tab w:val="right" w:pos="8789" w:leader="underscore"/>
        </w:tabs>
        <w:spacing w:before="200" w:after="240"/>
        <w:rPr/>
      </w:pPr>
      <w:r>
        <w:rPr/>
        <w:t>Situation d’exploitation actuelle :</w:t>
      </w:r>
    </w:p>
    <w:p>
      <w:pPr>
        <w:pStyle w:val="Normal"/>
        <w:numPr>
          <w:ilvl w:val="1"/>
          <w:numId w:val="20"/>
        </w:numPr>
        <w:tabs>
          <w:tab w:val="clear" w:pos="708"/>
          <w:tab w:val="right" w:pos="8789" w:leader="underscore"/>
        </w:tabs>
        <w:spacing w:before="120" w:after="120"/>
        <w:ind w:left="1434" w:hanging="357"/>
        <w:rPr>
          <w:lang w:val="fr-CA"/>
        </w:rPr>
      </w:pPr>
      <w:r>
        <w:rPr>
          <w:lang w:val="fr-CA"/>
        </w:rPr>
        <w:t xml:space="preserve">La situation actuelle est représentative des relevés et des constats établis lors du diagnostic à l’automne 2013, </w:t>
      </w:r>
    </w:p>
    <w:p>
      <w:pPr>
        <w:pStyle w:val="Normal"/>
        <w:numPr>
          <w:ilvl w:val="0"/>
          <w:numId w:val="19"/>
        </w:numPr>
        <w:tabs>
          <w:tab w:val="clear" w:pos="708"/>
          <w:tab w:val="right" w:pos="8789" w:leader="underscore"/>
        </w:tabs>
        <w:spacing w:before="200" w:after="240"/>
        <w:rPr/>
      </w:pPr>
      <w:r>
        <w:rPr/>
        <w:t>Situation d’exploitation provisoire :</w:t>
      </w:r>
    </w:p>
    <w:p>
      <w:pPr>
        <w:pStyle w:val="Normal"/>
        <w:numPr>
          <w:ilvl w:val="1"/>
          <w:numId w:val="20"/>
        </w:numPr>
        <w:tabs>
          <w:tab w:val="clear" w:pos="708"/>
          <w:tab w:val="right" w:pos="8789" w:leader="underscore"/>
        </w:tabs>
        <w:spacing w:before="120" w:after="120"/>
        <w:ind w:left="1434" w:hanging="357"/>
        <w:rPr>
          <w:lang w:val="fr-CA"/>
        </w:rPr>
      </w:pPr>
      <w:r>
        <w:rPr>
          <w:lang w:val="fr-CA"/>
        </w:rPr>
        <w:t>Phase 1 : Cette phase consiste à créer une salle d’exploitation provisoire disposant de l’ensemble des infrastructures nécessaires à son fonctionnement (réseaux électriques et informatiques, liaisons par câbles, etc.). Il est à noter le mobilier provisoires, le matériel de climatisation ainsi que les équipements du mur d’image ne sont pas à fournir dans le cadre du présent projet ; le matériel sera mis à disposition par la DiRIF,</w:t>
      </w:r>
    </w:p>
    <w:p>
      <w:pPr>
        <w:pStyle w:val="Normal"/>
        <w:numPr>
          <w:ilvl w:val="1"/>
          <w:numId w:val="20"/>
        </w:numPr>
        <w:tabs>
          <w:tab w:val="clear" w:pos="708"/>
          <w:tab w:val="right" w:pos="8789" w:leader="underscore"/>
        </w:tabs>
        <w:spacing w:before="120" w:after="120"/>
        <w:ind w:left="1434" w:hanging="357"/>
        <w:rPr>
          <w:lang w:val="fr-CA"/>
        </w:rPr>
      </w:pPr>
      <w:r>
        <w:rPr>
          <w:lang w:val="fr-CA"/>
        </w:rPr>
        <w:t>Phase 2 : Après vérification du bon fonctionnement des infrastructures décrites dans la phase précédente, cette phase consiste à déménager chacun des systèmes, selon les méthodes proposées au chapitre 5 du présent document,</w:t>
      </w:r>
    </w:p>
    <w:p>
      <w:pPr>
        <w:pStyle w:val="P2"/>
        <w:numPr>
          <w:ilvl w:val="1"/>
          <w:numId w:val="19"/>
        </w:numPr>
        <w:spacing w:before="120" w:after="120"/>
        <w:ind w:left="1434" w:hanging="357"/>
        <w:rPr>
          <w:lang w:val="fr-CA"/>
        </w:rPr>
      </w:pPr>
      <w:r>
        <w:rPr>
          <w:lang w:val="fr-CA"/>
        </w:rPr>
        <w:t>Phase 3 : Cette phase consiste à aménager la salle d’exploitation définitive (mobiliers, éclairage, infrastructures réseau, énergie, etc.) et l’ensemble des locaux du 1er niveau du bâtiment, tout en conservant le fonctionnement optimum des sanitaires et de la cuisine,</w:t>
      </w:r>
    </w:p>
    <w:p>
      <w:pPr>
        <w:pStyle w:val="P1"/>
        <w:numPr>
          <w:ilvl w:val="0"/>
          <w:numId w:val="20"/>
        </w:numPr>
        <w:rPr/>
      </w:pPr>
      <w:r>
        <w:rPr/>
        <w:t>Situation d’exploitation définitive :</w:t>
      </w:r>
    </w:p>
    <w:p>
      <w:pPr>
        <w:pStyle w:val="Normal"/>
        <w:numPr>
          <w:ilvl w:val="1"/>
          <w:numId w:val="20"/>
        </w:numPr>
        <w:tabs>
          <w:tab w:val="clear" w:pos="708"/>
          <w:tab w:val="right" w:pos="8789" w:leader="underscore"/>
        </w:tabs>
        <w:spacing w:before="120" w:after="120"/>
        <w:ind w:left="1434" w:hanging="357"/>
        <w:rPr>
          <w:lang w:val="fr-CA"/>
        </w:rPr>
      </w:pPr>
      <w:r>
        <w:rPr>
          <w:lang w:val="fr-CA"/>
        </w:rPr>
        <w:t>Phase 4 : </w:t>
      </w:r>
      <w:r>
        <w:rPr/>
        <w:t>Après achèvement des travaux de la salle d’exploitation définitive et vérifications que l’ensemble des infrastructures est opérationnel, cette phase consiste à déménager les personnels et chacun des systèmes</w:t>
      </w:r>
      <w:r>
        <w:rPr>
          <w:lang w:val="fr-CA"/>
        </w:rPr>
        <w:t>.</w:t>
      </w:r>
    </w:p>
    <w:p>
      <w:pPr>
        <w:pStyle w:val="Normal"/>
        <w:tabs>
          <w:tab w:val="clear" w:pos="708"/>
          <w:tab w:val="right" w:pos="8789" w:leader="underscore"/>
        </w:tabs>
        <w:spacing w:before="200" w:after="240"/>
        <w:rPr/>
      </w:pPr>
      <w:r>
        <w:rPr/>
        <w:t>Ces schémas fonctionnels et les plans de masse permettent de visualiser la situation des locaux et la bonne adéquation par rapport à leur fonction (ou tout du moins une situation acceptable s’agissant de la phase provisoire).</w:t>
      </w:r>
    </w:p>
    <w:p>
      <w:pPr>
        <w:pStyle w:val="TEXTE"/>
        <w:rPr/>
      </w:pPr>
      <w:r>
        <w:rPr/>
        <w:t>Les dispositions détaillées du phasage des travaux sont décrites dans la suite du document et précisées par le calendrier de réalisation joint en annexe.</w:t>
      </w:r>
    </w:p>
    <w:p>
      <w:pPr>
        <w:pStyle w:val="Titre3"/>
        <w:rPr/>
      </w:pPr>
      <w:bookmarkStart w:id="55" w:name="_Toc32334524"/>
      <w:r>
        <w:rPr/>
        <w:t>Situation d’exploitation actuelle</w:t>
      </w:r>
      <w:bookmarkEnd w:id="55"/>
    </w:p>
    <w:p>
      <w:pPr>
        <w:pStyle w:val="TEXTE"/>
        <w:rPr/>
      </w:pPr>
      <w:r>
        <w:rPr/>
        <w:t>Dans l’état actuel Il n’existe pas de salle de crise dédiée, la salle de réunion située à l’opposé du bâtiment fait office de salle de crise. Cette disposition ne permet pas d’avoir une liaison visuelle directe vers la salle d’exploitation.</w:t>
      </w:r>
    </w:p>
    <w:p>
      <w:pPr>
        <w:pStyle w:val="TEXTE"/>
        <w:rPr/>
      </w:pPr>
      <w:r>
        <w:rPr/>
        <w:t>L’organigramme fonctionnel ci-dessous schématise l’état des locaux vis-à-vis de la salle d’exploitation</w:t>
      </w:r>
    </w:p>
    <w:p>
      <w:pPr>
        <w:pStyle w:val="Corpsdetexte"/>
        <w:jc w:val="center"/>
        <w:rPr/>
      </w:pPr>
      <w:r>
        <w:rPr/>
        <w:drawing>
          <wp:inline distT="0" distB="0" distL="0" distR="0">
            <wp:extent cx="4486910" cy="2999105"/>
            <wp:effectExtent l="0" t="0" r="0" b="0"/>
            <wp:docPr id="6" name="Image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23" descr=""/>
                    <pic:cNvPicPr>
                      <a:picLocks noChangeAspect="1" noChangeArrowheads="1"/>
                    </pic:cNvPicPr>
                  </pic:nvPicPr>
                  <pic:blipFill>
                    <a:blip r:embed="rId8"/>
                    <a:stretch>
                      <a:fillRect/>
                    </a:stretch>
                  </pic:blipFill>
                  <pic:spPr bwMode="auto">
                    <a:xfrm>
                      <a:off x="0" y="0"/>
                      <a:ext cx="4486910" cy="2999105"/>
                    </a:xfrm>
                    <a:prstGeom prst="rect">
                      <a:avLst/>
                    </a:prstGeom>
                  </pic:spPr>
                </pic:pic>
              </a:graphicData>
            </a:graphic>
          </wp:inline>
        </w:drawing>
      </w:r>
    </w:p>
    <w:p>
      <w:pPr>
        <w:pStyle w:val="TFIG"/>
        <w:numPr>
          <w:ilvl w:val="0"/>
          <w:numId w:val="4"/>
        </w:numPr>
        <w:ind w:left="0" w:hanging="0"/>
        <w:rPr/>
      </w:pPr>
      <w:bookmarkStart w:id="56" w:name="_Toc32334958"/>
      <w:bookmarkStart w:id="57" w:name="_Toc396398420"/>
      <w:bookmarkStart w:id="58" w:name="_Toc374609813"/>
      <w:r>
        <w:rPr/>
        <w:t xml:space="preserve">Schéma fonctionnel </w:t>
      </w:r>
      <w:bookmarkEnd w:id="58"/>
      <w:r>
        <w:rPr/>
        <w:t>en situation d’exploitation actuelle</w:t>
      </w:r>
      <w:bookmarkEnd w:id="56"/>
      <w:bookmarkEnd w:id="57"/>
    </w:p>
    <w:p>
      <w:pPr>
        <w:pStyle w:val="TEXTE"/>
        <w:rPr/>
      </w:pPr>
      <w:r>
        <w:rPr/>
        <w:t>Le code couleur des différents locaux du schéma fonctionnel ci-dessus est repris sur le plan masse ci-dessous :</w:t>
      </w:r>
    </w:p>
    <w:p>
      <w:pPr>
        <w:pStyle w:val="Corpsdetexte"/>
        <w:rPr>
          <w:color w:val="FF0000"/>
        </w:rPr>
      </w:pPr>
      <w:r>
        <w:rPr/>
        <w:object>
          <v:shapetype id="_x0000_tole_rId9" coordsize="21600,21600" o:spt="ole_rId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 type="_x0000_tole_rId9" style="width:446.6pt;height:252pt;mso-wrap-distance-right:0pt" filled="f" o:ole="">
            <v:imagedata r:id="rId10" o:title=""/>
          </v:shape>
          <o:OLEObject Type="Embed" ProgID="DWGTrueView.Drawing.18" ShapeID="ole_rId9" DrawAspect="Content" ObjectID="_1254576827" r:id="rId9"/>
        </w:object>
      </w:r>
    </w:p>
    <w:p>
      <w:pPr>
        <w:pStyle w:val="TFIG"/>
        <w:numPr>
          <w:ilvl w:val="0"/>
          <w:numId w:val="4"/>
        </w:numPr>
        <w:ind w:left="6096" w:hanging="6096"/>
        <w:rPr/>
      </w:pPr>
      <w:bookmarkStart w:id="59" w:name="_Toc32334959"/>
      <w:bookmarkStart w:id="60" w:name="_Toc396398421"/>
      <w:bookmarkStart w:id="61" w:name="_Toc394569114"/>
      <w:bookmarkStart w:id="62" w:name="_Toc384826698"/>
      <w:r>
        <w:rPr/>
        <w:t>Plan de masse en situation d’exploitation actuelle</w:t>
      </w:r>
      <w:bookmarkEnd w:id="59"/>
      <w:bookmarkEnd w:id="60"/>
      <w:bookmarkEnd w:id="61"/>
      <w:bookmarkEnd w:id="62"/>
    </w:p>
    <w:p>
      <w:pPr>
        <w:pStyle w:val="Titre3"/>
        <w:rPr/>
      </w:pPr>
      <w:bookmarkStart w:id="63" w:name="_Toc32334525"/>
      <w:r>
        <w:rPr/>
        <w:t>Situation d’exploitation provisoire</w:t>
      </w:r>
      <w:bookmarkEnd w:id="63"/>
    </w:p>
    <w:p>
      <w:pPr>
        <w:pStyle w:val="TEXTE"/>
        <w:rPr/>
      </w:pPr>
      <w:r>
        <w:rPr/>
        <w:t>La situation temporaire de l’exploitation ne sera pas dégradée par les travaux, une salle d’exploitation provisoire sera aménagée dans l’actuel hall d’accueil.</w:t>
      </w:r>
    </w:p>
    <w:p>
      <w:pPr>
        <w:pStyle w:val="TEXTE"/>
        <w:rPr/>
      </w:pPr>
      <w:r>
        <w:rPr/>
        <w:t>Durant cette phase la zone des casiers et l’espace de vie seront conservés en lieu et place des implantations actuelles.</w:t>
      </w:r>
    </w:p>
    <w:p>
      <w:pPr>
        <w:pStyle w:val="TEXTE"/>
        <w:rPr/>
      </w:pPr>
      <w:r>
        <w:rPr/>
        <w:t>Le personnel du pupitre continuera d’utiliser les sanitaires dédiés autant coté exploitant que coté forces de l’ordre.</w:t>
      </w:r>
    </w:p>
    <w:p>
      <w:pPr>
        <w:pStyle w:val="TEXTE"/>
        <w:rPr/>
      </w:pPr>
      <w:r>
        <w:rPr/>
        <w:t>L’organigramme fonctionnel ci-dessous schématise l’état des locaux vis-à-vis de la salle d’exploitation</w:t>
      </w:r>
    </w:p>
    <w:p>
      <w:pPr>
        <w:pStyle w:val="Corpsdetexte"/>
        <w:jc w:val="center"/>
        <w:rPr>
          <w:color w:val="FF0000"/>
        </w:rPr>
      </w:pPr>
      <w:r>
        <w:rPr/>
        <w:drawing>
          <wp:inline distT="0" distB="0" distL="0" distR="0">
            <wp:extent cx="4529455" cy="3027045"/>
            <wp:effectExtent l="0" t="0" r="0" b="0"/>
            <wp:docPr id="7" name="Image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28" descr=""/>
                    <pic:cNvPicPr>
                      <a:picLocks noChangeAspect="1" noChangeArrowheads="1"/>
                    </pic:cNvPicPr>
                  </pic:nvPicPr>
                  <pic:blipFill>
                    <a:blip r:embed="rId11"/>
                    <a:stretch>
                      <a:fillRect/>
                    </a:stretch>
                  </pic:blipFill>
                  <pic:spPr bwMode="auto">
                    <a:xfrm>
                      <a:off x="0" y="0"/>
                      <a:ext cx="4529455" cy="3027045"/>
                    </a:xfrm>
                    <a:prstGeom prst="rect">
                      <a:avLst/>
                    </a:prstGeom>
                  </pic:spPr>
                </pic:pic>
              </a:graphicData>
            </a:graphic>
          </wp:inline>
        </w:drawing>
      </w:r>
    </w:p>
    <w:p>
      <w:pPr>
        <w:pStyle w:val="TFIG"/>
        <w:numPr>
          <w:ilvl w:val="0"/>
          <w:numId w:val="4"/>
        </w:numPr>
        <w:ind w:left="0" w:hanging="0"/>
        <w:rPr/>
      </w:pPr>
      <w:bookmarkStart w:id="64" w:name="_Toc32334960"/>
      <w:bookmarkStart w:id="65" w:name="_Toc396398422"/>
      <w:bookmarkStart w:id="66" w:name="_Toc376182090"/>
      <w:r>
        <w:rPr/>
        <w:t>Schéma fonctionnel en situation d’exploitation provisoire</w:t>
      </w:r>
      <w:bookmarkEnd w:id="64"/>
      <w:bookmarkEnd w:id="65"/>
      <w:bookmarkEnd w:id="66"/>
    </w:p>
    <w:p>
      <w:pPr>
        <w:pStyle w:val="TEXTE"/>
        <w:jc w:val="center"/>
        <w:rPr/>
      </w:pPr>
      <w:r>
        <w:rPr/>
        <w:drawing>
          <wp:inline distT="0" distB="0" distL="0" distR="0">
            <wp:extent cx="5572125" cy="3543300"/>
            <wp:effectExtent l="0" t="0" r="0" b="0"/>
            <wp:docPr id="8" name="Image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11" descr=""/>
                    <pic:cNvPicPr>
                      <a:picLocks noChangeAspect="1" noChangeArrowheads="1"/>
                    </pic:cNvPicPr>
                  </pic:nvPicPr>
                  <pic:blipFill>
                    <a:blip r:embed="rId12"/>
                    <a:stretch>
                      <a:fillRect/>
                    </a:stretch>
                  </pic:blipFill>
                  <pic:spPr bwMode="auto">
                    <a:xfrm>
                      <a:off x="0" y="0"/>
                      <a:ext cx="5572125" cy="3543300"/>
                    </a:xfrm>
                    <a:prstGeom prst="rect">
                      <a:avLst/>
                    </a:prstGeom>
                  </pic:spPr>
                </pic:pic>
              </a:graphicData>
            </a:graphic>
          </wp:inline>
        </w:drawing>
      </w:r>
    </w:p>
    <w:p>
      <w:pPr>
        <w:pStyle w:val="TFIG"/>
        <w:numPr>
          <w:ilvl w:val="0"/>
          <w:numId w:val="4"/>
        </w:numPr>
        <w:ind w:left="6096" w:hanging="6096"/>
        <w:rPr/>
      </w:pPr>
      <w:bookmarkStart w:id="67" w:name="_Toc32334961"/>
      <w:bookmarkStart w:id="68" w:name="_Toc396398423"/>
      <w:r>
        <w:rPr/>
        <w:t>Plan de masse du 1</w:t>
      </w:r>
      <w:r>
        <w:rPr>
          <w:vertAlign w:val="superscript"/>
        </w:rPr>
        <w:t>er</w:t>
      </w:r>
      <w:r>
        <w:rPr/>
        <w:t xml:space="preserve"> niveau en situation d’exploitation provisoire</w:t>
      </w:r>
      <w:bookmarkEnd w:id="67"/>
      <w:bookmarkEnd w:id="68"/>
      <w:r>
        <w:rPr/>
        <w:t xml:space="preserve"> </w:t>
      </w:r>
    </w:p>
    <w:p>
      <w:pPr>
        <w:pStyle w:val="Titre3"/>
        <w:rPr/>
      </w:pPr>
      <w:bookmarkStart w:id="69" w:name="_Toc32334526"/>
      <w:r>
        <w:rPr/>
        <w:t>Situation d’exploitation définitive</w:t>
      </w:r>
      <w:bookmarkEnd w:id="69"/>
    </w:p>
    <w:p>
      <w:pPr>
        <w:pStyle w:val="TEXTE"/>
        <w:rPr/>
      </w:pPr>
      <w:r>
        <w:rPr/>
        <w:t>À l’issu des travaux et conformément au programme la salle d’exploitation et des locaux annexes seront réaménagés</w:t>
      </w:r>
    </w:p>
    <w:p>
      <w:pPr>
        <w:pStyle w:val="TEXTE"/>
        <w:rPr/>
      </w:pPr>
      <w:r>
        <w:rPr/>
        <w:t>La salle d’exploitation conservera le mur d’images existant et un pupitre conçu, en respectant les règles d’ergonomies, accueillera l’ensemble des outils de supervision des OST et CRS.</w:t>
      </w:r>
    </w:p>
    <w:p>
      <w:pPr>
        <w:pStyle w:val="TEXTE"/>
        <w:rPr/>
      </w:pPr>
      <w:r>
        <w:rPr/>
        <w:t>La salle de crise attenante à la salle d’exploitation sera créée et équipée de parois vitrées permettant une visualisation complète de la salle de supervision et du mur d’image.</w:t>
      </w:r>
    </w:p>
    <w:p>
      <w:pPr>
        <w:pStyle w:val="TEXTE"/>
        <w:rPr/>
      </w:pPr>
      <w:r>
        <w:rPr/>
        <w:t>L’organigramme fonctionnel ci-dessous schématise l’état des locaux vis-à-vis de la salle d’exploitation.</w:t>
      </w:r>
    </w:p>
    <w:p>
      <w:pPr>
        <w:pStyle w:val="TEXTE"/>
        <w:jc w:val="center"/>
        <w:rPr/>
      </w:pPr>
      <w:r>
        <w:rPr/>
        <w:drawing>
          <wp:inline distT="0" distB="0" distL="0" distR="0">
            <wp:extent cx="4561205" cy="3048635"/>
            <wp:effectExtent l="0" t="0" r="0" b="0"/>
            <wp:docPr id="9" name="Image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26" descr=""/>
                    <pic:cNvPicPr>
                      <a:picLocks noChangeAspect="1" noChangeArrowheads="1"/>
                    </pic:cNvPicPr>
                  </pic:nvPicPr>
                  <pic:blipFill>
                    <a:blip r:embed="rId13"/>
                    <a:stretch>
                      <a:fillRect/>
                    </a:stretch>
                  </pic:blipFill>
                  <pic:spPr bwMode="auto">
                    <a:xfrm>
                      <a:off x="0" y="0"/>
                      <a:ext cx="4561205" cy="3048635"/>
                    </a:xfrm>
                    <a:prstGeom prst="rect">
                      <a:avLst/>
                    </a:prstGeom>
                  </pic:spPr>
                </pic:pic>
              </a:graphicData>
            </a:graphic>
          </wp:inline>
        </w:drawing>
      </w:r>
    </w:p>
    <w:p>
      <w:pPr>
        <w:pStyle w:val="TFIG"/>
        <w:numPr>
          <w:ilvl w:val="0"/>
          <w:numId w:val="4"/>
        </w:numPr>
        <w:ind w:left="0" w:hanging="0"/>
        <w:rPr/>
      </w:pPr>
      <w:bookmarkStart w:id="70" w:name="_Toc32334962"/>
      <w:bookmarkStart w:id="71" w:name="_Toc396398424"/>
      <w:bookmarkStart w:id="72" w:name="_Toc374609817"/>
      <w:r>
        <w:rPr/>
        <w:t xml:space="preserve">Schéma fonctionnel </w:t>
      </w:r>
      <w:bookmarkEnd w:id="72"/>
      <w:r>
        <w:rPr/>
        <w:t>d’exploitation définitive</w:t>
      </w:r>
      <w:bookmarkEnd w:id="70"/>
      <w:bookmarkEnd w:id="71"/>
    </w:p>
    <w:p>
      <w:pPr>
        <w:pStyle w:val="TEXTE"/>
        <w:rPr/>
      </w:pPr>
      <w:r>
        <w:rPr/>
        <w:t>Le code couleur des différents locaux du schéma fonctionnel ci-dessus est repris sur le plan masse ci-dessous</w:t>
      </w:r>
    </w:p>
    <w:p>
      <w:pPr>
        <w:pStyle w:val="Corpsdetexte"/>
        <w:jc w:val="center"/>
        <w:rPr>
          <w:color w:val="FF0000"/>
        </w:rPr>
      </w:pPr>
      <w:r>
        <w:rPr/>
        <w:drawing>
          <wp:inline distT="0" distB="0" distL="0" distR="0">
            <wp:extent cx="5572125" cy="3086100"/>
            <wp:effectExtent l="0" t="0" r="0" b="0"/>
            <wp:docPr id="10" name="Image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4" descr=""/>
                    <pic:cNvPicPr>
                      <a:picLocks noChangeAspect="1" noChangeArrowheads="1"/>
                    </pic:cNvPicPr>
                  </pic:nvPicPr>
                  <pic:blipFill>
                    <a:blip r:embed="rId14"/>
                    <a:stretch>
                      <a:fillRect/>
                    </a:stretch>
                  </pic:blipFill>
                  <pic:spPr bwMode="auto">
                    <a:xfrm>
                      <a:off x="0" y="0"/>
                      <a:ext cx="5572125" cy="3086100"/>
                    </a:xfrm>
                    <a:prstGeom prst="rect">
                      <a:avLst/>
                    </a:prstGeom>
                  </pic:spPr>
                </pic:pic>
              </a:graphicData>
            </a:graphic>
          </wp:inline>
        </w:drawing>
      </w:r>
    </w:p>
    <w:p>
      <w:pPr>
        <w:pStyle w:val="TFIG"/>
        <w:numPr>
          <w:ilvl w:val="0"/>
          <w:numId w:val="4"/>
        </w:numPr>
        <w:tabs>
          <w:tab w:val="left" w:pos="0" w:leader="none"/>
          <w:tab w:val="left" w:pos="709" w:leader="none"/>
          <w:tab w:val="left" w:pos="851" w:leader="none"/>
        </w:tabs>
        <w:ind w:left="0" w:hanging="0"/>
        <w:rPr/>
      </w:pPr>
      <w:bookmarkStart w:id="73" w:name="_Toc32334963"/>
      <w:bookmarkStart w:id="74" w:name="_Toc396398425"/>
      <w:bookmarkStart w:id="75" w:name="_Toc394569118"/>
      <w:bookmarkStart w:id="76" w:name="_Toc384826702"/>
      <w:r>
        <w:rPr/>
        <w:t>Plan de masse en situation d’exploitation définitive</w:t>
      </w:r>
      <w:bookmarkEnd w:id="73"/>
      <w:bookmarkEnd w:id="74"/>
      <w:bookmarkEnd w:id="75"/>
      <w:bookmarkEnd w:id="76"/>
    </w:p>
    <w:p>
      <w:pPr>
        <w:pStyle w:val="Titre2"/>
        <w:tabs>
          <w:tab w:val="clear" w:pos="0"/>
          <w:tab w:val="clear" w:pos="8789"/>
          <w:tab w:val="left" w:pos="426" w:leader="none"/>
        </w:tabs>
        <w:ind w:left="0" w:hanging="0"/>
        <w:rPr/>
      </w:pPr>
      <w:bookmarkStart w:id="77" w:name="_Toc32334527"/>
      <w:r>
        <w:rPr/>
        <w:t>Bilan des surfaces</w:t>
      </w:r>
      <w:bookmarkEnd w:id="77"/>
    </w:p>
    <w:p>
      <w:pPr>
        <w:pStyle w:val="TEXTE"/>
        <w:rPr/>
      </w:pPr>
      <w:r>
        <w:rPr/>
        <w:t>Le tableau récapitulatif des surfaces ci-après permet de juger en fonction de chaque situation (actuelle, provisoire et définitive), de la cohérence et du maintien d’une exploitation correcte pour chaque local et sa fonction dédié.</w:t>
      </w:r>
    </w:p>
    <w:p>
      <w:pPr>
        <w:pStyle w:val="Corpsdetexte"/>
        <w:jc w:val="center"/>
        <w:rPr>
          <w:b/>
          <w:b/>
        </w:rPr>
      </w:pPr>
      <w:r>
        <w:rPr>
          <w:b/>
        </w:rPr>
        <w:t>Tableau de synthèse du bilan des surfaces</w:t>
      </w:r>
    </w:p>
    <w:tbl>
      <w:tblPr>
        <w:tblStyle w:val="Grilledutableau"/>
        <w:tblW w:w="8845" w:type="dxa"/>
        <w:jc w:val="left"/>
        <w:tblInd w:w="0" w:type="dxa"/>
        <w:tblLayout w:type="fixed"/>
        <w:tblCellMar>
          <w:top w:w="0" w:type="dxa"/>
          <w:left w:w="57" w:type="dxa"/>
          <w:bottom w:w="0" w:type="dxa"/>
          <w:right w:w="57" w:type="dxa"/>
        </w:tblCellMar>
        <w:tblLook w:firstRow="1" w:noVBand="1" w:lastRow="0" w:firstColumn="1" w:lastColumn="0" w:noHBand="0" w:val="04a0"/>
      </w:tblPr>
      <w:tblGrid>
        <w:gridCol w:w="1700"/>
        <w:gridCol w:w="1561"/>
        <w:gridCol w:w="1701"/>
        <w:gridCol w:w="1276"/>
        <w:gridCol w:w="906"/>
        <w:gridCol w:w="850"/>
        <w:gridCol w:w="850"/>
      </w:tblGrid>
      <w:tr>
        <w:trPr>
          <w:cnfStyle w:val="100000000000" w:firstRow="1" w:lastRow="0" w:firstColumn="0" w:lastColumn="0" w:oddVBand="0" w:evenVBand="0" w:oddHBand="0" w:evenHBand="0" w:firstRowFirstColumn="0" w:firstRowLastColumn="0" w:lastRowFirstColumn="0" w:lastRowLastColumn="0"/>
        </w:trPr>
        <w:tc>
          <w:tcPr>
            <w:tcW w:w="1700" w:type="dxa"/>
            <w:tcBorders>
              <w:top w:val="single" w:sz="4" w:space="0" w:color="000000"/>
              <w:bottom w:val="single" w:sz="4" w:space="0" w:color="000000"/>
            </w:tcBorders>
            <w:shd w:color="auto" w:fill="D9D9D9" w:val="clear"/>
            <w:vAlign w:val="center"/>
          </w:tcPr>
          <w:p>
            <w:pPr>
              <w:pStyle w:val="TEXTE"/>
              <w:widowControl/>
              <w:spacing w:before="200" w:after="240"/>
              <w:jc w:val="center"/>
              <w:rPr>
                <w:b/>
                <w:b/>
              </w:rPr>
            </w:pPr>
            <w:r>
              <w:rPr>
                <w:rFonts w:eastAsia="Times New Roman" w:cs="Times New Roman"/>
                <w:b/>
                <w:kern w:val="0"/>
                <w:sz w:val="20"/>
                <w:szCs w:val="20"/>
                <w:lang w:val="fr-FR" w:eastAsia="fr-FR" w:bidi="ar-SA"/>
              </w:rPr>
              <w:t>Local - fonction</w:t>
            </w:r>
          </w:p>
        </w:tc>
        <w:tc>
          <w:tcPr>
            <w:tcW w:w="1561" w:type="dxa"/>
            <w:tcBorders>
              <w:top w:val="single" w:sz="4" w:space="0" w:color="000000"/>
              <w:bottom w:val="single" w:sz="4" w:space="0" w:color="000000"/>
            </w:tcBorders>
            <w:shd w:color="auto" w:fill="D9D9D9" w:val="clear"/>
            <w:vAlign w:val="center"/>
          </w:tcPr>
          <w:p>
            <w:pPr>
              <w:pStyle w:val="TEXTE"/>
              <w:widowControl/>
              <w:spacing w:before="200" w:after="240"/>
              <w:jc w:val="center"/>
              <w:rPr>
                <w:b/>
                <w:b/>
              </w:rPr>
            </w:pPr>
            <w:r>
              <w:rPr>
                <w:rFonts w:eastAsia="Times New Roman" w:cs="Times New Roman"/>
                <w:b/>
                <w:kern w:val="0"/>
                <w:sz w:val="20"/>
                <w:szCs w:val="20"/>
                <w:lang w:val="fr-FR" w:eastAsia="fr-FR" w:bidi="ar-SA"/>
              </w:rPr>
              <w:t>Actuel</w:t>
            </w:r>
          </w:p>
        </w:tc>
        <w:tc>
          <w:tcPr>
            <w:tcW w:w="1701" w:type="dxa"/>
            <w:tcBorders>
              <w:top w:val="single" w:sz="4" w:space="0" w:color="000000"/>
              <w:bottom w:val="single" w:sz="4" w:space="0" w:color="000000"/>
            </w:tcBorders>
            <w:shd w:color="auto" w:fill="D9D9D9" w:val="clear"/>
            <w:vAlign w:val="center"/>
          </w:tcPr>
          <w:p>
            <w:pPr>
              <w:pStyle w:val="TEXTE"/>
              <w:widowControl/>
              <w:spacing w:before="200" w:after="240"/>
              <w:jc w:val="center"/>
              <w:rPr>
                <w:b/>
                <w:b/>
              </w:rPr>
            </w:pPr>
            <w:r>
              <w:rPr>
                <w:rFonts w:eastAsia="Times New Roman" w:cs="Times New Roman"/>
                <w:b/>
                <w:kern w:val="0"/>
                <w:sz w:val="20"/>
                <w:szCs w:val="20"/>
                <w:lang w:val="fr-FR" w:eastAsia="fr-FR" w:bidi="ar-SA"/>
              </w:rPr>
              <w:t>Intermédiaire</w:t>
            </w:r>
          </w:p>
        </w:tc>
        <w:tc>
          <w:tcPr>
            <w:tcW w:w="1276" w:type="dxa"/>
            <w:tcBorders>
              <w:top w:val="single" w:sz="4" w:space="0" w:color="000000"/>
              <w:bottom w:val="single" w:sz="4" w:space="0" w:color="000000"/>
            </w:tcBorders>
            <w:shd w:color="auto" w:fill="D9D9D9" w:val="clear"/>
            <w:vAlign w:val="center"/>
          </w:tcPr>
          <w:p>
            <w:pPr>
              <w:pStyle w:val="TEXTE"/>
              <w:widowControl/>
              <w:spacing w:before="200" w:after="240"/>
              <w:jc w:val="center"/>
              <w:rPr>
                <w:b/>
                <w:b/>
              </w:rPr>
            </w:pPr>
            <w:r>
              <w:rPr>
                <w:rFonts w:eastAsia="Times New Roman" w:cs="Times New Roman"/>
                <w:b/>
                <w:kern w:val="0"/>
                <w:sz w:val="20"/>
                <w:szCs w:val="20"/>
                <w:lang w:val="fr-FR" w:eastAsia="fr-FR" w:bidi="ar-SA"/>
              </w:rPr>
              <w:t>Programme</w:t>
            </w:r>
          </w:p>
        </w:tc>
        <w:tc>
          <w:tcPr>
            <w:tcW w:w="906" w:type="dxa"/>
            <w:tcBorders>
              <w:top w:val="single" w:sz="4" w:space="0" w:color="000000"/>
              <w:bottom w:val="single" w:sz="4" w:space="0" w:color="000000"/>
            </w:tcBorders>
            <w:shd w:color="auto" w:fill="D9D9D9" w:val="clear"/>
            <w:vAlign w:val="center"/>
          </w:tcPr>
          <w:p>
            <w:pPr>
              <w:pStyle w:val="TEXTE"/>
              <w:widowControl/>
              <w:spacing w:before="200" w:after="240"/>
              <w:jc w:val="center"/>
              <w:rPr>
                <w:b/>
                <w:b/>
              </w:rPr>
            </w:pPr>
            <w:r>
              <w:rPr>
                <w:rFonts w:eastAsia="Times New Roman" w:cs="Times New Roman"/>
                <w:b/>
                <w:kern w:val="0"/>
                <w:sz w:val="20"/>
                <w:szCs w:val="20"/>
                <w:lang w:val="fr-FR" w:eastAsia="fr-FR" w:bidi="ar-SA"/>
              </w:rPr>
              <w:t>APS</w:t>
            </w:r>
          </w:p>
        </w:tc>
        <w:tc>
          <w:tcPr>
            <w:tcW w:w="850" w:type="dxa"/>
            <w:tcBorders>
              <w:top w:val="single" w:sz="4" w:space="0" w:color="000000"/>
              <w:bottom w:val="single" w:sz="4" w:space="0" w:color="000000"/>
            </w:tcBorders>
            <w:shd w:color="auto" w:fill="D9D9D9" w:val="clear"/>
            <w:vAlign w:val="center"/>
          </w:tcPr>
          <w:p>
            <w:pPr>
              <w:pStyle w:val="TEXTE"/>
              <w:widowControl/>
              <w:spacing w:before="200" w:after="240"/>
              <w:jc w:val="center"/>
              <w:rPr>
                <w:b/>
                <w:b/>
              </w:rPr>
            </w:pPr>
            <w:r>
              <w:rPr>
                <w:rFonts w:eastAsia="Times New Roman" w:cs="Times New Roman"/>
                <w:b/>
                <w:kern w:val="0"/>
                <w:sz w:val="20"/>
                <w:szCs w:val="20"/>
                <w:lang w:val="fr-FR" w:eastAsia="fr-FR" w:bidi="ar-SA"/>
              </w:rPr>
              <w:t>APD</w:t>
            </w:r>
          </w:p>
        </w:tc>
        <w:tc>
          <w:tcPr>
            <w:tcW w:w="850" w:type="dxa"/>
            <w:tcBorders>
              <w:top w:val="single" w:sz="4" w:space="0" w:color="000000"/>
              <w:bottom w:val="single" w:sz="4" w:space="0" w:color="000000"/>
            </w:tcBorders>
            <w:shd w:color="auto" w:fill="D9D9D9" w:val="clear"/>
            <w:vAlign w:val="center"/>
          </w:tcPr>
          <w:p>
            <w:pPr>
              <w:pStyle w:val="TEXTE"/>
              <w:widowControl/>
              <w:spacing w:before="200" w:after="240"/>
              <w:jc w:val="center"/>
              <w:rPr>
                <w:b/>
                <w:b/>
              </w:rPr>
            </w:pPr>
            <w:r>
              <w:rPr>
                <w:rFonts w:eastAsia="Times New Roman" w:cs="Times New Roman"/>
                <w:b/>
                <w:kern w:val="0"/>
                <w:sz w:val="20"/>
                <w:szCs w:val="20"/>
                <w:lang w:val="fr-FR" w:eastAsia="fr-FR" w:bidi="ar-SA"/>
              </w:rPr>
              <w:t>PRO</w:t>
            </w:r>
          </w:p>
        </w:tc>
      </w:tr>
      <w:tr>
        <w:trPr>
          <w:trHeight w:val="340" w:hRule="atLeast"/>
        </w:trPr>
        <w:tc>
          <w:tcPr>
            <w:tcW w:w="170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Salle d’exploitation</w:t>
            </w:r>
          </w:p>
        </w:tc>
        <w:tc>
          <w:tcPr>
            <w:tcW w:w="156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149m²</w:t>
            </w:r>
          </w:p>
        </w:tc>
        <w:tc>
          <w:tcPr>
            <w:tcW w:w="170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47m²(située dans le hall d’accueil)</w:t>
            </w:r>
          </w:p>
        </w:tc>
        <w:tc>
          <w:tcPr>
            <w:tcW w:w="127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131m²</w:t>
            </w:r>
          </w:p>
        </w:tc>
        <w:tc>
          <w:tcPr>
            <w:tcW w:w="90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141,4m²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141,4m²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141,4m²</w:t>
            </w:r>
          </w:p>
        </w:tc>
      </w:tr>
      <w:tr>
        <w:trPr>
          <w:trHeight w:val="1001" w:hRule="atLeast"/>
        </w:trPr>
        <w:tc>
          <w:tcPr>
            <w:tcW w:w="170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Espace de crise</w:t>
            </w:r>
          </w:p>
        </w:tc>
        <w:tc>
          <w:tcPr>
            <w:tcW w:w="156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Inexistant</w:t>
            </w:r>
          </w:p>
        </w:tc>
        <w:tc>
          <w:tcPr>
            <w:tcW w:w="170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Inexistant</w:t>
            </w:r>
          </w:p>
        </w:tc>
        <w:tc>
          <w:tcPr>
            <w:tcW w:w="127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18m²</w:t>
            </w:r>
          </w:p>
        </w:tc>
        <w:tc>
          <w:tcPr>
            <w:tcW w:w="90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18m²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18m²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18m²</w:t>
            </w:r>
          </w:p>
        </w:tc>
      </w:tr>
      <w:tr>
        <w:trPr>
          <w:trHeight w:val="1003" w:hRule="atLeast"/>
        </w:trPr>
        <w:tc>
          <w:tcPr>
            <w:tcW w:w="170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Zone des casiers</w:t>
            </w:r>
          </w:p>
        </w:tc>
        <w:tc>
          <w:tcPr>
            <w:tcW w:w="156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13,83m²</w:t>
            </w:r>
          </w:p>
        </w:tc>
        <w:tc>
          <w:tcPr>
            <w:tcW w:w="170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13,83m²</w:t>
            </w:r>
          </w:p>
        </w:tc>
        <w:tc>
          <w:tcPr>
            <w:tcW w:w="127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20m²</w:t>
            </w:r>
          </w:p>
        </w:tc>
        <w:tc>
          <w:tcPr>
            <w:tcW w:w="90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13,8m²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13,8m²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13,8m²</w:t>
            </w:r>
          </w:p>
        </w:tc>
      </w:tr>
      <w:tr>
        <w:trPr/>
        <w:tc>
          <w:tcPr>
            <w:tcW w:w="170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sanitaires</w:t>
            </w:r>
          </w:p>
        </w:tc>
        <w:tc>
          <w:tcPr>
            <w:tcW w:w="156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6,3m²</w:t>
            </w:r>
          </w:p>
        </w:tc>
        <w:tc>
          <w:tcPr>
            <w:tcW w:w="170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6,3m²</w:t>
            </w:r>
          </w:p>
        </w:tc>
        <w:tc>
          <w:tcPr>
            <w:tcW w:w="127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9m²</w:t>
            </w:r>
          </w:p>
        </w:tc>
        <w:tc>
          <w:tcPr>
            <w:tcW w:w="90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6,3m²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6,3m²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6,3m²</w:t>
            </w:r>
          </w:p>
        </w:tc>
      </w:tr>
      <w:tr>
        <w:trPr/>
        <w:tc>
          <w:tcPr>
            <w:tcW w:w="170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Lieu de vie</w:t>
            </w:r>
          </w:p>
        </w:tc>
        <w:tc>
          <w:tcPr>
            <w:tcW w:w="156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21,42m²</w:t>
            </w:r>
          </w:p>
        </w:tc>
        <w:tc>
          <w:tcPr>
            <w:tcW w:w="170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21,42m²</w:t>
            </w:r>
          </w:p>
        </w:tc>
        <w:tc>
          <w:tcPr>
            <w:tcW w:w="127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21m²</w:t>
            </w:r>
          </w:p>
        </w:tc>
        <w:tc>
          <w:tcPr>
            <w:tcW w:w="90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21,4m²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21,4m²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21,4m²</w:t>
            </w:r>
          </w:p>
        </w:tc>
      </w:tr>
      <w:tr>
        <w:trPr/>
        <w:tc>
          <w:tcPr>
            <w:tcW w:w="170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Local reproduction</w:t>
            </w:r>
          </w:p>
        </w:tc>
        <w:tc>
          <w:tcPr>
            <w:tcW w:w="156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Inexistant</w:t>
            </w:r>
          </w:p>
        </w:tc>
        <w:tc>
          <w:tcPr>
            <w:tcW w:w="170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Inexistant</w:t>
            </w:r>
          </w:p>
        </w:tc>
        <w:tc>
          <w:tcPr>
            <w:tcW w:w="127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8m²</w:t>
            </w:r>
          </w:p>
        </w:tc>
        <w:tc>
          <w:tcPr>
            <w:tcW w:w="90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4,8m²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4,8m²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4,8m²</w:t>
            </w:r>
          </w:p>
        </w:tc>
      </w:tr>
      <w:tr>
        <w:trPr/>
        <w:tc>
          <w:tcPr>
            <w:tcW w:w="170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Local technique</w:t>
            </w:r>
          </w:p>
        </w:tc>
        <w:tc>
          <w:tcPr>
            <w:tcW w:w="156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9m²</w:t>
            </w:r>
          </w:p>
        </w:tc>
        <w:tc>
          <w:tcPr>
            <w:tcW w:w="1701"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9m²</w:t>
            </w:r>
          </w:p>
        </w:tc>
        <w:tc>
          <w:tcPr>
            <w:tcW w:w="127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9m²</w:t>
            </w:r>
          </w:p>
        </w:tc>
        <w:tc>
          <w:tcPr>
            <w:tcW w:w="906"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8,7m²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8,7m²</w:t>
            </w:r>
          </w:p>
        </w:tc>
        <w:tc>
          <w:tcPr>
            <w:tcW w:w="850" w:type="dxa"/>
            <w:tcBorders>
              <w:top w:val="single" w:sz="4" w:space="0" w:color="000000"/>
              <w:bottom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8,7m²</w:t>
            </w:r>
          </w:p>
        </w:tc>
      </w:tr>
      <w:tr>
        <w:trPr/>
        <w:tc>
          <w:tcPr>
            <w:tcW w:w="1700" w:type="dxa"/>
            <w:tcBorders>
              <w:top w:val="single" w:sz="4" w:space="0" w:color="000000"/>
            </w:tcBorders>
            <w:shd w:color="auto" w:fill="auto" w:val="clear"/>
          </w:tcPr>
          <w:p>
            <w:pPr>
              <w:pStyle w:val="TEXTE"/>
              <w:widowControl/>
              <w:spacing w:before="200" w:after="240"/>
              <w:jc w:val="left"/>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Total (surface nette, hors circulation, cloisons, …)</w:t>
            </w:r>
          </w:p>
        </w:tc>
        <w:tc>
          <w:tcPr>
            <w:tcW w:w="1561" w:type="dxa"/>
            <w:tcBorders>
              <w:top w:val="single" w:sz="4" w:space="0" w:color="000000"/>
            </w:tcBorders>
            <w:shd w:color="auto" w:fill="auto" w:val="clear"/>
          </w:tcPr>
          <w:p>
            <w:pPr>
              <w:pStyle w:val="TEXTE"/>
              <w:widowControl/>
              <w:spacing w:before="200" w:after="240"/>
              <w:jc w:val="left"/>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199,55 m²</w:t>
            </w:r>
          </w:p>
        </w:tc>
        <w:tc>
          <w:tcPr>
            <w:tcW w:w="1701" w:type="dxa"/>
            <w:tcBorders>
              <w:top w:val="single" w:sz="4" w:space="0" w:color="000000"/>
            </w:tcBorders>
            <w:shd w:color="auto" w:fill="auto" w:val="clear"/>
          </w:tcPr>
          <w:p>
            <w:pPr>
              <w:pStyle w:val="TEXTE"/>
              <w:widowControl/>
              <w:spacing w:before="200" w:after="240"/>
              <w:jc w:val="left"/>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Variable selon le phasage des travaux</w:t>
            </w:r>
          </w:p>
        </w:tc>
        <w:tc>
          <w:tcPr>
            <w:tcW w:w="1276" w:type="dxa"/>
            <w:tcBorders>
              <w:top w:val="single" w:sz="4" w:space="0" w:color="000000"/>
            </w:tcBorders>
            <w:shd w:color="auto" w:fill="auto" w:val="clear"/>
          </w:tcPr>
          <w:p>
            <w:pPr>
              <w:pStyle w:val="TEXTE"/>
              <w:widowControl/>
              <w:spacing w:before="200" w:after="240"/>
              <w:jc w:val="center"/>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216 m²</w:t>
            </w:r>
          </w:p>
        </w:tc>
        <w:tc>
          <w:tcPr>
            <w:tcW w:w="906" w:type="dxa"/>
            <w:tcBorders>
              <w:top w:val="single" w:sz="4" w:space="0" w:color="000000"/>
            </w:tcBorders>
            <w:shd w:color="auto" w:fill="auto" w:val="clear"/>
          </w:tcPr>
          <w:p>
            <w:pPr>
              <w:pStyle w:val="TEXTE"/>
              <w:widowControl/>
              <w:spacing w:before="200" w:after="240"/>
              <w:jc w:val="left"/>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214,4m²</w:t>
            </w:r>
          </w:p>
        </w:tc>
        <w:tc>
          <w:tcPr>
            <w:tcW w:w="850" w:type="dxa"/>
            <w:tcBorders>
              <w:top w:val="single" w:sz="4" w:space="0" w:color="000000"/>
            </w:tcBorders>
            <w:shd w:color="auto" w:fill="auto" w:val="clear"/>
          </w:tcPr>
          <w:p>
            <w:pPr>
              <w:pStyle w:val="TEXTE"/>
              <w:widowControl/>
              <w:spacing w:before="200" w:after="240"/>
              <w:jc w:val="left"/>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214,4m²</w:t>
            </w:r>
          </w:p>
        </w:tc>
        <w:tc>
          <w:tcPr>
            <w:tcW w:w="850" w:type="dxa"/>
            <w:tcBorders>
              <w:top w:val="single" w:sz="4" w:space="0" w:color="000000"/>
            </w:tcBorders>
            <w:shd w:color="auto" w:fill="auto" w:val="clear"/>
          </w:tcPr>
          <w:p>
            <w:pPr>
              <w:pStyle w:val="TEXTE"/>
              <w:widowControl/>
              <w:spacing w:before="200" w:after="240"/>
              <w:jc w:val="left"/>
              <w:rPr>
                <w:rFonts w:eastAsia="Times New Roman" w:cs="Times New Roman"/>
                <w:kern w:val="0"/>
                <w:sz w:val="20"/>
                <w:szCs w:val="20"/>
                <w:lang w:val="fr-FR" w:eastAsia="fr-FR" w:bidi="ar-SA"/>
              </w:rPr>
            </w:pPr>
            <w:r>
              <w:rPr>
                <w:rFonts w:eastAsia="Times New Roman" w:cs="Times New Roman"/>
                <w:kern w:val="0"/>
                <w:sz w:val="20"/>
                <w:szCs w:val="20"/>
                <w:lang w:val="fr-FR" w:eastAsia="fr-FR" w:bidi="ar-SA"/>
              </w:rPr>
              <w:t>214,4m²</w:t>
            </w:r>
          </w:p>
        </w:tc>
      </w:tr>
    </w:tbl>
    <w:p>
      <w:pPr>
        <w:pStyle w:val="TEXTE"/>
        <w:rPr/>
      </w:pPr>
      <w:r>
        <w:rPr/>
        <w:t>L’estimation des surfaces tient compte de l’aménagement réel.</w:t>
      </w:r>
    </w:p>
    <w:p>
      <w:pPr>
        <w:pStyle w:val="Titre2"/>
        <w:tabs>
          <w:tab w:val="clear" w:pos="0"/>
          <w:tab w:val="clear" w:pos="8789"/>
          <w:tab w:val="left" w:pos="426" w:leader="none"/>
        </w:tabs>
        <w:ind w:left="0" w:hanging="0"/>
        <w:rPr/>
      </w:pPr>
      <w:bookmarkStart w:id="78" w:name="_Toc32334528"/>
      <w:r>
        <w:rPr/>
        <w:t>Descriptif du projet architectural</w:t>
      </w:r>
      <w:bookmarkEnd w:id="78"/>
    </w:p>
    <w:p>
      <w:pPr>
        <w:pStyle w:val="TEXTE"/>
        <w:rPr/>
      </w:pPr>
      <w:r>
        <w:rPr/>
        <w:t>Le projet architectural décrit le principe d’aménagement définitif, le positionnement des espaces, les surfaces, les liaisons, les accès et les équipements à prévoir. Il est conforme aux dispositions ergonomiques issues de la concertation entre le maître d’ouvrage et l’exploitant.</w:t>
      </w:r>
    </w:p>
    <w:p>
      <w:pPr>
        <w:pStyle w:val="TEXTE"/>
        <w:rPr/>
      </w:pPr>
      <w:r>
        <w:rPr/>
        <w:t xml:space="preserve">Les mobiliers standards font l’objet de l’annexe 1 (MOBILIER 3). </w:t>
      </w:r>
      <w:r>
        <w:rPr>
          <w:lang w:val="fr-CA"/>
        </w:rPr>
        <w:t>Il est à noter que la fourniture des mobiliers standards est prise en charge directement par la DiRIF par l’intermédiaire d’une centrale d’achat. Le montage et l’installation des mobiliers standards font partie des travaux du présent projet.</w:t>
      </w:r>
    </w:p>
    <w:p>
      <w:pPr>
        <w:pStyle w:val="TEXTE"/>
        <w:rPr/>
      </w:pPr>
      <w:r>
        <w:rPr/>
        <w:t>Les mobiliers sur mesures font l’objet de l’annexe 2 (Etude ergonomique), la conception, la fabrication, le montage sur site et l’installation des mobiliers sur-mesure font partie des travaux du présent projet.</w:t>
      </w:r>
    </w:p>
    <w:p>
      <w:pPr>
        <w:pStyle w:val="Titre3"/>
        <w:rPr/>
      </w:pPr>
      <w:bookmarkStart w:id="79" w:name="_Toc32334529"/>
      <w:r>
        <w:rPr/>
        <w:t>Salle d’exploitation</w:t>
      </w:r>
      <w:bookmarkEnd w:id="79"/>
    </w:p>
    <w:p>
      <w:pPr>
        <w:pStyle w:val="Titre4"/>
        <w:rPr/>
      </w:pPr>
      <w:bookmarkStart w:id="80" w:name="_Toc32334530"/>
      <w:r>
        <w:rPr/>
        <w:t>Réaménagement des locaux</w:t>
      </w:r>
      <w:bookmarkEnd w:id="80"/>
    </w:p>
    <w:p>
      <w:pPr>
        <w:pStyle w:val="TEXTE"/>
        <w:rPr/>
      </w:pPr>
      <w:r>
        <w:rPr/>
        <w:t>Préalablement à la mise en place des « équipements » dédiés à l’exploitation, la zone est refondue selon le schéma fonctionnel et le plan de masse de la phase définitive.</w:t>
      </w:r>
    </w:p>
    <w:p>
      <w:pPr>
        <w:pStyle w:val="TEXTE"/>
        <w:rPr/>
      </w:pPr>
      <w:r>
        <w:rPr/>
        <w:t>Le réaménagement engendre la mise à nu des murs et sols.</w:t>
      </w:r>
    </w:p>
    <w:p>
      <w:pPr>
        <w:pStyle w:val="TEXTE"/>
        <w:rPr/>
      </w:pPr>
      <w:r>
        <w:rPr/>
        <w:t>Le nouvel aménagement tient compte du programme technique, en ajoutant un local de reproduction ainsi que l’espace de crise.</w:t>
      </w:r>
    </w:p>
    <w:p>
      <w:pPr>
        <w:pStyle w:val="TEXTE"/>
        <w:rPr/>
      </w:pPr>
      <w:r>
        <w:rPr/>
        <w:t>Il sera mis en place à l’arrière de la salle d’exploitation, une cloison verticale à mi-hauteur permettant de masquer le plan incliné. Cette cloison sera vitrée sur sa partie centrale (avec un éclairage naturel simulé) et pleine sur les côtés pour y fixer des plans et des cartes (format A0). Dans cette zone, des placards encastrés seront mis en œuvre ; sur l’ensemble du linéaire on trouvera ainsi une succession de murs (tableaux blancs 3) et de placards encastrés.</w:t>
      </w:r>
    </w:p>
    <w:p>
      <w:pPr>
        <w:pStyle w:val="TEXTE"/>
        <w:rPr>
          <w:rFonts w:cs="Arial"/>
          <w:iCs/>
          <w:kern w:val="2"/>
        </w:rPr>
      </w:pPr>
      <w:r>
        <w:rPr/>
        <w:t>Les aménagements et principes détaillés ci-après tiennent compte des diverses règles et normes liés à l’ergonomie d’une salle d’exploitation (citées notamment dans le programme technique).</w:t>
      </w:r>
    </w:p>
    <w:p>
      <w:pPr>
        <w:pStyle w:val="Titre4"/>
        <w:rPr/>
      </w:pPr>
      <w:bookmarkStart w:id="81" w:name="_Toc32334531"/>
      <w:r>
        <w:rPr/>
        <w:t>Pupitres d’exploitation</w:t>
      </w:r>
      <w:bookmarkEnd w:id="81"/>
    </w:p>
    <w:p>
      <w:pPr>
        <w:pStyle w:val="TEXTE"/>
        <w:rPr/>
      </w:pPr>
      <w:r>
        <w:rPr/>
        <w:t>Qu’il s’agisse des pupitres CRS, OST ou TDM, ils figurent sur les plans de l’étude ergonomique. Les écrans seront affectés par fonction sur le pupitre pour anticiper les installations matérielles des serveurs et leurs raccordements.</w:t>
      </w:r>
    </w:p>
    <w:p>
      <w:pPr>
        <w:pStyle w:val="TEXTE"/>
        <w:rPr/>
      </w:pPr>
      <w:r>
        <w:rPr/>
        <w:t>Ces dispositions devront être adaptées en fonction de l’impact de la virtualisation sur les Unités Centrales (UC) existantes dans la salle d’exploitation :</w:t>
      </w:r>
    </w:p>
    <w:p>
      <w:pPr>
        <w:pStyle w:val="Corpsdetexte"/>
        <w:numPr>
          <w:ilvl w:val="0"/>
          <w:numId w:val="51"/>
        </w:numPr>
        <w:rPr/>
      </w:pPr>
      <w:r>
        <w:rPr/>
        <w:t>UC déplacée (par exemple PC Météo à déplacer en salle de crise),</w:t>
      </w:r>
    </w:p>
    <w:p>
      <w:pPr>
        <w:pStyle w:val="Corpsdetexte"/>
        <w:numPr>
          <w:ilvl w:val="0"/>
          <w:numId w:val="51"/>
        </w:numPr>
        <w:rPr/>
      </w:pPr>
      <w:r>
        <w:rPr/>
        <w:t>UC conservée au pupitre,</w:t>
      </w:r>
    </w:p>
    <w:p>
      <w:pPr>
        <w:pStyle w:val="F1"/>
        <w:numPr>
          <w:ilvl w:val="0"/>
          <w:numId w:val="51"/>
        </w:numPr>
        <w:rPr/>
      </w:pPr>
      <w:r>
        <w:rPr/>
        <w:t>UC supprimée suite à la virtualisation.</w:t>
      </w:r>
    </w:p>
    <w:p>
      <w:pPr>
        <w:pStyle w:val="Titre3"/>
        <w:rPr/>
      </w:pPr>
      <w:bookmarkStart w:id="82" w:name="_Toc32334532"/>
      <w:bookmarkStart w:id="83" w:name="_Toc375591611"/>
      <w:bookmarkStart w:id="84" w:name="_Toc375591610"/>
      <w:bookmarkStart w:id="85" w:name="_Toc375591609"/>
      <w:bookmarkStart w:id="86" w:name="_Toc375591608"/>
      <w:bookmarkStart w:id="87" w:name="_Toc375591607"/>
      <w:bookmarkStart w:id="88" w:name="_Toc375591606"/>
      <w:bookmarkStart w:id="89" w:name="_Toc375591605"/>
      <w:bookmarkStart w:id="90" w:name="_Toc375591604"/>
      <w:bookmarkEnd w:id="83"/>
      <w:bookmarkEnd w:id="84"/>
      <w:bookmarkEnd w:id="85"/>
      <w:bookmarkEnd w:id="86"/>
      <w:bookmarkEnd w:id="87"/>
      <w:bookmarkEnd w:id="88"/>
      <w:bookmarkEnd w:id="89"/>
      <w:bookmarkEnd w:id="90"/>
      <w:r>
        <w:rPr/>
        <w:t>Le mur d’image</w:t>
      </w:r>
      <w:bookmarkEnd w:id="82"/>
    </w:p>
    <w:p>
      <w:pPr>
        <w:pStyle w:val="Corpsdetexte"/>
        <w:rPr/>
      </w:pPr>
      <w:r>
        <w:rPr/>
        <w:t>Le mur d’images est un élément indispensable à la détection d’incidents ou d’accidents, il joue également un rôle important pour assurer la sécurité des usagers en tunnel.</w:t>
      </w:r>
    </w:p>
    <w:p>
      <w:pPr>
        <w:pStyle w:val="Corpsdetexte"/>
        <w:rPr/>
      </w:pPr>
      <w:r>
        <w:rPr/>
        <w:t>Le mur d’image existant est très récent, il vient d’être installé dans le cadre d’un projet spécifique piloté par la DiRIF. En fait il ne s’agit pas d’un mur d’images classique, mais d’un écran statique sur lequel sont projetées des images. Le mur d’image sera conservé à son emplacement, il devra être protégé pendant toute la durée des travaux.</w:t>
      </w:r>
    </w:p>
    <w:p>
      <w:pPr>
        <w:pStyle w:val="Titre3"/>
        <w:rPr/>
      </w:pPr>
      <w:bookmarkStart w:id="91" w:name="_Toc32334533"/>
      <w:bookmarkStart w:id="92" w:name="_Toc401219346"/>
      <w:bookmarkStart w:id="93" w:name="_Toc376788963"/>
      <w:bookmarkStart w:id="94" w:name="_Toc376783143"/>
      <w:bookmarkStart w:id="95" w:name="_Toc376781689"/>
      <w:bookmarkStart w:id="96" w:name="_Toc376788962"/>
      <w:bookmarkStart w:id="97" w:name="_Toc376783142"/>
      <w:bookmarkStart w:id="98" w:name="_Toc376781688"/>
      <w:bookmarkStart w:id="99" w:name="_Toc376788961"/>
      <w:bookmarkStart w:id="100" w:name="_Toc376783141"/>
      <w:bookmarkStart w:id="101" w:name="_Toc376781687"/>
      <w:bookmarkEnd w:id="93"/>
      <w:bookmarkEnd w:id="94"/>
      <w:bookmarkEnd w:id="95"/>
      <w:bookmarkEnd w:id="96"/>
      <w:bookmarkEnd w:id="97"/>
      <w:bookmarkEnd w:id="98"/>
      <w:bookmarkEnd w:id="99"/>
      <w:bookmarkEnd w:id="100"/>
      <w:bookmarkEnd w:id="101"/>
      <w:r>
        <w:rPr/>
        <w:t>La salle de crise</w:t>
      </w:r>
      <w:bookmarkEnd w:id="91"/>
      <w:bookmarkEnd w:id="92"/>
    </w:p>
    <w:p>
      <w:pPr>
        <w:pStyle w:val="TEXTE"/>
        <w:rPr/>
      </w:pPr>
      <w:r>
        <w:rPr/>
        <w:t>Comme stipulé dans le tableau de synthèse, il n’existe pas de salle de crise dédiée, située à proximité de la salle d’exploitation.</w:t>
      </w:r>
    </w:p>
    <w:p>
      <w:pPr>
        <w:pStyle w:val="TEXTE"/>
        <w:rPr/>
      </w:pPr>
      <w:r>
        <w:rPr/>
        <w:t>Dans le cadre du réaménagement de la salle d’exploitation, il sera créé une salle pouvant accueillir un minima de 6 personnes. Ce local sera équipé d’une table de réunion et de chaises pour les intervenants.</w:t>
      </w:r>
    </w:p>
    <w:p>
      <w:pPr>
        <w:pStyle w:val="TEXTE"/>
        <w:rPr/>
      </w:pPr>
      <w:r>
        <w:rPr/>
        <w:t>Un cloisonnement vitré permettra une vision directe sur la salle d’exploitation et notamment le mur d’image (cloison vitrée entre ces deux zones avec stores intégrés pour la zone vitrée).</w:t>
      </w:r>
    </w:p>
    <w:p>
      <w:pPr>
        <w:pStyle w:val="TEXTE"/>
        <w:rPr/>
      </w:pPr>
      <w:r>
        <w:rPr/>
        <w:t xml:space="preserve">Cette salle sera équipée conformément au programme : </w:t>
      </w:r>
    </w:p>
    <w:p>
      <w:pPr>
        <w:pStyle w:val="P1"/>
        <w:numPr>
          <w:ilvl w:val="0"/>
          <w:numId w:val="20"/>
        </w:numPr>
        <w:rPr/>
      </w:pPr>
      <w:r>
        <w:rPr/>
        <w:t>Table de réunion modulable.</w:t>
      </w:r>
    </w:p>
    <w:p>
      <w:pPr>
        <w:pStyle w:val="P1"/>
        <w:numPr>
          <w:ilvl w:val="0"/>
          <w:numId w:val="20"/>
        </w:numPr>
        <w:rPr/>
      </w:pPr>
      <w:r>
        <w:rPr/>
        <w:t>Deux écrans LCD de 55 pouces pour l’affichage collectif,</w:t>
      </w:r>
    </w:p>
    <w:p>
      <w:pPr>
        <w:pStyle w:val="P1"/>
        <w:numPr>
          <w:ilvl w:val="0"/>
          <w:numId w:val="20"/>
        </w:numPr>
        <w:rPr/>
      </w:pPr>
      <w:r>
        <w:rPr/>
        <w:t>Tableau mural pour affichage cartes, plans &amp;/ou représentation des ouvrages.</w:t>
      </w:r>
    </w:p>
    <w:p>
      <w:pPr>
        <w:pStyle w:val="P1"/>
        <w:numPr>
          <w:ilvl w:val="0"/>
          <w:numId w:val="20"/>
        </w:numPr>
        <w:rPr/>
      </w:pPr>
      <w:r>
        <w:rPr/>
        <w:t>Téléphones.</w:t>
      </w:r>
    </w:p>
    <w:p>
      <w:pPr>
        <w:pStyle w:val="P1"/>
        <w:numPr>
          <w:ilvl w:val="0"/>
          <w:numId w:val="20"/>
        </w:numPr>
        <w:rPr/>
      </w:pPr>
      <w:r>
        <w:rPr/>
        <w:t>Accès réseau.</w:t>
      </w:r>
    </w:p>
    <w:p>
      <w:pPr>
        <w:pStyle w:val="P1"/>
        <w:numPr>
          <w:ilvl w:val="0"/>
          <w:numId w:val="20"/>
        </w:numPr>
        <w:rPr/>
      </w:pPr>
      <w:r>
        <w:rPr/>
        <w:t>PC de gestion hivernale.</w:t>
      </w:r>
    </w:p>
    <w:p>
      <w:pPr>
        <w:pStyle w:val="P1"/>
        <w:numPr>
          <w:ilvl w:val="0"/>
          <w:numId w:val="20"/>
        </w:numPr>
        <w:rPr/>
      </w:pPr>
      <w:r>
        <w:rPr/>
        <w:t>Descentes d’antenne pour ACROPOL et radio BSPP &amp; SAMU.</w:t>
      </w:r>
    </w:p>
    <w:p>
      <w:pPr>
        <w:pStyle w:val="TEXTE"/>
        <w:rPr/>
      </w:pPr>
      <w:r>
        <w:rPr/>
        <w:t>Conformément aux remarques apportées los des réunions technique les postes Météo et hivernage seront installés dans cette salle.</w:t>
      </w:r>
    </w:p>
    <w:p>
      <w:pPr>
        <w:pStyle w:val="Titre3"/>
        <w:rPr/>
      </w:pPr>
      <w:bookmarkStart w:id="102" w:name="_Toc32334534"/>
      <w:bookmarkStart w:id="103" w:name="_Toc401219347"/>
      <w:r>
        <w:rPr/>
        <w:t>L’espace de vie</w:t>
      </w:r>
      <w:bookmarkEnd w:id="102"/>
      <w:bookmarkEnd w:id="103"/>
    </w:p>
    <w:p>
      <w:pPr>
        <w:pStyle w:val="TEXTE"/>
        <w:rPr/>
      </w:pPr>
      <w:r>
        <w:rPr/>
        <w:t>L’espace de vie permettra aux intervenants (principalement OST, TDM et ponctuellement utilisateurs de la salle de crise) une restauration légère en Heures Ouvrées (HO) et Heures Non Ouvrées (HNO), tout en restant à proximité immédiate du pupitre d’exploitation.</w:t>
      </w:r>
    </w:p>
    <w:p>
      <w:pPr>
        <w:pStyle w:val="TEXTE"/>
        <w:rPr/>
      </w:pPr>
      <w:r>
        <w:rPr/>
        <w:t>Conformément au programme fonctionnel détaillé, l’espace de vie existant sera conservé en lieu et place de l’existant. L’électroménager et le mobilier de l’espace de vie sera conservé.</w:t>
      </w:r>
    </w:p>
    <w:p>
      <w:pPr>
        <w:pStyle w:val="TEXTE"/>
        <w:rPr/>
      </w:pPr>
      <w:r>
        <w:rPr/>
        <w:t>Il sera prévu une rénovation légère de ce local, consistant à la mise en peinture des murs et une rénovation des sols (y compris remplacement de 5 dalles de faux-plancher).</w:t>
      </w:r>
    </w:p>
    <w:p>
      <w:pPr>
        <w:pStyle w:val="Titre3"/>
        <w:rPr/>
      </w:pPr>
      <w:bookmarkStart w:id="104" w:name="_Toc32334535"/>
      <w:bookmarkStart w:id="105" w:name="_Toc401219348"/>
      <w:r>
        <w:rPr/>
        <w:t>Les sanitaires</w:t>
      </w:r>
      <w:bookmarkEnd w:id="104"/>
      <w:bookmarkEnd w:id="105"/>
    </w:p>
    <w:p>
      <w:pPr>
        <w:pStyle w:val="TEXTE"/>
        <w:rPr/>
      </w:pPr>
      <w:r>
        <w:rPr/>
        <w:t>Les sanitaires hommes et femmes sont directement accessibles depuis les circulations. Dans les deux couloirs (DiRIF et CRS) se trouve un sanitaire aux normes PMR.</w:t>
      </w:r>
    </w:p>
    <w:p>
      <w:pPr>
        <w:pStyle w:val="TEXTE"/>
        <w:rPr/>
      </w:pPr>
      <w:r>
        <w:rPr/>
        <w:t>Conformément au programme fonctionnel détaillé, une rénovation légère de ce local sera réalisée à savoir :</w:t>
      </w:r>
    </w:p>
    <w:p>
      <w:pPr>
        <w:pStyle w:val="P1"/>
        <w:numPr>
          <w:ilvl w:val="0"/>
          <w:numId w:val="20"/>
        </w:numPr>
        <w:rPr/>
      </w:pPr>
      <w:r>
        <w:rPr/>
        <w:t>La peinture des murs et plafond après préparation.</w:t>
      </w:r>
    </w:p>
    <w:p>
      <w:pPr>
        <w:pStyle w:val="Titre3"/>
        <w:rPr/>
      </w:pPr>
      <w:bookmarkStart w:id="106" w:name="_Toc32334536"/>
      <w:bookmarkStart w:id="107" w:name="_Toc401219349"/>
      <w:r>
        <w:rPr/>
        <w:t>La zone des casiers</w:t>
      </w:r>
      <w:bookmarkEnd w:id="106"/>
      <w:bookmarkEnd w:id="107"/>
    </w:p>
    <w:p>
      <w:pPr>
        <w:pStyle w:val="TEXTE"/>
        <w:rPr/>
      </w:pPr>
      <w:r>
        <w:rPr/>
        <w:t>La localisation des casiers reste inchangée. La zone des casiers fera l’objet d’une rénovation légère des murs.</w:t>
      </w:r>
    </w:p>
    <w:p>
      <w:pPr>
        <w:pStyle w:val="TEXTE"/>
        <w:rPr/>
      </w:pPr>
      <w:r>
        <w:rPr/>
        <w:t>Les casiers et les équipements de ce local seront conservés.</w:t>
      </w:r>
    </w:p>
    <w:p>
      <w:pPr>
        <w:pStyle w:val="Titre3"/>
        <w:rPr/>
      </w:pPr>
      <w:bookmarkStart w:id="108" w:name="_Toc32334537"/>
      <w:bookmarkStart w:id="109" w:name="_Toc401219350"/>
      <w:r>
        <w:rPr/>
        <w:t>Local reproduction</w:t>
      </w:r>
      <w:bookmarkEnd w:id="108"/>
      <w:bookmarkEnd w:id="109"/>
    </w:p>
    <w:p>
      <w:pPr>
        <w:pStyle w:val="TEXTE"/>
        <w:rPr/>
      </w:pPr>
      <w:r>
        <w:rPr/>
        <w:t>Le local existant sur la partie gauche du mur d’image sera aménagé en local reproduction. Il permettra de regrouper les équipements d’impression et de reproduction de la salle de supervision. Son accès se fera exclusivement depuis cette salle. Ce local de 5m² sera équipé des équipements suivants :</w:t>
      </w:r>
    </w:p>
    <w:p>
      <w:pPr>
        <w:pStyle w:val="P1"/>
        <w:numPr>
          <w:ilvl w:val="0"/>
          <w:numId w:val="20"/>
        </w:numPr>
        <w:rPr/>
      </w:pPr>
      <w:r>
        <w:rPr/>
        <w:t xml:space="preserve">2 imprimantes. </w:t>
      </w:r>
    </w:p>
    <w:p>
      <w:pPr>
        <w:pStyle w:val="P1"/>
        <w:numPr>
          <w:ilvl w:val="0"/>
          <w:numId w:val="20"/>
        </w:numPr>
        <w:rPr/>
      </w:pPr>
      <w:r>
        <w:rPr/>
        <w:t>5 prises de courant fort normal.</w:t>
      </w:r>
    </w:p>
    <w:p>
      <w:pPr>
        <w:pStyle w:val="P1"/>
        <w:numPr>
          <w:ilvl w:val="0"/>
          <w:numId w:val="20"/>
        </w:numPr>
        <w:rPr/>
      </w:pPr>
      <w:r>
        <w:rPr/>
        <w:t>3 prises réseau RJ45.</w:t>
      </w:r>
    </w:p>
    <w:p>
      <w:pPr>
        <w:pStyle w:val="P1"/>
        <w:numPr>
          <w:ilvl w:val="0"/>
          <w:numId w:val="20"/>
        </w:numPr>
        <w:rPr/>
      </w:pPr>
      <w:r>
        <w:rPr/>
        <w:t>1 console.</w:t>
      </w:r>
    </w:p>
    <w:p>
      <w:pPr>
        <w:pStyle w:val="P1"/>
        <w:numPr>
          <w:ilvl w:val="0"/>
          <w:numId w:val="20"/>
        </w:numPr>
        <w:rPr/>
      </w:pPr>
      <w:r>
        <w:rPr/>
        <w:t>1 meuble de rangement.</w:t>
      </w:r>
    </w:p>
    <w:p>
      <w:pPr>
        <w:pStyle w:val="Titre3"/>
        <w:rPr/>
      </w:pPr>
      <w:bookmarkStart w:id="110" w:name="_Toc32334538"/>
      <w:bookmarkStart w:id="111" w:name="_Toc401219351"/>
      <w:r>
        <w:rPr/>
        <w:t>Salle de réunion</w:t>
      </w:r>
      <w:bookmarkEnd w:id="110"/>
      <w:bookmarkEnd w:id="111"/>
    </w:p>
    <w:p>
      <w:pPr>
        <w:pStyle w:val="Corpsdetexte"/>
        <w:rPr/>
      </w:pPr>
      <w:r>
        <w:rPr/>
        <w:t>La salle réunion existante, située à l’opposé de la salle d’exploitation, pourra faire office de grande salle de crise en cas de d’évènement particulier.</w:t>
      </w:r>
    </w:p>
    <w:p>
      <w:pPr>
        <w:pStyle w:val="Corpsdetexte"/>
        <w:rPr/>
      </w:pPr>
      <w:r>
        <w:rPr/>
        <w:t>Aucune modification structurelle ne sera apportée à ce local. Néanmoins afin de répondre aux besoins de cette salle de réunion dans le cas d’un évènement il sera déployé :</w:t>
      </w:r>
    </w:p>
    <w:p>
      <w:pPr>
        <w:pStyle w:val="P1"/>
        <w:numPr>
          <w:ilvl w:val="0"/>
          <w:numId w:val="20"/>
        </w:numPr>
        <w:rPr/>
      </w:pPr>
      <w:r>
        <w:rPr/>
        <w:t>3 prises téléphoniques RJ45.</w:t>
      </w:r>
    </w:p>
    <w:p>
      <w:pPr>
        <w:pStyle w:val="P1"/>
        <w:numPr>
          <w:ilvl w:val="0"/>
          <w:numId w:val="20"/>
        </w:numPr>
        <w:rPr/>
      </w:pPr>
      <w:r>
        <w:rPr/>
        <w:t>1 prise réseau RJ45 permettant le déport des outils de supervision.</w:t>
      </w:r>
    </w:p>
    <w:p>
      <w:pPr>
        <w:pStyle w:val="Titre2"/>
        <w:tabs>
          <w:tab w:val="clear" w:pos="0"/>
          <w:tab w:val="clear" w:pos="8789"/>
          <w:tab w:val="left" w:pos="426" w:leader="none"/>
        </w:tabs>
        <w:ind w:left="0" w:hanging="0"/>
        <w:rPr/>
      </w:pPr>
      <w:bookmarkStart w:id="112" w:name="_Toc32334539"/>
      <w:r>
        <w:rPr/>
        <w:t>Mobiliers</w:t>
      </w:r>
      <w:bookmarkEnd w:id="112"/>
    </w:p>
    <w:p>
      <w:pPr>
        <w:pStyle w:val="Titre3"/>
        <w:rPr/>
      </w:pPr>
      <w:bookmarkStart w:id="113" w:name="_Toc32334540"/>
      <w:r>
        <w:rPr/>
        <w:t>Dispositions projetées</w:t>
      </w:r>
      <w:bookmarkEnd w:id="113"/>
    </w:p>
    <w:p>
      <w:pPr>
        <w:pStyle w:val="Corpsdetexte"/>
        <w:rPr/>
      </w:pPr>
      <w:r>
        <w:rPr/>
        <w:t>Les mobiliers neufs à mettre en œuvre au titre du projet font l’objet de deux annexes, jointes au présent dossier :</w:t>
      </w:r>
    </w:p>
    <w:p>
      <w:pPr>
        <w:pStyle w:val="F1"/>
        <w:numPr>
          <w:ilvl w:val="0"/>
          <w:numId w:val="51"/>
        </w:numPr>
        <w:rPr/>
      </w:pPr>
      <w:r>
        <w:rPr/>
        <w:t>L’annexe 1, désignée « MOBILIER 3 », a pour objectif de définir le besoin quantitatif et qualitatif des mobiliers « standards » à installer (le mobilier standard sera fourni directement par la DiRIF).</w:t>
      </w:r>
    </w:p>
    <w:p>
      <w:pPr>
        <w:pStyle w:val="F1"/>
        <w:numPr>
          <w:ilvl w:val="0"/>
          <w:numId w:val="51"/>
        </w:numPr>
        <w:rPr/>
      </w:pPr>
      <w:r>
        <w:rPr/>
        <w:t>L’annexe 2, désignée « Etude ergonomique », a pour objectif de :</w:t>
      </w:r>
    </w:p>
    <w:p>
      <w:pPr>
        <w:pStyle w:val="P2"/>
        <w:numPr>
          <w:ilvl w:val="1"/>
          <w:numId w:val="21"/>
        </w:numPr>
        <w:spacing w:before="120" w:after="120"/>
        <w:rPr>
          <w:lang w:val="fr-CA"/>
        </w:rPr>
      </w:pPr>
      <w:r>
        <w:rPr>
          <w:lang w:val="fr-CA"/>
        </w:rPr>
        <w:t>Proposer une solution en termes d’aménagement et de volume de la salle d’exploitation définitive (le mobilier sur mesure sera fourni dans le cadre du présent projet) ;</w:t>
      </w:r>
    </w:p>
    <w:p>
      <w:pPr>
        <w:pStyle w:val="P2"/>
        <w:numPr>
          <w:ilvl w:val="1"/>
          <w:numId w:val="21"/>
        </w:numPr>
        <w:spacing w:before="120" w:after="120"/>
        <w:rPr>
          <w:lang w:val="fr-CA"/>
        </w:rPr>
      </w:pPr>
      <w:r>
        <w:rPr>
          <w:lang w:val="fr-CA"/>
        </w:rPr>
        <w:t>Confirmer les liaisons visuelles entre la salle d’exploitation, l’espace de crise et le lieu de vie par l’intermédiaire de vues en perspective ;</w:t>
      </w:r>
    </w:p>
    <w:p>
      <w:pPr>
        <w:pStyle w:val="P2"/>
        <w:numPr>
          <w:ilvl w:val="1"/>
          <w:numId w:val="21"/>
        </w:numPr>
        <w:spacing w:before="120" w:after="120"/>
        <w:rPr>
          <w:lang w:val="fr-CA"/>
        </w:rPr>
      </w:pPr>
      <w:r>
        <w:rPr>
          <w:lang w:val="fr-CA"/>
        </w:rPr>
        <w:t>Définir le besoin quantitatif et qualitatif des mobiliers sur mesures à installer (il est à noter que le mobilier standard sur-mesure sera fourni par le Titulaire du marché travaux de l’aménagement du PCTT) ;</w:t>
      </w:r>
    </w:p>
    <w:p>
      <w:pPr>
        <w:pStyle w:val="P2"/>
        <w:numPr>
          <w:ilvl w:val="1"/>
          <w:numId w:val="21"/>
        </w:numPr>
        <w:spacing w:before="120" w:after="120"/>
        <w:rPr>
          <w:lang w:val="fr-CA"/>
        </w:rPr>
      </w:pPr>
      <w:r>
        <w:rPr>
          <w:lang w:val="fr-CA"/>
        </w:rPr>
        <w:t>Définir les caractéristiques générales de l’éclairage, des peintures, des revêtements, de la protection acoustique, de la salle d’exploitation.</w:t>
      </w:r>
    </w:p>
    <w:p>
      <w:pPr>
        <w:pStyle w:val="Titre3"/>
        <w:rPr/>
      </w:pPr>
      <w:bookmarkStart w:id="114" w:name="_Toc32334541"/>
      <w:r>
        <w:rPr/>
        <w:t>Salle d’exploitation</w:t>
      </w:r>
      <w:bookmarkEnd w:id="114"/>
    </w:p>
    <w:p>
      <w:pPr>
        <w:pStyle w:val="Titre4"/>
        <w:rPr/>
      </w:pPr>
      <w:bookmarkStart w:id="115" w:name="_Toc32334542"/>
      <w:r>
        <w:rPr/>
        <w:t>Mobiliers provisoires standard</w:t>
      </w:r>
      <w:bookmarkEnd w:id="115"/>
    </w:p>
    <w:p>
      <w:pPr>
        <w:pStyle w:val="TEXTE"/>
        <w:rPr/>
      </w:pPr>
      <w:r>
        <w:rPr/>
        <w:t>Tous les mobiliers provisoires standards seront fournis par la DiRIF. Ils seront disponibles au lieu de dépôt de la DiRIF et seront installés par le Titulaire du marché travaux. Ces mobiliers provisoires concernent le mur d’image, les bureaux, les pupitres, les chaises, la climatisation, les dessertes, etc…</w:t>
      </w:r>
    </w:p>
    <w:p>
      <w:pPr>
        <w:pStyle w:val="Titre4"/>
        <w:rPr/>
      </w:pPr>
      <w:bookmarkStart w:id="116" w:name="_Toc32334543"/>
      <w:r>
        <w:rPr/>
        <w:t>Mobiliers définitifs sur mesure</w:t>
      </w:r>
      <w:bookmarkEnd w:id="116"/>
    </w:p>
    <w:p>
      <w:pPr>
        <w:pStyle w:val="TEXTE"/>
        <w:rPr/>
      </w:pPr>
      <w:r>
        <w:rPr/>
        <w:t>L’étude d’ergonomie jointe en annexe 2, propose une solution en termes d’aménagement et de volumes de la salle d’exploitation définitive et décrit les caractéristiques dimensionnelles et constructives des mobiliers sur mesure à installer.</w:t>
      </w:r>
    </w:p>
    <w:p>
      <w:pPr>
        <w:pStyle w:val="TEXTE"/>
        <w:rPr/>
      </w:pPr>
      <w:r>
        <w:rPr/>
        <w:t xml:space="preserve">Tous les mobiliers définitifs sur mesure seront neufs, ils concernent exclusivement la salle d’exploitation définitive : le pupitre CRS y compris les rangements adaptés au stockage des armes, le pupitre OST, la desserte CRS, le pupitre TDM. </w:t>
      </w:r>
    </w:p>
    <w:p>
      <w:pPr>
        <w:pStyle w:val="Titre4"/>
        <w:rPr/>
      </w:pPr>
      <w:bookmarkStart w:id="117" w:name="_Toc32334544"/>
      <w:r>
        <w:rPr/>
        <w:t>Mobiliers définitifs standards</w:t>
      </w:r>
      <w:bookmarkEnd w:id="117"/>
    </w:p>
    <w:p>
      <w:pPr>
        <w:pStyle w:val="TEXTE"/>
        <w:rPr/>
      </w:pPr>
      <w:r>
        <w:rPr/>
        <w:t>Tous les mobiliers définitifs standards seront neufs, ils font l’objet de l’annexe 1 (MOBILIER 3) dont l’objectif est de décrire et justifier les choix techniques proposés pour le mobilier.</w:t>
      </w:r>
    </w:p>
    <w:p>
      <w:pPr>
        <w:pStyle w:val="Titre3"/>
        <w:rPr/>
      </w:pPr>
      <w:bookmarkStart w:id="118" w:name="_Toc32334545"/>
      <w:r>
        <w:rPr/>
        <w:t>Mobiliers des locaux annexes</w:t>
      </w:r>
      <w:bookmarkEnd w:id="118"/>
    </w:p>
    <w:p>
      <w:pPr>
        <w:pStyle w:val="TEXTE"/>
        <w:rPr/>
      </w:pPr>
      <w:r>
        <w:rPr/>
        <w:t>Les mobiliers à prévoir pour l’aménagement des locaux annexes (hors mobilier sur mesures) font l’objet de l’annexe 1 (MOBILIER 3) dont l’objectif est de décrire et justifier les choix techniques proposés pour le mobilier et les dérogations éventuelles aux normes en vigueur.</w:t>
      </w:r>
    </w:p>
    <w:p>
      <w:pPr>
        <w:pStyle w:val="TEXTE"/>
        <w:spacing w:before="200" w:after="120"/>
        <w:rPr/>
      </w:pPr>
      <w:r>
        <w:rPr/>
        <w:t>Ses descriptions sont accompagnées :</w:t>
      </w:r>
    </w:p>
    <w:p>
      <w:pPr>
        <w:pStyle w:val="F1"/>
        <w:numPr>
          <w:ilvl w:val="0"/>
          <w:numId w:val="51"/>
        </w:numPr>
        <w:rPr/>
      </w:pPr>
      <w:r>
        <w:rPr/>
        <w:t>Du niveau qualitatif des équipements et des matériaux envisagés ;</w:t>
      </w:r>
    </w:p>
    <w:p>
      <w:pPr>
        <w:pStyle w:val="F1"/>
        <w:numPr>
          <w:ilvl w:val="0"/>
          <w:numId w:val="51"/>
        </w:numPr>
        <w:rPr/>
      </w:pPr>
      <w:r>
        <w:rPr/>
        <w:t>Des fiches par mobilier précisant leurs caractéristiques qualitatives ;</w:t>
      </w:r>
    </w:p>
    <w:p>
      <w:pPr>
        <w:pStyle w:val="F1"/>
        <w:numPr>
          <w:ilvl w:val="0"/>
          <w:numId w:val="51"/>
        </w:numPr>
        <w:rPr/>
      </w:pPr>
      <w:r>
        <w:rPr/>
        <w:t>Des plans des mobiliers au 1/20ème et de leur implantation ;</w:t>
      </w:r>
    </w:p>
    <w:p>
      <w:pPr>
        <w:pStyle w:val="F1"/>
        <w:numPr>
          <w:ilvl w:val="0"/>
          <w:numId w:val="51"/>
        </w:numPr>
        <w:rPr/>
      </w:pPr>
      <w:r>
        <w:rPr/>
        <w:t>D’une estimation définitive du coût d’investissement prévisionnel du mobilier,</w:t>
      </w:r>
    </w:p>
    <w:p>
      <w:pPr>
        <w:pStyle w:val="Corpsdetexte"/>
        <w:rPr/>
      </w:pPr>
      <w:r>
        <w:rPr/>
        <w:t>La planification des délais de commande, de fabrication, de livraisons et de montage des mobiliers est intégrée dans le planning général de l’opération.</w:t>
      </w:r>
    </w:p>
    <w:p>
      <w:pPr>
        <w:pStyle w:val="Corpsdetexte"/>
        <w:rPr/>
      </w:pPr>
      <w:r>
        <w:rPr/>
        <w:t>Les couts d’exploitation et de maintenance relatifs au nettoyage des mobiliers (surface et périodicité) sont intégrés dans l’estimation financière globale de l’opération.</w:t>
      </w:r>
    </w:p>
    <w:p>
      <w:pPr>
        <w:pStyle w:val="Corpsdetexte"/>
        <w:spacing w:before="200" w:after="120"/>
        <w:rPr/>
      </w:pPr>
      <w:r>
        <w:rPr/>
        <w:t xml:space="preserve">La fourniture et la mise en œuvre des mobiliers standards seront intégrées dans le DCE des travaux de réaménagement du PCTT.   </w:t>
      </w:r>
    </w:p>
    <w:p>
      <w:pPr>
        <w:pStyle w:val="Corpsdetexte"/>
        <w:rPr/>
      </w:pPr>
      <w:r>
        <w:rPr/>
        <w:t>La conception, la fabrication et la mise œuvre des mobiliers sur mesures seront intégrées dans le DCE des travaux de réaménagement du PCTT.</w:t>
      </w:r>
    </w:p>
    <w:p>
      <w:pPr>
        <w:pStyle w:val="Corpsdetexte"/>
        <w:rPr/>
      </w:pPr>
      <w:r>
        <w:rPr/>
        <w:t>L’entreprise devra proposer deux styles de mobilier équivalent: un style classique et un style contemporain. Le maitre d’ouvrage fera son choix parmi les deux styles.</w:t>
      </w:r>
    </w:p>
    <w:p>
      <w:pPr>
        <w:pStyle w:val="Titre3"/>
        <w:rPr/>
      </w:pPr>
      <w:bookmarkStart w:id="119" w:name="_Toc32334546"/>
      <w:r>
        <w:rPr/>
        <w:t>Consistance des travaux</w:t>
      </w:r>
      <w:bookmarkEnd w:id="119"/>
    </w:p>
    <w:p>
      <w:pPr>
        <w:pStyle w:val="Titre4"/>
        <w:rPr/>
      </w:pPr>
      <w:bookmarkStart w:id="120" w:name="_Toc32334547"/>
      <w:r>
        <w:rPr/>
        <w:t>Mobiliers définitifs sur mesures</w:t>
      </w:r>
      <w:bookmarkEnd w:id="120"/>
    </w:p>
    <w:p>
      <w:pPr>
        <w:pStyle w:val="TEXTE"/>
        <w:spacing w:before="200" w:after="120"/>
        <w:rPr/>
      </w:pPr>
      <w:r>
        <w:rPr/>
        <w:t>Les principales prestations à réaliser au titre du projet concernent les pupitres définitifs de la salle d’exploitation, elles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 ; </w:t>
      </w:r>
    </w:p>
    <w:p>
      <w:pPr>
        <w:pStyle w:val="P1"/>
        <w:numPr>
          <w:ilvl w:val="0"/>
          <w:numId w:val="28"/>
        </w:numPr>
        <w:tabs>
          <w:tab w:val="clear" w:pos="8789"/>
        </w:tabs>
        <w:spacing w:before="0" w:after="120"/>
        <w:ind w:left="714" w:hanging="357"/>
        <w:rPr>
          <w:lang w:val="fr-FR"/>
        </w:rPr>
      </w:pPr>
      <w:r>
        <w:rPr>
          <w:lang w:val="fr-FR"/>
        </w:rPr>
        <w:t>Le démontage, l’évacuation et la mise en décharge ou le déplacement à l’intérieur du bâtiment des mobiliers en fin de vie ;</w:t>
      </w:r>
    </w:p>
    <w:p>
      <w:pPr>
        <w:pStyle w:val="P1"/>
        <w:numPr>
          <w:ilvl w:val="0"/>
          <w:numId w:val="28"/>
        </w:numPr>
        <w:tabs>
          <w:tab w:val="clear" w:pos="8789"/>
        </w:tabs>
        <w:spacing w:before="0" w:after="120"/>
        <w:ind w:left="714" w:hanging="357"/>
        <w:rPr>
          <w:lang w:val="fr-FR"/>
        </w:rPr>
      </w:pPr>
      <w:r>
        <w:rPr>
          <w:lang w:val="fr-FR"/>
        </w:rPr>
        <w:t>La conception, la fabrication et la réception en usine des pupitres sur mesure ;</w:t>
      </w:r>
    </w:p>
    <w:p>
      <w:pPr>
        <w:pStyle w:val="P1"/>
        <w:numPr>
          <w:ilvl w:val="0"/>
          <w:numId w:val="28"/>
        </w:numPr>
        <w:tabs>
          <w:tab w:val="clear" w:pos="8789"/>
        </w:tabs>
        <w:spacing w:before="0" w:after="120"/>
        <w:ind w:left="714" w:hanging="357"/>
        <w:rPr>
          <w:lang w:val="fr-FR"/>
        </w:rPr>
      </w:pPr>
      <w:r>
        <w:rPr>
          <w:lang w:val="fr-FR"/>
        </w:rPr>
        <w:t>La fourniture des pupitres, l’emballage, le transport sur le site, le déchargement, le stockage et la préservation sur site ;</w:t>
      </w:r>
    </w:p>
    <w:p>
      <w:pPr>
        <w:pStyle w:val="P1"/>
        <w:numPr>
          <w:ilvl w:val="0"/>
          <w:numId w:val="28"/>
        </w:numPr>
        <w:tabs>
          <w:tab w:val="clear" w:pos="8789"/>
        </w:tabs>
        <w:spacing w:before="0" w:after="120"/>
        <w:ind w:left="714" w:hanging="357"/>
        <w:rPr>
          <w:lang w:val="fr-FR"/>
        </w:rPr>
      </w:pPr>
      <w:r>
        <w:rPr>
          <w:lang w:val="fr-FR"/>
        </w:rPr>
        <w:t>La manutention, le montage et la mise en place des pupitres y compris l’installation et le raccordement des prises de service, des prises réseau et télécommunication, des interfaces, des supports d’écrans, des écrans, des UC, des claviers, des téléphones, fax, platines, etc … ;</w:t>
      </w:r>
    </w:p>
    <w:p>
      <w:pPr>
        <w:pStyle w:val="P1"/>
        <w:numPr>
          <w:ilvl w:val="0"/>
          <w:numId w:val="28"/>
        </w:numPr>
        <w:tabs>
          <w:tab w:val="clear" w:pos="8789"/>
        </w:tabs>
        <w:spacing w:before="0" w:after="120"/>
        <w:ind w:left="714" w:hanging="357"/>
        <w:rPr>
          <w:lang w:val="fr-FR"/>
        </w:rPr>
      </w:pPr>
      <w:r>
        <w:rPr>
          <w:lang w:val="fr-FR"/>
        </w:rPr>
        <w:t>Les interventions sur le site en plusieurs fois, suivant les nécessités du planning ;</w:t>
      </w:r>
    </w:p>
    <w:p>
      <w:pPr>
        <w:pStyle w:val="P1"/>
        <w:numPr>
          <w:ilvl w:val="0"/>
          <w:numId w:val="28"/>
        </w:numPr>
        <w:tabs>
          <w:tab w:val="clear" w:pos="8789"/>
        </w:tabs>
        <w:spacing w:before="0" w:after="120"/>
        <w:ind w:left="714" w:hanging="357"/>
        <w:jc w:val="left"/>
        <w:rPr>
          <w:lang w:val="fr-FR"/>
        </w:rPr>
      </w:pPr>
      <w:r>
        <w:rPr>
          <w:lang w:val="fr-FR"/>
        </w:rPr>
        <w:t>Les retouches de finition ;</w:t>
      </w:r>
    </w:p>
    <w:p>
      <w:pPr>
        <w:pStyle w:val="P1"/>
        <w:numPr>
          <w:ilvl w:val="0"/>
          <w:numId w:val="28"/>
        </w:numPr>
        <w:tabs>
          <w:tab w:val="clear" w:pos="8789"/>
        </w:tabs>
        <w:spacing w:before="0" w:after="120"/>
        <w:ind w:left="714" w:hanging="357"/>
        <w:rPr>
          <w:lang w:val="fr-FR"/>
        </w:rPr>
      </w:pPr>
      <w:r>
        <w:rPr>
          <w:lang w:val="fr-FR"/>
        </w:rPr>
        <w:t>La protection nécessaire des ouvrages avant leur réception ;</w:t>
      </w:r>
    </w:p>
    <w:p>
      <w:pPr>
        <w:pStyle w:val="P1"/>
        <w:numPr>
          <w:ilvl w:val="0"/>
          <w:numId w:val="28"/>
        </w:numPr>
        <w:tabs>
          <w:tab w:val="clear" w:pos="8789"/>
        </w:tabs>
        <w:spacing w:before="0" w:after="120"/>
        <w:ind w:left="714" w:hanging="357"/>
        <w:rPr>
          <w:lang w:val="fr-FR"/>
        </w:rPr>
      </w:pPr>
      <w:r>
        <w:rPr/>
        <w:t>L’enlèvement des protections, le nettoyage en phase finale de tous les ouvrages mis en place ou environnants</w:t>
      </w:r>
      <w:r>
        <w:rPr>
          <w:rFonts w:cs="Arial"/>
        </w:rPr>
        <w:t>;</w:t>
      </w:r>
    </w:p>
    <w:p>
      <w:pPr>
        <w:pStyle w:val="Titre4"/>
        <w:rPr/>
      </w:pPr>
      <w:bookmarkStart w:id="121" w:name="_Toc32334548"/>
      <w:r>
        <w:rPr/>
        <w:t>Mobiliers définitifs standards</w:t>
      </w:r>
      <w:bookmarkEnd w:id="121"/>
    </w:p>
    <w:p>
      <w:pPr>
        <w:pStyle w:val="TEXTE"/>
        <w:spacing w:before="200" w:after="120"/>
        <w:rPr/>
      </w:pPr>
      <w:r>
        <w:rPr/>
        <w:t>Les principales prestations à réaliser au titre des mobiliers standards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 ; </w:t>
      </w:r>
    </w:p>
    <w:p>
      <w:pPr>
        <w:pStyle w:val="P1"/>
        <w:numPr>
          <w:ilvl w:val="0"/>
          <w:numId w:val="28"/>
        </w:numPr>
        <w:tabs>
          <w:tab w:val="clear" w:pos="8789"/>
        </w:tabs>
        <w:spacing w:before="0" w:after="120"/>
        <w:ind w:left="714" w:hanging="357"/>
        <w:rPr>
          <w:lang w:val="fr-FR"/>
        </w:rPr>
      </w:pPr>
      <w:r>
        <w:rPr>
          <w:lang w:val="fr-FR"/>
        </w:rPr>
        <w:t>Le démontage, l’évacuation et la mise en décharge ou le déplacement à l’intérieur du bâtiment des mobiliers en fin de vie ;</w:t>
      </w:r>
    </w:p>
    <w:p>
      <w:pPr>
        <w:pStyle w:val="P1"/>
        <w:numPr>
          <w:ilvl w:val="0"/>
          <w:numId w:val="28"/>
        </w:numPr>
        <w:tabs>
          <w:tab w:val="clear" w:pos="8789"/>
        </w:tabs>
        <w:spacing w:before="0" w:after="120"/>
        <w:ind w:left="714" w:hanging="357"/>
        <w:rPr>
          <w:lang w:val="fr-FR"/>
        </w:rPr>
      </w:pPr>
      <w:r>
        <w:rPr>
          <w:lang w:val="fr-FR"/>
        </w:rPr>
        <w:t>La manutention, le montage et la mise en place des mobiliers y compris l’installation et le raccordement des prises de service, des prises réseau, etc … ;</w:t>
      </w:r>
    </w:p>
    <w:p>
      <w:pPr>
        <w:pStyle w:val="P1"/>
        <w:numPr>
          <w:ilvl w:val="0"/>
          <w:numId w:val="28"/>
        </w:numPr>
        <w:tabs>
          <w:tab w:val="clear" w:pos="8789"/>
        </w:tabs>
        <w:spacing w:before="0" w:after="120"/>
        <w:ind w:left="714" w:hanging="357"/>
        <w:rPr>
          <w:lang w:val="fr-FR"/>
        </w:rPr>
      </w:pPr>
      <w:r>
        <w:rPr>
          <w:lang w:val="fr-FR"/>
        </w:rPr>
        <w:t>Les interventions sur le site en plusieurs fois, suivant les nécessités du planning ;</w:t>
      </w:r>
    </w:p>
    <w:p>
      <w:pPr>
        <w:pStyle w:val="P1"/>
        <w:numPr>
          <w:ilvl w:val="0"/>
          <w:numId w:val="28"/>
        </w:numPr>
        <w:tabs>
          <w:tab w:val="clear" w:pos="8789"/>
        </w:tabs>
        <w:spacing w:before="0" w:after="120"/>
        <w:ind w:left="714" w:hanging="357"/>
        <w:jc w:val="left"/>
        <w:rPr>
          <w:lang w:val="fr-FR"/>
        </w:rPr>
      </w:pPr>
      <w:r>
        <w:rPr>
          <w:lang w:val="fr-FR"/>
        </w:rPr>
        <w:t>Les retouches de finition ;</w:t>
      </w:r>
    </w:p>
    <w:p>
      <w:pPr>
        <w:pStyle w:val="P1"/>
        <w:numPr>
          <w:ilvl w:val="0"/>
          <w:numId w:val="28"/>
        </w:numPr>
        <w:tabs>
          <w:tab w:val="clear" w:pos="8789"/>
        </w:tabs>
        <w:spacing w:before="0" w:after="120"/>
        <w:ind w:left="714" w:hanging="357"/>
        <w:rPr>
          <w:lang w:val="fr-FR"/>
        </w:rPr>
      </w:pPr>
      <w:r>
        <w:rPr>
          <w:lang w:val="fr-FR"/>
        </w:rPr>
        <w:t>La protection nécessaire des ouvrages ;</w:t>
      </w:r>
    </w:p>
    <w:p>
      <w:pPr>
        <w:pStyle w:val="Titre4"/>
        <w:rPr/>
      </w:pPr>
      <w:bookmarkStart w:id="122" w:name="_Toc32334549"/>
      <w:r>
        <w:rPr/>
        <w:t>Mobiliers provisoires</w:t>
      </w:r>
      <w:bookmarkEnd w:id="122"/>
    </w:p>
    <w:p>
      <w:pPr>
        <w:pStyle w:val="TEXTE"/>
        <w:spacing w:before="200" w:after="120"/>
        <w:rPr/>
      </w:pPr>
      <w:r>
        <w:rPr/>
        <w:t>Les principales prestations à réaliser au titre du projet concernent l’installation des mobiliers, du mur d’image et du matériel de climatisation de la salle d’exploitation provisoire, elles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 ; </w:t>
      </w:r>
    </w:p>
    <w:p>
      <w:pPr>
        <w:pStyle w:val="P1"/>
        <w:numPr>
          <w:ilvl w:val="0"/>
          <w:numId w:val="28"/>
        </w:numPr>
        <w:tabs>
          <w:tab w:val="clear" w:pos="8789"/>
        </w:tabs>
        <w:spacing w:before="0" w:after="120"/>
        <w:ind w:left="714" w:hanging="357"/>
        <w:rPr>
          <w:lang w:val="fr-FR"/>
        </w:rPr>
      </w:pPr>
      <w:r>
        <w:rPr>
          <w:lang w:val="fr-FR"/>
        </w:rPr>
        <w:t>Le démontage et le déplacement à l’intérieur du bâtiment des mobiliers en place ;</w:t>
      </w:r>
    </w:p>
    <w:p>
      <w:pPr>
        <w:pStyle w:val="P1"/>
        <w:numPr>
          <w:ilvl w:val="0"/>
          <w:numId w:val="28"/>
        </w:numPr>
        <w:tabs>
          <w:tab w:val="clear" w:pos="8789"/>
        </w:tabs>
        <w:spacing w:before="0" w:after="120"/>
        <w:ind w:left="714" w:hanging="357"/>
        <w:rPr>
          <w:lang w:val="fr-FR"/>
        </w:rPr>
      </w:pPr>
      <w:r>
        <w:rPr>
          <w:lang w:val="fr-FR"/>
        </w:rPr>
        <w:t>Le transport sur le site, le déchargement des équipements fournis par la DiRIF ;</w:t>
      </w:r>
    </w:p>
    <w:p>
      <w:pPr>
        <w:pStyle w:val="P1"/>
        <w:numPr>
          <w:ilvl w:val="0"/>
          <w:numId w:val="28"/>
        </w:numPr>
        <w:tabs>
          <w:tab w:val="clear" w:pos="8789"/>
        </w:tabs>
        <w:spacing w:before="0" w:after="120"/>
        <w:ind w:left="714" w:hanging="357"/>
        <w:rPr>
          <w:lang w:val="fr-FR"/>
        </w:rPr>
      </w:pPr>
      <w:r>
        <w:rPr>
          <w:lang w:val="fr-FR"/>
        </w:rPr>
        <w:t>La manutention, le montage et la mise en place des pupitres y compris l’installation et le  raccordement des prises de service, des prises réseau et télécommunication, des interfaces, des supports d’écrans, des écrans, des UC, des claviers, des téléphones, fax, platines, etc … ;</w:t>
      </w:r>
    </w:p>
    <w:p>
      <w:pPr>
        <w:pStyle w:val="P1"/>
        <w:numPr>
          <w:ilvl w:val="0"/>
          <w:numId w:val="28"/>
        </w:numPr>
        <w:tabs>
          <w:tab w:val="clear" w:pos="8789"/>
        </w:tabs>
        <w:spacing w:before="0" w:after="120"/>
        <w:ind w:left="714" w:hanging="357"/>
        <w:rPr>
          <w:lang w:val="fr-FR"/>
        </w:rPr>
      </w:pPr>
      <w:r>
        <w:rPr>
          <w:lang w:val="fr-FR"/>
        </w:rPr>
        <w:t>Les interventions sur le site en plusieurs fois, suivant les nécessités du planning ;</w:t>
      </w:r>
    </w:p>
    <w:p>
      <w:pPr>
        <w:pStyle w:val="P1"/>
        <w:numPr>
          <w:ilvl w:val="0"/>
          <w:numId w:val="28"/>
        </w:numPr>
        <w:tabs>
          <w:tab w:val="clear" w:pos="8789"/>
        </w:tabs>
        <w:spacing w:before="0" w:after="120"/>
        <w:ind w:left="714" w:hanging="357"/>
        <w:jc w:val="left"/>
        <w:rPr>
          <w:lang w:val="fr-FR"/>
        </w:rPr>
      </w:pPr>
      <w:r>
        <w:rPr>
          <w:lang w:val="fr-FR"/>
        </w:rPr>
        <w:t>Les retouches de finition ;</w:t>
      </w:r>
    </w:p>
    <w:p>
      <w:pPr>
        <w:pStyle w:val="P1"/>
        <w:numPr>
          <w:ilvl w:val="0"/>
          <w:numId w:val="28"/>
        </w:numPr>
        <w:tabs>
          <w:tab w:val="clear" w:pos="8789"/>
        </w:tabs>
        <w:spacing w:before="0" w:after="120"/>
        <w:ind w:left="714" w:hanging="357"/>
        <w:rPr>
          <w:lang w:val="fr-FR"/>
        </w:rPr>
      </w:pPr>
      <w:r>
        <w:rPr>
          <w:lang w:val="fr-FR"/>
        </w:rPr>
        <w:t>La protection nécessaire des ouvrages avant leur réception ;</w:t>
      </w:r>
    </w:p>
    <w:p>
      <w:pPr>
        <w:pStyle w:val="P1"/>
        <w:numPr>
          <w:ilvl w:val="0"/>
          <w:numId w:val="28"/>
        </w:numPr>
        <w:tabs>
          <w:tab w:val="clear" w:pos="8789"/>
        </w:tabs>
        <w:spacing w:before="0" w:after="120"/>
        <w:ind w:left="714" w:hanging="357"/>
        <w:rPr>
          <w:lang w:val="fr-FR"/>
        </w:rPr>
      </w:pPr>
      <w:r>
        <w:rPr>
          <w:lang w:val="fr-FR"/>
        </w:rPr>
        <w:t xml:space="preserve">La dépose, l’évacuation et le stockage dans les locaux de l’Entrepreneur des installations provisoires </w:t>
      </w:r>
      <w:r>
        <w:rPr>
          <w:rFonts w:cs="Arial"/>
        </w:rPr>
        <w:t>;</w:t>
      </w:r>
    </w:p>
    <w:p>
      <w:pPr>
        <w:pStyle w:val="P1"/>
        <w:numPr>
          <w:ilvl w:val="0"/>
          <w:numId w:val="28"/>
        </w:numPr>
        <w:tabs>
          <w:tab w:val="clear" w:pos="8789"/>
        </w:tabs>
        <w:spacing w:before="0" w:after="120"/>
        <w:ind w:left="714" w:hanging="357"/>
        <w:rPr>
          <w:lang w:val="fr-FR"/>
        </w:rPr>
      </w:pPr>
      <w:bookmarkStart w:id="123" w:name="_Toc376788970"/>
      <w:bookmarkStart w:id="124" w:name="_Toc376783150"/>
      <w:bookmarkStart w:id="125" w:name="_Toc376781696"/>
      <w:bookmarkStart w:id="126" w:name="_Toc376788969"/>
      <w:bookmarkStart w:id="127" w:name="_Toc376783149"/>
      <w:bookmarkStart w:id="128" w:name="_Toc376781695"/>
      <w:bookmarkEnd w:id="123"/>
      <w:bookmarkEnd w:id="124"/>
      <w:bookmarkEnd w:id="125"/>
      <w:bookmarkEnd w:id="126"/>
      <w:bookmarkEnd w:id="127"/>
      <w:bookmarkEnd w:id="128"/>
      <w:r>
        <w:rPr/>
        <w:t>Le nettoyage des lieux.</w:t>
      </w:r>
    </w:p>
    <w:p>
      <w:pPr>
        <w:pStyle w:val="Titre4"/>
        <w:rPr/>
      </w:pPr>
      <w:bookmarkStart w:id="129" w:name="_Toc32334550"/>
      <w:r>
        <w:rPr/>
        <w:t>Equipements annexes</w:t>
      </w:r>
      <w:bookmarkEnd w:id="129"/>
    </w:p>
    <w:p>
      <w:pPr>
        <w:pStyle w:val="Corpsdetexte"/>
        <w:rPr/>
      </w:pPr>
      <w:r>
        <w:rPr/>
        <w:t>Les petits équipements annexes tels qu’horloge, porte-manteaux, poubelles seront approvisionnés directement par la DiRIF et installés par le Titulaire du présent marché pour les périodes d’exploitation provisoire et définitive.</w:t>
      </w:r>
    </w:p>
    <w:p>
      <w:pPr>
        <w:pStyle w:val="Titre2"/>
        <w:tabs>
          <w:tab w:val="clear" w:pos="0"/>
          <w:tab w:val="clear" w:pos="8789"/>
          <w:tab w:val="left" w:pos="426" w:leader="none"/>
        </w:tabs>
        <w:ind w:left="0" w:hanging="0"/>
        <w:rPr/>
      </w:pPr>
      <w:bookmarkStart w:id="130" w:name="_Toc32334551"/>
      <w:r>
        <w:rPr/>
        <w:t>Distribution électrique</w:t>
      </w:r>
      <w:bookmarkEnd w:id="130"/>
    </w:p>
    <w:p>
      <w:pPr>
        <w:pStyle w:val="Titre3"/>
        <w:rPr/>
      </w:pPr>
      <w:bookmarkStart w:id="131" w:name="_Toc374617847"/>
      <w:bookmarkStart w:id="132" w:name="_Toc32334552"/>
      <w:bookmarkStart w:id="133" w:name="_Toc401219075"/>
      <w:r>
        <w:rPr/>
        <w:t>Présentation des installations existantes</w:t>
      </w:r>
      <w:bookmarkEnd w:id="132"/>
      <w:bookmarkEnd w:id="133"/>
    </w:p>
    <w:p>
      <w:pPr>
        <w:pStyle w:val="Corpsdetexte"/>
        <w:rPr/>
      </w:pPr>
      <w:r>
        <w:rPr/>
        <w:t>La distribution est assurée à partir de deux postes de distribution EDF situés dans la culée du viaduc de Carrières-sur-Seine nord et sud.</w:t>
      </w:r>
    </w:p>
    <w:p>
      <w:pPr>
        <w:pStyle w:val="Corpsdetexte"/>
        <w:rPr/>
      </w:pPr>
      <w:r>
        <w:rPr/>
        <w:t>Ces trois sources distinctes sont gérées par un automate TSX17 qui selon son programme assure les basculements automatiques en fonction des manques de tension de telle ou telle arrivée ou le démarrage du groupe le cas échéant.</w:t>
      </w:r>
    </w:p>
    <w:p>
      <w:pPr>
        <w:pStyle w:val="Corpsdetexte"/>
        <w:rPr/>
      </w:pPr>
      <w:r>
        <w:rPr/>
        <w:t>Deux transformateurs assurent une possible redondance mutuelle.</w:t>
      </w:r>
    </w:p>
    <w:p>
      <w:pPr>
        <w:pStyle w:val="Corpsdetexte"/>
        <w:rPr/>
      </w:pPr>
      <w:r>
        <w:rPr/>
        <w:t>Un groupe électrogène d’une puissance convenable de 330 kVA existe à l’extérieur du bâtiment, il assure le maintien en énergie, le temps d’un basculement par ERDF.</w:t>
      </w:r>
    </w:p>
    <w:p>
      <w:pPr>
        <w:pStyle w:val="Corpsdetexte"/>
        <w:rPr/>
      </w:pPr>
      <w:r>
        <w:rPr/>
        <w:t xml:space="preserve">Un onduleur existe au sous-sol du bâtiment, dans le local contigu aux TGBT. L’onduleur est destiné à assurer l’alimentation des équipements indispensables en cas de perte ERDF et de non démarrage du groupe électrogène. L’onduleur dispose d’une autonomie de l’ordre de 10 minutes. </w:t>
      </w:r>
      <w:r>
        <w:rPr>
          <w:bCs/>
          <w:iCs/>
        </w:rPr>
        <w:t>Du fait de la sécurisation de l’architecture HT/BT (arrivée ERDF double dérivation et Groupe électrogène), la probabilité de fonctionnement sur batterie après une anomalie des 2 artères ERDF et le non démarrage du groupe électrogène est très faible.</w:t>
      </w:r>
    </w:p>
    <w:p>
      <w:pPr>
        <w:pStyle w:val="TEXTE"/>
        <w:rPr/>
      </w:pPr>
      <w:r>
        <w:rPr/>
        <w:t>Le diagnostic a permis d’identifier quelques points faibles de la distribution électrique existante ci-après listés :</w:t>
      </w:r>
    </w:p>
    <w:p>
      <w:pPr>
        <w:pStyle w:val="Corpsdetexte"/>
        <w:numPr>
          <w:ilvl w:val="0"/>
          <w:numId w:val="19"/>
        </w:numPr>
        <w:ind w:left="720" w:hanging="360"/>
        <w:rPr/>
      </w:pPr>
      <w:r>
        <w:rPr/>
        <w:t>Les deux transformateurs à huile de 800kVA situés dans le local TGBT ne possèdent pas de bacs de rétention des huiles et de fait ne respectent pas le Code de l'environnement. Ce code impose la mise en place d’un bac de rétention permettant une capacité de rétention de 100% du diélectrique.</w:t>
      </w:r>
    </w:p>
    <w:p>
      <w:pPr>
        <w:pStyle w:val="Corpsdetexte"/>
        <w:numPr>
          <w:ilvl w:val="0"/>
          <w:numId w:val="19"/>
        </w:numPr>
        <w:ind w:left="720" w:hanging="360"/>
        <w:rPr/>
      </w:pPr>
      <w:r>
        <w:rPr/>
        <w:t>Un mauvais sertissage a été relevé sur un départ du TGBT Normal, le neutre n’étant plus raccordé au disjoncteur. La rupture de neutre peut avoir de graves conséquences.</w:t>
      </w:r>
    </w:p>
    <w:p>
      <w:pPr>
        <w:pStyle w:val="Corpsdetexte"/>
        <w:numPr>
          <w:ilvl w:val="0"/>
          <w:numId w:val="19"/>
        </w:numPr>
        <w:ind w:left="720" w:hanging="360"/>
        <w:rPr/>
      </w:pPr>
      <w:r>
        <w:rPr/>
        <w:t>Dans les gaines des TGBT il manque des plastrons de protection IP2X assurant la protection contre les contacts directs sur les pièces nues.</w:t>
      </w:r>
    </w:p>
    <w:p>
      <w:pPr>
        <w:pStyle w:val="Corpsdetexte"/>
        <w:numPr>
          <w:ilvl w:val="0"/>
          <w:numId w:val="19"/>
        </w:numPr>
        <w:ind w:left="720" w:hanging="360"/>
        <w:rPr/>
      </w:pPr>
      <w:r>
        <w:rPr/>
        <w:t>Le local onduleur ne semble pas équipé d’extraction d’air lié à la présence de batterie comme le spécifie la réglementation.</w:t>
      </w:r>
    </w:p>
    <w:p>
      <w:pPr>
        <w:pStyle w:val="Titre3"/>
        <w:rPr/>
      </w:pPr>
      <w:r>
        <w:rPr/>
        <w:t> </w:t>
      </w:r>
      <w:bookmarkStart w:id="134" w:name="_Toc32334553"/>
      <w:r>
        <w:rPr/>
        <w:t>Identification des liaisons existantes</w:t>
      </w:r>
      <w:bookmarkEnd w:id="134"/>
    </w:p>
    <w:p>
      <w:pPr>
        <w:pStyle w:val="TEXTE"/>
        <w:rPr>
          <w:rFonts w:eastAsia="Calibri" w:eastAsiaTheme="minorHAnsi"/>
        </w:rPr>
      </w:pPr>
      <w:r>
        <w:rPr/>
        <w:t>Le câblage du bâtiment a été réalisé en plusieurs phases, étalées dans le temps et par des entreprises différentes. Ces câblages ne sont pas documentés ou très partiellement.</w:t>
      </w:r>
    </w:p>
    <w:p>
      <w:pPr>
        <w:pStyle w:val="TEXTE"/>
        <w:rPr/>
      </w:pPr>
      <w:r>
        <w:rPr/>
        <w:t>Au titre du présent projet, et ce avant le début des travaux proprement dits, toutes les liaisons existantes (réseau et téléphonique) devront être identifiées et repérées à chaque extrémité par un étiquetage conforme à la spécification G1. Les câbles qui ne sont plus utilisés ou qui seront abandonnés suite aux réaménagements prévus dans le cadre du projet, devront être déposés (jusqu'aux deux extrémités) et évacués en décharge.</w:t>
      </w:r>
    </w:p>
    <w:p>
      <w:pPr>
        <w:pStyle w:val="TEXTE"/>
        <w:rPr/>
      </w:pPr>
      <w:r>
        <w:rPr/>
        <w:t>Sur la base des relevés qu'il aura réalisés, l’Entrepreneur devra proposer au Maître d'œuvre, un tableau récapitulatif des liaisons (origine et extrémité) et une liste de câbles qui peuvent être déposés, soit parce qu'ils ne sont plus utilisés, soit parce qu'ils seront abandonnés au titre des réaménagements prévus.</w:t>
      </w:r>
    </w:p>
    <w:p>
      <w:pPr>
        <w:pStyle w:val="TEXTE"/>
        <w:rPr/>
      </w:pPr>
      <w:r>
        <w:rPr/>
        <w:t>Pour faciliter les identifications, des schémas d'architecture (câbles de liaisons entre les bâtiments, distribution téléphonique du bâtiment C) sont fournis dans le dossier de plans. Ces schémas peuvent ne pas être exhaustifs au niveau du nombre de liaisons mais serviront de base aux identifications.</w:t>
      </w:r>
    </w:p>
    <w:p>
      <w:pPr>
        <w:pStyle w:val="Titre3"/>
        <w:rPr/>
      </w:pPr>
      <w:bookmarkStart w:id="135" w:name="_Toc374617847"/>
      <w:bookmarkStart w:id="136" w:name="_Toc32334554"/>
      <w:bookmarkStart w:id="137" w:name="_Toc401219076"/>
      <w:r>
        <w:rPr/>
        <w:t>Distribution haute tension</w:t>
      </w:r>
      <w:bookmarkEnd w:id="135"/>
      <w:bookmarkEnd w:id="136"/>
      <w:bookmarkEnd w:id="137"/>
    </w:p>
    <w:p>
      <w:pPr>
        <w:pStyle w:val="Corpsdetexte"/>
        <w:rPr/>
      </w:pPr>
      <w:r>
        <w:rPr/>
        <w:t>Il n’y a pas de modifications de l’architecture électrique haute tension prévue dans le cadre du présent projet. À la suite des travaux basse tension des tests seront effectués pour vérifier le bon fonctionnement des organes de basculement des sources d’énergie (HT, groupe électrogène, onduleur).</w:t>
      </w:r>
    </w:p>
    <w:p>
      <w:pPr>
        <w:pStyle w:val="Titre3"/>
        <w:rPr/>
      </w:pPr>
      <w:bookmarkStart w:id="138" w:name="_Toc32334555"/>
      <w:bookmarkStart w:id="139" w:name="_Toc374617848"/>
      <w:bookmarkStart w:id="140" w:name="_Toc401219077"/>
      <w:r>
        <w:rPr/>
        <w:t>Distribution basse tension</w:t>
      </w:r>
      <w:bookmarkEnd w:id="138"/>
      <w:bookmarkEnd w:id="139"/>
      <w:bookmarkEnd w:id="140"/>
    </w:p>
    <w:p>
      <w:pPr>
        <w:pStyle w:val="Corpsdetexte"/>
        <w:rPr/>
      </w:pPr>
      <w:r>
        <w:rPr/>
        <w:t>Le TGBT existant est situé au sous-sol du bâtiment, il permet la distribution des différents réseaux de distribution électrique présents :</w:t>
      </w:r>
    </w:p>
    <w:p>
      <w:pPr>
        <w:pStyle w:val="Corpsdetexte"/>
        <w:numPr>
          <w:ilvl w:val="0"/>
          <w:numId w:val="106"/>
        </w:numPr>
        <w:rPr/>
      </w:pPr>
      <w:r>
        <w:rPr/>
        <w:t>Réseau normal dont l’origine est le réseau de distribution ERDF.</w:t>
      </w:r>
    </w:p>
    <w:p>
      <w:pPr>
        <w:pStyle w:val="Corpsdetexte"/>
        <w:numPr>
          <w:ilvl w:val="0"/>
          <w:numId w:val="106"/>
        </w:numPr>
        <w:rPr/>
      </w:pPr>
      <w:r>
        <w:rPr/>
        <w:t>Réseau secouru qui est alimenté par un groupe électrogène en cas d’absence ERDF.</w:t>
      </w:r>
    </w:p>
    <w:p>
      <w:pPr>
        <w:pStyle w:val="Corpsdetexte"/>
        <w:numPr>
          <w:ilvl w:val="0"/>
          <w:numId w:val="106"/>
        </w:numPr>
        <w:rPr/>
      </w:pPr>
      <w:r>
        <w:rPr/>
        <w:t>Réseau stabilisé issu d’un onduleur via un transformateur qui permet de fixer le régime de neutre (neutre impédant, point milieu relié à la terre au travers d’une résistance).</w:t>
      </w:r>
    </w:p>
    <w:p>
      <w:pPr>
        <w:pStyle w:val="TEXTE"/>
        <w:rPr/>
      </w:pPr>
      <w:r>
        <w:rPr/>
        <w:t xml:space="preserve">L’ensemble des TGBT du local ne nécessite pas d’intervention de rénovation particulière, seuls quelques compléments d’étiquetage, de plastrons, seront nécessaires. </w:t>
      </w:r>
    </w:p>
    <w:p>
      <w:pPr>
        <w:pStyle w:val="Titre3"/>
        <w:rPr/>
      </w:pPr>
      <w:bookmarkStart w:id="141" w:name="_Toc32334556"/>
      <w:r>
        <w:rPr/>
        <w:t>Solution proposée</w:t>
      </w:r>
      <w:bookmarkEnd w:id="141"/>
    </w:p>
    <w:p>
      <w:pPr>
        <w:pStyle w:val="TEXTE"/>
        <w:rPr/>
      </w:pPr>
      <w:r>
        <w:rPr/>
        <w:t>L’ensemble des TGBT du local ne nécessite pas d’intervention de rénovation particulière, seuls quelques compléments d’étiquetage, de plastrons, seront nécessaires.</w:t>
      </w:r>
    </w:p>
    <w:p>
      <w:pPr>
        <w:pStyle w:val="Titre3"/>
        <w:rPr/>
      </w:pPr>
      <w:bookmarkStart w:id="142" w:name="_Toc32334557"/>
      <w:bookmarkStart w:id="143" w:name="_Toc401219079"/>
      <w:r>
        <w:rPr/>
        <w:t>Distribution électrique du 1er niveau du bâtiment</w:t>
      </w:r>
      <w:bookmarkEnd w:id="142"/>
      <w:bookmarkEnd w:id="143"/>
    </w:p>
    <w:p>
      <w:pPr>
        <w:pStyle w:val="Titre4"/>
        <w:keepNext w:val="false"/>
        <w:tabs>
          <w:tab w:val="clear" w:pos="0"/>
          <w:tab w:val="clear" w:pos="8789"/>
          <w:tab w:val="left" w:pos="1276" w:leader="none"/>
        </w:tabs>
        <w:spacing w:before="240" w:after="120"/>
        <w:ind w:left="1276" w:hanging="1276"/>
        <w:jc w:val="both"/>
        <w:rPr/>
      </w:pPr>
      <w:bookmarkStart w:id="144" w:name="_Toc32334558"/>
      <w:r>
        <w:rPr/>
        <w:t>Situation existante</w:t>
      </w:r>
      <w:bookmarkEnd w:id="144"/>
    </w:p>
    <w:p>
      <w:pPr>
        <w:pStyle w:val="Corpsdetexte"/>
        <w:rPr>
          <w:bCs/>
          <w:iCs/>
        </w:rPr>
      </w:pPr>
      <w:r>
        <w:rPr>
          <w:bCs/>
          <w:iCs/>
        </w:rPr>
        <w:t>Il existe 2 armoires de distribution alimentant les différents équipements de la salle d’exploitation. Ces armoires se situent dans le local attenant à la salle d’exploitation dont l’accès est situé à l’arrière du mur d’image. Elles permettent la distribution des réseaux secouru et stabilisé.</w:t>
      </w:r>
    </w:p>
    <w:p>
      <w:pPr>
        <w:pStyle w:val="Corpsdetexte"/>
        <w:rPr/>
      </w:pPr>
      <w:r>
        <w:rPr>
          <w:bCs/>
          <w:iCs/>
        </w:rPr>
        <w:t>Les équipements alimentés par ces armoires sont les postes opérateurs du pupitre ainsi que le mur d’image de la salle d’exploitation. Quelques départs ont été modifiés en utilisant des disjoncteurs de réserves, d’autres ont été réutilisés pour le mur d’image sans mettre à jour les plans de l’armoire.</w:t>
      </w:r>
    </w:p>
    <w:p>
      <w:pPr>
        <w:pStyle w:val="Titre4"/>
        <w:keepNext w:val="false"/>
        <w:tabs>
          <w:tab w:val="clear" w:pos="0"/>
          <w:tab w:val="clear" w:pos="8789"/>
          <w:tab w:val="left" w:pos="1276" w:leader="none"/>
        </w:tabs>
        <w:spacing w:before="240" w:after="120"/>
        <w:ind w:left="1276" w:hanging="1276"/>
        <w:jc w:val="both"/>
        <w:rPr/>
      </w:pPr>
      <w:bookmarkStart w:id="145" w:name="_Toc32334559"/>
      <w:r>
        <w:rPr/>
        <w:t>Solution proposée</w:t>
      </w:r>
      <w:bookmarkEnd w:id="145"/>
    </w:p>
    <w:p>
      <w:pPr>
        <w:pStyle w:val="TEXTE"/>
        <w:rPr/>
      </w:pPr>
      <w:r>
        <w:rPr/>
        <w:t>Nous proposons de remplacer ces armoires qui ne possèdent pas les bonnes protections, qui sont vieillissantes mais surtout qui ne permettent pas de modifications (ajout de départs par exemple) sans coupure d’exploitation significative. Tous les départs de la nouvelle zone d’exploitation seront issus de ces deux armoires.</w:t>
      </w:r>
    </w:p>
    <w:p>
      <w:pPr>
        <w:pStyle w:val="TEXTE"/>
        <w:rPr/>
      </w:pPr>
      <w:r>
        <w:rPr/>
        <w:t>Ces armoires seront installées dans la zone technique située proximité du mur d’image. Cet unique point d’alimentation électrique permettra une bonne fiabilisation de ce domaine et la proximité des organes de coupure facilitera la maintenance.</w:t>
      </w:r>
    </w:p>
    <w:p>
      <w:pPr>
        <w:pStyle w:val="Titre3"/>
        <w:rPr/>
      </w:pPr>
      <w:bookmarkStart w:id="146" w:name="_Toc32334560"/>
      <w:r>
        <w:rPr/>
        <w:t>Consistance des travaux d’alimentation électrique</w:t>
      </w:r>
      <w:bookmarkEnd w:id="146"/>
    </w:p>
    <w:p>
      <w:pPr>
        <w:pStyle w:val="TEXTE"/>
        <w:spacing w:before="200" w:after="120"/>
        <w:rPr/>
      </w:pPr>
      <w:r>
        <w:rPr/>
        <w:t>Les principales prestations à réaliser au titre du projet comprennent :</w:t>
      </w:r>
    </w:p>
    <w:p>
      <w:pPr>
        <w:pStyle w:val="F3"/>
        <w:numPr>
          <w:ilvl w:val="0"/>
          <w:numId w:val="89"/>
        </w:numPr>
        <w:rPr/>
      </w:pPr>
      <w:r>
        <w:rPr/>
        <w:t>L’identification des liaisons existantes,</w:t>
      </w:r>
    </w:p>
    <w:p>
      <w:pPr>
        <w:pStyle w:val="F3"/>
        <w:numPr>
          <w:ilvl w:val="0"/>
          <w:numId w:val="89"/>
        </w:numPr>
        <w:rPr/>
      </w:pPr>
      <w:r>
        <w:rPr/>
        <w:t>La dépose des deux armoires existantes au premier étage y compris les câbles d’alimentation.</w:t>
      </w:r>
    </w:p>
    <w:p>
      <w:pPr>
        <w:pStyle w:val="F3"/>
        <w:numPr>
          <w:ilvl w:val="0"/>
          <w:numId w:val="89"/>
        </w:numPr>
        <w:rPr/>
      </w:pPr>
      <w:r>
        <w:rPr/>
        <w:t>La fourniture, la pose, et le raccordement de trois armoires dans le local technique situé à côté du mur d’image.</w:t>
      </w:r>
    </w:p>
    <w:p>
      <w:pPr>
        <w:pStyle w:val="F3"/>
        <w:numPr>
          <w:ilvl w:val="0"/>
          <w:numId w:val="89"/>
        </w:numPr>
        <w:rPr/>
      </w:pPr>
      <w:r>
        <w:rPr/>
        <w:t>La fourniture, la pose, et le raccordement des câbles d’alimentations des nouvelles armoires.</w:t>
      </w:r>
    </w:p>
    <w:p>
      <w:pPr>
        <w:pStyle w:val="F3"/>
        <w:numPr>
          <w:ilvl w:val="0"/>
          <w:numId w:val="89"/>
        </w:numPr>
        <w:rPr/>
      </w:pPr>
      <w:r>
        <w:rPr/>
        <w:t>La fourniture, la pose, et le raccordement des prises électriques y compris les câbles.</w:t>
      </w:r>
    </w:p>
    <w:p>
      <w:pPr>
        <w:pStyle w:val="Titre2"/>
        <w:tabs>
          <w:tab w:val="clear" w:pos="0"/>
          <w:tab w:val="clear" w:pos="8789"/>
          <w:tab w:val="left" w:pos="426" w:leader="none"/>
        </w:tabs>
        <w:ind w:left="0" w:hanging="0"/>
        <w:rPr/>
      </w:pPr>
      <w:bookmarkStart w:id="147" w:name="_Toc32334561"/>
      <w:r>
        <w:rPr/>
        <w:t>Réseaux téléphoniques et informatiques</w:t>
      </w:r>
      <w:bookmarkEnd w:id="147"/>
    </w:p>
    <w:p>
      <w:pPr>
        <w:pStyle w:val="Titre3"/>
        <w:rPr/>
      </w:pPr>
      <w:bookmarkStart w:id="148" w:name="_Toc32334562"/>
      <w:bookmarkStart w:id="149" w:name="_Toc420929126"/>
      <w:r>
        <w:rPr/>
        <w:t>Présentation des installations DiRIF existantes</w:t>
      </w:r>
      <w:bookmarkEnd w:id="148"/>
      <w:bookmarkEnd w:id="149"/>
    </w:p>
    <w:p>
      <w:pPr>
        <w:pStyle w:val="Corpsdetexte"/>
        <w:rPr/>
      </w:pPr>
      <w:r>
        <w:rPr/>
        <w:t>Le présent paragraphe a pour objet d’identifier l’ensemble des systèmes existants.</w:t>
      </w:r>
    </w:p>
    <w:p>
      <w:pPr>
        <w:pStyle w:val="Corpsdetexte"/>
        <w:rPr/>
      </w:pPr>
      <w:r>
        <w:rPr/>
        <w:t xml:space="preserve">Bien que l’opération de réaménagement du PCTT ne prévoie pas de modification ou de complément sur les installations existantes, les modalités de déplacement et de basculements des équipements RTHD devront être appropriées : celles-ci sont détaillées dans la suite du document afin de s’assurer dans la conception, que toutes les mesures nécessaires à la continuité des activités du PCTT ont été identifiées et prises en compte. </w:t>
      </w:r>
    </w:p>
    <w:p>
      <w:pPr>
        <w:pStyle w:val="Corpsdetexte"/>
        <w:rPr/>
      </w:pPr>
      <w:r>
        <w:rPr/>
        <w:t>Les dispositions préalables aux déplacements d’équipements sont prévues et détaillées pour chaque système dans le chapitre relatif à continuité d’exploitation.</w:t>
      </w:r>
    </w:p>
    <w:p>
      <w:pPr>
        <w:pStyle w:val="Corpsdetexte"/>
        <w:rPr/>
      </w:pPr>
      <w:r>
        <w:rPr/>
        <w:t>Le projet de virtualisation aura un impact mineur sur les modalités de transfert de fonctionnement des équipements de la salle d’origine, provisoire et définitive.</w:t>
      </w:r>
    </w:p>
    <w:p>
      <w:pPr>
        <w:pStyle w:val="Corpsdetexte"/>
        <w:rPr/>
      </w:pPr>
      <w:r>
        <w:rPr/>
        <w:t>Les installations existantes sont assez hétérogènes, car elles ont été déployées lors de différentes phases d’installation (SIRIUS EST, SIRIUS OUEST, Tunnels, etc.). Les articles ci-après décrivent par thème technique, le détail des installations existantes, les systèmes de soutien et les raccordements entre systèmes.</w:t>
      </w:r>
    </w:p>
    <w:p>
      <w:pPr>
        <w:pStyle w:val="Corpsdetexte"/>
        <w:spacing w:before="200" w:after="120"/>
        <w:rPr>
          <w:rFonts w:cs="Arial"/>
        </w:rPr>
      </w:pPr>
      <w:r>
        <w:rPr>
          <w:rFonts w:cs="Arial"/>
        </w:rPr>
        <w:t>Il existe plusieurs réseaux distribués au PCTT, ils sont listés ci-après :</w:t>
      </w:r>
    </w:p>
    <w:p>
      <w:pPr>
        <w:pStyle w:val="Corpsdetexte"/>
        <w:numPr>
          <w:ilvl w:val="0"/>
          <w:numId w:val="85"/>
        </w:numPr>
        <w:spacing w:before="0" w:after="120"/>
        <w:ind w:left="714" w:hanging="357"/>
        <w:rPr/>
      </w:pPr>
      <w:r>
        <w:rPr/>
        <w:t>Réseau bureautique destiné à la connexion des postes opérateurs ayant notamment un accès à internet et aux outils bureautique classiques ;</w:t>
      </w:r>
    </w:p>
    <w:p>
      <w:pPr>
        <w:pStyle w:val="Corpsdetexte"/>
        <w:numPr>
          <w:ilvl w:val="0"/>
          <w:numId w:val="85"/>
        </w:numPr>
        <w:spacing w:before="0" w:after="120"/>
        <w:ind w:left="714" w:hanging="357"/>
        <w:rPr/>
      </w:pPr>
      <w:r>
        <w:rPr/>
        <w:t>Réseau technique destiné aux machines techniques sensibles (postes SIRIUS2, GTC hors GTC IDF, etc.) ;</w:t>
      </w:r>
    </w:p>
    <w:p>
      <w:pPr>
        <w:pStyle w:val="Corpsdetexte"/>
        <w:numPr>
          <w:ilvl w:val="0"/>
          <w:numId w:val="85"/>
        </w:numPr>
        <w:spacing w:before="0" w:after="120"/>
        <w:ind w:left="714" w:hanging="357"/>
        <w:rPr/>
      </w:pPr>
      <w:r>
        <w:rPr/>
        <w:t>Réseau RTHD déployé à l’occasion de la mise en conformité des tunnels qui est utilisé pour le rapatriement au PCTT de toutes les images tunnels, à la connexion des machines techniques déployées lors de cette opération : postes GTC IDF, Système Informatique Vidéo (SIV), etc ;</w:t>
      </w:r>
    </w:p>
    <w:p>
      <w:pPr>
        <w:pStyle w:val="Corpsdetexte"/>
        <w:numPr>
          <w:ilvl w:val="0"/>
          <w:numId w:val="85"/>
        </w:numPr>
        <w:spacing w:before="0" w:after="120"/>
        <w:ind w:left="714" w:hanging="357"/>
        <w:rPr/>
      </w:pPr>
      <w:r>
        <w:rPr/>
        <w:t>Réseau contrôle d’accès ;</w:t>
      </w:r>
    </w:p>
    <w:p>
      <w:pPr>
        <w:pStyle w:val="Corpsdetexte"/>
        <w:numPr>
          <w:ilvl w:val="0"/>
          <w:numId w:val="85"/>
        </w:numPr>
        <w:spacing w:before="0" w:after="120"/>
        <w:ind w:left="714" w:hanging="357"/>
        <w:rPr/>
      </w:pPr>
      <w:r>
        <w:rPr/>
        <w:t>Réseau spécifique GTC, encore utilisé mais devrait être amené à disparaître ;</w:t>
      </w:r>
    </w:p>
    <w:p>
      <w:pPr>
        <w:pStyle w:val="Corpsdetexte"/>
        <w:numPr>
          <w:ilvl w:val="0"/>
          <w:numId w:val="82"/>
        </w:numPr>
        <w:rPr>
          <w:rFonts w:cs="Arial"/>
        </w:rPr>
      </w:pPr>
      <w:r>
        <w:rPr>
          <w:rFonts w:cs="Arial"/>
        </w:rPr>
        <w:t>Réseau RAU (spécifique).</w:t>
      </w:r>
    </w:p>
    <w:p>
      <w:pPr>
        <w:pStyle w:val="Corpsdetexte"/>
        <w:rPr/>
      </w:pPr>
      <w:r>
        <w:rPr/>
        <w:t>Les équipements centraux (cœur de réseau) sont situés dans la salle informatique au sous-sol du bâtiment. Des liaisons optiques permettent la distribution vers les équipements réseau installés dans le local technique mur d’images.</w:t>
      </w:r>
    </w:p>
    <w:p>
      <w:pPr>
        <w:pStyle w:val="Titre4"/>
        <w:rPr/>
      </w:pPr>
      <w:bookmarkStart w:id="150" w:name="_Toc32334563"/>
      <w:bookmarkStart w:id="151" w:name="_Toc420929127"/>
      <w:bookmarkStart w:id="152" w:name="_Toc372820391"/>
      <w:bookmarkStart w:id="153" w:name="_Toc376789003"/>
      <w:bookmarkStart w:id="154" w:name="_Toc376783183"/>
      <w:bookmarkEnd w:id="153"/>
      <w:bookmarkEnd w:id="154"/>
      <w:r>
        <w:rPr/>
        <w:t>Réseau bureautique</w:t>
      </w:r>
      <w:bookmarkEnd w:id="150"/>
      <w:bookmarkEnd w:id="151"/>
      <w:bookmarkEnd w:id="152"/>
    </w:p>
    <w:p>
      <w:pPr>
        <w:pStyle w:val="Corpsdetexte"/>
        <w:rPr/>
      </w:pPr>
      <w:r>
        <w:rPr/>
        <w:t>Le switch bureautique existant dans le local technique mur d’images permet le raccordement des équipements bureautique de la salle d’exploitation mais également des bureaux du premier étage. Les câblages sont assez hétérogènes car deux types principaux cohabitent :</w:t>
      </w:r>
    </w:p>
    <w:p>
      <w:pPr>
        <w:pStyle w:val="Corpsdetexte"/>
        <w:numPr>
          <w:ilvl w:val="0"/>
          <w:numId w:val="107"/>
        </w:numPr>
        <w:rPr/>
      </w:pPr>
      <w:r>
        <w:rPr/>
        <w:t>Du câblage réseau classique catégorie 6 ;</w:t>
      </w:r>
    </w:p>
    <w:p>
      <w:pPr>
        <w:pStyle w:val="Corpsdetexte"/>
        <w:numPr>
          <w:ilvl w:val="0"/>
          <w:numId w:val="107"/>
        </w:numPr>
        <w:rPr/>
      </w:pPr>
      <w:r>
        <w:rPr/>
        <w:t>Du câblage sur répartiteur téléphonique, le raccordement de la jarretière se fait par l’insertion d’une « sucette » dans le répartiteur téléphonique. La jarretière utilisée pour le raccordement des équipements contient donc une sucette à une extrémité et une RJ45 à l’autre.</w:t>
      </w:r>
    </w:p>
    <w:p>
      <w:pPr>
        <w:pStyle w:val="Corpsdetexte"/>
        <w:rPr/>
      </w:pPr>
      <w:r>
        <w:rPr/>
        <w:t>Des prises RJ 45 au pupitre installées lors de l’installation du RTHD, sont raccordées en étoile sur un panneau de brassage situé dans une baie du local technique mur d’images. Des jarretières entre les switchs et les panneaux de brassage permettent la connexion des machines au switch.</w:t>
      </w:r>
    </w:p>
    <w:p>
      <w:pPr>
        <w:pStyle w:val="Corpsdetexte"/>
        <w:rPr/>
      </w:pPr>
      <w:r>
        <w:rPr/>
        <w:t>Les postes suivants sont raccordés au réseau bureautique :</w:t>
      </w:r>
    </w:p>
    <w:p>
      <w:pPr>
        <w:pStyle w:val="Corpsdetexte"/>
        <w:numPr>
          <w:ilvl w:val="0"/>
          <w:numId w:val="83"/>
        </w:numPr>
        <w:rPr/>
      </w:pPr>
      <w:r>
        <w:rPr/>
        <w:t>Main courante (nommé également poste bureautique OST).</w:t>
      </w:r>
    </w:p>
    <w:p>
      <w:pPr>
        <w:pStyle w:val="Corpsdetexte"/>
        <w:numPr>
          <w:ilvl w:val="0"/>
          <w:numId w:val="83"/>
        </w:numPr>
        <w:rPr/>
      </w:pPr>
      <w:r>
        <w:rPr/>
        <w:t>Sytadin (en fait il s’agit d’une machine permettant d’afficher l’image SYTADIN sur le mur d’image, elle est dédiée à cette fonction mais il serait possible de l’utiliser pour d’autres usages car elle est connectée de fait à internet).</w:t>
      </w:r>
    </w:p>
    <w:p>
      <w:pPr>
        <w:pStyle w:val="Titre4"/>
        <w:rPr/>
      </w:pPr>
      <w:bookmarkStart w:id="155" w:name="_Toc32334564"/>
      <w:bookmarkStart w:id="156" w:name="_Toc420929128"/>
      <w:bookmarkStart w:id="157" w:name="_Toc372820392"/>
      <w:r>
        <w:rPr/>
        <w:t>Réseau technique</w:t>
      </w:r>
      <w:bookmarkEnd w:id="155"/>
      <w:bookmarkEnd w:id="156"/>
      <w:bookmarkEnd w:id="157"/>
    </w:p>
    <w:p>
      <w:pPr>
        <w:pStyle w:val="Corpsdetexte"/>
        <w:rPr/>
      </w:pPr>
      <w:r>
        <w:rPr/>
        <w:t>Comme cela a été indiqué précédemment, les principaux équipements du réseau technique (voir schéma joint en annexe au présent document) sont existants soit dans la salle informatique située au sous-sol du bâtiment (équipements principaux), soit dans le local technique mur d’images (switch permettant de raccorder les équipements de la salle d’exploitation.</w:t>
      </w:r>
    </w:p>
    <w:p>
      <w:pPr>
        <w:pStyle w:val="Corpsdetexte"/>
        <w:rPr/>
      </w:pPr>
      <w:r>
        <w:rPr/>
        <w:t>Ce réseau est important car contrairement au réseau bureautique des postes stratégiques y sont connectés.</w:t>
      </w:r>
    </w:p>
    <w:p>
      <w:pPr>
        <w:pStyle w:val="Corpsdetexte"/>
        <w:rPr/>
      </w:pPr>
      <w:r>
        <w:rPr/>
        <w:t>Côté salle d’exploitation des jarretières catégorie 6 assurent la connexion des machines aux prises RJ45, côté local technique mur d’images, des jarretières entre le switch technique et le panneau de brassage permettent la connexion des machines au réseau technique.</w:t>
      </w:r>
    </w:p>
    <w:p>
      <w:pPr>
        <w:pStyle w:val="Corpsdetexte"/>
        <w:rPr/>
      </w:pPr>
      <w:r>
        <w:rPr/>
        <w:t>Les postes suivants sont raccordés sur le réseau technique :</w:t>
      </w:r>
    </w:p>
    <w:p>
      <w:pPr>
        <w:pStyle w:val="Corpsdetexte"/>
        <w:numPr>
          <w:ilvl w:val="0"/>
          <w:numId w:val="85"/>
        </w:numPr>
        <w:rPr/>
      </w:pPr>
      <w:r>
        <w:rPr/>
        <w:t>Poste bi-écrans SIRIUS2.</w:t>
      </w:r>
    </w:p>
    <w:p>
      <w:pPr>
        <w:pStyle w:val="Corpsdetexte"/>
        <w:numPr>
          <w:ilvl w:val="0"/>
          <w:numId w:val="85"/>
        </w:numPr>
        <w:spacing w:before="0" w:after="120"/>
        <w:rPr/>
      </w:pPr>
      <w:r>
        <w:rPr/>
        <w:t>Poste mono écran SIRIUS2.</w:t>
      </w:r>
    </w:p>
    <w:p>
      <w:pPr>
        <w:pStyle w:val="Titre4"/>
        <w:rPr/>
      </w:pPr>
      <w:bookmarkStart w:id="158" w:name="_Toc32334565"/>
      <w:bookmarkStart w:id="159" w:name="_Toc420929129"/>
      <w:bookmarkStart w:id="160" w:name="_Toc372820393"/>
      <w:r>
        <w:rPr/>
        <w:t>Réseau RTHD</w:t>
      </w:r>
      <w:bookmarkEnd w:id="158"/>
      <w:bookmarkEnd w:id="159"/>
      <w:bookmarkEnd w:id="160"/>
    </w:p>
    <w:p>
      <w:pPr>
        <w:pStyle w:val="Corpsdetexte"/>
        <w:rPr/>
      </w:pPr>
      <w:r>
        <w:rPr/>
        <w:t>Ce réseau a été déployé au titre de la mise en sécurité des tunnels Franciliens. Il est certainement le plus important, sa mise hors service conduirait sans aucun doute à la fermeture des tunnels exploités à partir du PCTT de Nanterre.</w:t>
      </w:r>
    </w:p>
    <w:p>
      <w:pPr>
        <w:pStyle w:val="Corpsdetexte"/>
        <w:rPr/>
      </w:pPr>
      <w:r>
        <w:rPr/>
        <w:t>Lors des installations au PCTT de Nanterre les deux switchs (JUNIPER 4200) RTHD ont été installés dans la baie du local technique mur d’images. Un schéma en annexe au présent document présente l’architecture du RTHD au PCTT de Nanterre.</w:t>
      </w:r>
    </w:p>
    <w:p>
      <w:pPr>
        <w:pStyle w:val="Corpsdetexte"/>
        <w:rPr/>
      </w:pPr>
      <w:r>
        <w:rPr/>
        <w:t>Le réseau RTHD transporte l’ensemble des images visualisées sur le mur d’images, qu’il s’agisse d’images issues des caméras en tunnel (flux IP générés localement par des codeurs dans les points de service tunnel).</w:t>
      </w:r>
    </w:p>
    <w:p>
      <w:pPr>
        <w:pStyle w:val="Corpsdetexte"/>
        <w:rPr/>
      </w:pPr>
      <w:r>
        <w:rPr/>
        <w:t>Des prises RJ 45 spécifiques aux pupitres (principal et secondaire à l’arrière des opérateurs) sont raccordées en étoile sur un panneau de brassage situé dans la baie du local technique mur d’images. Des jarretières entre les switch RTHD et le panneau de brassage permettent la connexion des machines au switch.</w:t>
      </w:r>
    </w:p>
    <w:p>
      <w:pPr>
        <w:pStyle w:val="Corpsdetexte"/>
        <w:numPr>
          <w:ilvl w:val="0"/>
          <w:numId w:val="84"/>
        </w:numPr>
        <w:rPr/>
      </w:pPr>
      <w:r>
        <w:rPr/>
        <w:t>Poste 4 écrans GTC normal.</w:t>
      </w:r>
    </w:p>
    <w:p>
      <w:pPr>
        <w:pStyle w:val="Corpsdetexte"/>
        <w:numPr>
          <w:ilvl w:val="0"/>
          <w:numId w:val="84"/>
        </w:numPr>
        <w:rPr/>
      </w:pPr>
      <w:r>
        <w:rPr/>
        <w:t>Poste 4 écrans GTC secours (sur le pupitre secondaire).</w:t>
      </w:r>
    </w:p>
    <w:p>
      <w:pPr>
        <w:pStyle w:val="Corpsdetexte"/>
        <w:numPr>
          <w:ilvl w:val="0"/>
          <w:numId w:val="84"/>
        </w:numPr>
        <w:rPr/>
      </w:pPr>
      <w:r>
        <w:rPr/>
        <w:t>Poste Auto-évacuation 1 (AEV 1) qui permet la communication avec les usagers en détresse via les téléphones de sécurité installés dans les issues.</w:t>
      </w:r>
    </w:p>
    <w:p>
      <w:pPr>
        <w:pStyle w:val="Corpsdetexte"/>
        <w:numPr>
          <w:ilvl w:val="0"/>
          <w:numId w:val="84"/>
        </w:numPr>
        <w:rPr/>
      </w:pPr>
      <w:r>
        <w:rPr/>
        <w:t>Poste Auto-évacuation 2 (AEV 2) qui assure la redondance en cas de panne du poste 1.</w:t>
      </w:r>
    </w:p>
    <w:p>
      <w:pPr>
        <w:pStyle w:val="Corpsdetexte"/>
        <w:numPr>
          <w:ilvl w:val="0"/>
          <w:numId w:val="84"/>
        </w:numPr>
        <w:rPr/>
      </w:pPr>
      <w:r>
        <w:rPr/>
        <w:t>Poste Système Informatique Vidéo (SIV) OST.</w:t>
      </w:r>
    </w:p>
    <w:p>
      <w:pPr>
        <w:pStyle w:val="Corpsdetexte"/>
        <w:numPr>
          <w:ilvl w:val="0"/>
          <w:numId w:val="84"/>
        </w:numPr>
        <w:rPr/>
      </w:pPr>
      <w:r>
        <w:rPr/>
        <w:t>Poste Système Informatique Vidéo (SIV) non installé à ce jour CRS.</w:t>
      </w:r>
    </w:p>
    <w:p>
      <w:pPr>
        <w:pStyle w:val="Titre4"/>
        <w:rPr/>
      </w:pPr>
      <w:bookmarkStart w:id="161" w:name="_Toc32334566"/>
      <w:bookmarkStart w:id="162" w:name="_Toc420929130"/>
      <w:bookmarkStart w:id="163" w:name="_Toc372820394"/>
      <w:r>
        <w:rPr/>
        <w:t>Réseau contrôles d’accès</w:t>
      </w:r>
      <w:bookmarkEnd w:id="161"/>
      <w:bookmarkEnd w:id="162"/>
      <w:bookmarkEnd w:id="163"/>
    </w:p>
    <w:p>
      <w:pPr>
        <w:pStyle w:val="Corpsdetexte"/>
        <w:rPr/>
      </w:pPr>
      <w:r>
        <w:rPr/>
        <w:t>Ce réseau a été déployé lors de l’opération contrôles d’accès. Ce réseau permet la communication avec les contrôles d’accès mais également avec les Panneaux à Message Variable (PMV) hors autoroute.</w:t>
      </w:r>
    </w:p>
    <w:p>
      <w:pPr>
        <w:pStyle w:val="Corpsdetexte"/>
        <w:rPr/>
      </w:pPr>
      <w:r>
        <w:rPr/>
        <w:t>Lors d’une opération récente de remplacement de PMV sur autoroute des extensions de ce réseau a permis de les piloter directement en IP. Une interconnexion logique des réseaux permet le pilotage à partir de SIRIUS2.</w:t>
      </w:r>
    </w:p>
    <w:p>
      <w:pPr>
        <w:pStyle w:val="Titre4"/>
        <w:rPr/>
      </w:pPr>
      <w:bookmarkStart w:id="164" w:name="_Toc32334567"/>
      <w:bookmarkStart w:id="165" w:name="_Toc372817184"/>
      <w:r>
        <w:rPr/>
        <w:t>Réseau COFIROUTE</w:t>
      </w:r>
      <w:bookmarkEnd w:id="164"/>
      <w:bookmarkEnd w:id="165"/>
    </w:p>
    <w:p>
      <w:pPr>
        <w:pStyle w:val="Corpsdetexte"/>
        <w:rPr/>
      </w:pPr>
      <w:r>
        <w:rPr/>
        <w:t>La DIRIF et COFIROUTE échangent des images disponibles sur leurs réseaux respectifs. La majorité des équipements (décodeurs, codeurs, etc.) sont situés dans une baie spécifique dans la salle technique SIRIUS au sous-sol du bâtiment.</w:t>
      </w:r>
    </w:p>
    <w:p>
      <w:pPr>
        <w:pStyle w:val="Corpsdetexte"/>
        <w:rPr/>
      </w:pPr>
      <w:r>
        <w:rPr/>
        <w:t>Cependant un poste opérateur installé au pupitre doit être raccordé sur le réseau COFIROUTE pour le choix des images et même la visualisation par des décodeurs logiciels sur le poste.</w:t>
      </w:r>
    </w:p>
    <w:p>
      <w:pPr>
        <w:pStyle w:val="Corpsdetexte"/>
        <w:rPr/>
      </w:pPr>
      <w:r>
        <w:rPr/>
        <w:t>Le switch COFIROUTE est installé dans le local technique mur d’images et il permet le raccordement des installations COFIROUTE.</w:t>
      </w:r>
    </w:p>
    <w:p>
      <w:pPr>
        <w:pStyle w:val="Titre4"/>
        <w:rPr/>
      </w:pPr>
      <w:bookmarkStart w:id="166" w:name="_Toc32334568"/>
      <w:bookmarkStart w:id="167" w:name="_Toc420929131"/>
      <w:bookmarkStart w:id="168" w:name="_Toc372820395"/>
      <w:r>
        <w:rPr/>
        <w:t>Réseau GTC (78 et 92)</w:t>
      </w:r>
      <w:bookmarkEnd w:id="166"/>
      <w:bookmarkEnd w:id="167"/>
      <w:bookmarkEnd w:id="168"/>
    </w:p>
    <w:p>
      <w:pPr>
        <w:pStyle w:val="Corpsdetexte"/>
        <w:rPr/>
      </w:pPr>
      <w:r>
        <w:rPr/>
        <w:t>Ce réseau a vocation à être abandonné, il est utilisé principalement pour A13 car de nombreuses installations ont déjà migré ou vont le faire prochainement sur le RTHD (A14 notamment).</w:t>
      </w:r>
    </w:p>
    <w:p>
      <w:pPr>
        <w:pStyle w:val="Corpsdetexte"/>
        <w:rPr/>
      </w:pPr>
      <w:r>
        <w:rPr/>
        <w:t>À l’échéance des travaux de réaménagement de la salle d’exploitation ces réseaux ne seront plus utilisés, ils sont donc cités à titre d’information.</w:t>
      </w:r>
    </w:p>
    <w:p>
      <w:pPr>
        <w:pStyle w:val="Titre4"/>
        <w:rPr/>
      </w:pPr>
      <w:bookmarkStart w:id="169" w:name="_Toc32334569"/>
      <w:bookmarkStart w:id="170" w:name="_Toc372817186"/>
      <w:r>
        <w:rPr/>
        <w:t>Réseau TDM</w:t>
      </w:r>
      <w:bookmarkEnd w:id="169"/>
      <w:bookmarkEnd w:id="170"/>
    </w:p>
    <w:p>
      <w:pPr>
        <w:pStyle w:val="Corpsdetexte"/>
        <w:rPr/>
      </w:pPr>
      <w:r>
        <w:rPr/>
        <w:t>Ce réseau est en fait une continuité du réseau technique, il nous a cependant paru opportun de l’identifier car il permet l’accès aux TDM à partir de leur local. Ce réseau est utilisé pour la connexion du poste de supervision SIRIUS. Tous les autres outils (GTC, PIAF, etc.) existant dans le local TDM sont raccordés au réseau RTHD dans le local technique à droite du mur d’images (arrivée d’un câble multi catégorie 6 sur un panneau de brassage et jarretièrages sur les switch RTHD.</w:t>
      </w:r>
    </w:p>
    <w:p>
      <w:pPr>
        <w:pStyle w:val="Corpsdetexte"/>
        <w:rPr/>
      </w:pPr>
      <w:r>
        <w:rPr/>
        <w:t>Il faudra simplement, lors des modifications de la salle, prendre garde à ne pas couper la liaison existante entre le switch du local technique mur d’images, et celui du local TDM.</w:t>
      </w:r>
    </w:p>
    <w:p>
      <w:pPr>
        <w:pStyle w:val="Titre4"/>
        <w:rPr/>
      </w:pPr>
      <w:bookmarkStart w:id="171" w:name="_Toc32334570"/>
      <w:bookmarkStart w:id="172" w:name="_Toc420929132"/>
      <w:bookmarkStart w:id="173" w:name="_Toc372820397"/>
      <w:r>
        <w:rPr/>
        <w:t>Réseau d’appel d’urgence</w:t>
      </w:r>
      <w:bookmarkEnd w:id="171"/>
      <w:bookmarkEnd w:id="172"/>
      <w:bookmarkEnd w:id="173"/>
    </w:p>
    <w:p>
      <w:pPr>
        <w:pStyle w:val="Corpsdetexte"/>
        <w:rPr/>
      </w:pPr>
      <w:r>
        <w:rPr/>
        <w:t>Il existe deux postes opérateurs situés au pupitre côté CRS qui permettent la mise en relation des usagers en panne ou en difficulté, avec les forces de l’ordre. Ces postes opérateurs sont constitués d’ensemble écran, clavier, dispositif de pointage, les UC étant intégrées à l’écran. Un poste téléphonique IP permet la gestion des communications.</w:t>
      </w:r>
    </w:p>
    <w:p>
      <w:pPr>
        <w:pStyle w:val="Corpsdetexte"/>
        <w:rPr/>
      </w:pPr>
      <w:r>
        <w:rPr/>
        <w:t>Les deux postes opérateurs sont actifs simultanément et surveillent, en mode normal, chacun une partie du réseau.</w:t>
      </w:r>
    </w:p>
    <w:p>
      <w:pPr>
        <w:pStyle w:val="Corpsdetexte"/>
        <w:rPr/>
      </w:pPr>
      <w:r>
        <w:rPr/>
        <w:t>Qu’il s’agisse des postes opérateurs ou des téléphones IP, ils sont tous raccordés aux switch RTHD situé dans le local technique à droite du mur d’images.</w:t>
      </w:r>
    </w:p>
    <w:p>
      <w:pPr>
        <w:pStyle w:val="Corpsdetexte"/>
        <w:rPr/>
      </w:pPr>
      <w:r>
        <w:rPr/>
        <w:t>Ces postes sont connectés aux serveurs AZUR qui sont communs aux TSE ci-après décrits.</w:t>
      </w:r>
    </w:p>
    <w:p>
      <w:pPr>
        <w:pStyle w:val="Titre4"/>
        <w:rPr/>
      </w:pPr>
      <w:bookmarkStart w:id="174" w:name="_Toc32334571"/>
      <w:bookmarkStart w:id="175" w:name="_Toc420929133"/>
      <w:bookmarkStart w:id="176" w:name="_Toc372820398"/>
      <w:r>
        <w:rPr/>
        <w:t>Téléphonie de sécurité tunnel</w:t>
      </w:r>
      <w:bookmarkEnd w:id="174"/>
      <w:bookmarkEnd w:id="175"/>
      <w:bookmarkEnd w:id="176"/>
    </w:p>
    <w:p>
      <w:pPr>
        <w:pStyle w:val="Corpsdetexte"/>
        <w:rPr/>
      </w:pPr>
      <w:r>
        <w:rPr/>
        <w:t>Deux postes opérateurs nommés couramment AEV, comme auto-évacuation, permettent la gestion des appels issus des téléphones de sécurité installés dans les issues de secours des tunnels.</w:t>
      </w:r>
    </w:p>
    <w:p>
      <w:pPr>
        <w:pStyle w:val="Corpsdetexte"/>
        <w:rPr/>
      </w:pPr>
      <w:r>
        <w:rPr/>
        <w:t>Ces deux postes opérateurs sont raccordés au réseau RTHD.</w:t>
      </w:r>
    </w:p>
    <w:p>
      <w:pPr>
        <w:pStyle w:val="Corpsdetexte"/>
        <w:rPr/>
      </w:pPr>
      <w:r>
        <w:rPr/>
        <w:t>Les serveurs nommés « AZUR » hébergent les logiciels, les bases de données des équipements, etc. ils sont situés dans la salle technique SIRIUS au sous-sol du bâtiment, ils assurent les communications avec les équipements de terrain et les postes opérateurs. De nombreuses fonctionnalités permettent la supervision des postes, l’archivage des appels, etc. des possibilités de tris, de filtres, etc. sont également accessibles.</w:t>
      </w:r>
    </w:p>
    <w:p>
      <w:pPr>
        <w:pStyle w:val="Titre4"/>
        <w:rPr/>
      </w:pPr>
      <w:bookmarkStart w:id="177" w:name="_Toc32334572"/>
      <w:bookmarkStart w:id="178" w:name="_Toc420929134"/>
      <w:bookmarkStart w:id="179" w:name="_Toc372820399"/>
      <w:r>
        <w:rPr/>
        <w:t>Téléphonie du bâtiment</w:t>
      </w:r>
      <w:bookmarkEnd w:id="177"/>
      <w:bookmarkEnd w:id="178"/>
      <w:bookmarkEnd w:id="179"/>
    </w:p>
    <w:p>
      <w:pPr>
        <w:pStyle w:val="Corpsdetexte"/>
        <w:rPr/>
      </w:pPr>
      <w:r>
        <w:rPr/>
        <w:t>Les opérateurs OST utilisent un seul poste téléphonique, raccordé à l’autocommutateur installé dans la salle technique SIRIUS située au sous-sol du bâtiment.</w:t>
      </w:r>
    </w:p>
    <w:p>
      <w:pPr>
        <w:pStyle w:val="Corpsdetexte"/>
        <w:rPr/>
      </w:pPr>
      <w:r>
        <w:rPr/>
        <w:t>Côté CRS, l’un des postes utilisés est raccordé sur une ligne de l’autocommutateur, le second utilise une ligne spécifique d’un opérateur.</w:t>
      </w:r>
    </w:p>
    <w:p>
      <w:pPr>
        <w:pStyle w:val="Titre4"/>
        <w:rPr/>
      </w:pPr>
      <w:bookmarkStart w:id="180" w:name="_Toc32334573"/>
      <w:bookmarkStart w:id="181" w:name="_Toc420929136"/>
      <w:bookmarkStart w:id="182" w:name="_Toc372820401"/>
      <w:r>
        <w:rPr/>
        <w:t>Murs d’images</w:t>
      </w:r>
      <w:bookmarkEnd w:id="180"/>
      <w:bookmarkEnd w:id="181"/>
      <w:bookmarkEnd w:id="182"/>
    </w:p>
    <w:p>
      <w:pPr>
        <w:pStyle w:val="Normal"/>
        <w:tabs>
          <w:tab w:val="clear" w:pos="708"/>
          <w:tab w:val="right" w:pos="8789" w:leader="underscore"/>
        </w:tabs>
        <w:spacing w:before="200" w:after="240"/>
        <w:rPr/>
      </w:pPr>
      <w:r>
        <w:rPr/>
        <w:t>Le système vidéo complet et le mur d’image sont raccordés au RTHD.</w:t>
      </w:r>
    </w:p>
    <w:p>
      <w:pPr>
        <w:pStyle w:val="Titre3"/>
        <w:rPr/>
      </w:pPr>
      <w:bookmarkStart w:id="183" w:name="_Toc32334574"/>
      <w:bookmarkStart w:id="184" w:name="_Toc420929137"/>
      <w:r>
        <w:rPr/>
        <w:t>Présentation des installations CRS existantes</w:t>
      </w:r>
      <w:bookmarkEnd w:id="183"/>
      <w:bookmarkEnd w:id="184"/>
    </w:p>
    <w:p>
      <w:pPr>
        <w:pStyle w:val="Titre4"/>
        <w:rPr/>
      </w:pPr>
      <w:bookmarkStart w:id="185" w:name="_Toc32334575"/>
      <w:bookmarkStart w:id="186" w:name="_Toc420929138"/>
      <w:r>
        <w:rPr/>
        <w:t>Généralités</w:t>
      </w:r>
      <w:bookmarkEnd w:id="185"/>
      <w:bookmarkEnd w:id="186"/>
    </w:p>
    <w:p>
      <w:pPr>
        <w:pStyle w:val="Corpsdetexte"/>
        <w:rPr/>
      </w:pPr>
      <w:r>
        <w:rPr/>
        <w:t>Contrairement à la distribution électrique qui est assurée à partir des installations DIRIF, les installations Courants faibles du ministère de l’intérieur sont gérées par des services spécifiques.</w:t>
      </w:r>
    </w:p>
    <w:p>
      <w:pPr>
        <w:pStyle w:val="Corpsdetexte"/>
        <w:spacing w:before="200" w:after="120"/>
        <w:rPr/>
      </w:pPr>
      <w:r>
        <w:rPr/>
        <w:t>Les articles ci-après décrivent :</w:t>
      </w:r>
    </w:p>
    <w:p>
      <w:pPr>
        <w:pStyle w:val="Corpsdetexte"/>
        <w:numPr>
          <w:ilvl w:val="0"/>
          <w:numId w:val="85"/>
        </w:numPr>
        <w:spacing w:before="0" w:after="120"/>
        <w:ind w:left="714" w:hanging="357"/>
        <w:rPr/>
      </w:pPr>
      <w:r>
        <w:rPr/>
        <w:t>Les matériels utilisés et de leurs localisations ;</w:t>
      </w:r>
    </w:p>
    <w:p>
      <w:pPr>
        <w:pStyle w:val="Corpsdetexte"/>
        <w:numPr>
          <w:ilvl w:val="0"/>
          <w:numId w:val="85"/>
        </w:numPr>
        <w:spacing w:before="0" w:after="120"/>
        <w:ind w:left="714" w:hanging="357"/>
        <w:rPr/>
      </w:pPr>
      <w:r>
        <w:rPr/>
        <w:t>Les liaisons par câbles entre les utilisations (postes téléphoniques, machines informatiques, radio, etc.) et les systèmes centraux.</w:t>
      </w:r>
    </w:p>
    <w:p>
      <w:pPr>
        <w:pStyle w:val="Titre4"/>
        <w:rPr/>
      </w:pPr>
      <w:bookmarkStart w:id="187" w:name="_Toc420929144"/>
      <w:bookmarkStart w:id="188" w:name="_Toc32334576"/>
      <w:bookmarkStart w:id="189" w:name="_Toc372817195"/>
      <w:r>
        <w:rPr/>
        <w:t>Local technique CRS rez-de-chaussée</w:t>
      </w:r>
      <w:bookmarkEnd w:id="188"/>
      <w:bookmarkEnd w:id="189"/>
    </w:p>
    <w:p>
      <w:pPr>
        <w:pStyle w:val="Corpsdetexte"/>
        <w:ind w:left="360" w:hanging="0"/>
        <w:rPr/>
      </w:pPr>
      <w:r>
        <w:rPr/>
        <w:t>Cette zone ne fait pas partie des zones impactées par les travaux, elle se situe au rez-de-chaussée.</w:t>
      </w:r>
    </w:p>
    <w:p>
      <w:pPr>
        <w:pStyle w:val="Corpsdetexte"/>
        <w:ind w:left="360" w:hanging="0"/>
        <w:rPr/>
      </w:pPr>
      <w:r>
        <w:rPr/>
        <w:t>Ce local regroupe :</w:t>
      </w:r>
    </w:p>
    <w:p>
      <w:pPr>
        <w:pStyle w:val="Corpsdetexte"/>
        <w:numPr>
          <w:ilvl w:val="0"/>
          <w:numId w:val="105"/>
        </w:numPr>
        <w:rPr/>
      </w:pPr>
      <w:r>
        <w:rPr/>
        <w:t>Une mini baie contenant les équipements réseau et certains brassages (à droite).</w:t>
      </w:r>
    </w:p>
    <w:p>
      <w:pPr>
        <w:pStyle w:val="Corpsdetexte"/>
        <w:numPr>
          <w:ilvl w:val="0"/>
          <w:numId w:val="105"/>
        </w:numPr>
        <w:rPr/>
      </w:pPr>
      <w:r>
        <w:rPr/>
        <w:t>Une mini baie contenant tous les équipements centraux de téléphonie (autocom) et les câblages associés (à gauche).</w:t>
      </w:r>
    </w:p>
    <w:p>
      <w:pPr>
        <w:pStyle w:val="Corpsdetexte"/>
        <w:numPr>
          <w:ilvl w:val="0"/>
          <w:numId w:val="105"/>
        </w:numPr>
        <w:rPr/>
      </w:pPr>
      <w:r>
        <w:rPr/>
        <w:t>Un répartiteur de câblage disparate mélangeant les réglettes à wrapper, les extrémités push-pull.</w:t>
      </w:r>
    </w:p>
    <w:p>
      <w:pPr>
        <w:pStyle w:val="Corpsdetexte"/>
        <w:ind w:left="360" w:hanging="0"/>
        <w:rPr/>
      </w:pPr>
      <w:r>
        <w:rPr/>
        <w:t>Cinq liaisons catégorie 5 relient ce répartiteur aux utilisations au pupitre. Il permet de raccorder les postes utilisateurs CRS (Kheops, Rescom, etc.).</w:t>
      </w:r>
    </w:p>
    <w:p>
      <w:pPr>
        <w:pStyle w:val="Corpsdetexte"/>
        <w:ind w:left="360" w:hanging="0"/>
        <w:rPr/>
      </w:pPr>
      <w:r>
        <w:rPr/>
        <w:t>Bien que ce ne soit pas une zone réaménagée, de nombreuses modifications devront être prévues dans ce local pour gérer les différentes phases de travaux.</w:t>
      </w:r>
    </w:p>
    <w:p>
      <w:pPr>
        <w:pStyle w:val="Corpsdetexte"/>
        <w:ind w:left="360" w:hanging="0"/>
        <w:rPr/>
      </w:pPr>
      <w:r>
        <w:rPr/>
        <w:t>Il est à noter que les installations de surveillance vidéo des salles de garde à vue sont centralisées au RDC (contrairement à Champigny). Les images sont visualisées dans 3 bureaux différents. Aucun impact sur le projet.</w:t>
      </w:r>
    </w:p>
    <w:p>
      <w:pPr>
        <w:pStyle w:val="Titre4"/>
        <w:rPr/>
      </w:pPr>
      <w:bookmarkStart w:id="190" w:name="_Toc32334577"/>
      <w:bookmarkStart w:id="191" w:name="_Toc372817196"/>
      <w:r>
        <w:rPr/>
        <w:t>Téléphonie</w:t>
      </w:r>
      <w:bookmarkEnd w:id="190"/>
      <w:bookmarkEnd w:id="191"/>
    </w:p>
    <w:p>
      <w:pPr>
        <w:pStyle w:val="Corpsdetexte"/>
        <w:ind w:left="360" w:hanging="0"/>
        <w:rPr/>
      </w:pPr>
      <w:r>
        <w:rPr/>
        <w:t>L’autocommutateur est installé dans un local technique du rez-de-chaussée en mini-baie. Tous les câblages convergent vers ce local, ceux du rez-de-chaussée comme ceux de l’étage.</w:t>
      </w:r>
    </w:p>
    <w:p>
      <w:pPr>
        <w:pStyle w:val="Corpsdetexte"/>
        <w:ind w:left="360" w:hanging="0"/>
        <w:rPr/>
      </w:pPr>
      <w:r>
        <w:rPr/>
        <w:t>Deux postes sont utilisés au pupitre, ils sont connectés via les infrastructures ci-avant décrites.</w:t>
      </w:r>
    </w:p>
    <w:p>
      <w:pPr>
        <w:pStyle w:val="Titre4"/>
        <w:rPr/>
      </w:pPr>
      <w:bookmarkStart w:id="192" w:name="_Toc32334578"/>
      <w:bookmarkStart w:id="193" w:name="_Toc372817197"/>
      <w:r>
        <w:rPr/>
        <w:t>Réseau informatique</w:t>
      </w:r>
      <w:bookmarkEnd w:id="192"/>
      <w:bookmarkEnd w:id="193"/>
    </w:p>
    <w:p>
      <w:pPr>
        <w:pStyle w:val="Corpsdetexte"/>
        <w:ind w:left="360" w:hanging="0"/>
        <w:rPr/>
      </w:pPr>
      <w:r>
        <w:rPr/>
        <w:t>Le switch utilisé est dans un local technique du rez-de-chaussée en mini-baie. Il existe soit des liaisons directes (3) soit des liaisons qui transitent par le répartiteur push-pull ().</w:t>
      </w:r>
    </w:p>
    <w:p>
      <w:pPr>
        <w:pStyle w:val="Corpsdetexte"/>
        <w:ind w:left="360" w:hanging="0"/>
        <w:rPr/>
      </w:pPr>
      <w:r>
        <w:rPr/>
        <w:t>Des jarretières permettent de connecter les postes au switch lorsqu’il ne s’agit pas de liaisons directes.</w:t>
      </w:r>
    </w:p>
    <w:p>
      <w:pPr>
        <w:pStyle w:val="Titre4"/>
        <w:rPr/>
      </w:pPr>
      <w:bookmarkStart w:id="194" w:name="_Toc32334579"/>
      <w:bookmarkStart w:id="195" w:name="_Toc372817198"/>
      <w:r>
        <w:rPr/>
        <w:t>Liaisons câbles téléphoniques</w:t>
      </w:r>
      <w:bookmarkEnd w:id="194"/>
      <w:bookmarkEnd w:id="195"/>
    </w:p>
    <w:p>
      <w:pPr>
        <w:pStyle w:val="Corpsdetexte"/>
        <w:rPr/>
      </w:pPr>
      <w:r>
        <w:rPr/>
        <w:t>L’arrivée du câble France télécom (réglette spécifique affectée à cette fonction) et située dans la salle technique SIRIUS au sous-sol du bâtiment. Pour rejoindre cette salle, à partir des installations CRS, il existe :</w:t>
      </w:r>
    </w:p>
    <w:p>
      <w:pPr>
        <w:pStyle w:val="Corpsdetexte"/>
        <w:numPr>
          <w:ilvl w:val="0"/>
          <w:numId w:val="108"/>
        </w:numPr>
        <w:rPr/>
      </w:pPr>
      <w:r>
        <w:rPr/>
        <w:t>Une liaison 112 paires entre le local technique CRS du RDC et la salle technique au sous-sol (des jarretières permettent d’acheminer les lignes FT jusqu’au local technique CRS du RDC).</w:t>
      </w:r>
    </w:p>
    <w:p>
      <w:pPr>
        <w:pStyle w:val="Corpsdetexte"/>
        <w:numPr>
          <w:ilvl w:val="0"/>
          <w:numId w:val="108"/>
        </w:numPr>
        <w:rPr/>
      </w:pPr>
      <w:r>
        <w:rPr/>
        <w:t>Cinq 112 paires qui relient la salle technique du sous-sol au local technique à droite du mur d’images, utilisés notamment pour acheminer les lignes entre le sous-sol et le local technique mur d’images.</w:t>
      </w:r>
    </w:p>
    <w:p>
      <w:pPr>
        <w:pStyle w:val="Titre4"/>
        <w:rPr/>
      </w:pPr>
      <w:bookmarkStart w:id="196" w:name="_Toc32334580"/>
      <w:bookmarkStart w:id="197" w:name="_Toc372817199"/>
      <w:r>
        <w:rPr/>
        <w:t>Installation radio</w:t>
      </w:r>
      <w:bookmarkEnd w:id="196"/>
      <w:bookmarkEnd w:id="197"/>
    </w:p>
    <w:p>
      <w:pPr>
        <w:pStyle w:val="Corpsdetexte"/>
        <w:rPr/>
      </w:pPr>
      <w:r>
        <w:rPr/>
        <w:t>Ces installations sont très contraignantes. En effet, la liaison entre le boîtier radio et le poste ne peut excéder 21 mètres.</w:t>
      </w:r>
    </w:p>
    <w:p>
      <w:pPr>
        <w:pStyle w:val="Corpsdetexte"/>
        <w:rPr/>
      </w:pPr>
      <w:r>
        <w:rPr/>
        <w:t>Les 2 boîtiers radio sont installés dans les caissons des pupitres, l’un deux fonctionne via un câble coaxial, l’autre via une liaison FT (à priori en dérangement).</w:t>
      </w:r>
    </w:p>
    <w:p>
      <w:pPr>
        <w:pStyle w:val="Corpsdetexte"/>
        <w:rPr/>
      </w:pPr>
      <w:r>
        <w:rPr/>
        <w:t>Un répartiteur téléphonique est installé dans le faux-plancher, il permet les liaisons principales avec le répartiteur du local technique mur d’images.</w:t>
      </w:r>
    </w:p>
    <w:p>
      <w:pPr>
        <w:pStyle w:val="Corpsdetexte"/>
        <w:rPr/>
      </w:pPr>
      <w:r>
        <w:rPr/>
        <w:t>L’enregistreur de communication est installé dans un local technique derrière la salle d’exploitation. Des liaisons entre les boîtiers radio du pupitre et ce local permettent les enregistrements.</w:t>
      </w:r>
    </w:p>
    <w:p>
      <w:pPr>
        <w:pStyle w:val="Corpsdetexte"/>
        <w:rPr/>
      </w:pPr>
      <w:r>
        <w:rPr/>
        <w:t>Des liaisons relient les boîtiers radio au répartiteur situé dans le local technique mur d’images.</w:t>
      </w:r>
    </w:p>
    <w:p>
      <w:pPr>
        <w:pStyle w:val="Corpsdetexte"/>
        <w:rPr/>
      </w:pPr>
      <w:r>
        <w:rPr/>
        <w:t>Pour faciliter la compréhension un schéma synoptique des installations est présenté ci-dessous :</w:t>
      </w:r>
    </w:p>
    <w:p>
      <w:pPr>
        <w:pStyle w:val="Corpsdetexte"/>
        <w:jc w:val="center"/>
        <w:rPr/>
      </w:pPr>
      <w:r>
        <w:rPr/>
        <w:drawing>
          <wp:inline distT="0" distB="0" distL="0" distR="0">
            <wp:extent cx="4229100" cy="4940935"/>
            <wp:effectExtent l="0" t="0" r="0" b="0"/>
            <wp:docPr id="11" name="Image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2" descr=""/>
                    <pic:cNvPicPr>
                      <a:picLocks noChangeAspect="1" noChangeArrowheads="1"/>
                    </pic:cNvPicPr>
                  </pic:nvPicPr>
                  <pic:blipFill>
                    <a:blip r:embed="rId15"/>
                    <a:stretch>
                      <a:fillRect/>
                    </a:stretch>
                  </pic:blipFill>
                  <pic:spPr bwMode="auto">
                    <a:xfrm>
                      <a:off x="0" y="0"/>
                      <a:ext cx="4229100" cy="4940935"/>
                    </a:xfrm>
                    <a:prstGeom prst="rect">
                      <a:avLst/>
                    </a:prstGeom>
                  </pic:spPr>
                </pic:pic>
              </a:graphicData>
            </a:graphic>
          </wp:inline>
        </w:drawing>
      </w:r>
    </w:p>
    <w:p>
      <w:pPr>
        <w:pStyle w:val="TFIG"/>
        <w:numPr>
          <w:ilvl w:val="0"/>
          <w:numId w:val="4"/>
        </w:numPr>
        <w:tabs>
          <w:tab w:val="left" w:pos="567" w:leader="none"/>
          <w:tab w:val="left" w:pos="709" w:leader="none"/>
          <w:tab w:val="left" w:pos="851" w:leader="none"/>
        </w:tabs>
        <w:ind w:left="567" w:hanging="567"/>
        <w:rPr/>
      </w:pPr>
      <w:bookmarkStart w:id="198" w:name="_Toc32334964"/>
      <w:bookmarkStart w:id="199" w:name="_Toc396398426"/>
      <w:bookmarkStart w:id="200" w:name="_Toc376526597"/>
      <w:r>
        <w:rPr/>
        <w:t>Schéma synoptique des installations radio</w:t>
      </w:r>
      <w:bookmarkEnd w:id="198"/>
      <w:bookmarkEnd w:id="199"/>
      <w:bookmarkEnd w:id="200"/>
    </w:p>
    <w:p>
      <w:pPr>
        <w:pStyle w:val="Titre3"/>
        <w:rPr/>
      </w:pPr>
      <w:bookmarkStart w:id="201" w:name="_Toc420929144"/>
      <w:bookmarkStart w:id="202" w:name="_Toc32334581"/>
      <w:r>
        <w:rPr/>
        <w:t>Dispositions projetées</w:t>
      </w:r>
      <w:bookmarkEnd w:id="201"/>
      <w:bookmarkEnd w:id="202"/>
    </w:p>
    <w:p>
      <w:pPr>
        <w:pStyle w:val="Titre4"/>
        <w:rPr/>
      </w:pPr>
      <w:bookmarkStart w:id="203" w:name="_Toc32334582"/>
      <w:bookmarkStart w:id="204" w:name="_Toc422407247"/>
      <w:r>
        <w:rPr/>
        <w:t>Présentation</w:t>
      </w:r>
      <w:bookmarkEnd w:id="203"/>
      <w:bookmarkEnd w:id="204"/>
    </w:p>
    <w:p>
      <w:pPr>
        <w:pStyle w:val="TEXTE"/>
        <w:rPr/>
      </w:pPr>
      <w:r>
        <w:rPr/>
        <w:t xml:space="preserve">D’une manière générale, tous les équipements réseau existants seront conservés, qu’il s’agisse du matériel DRIEA-IF, ou de celui des Forces de Police (CRS). </w:t>
      </w:r>
    </w:p>
    <w:p>
      <w:pPr>
        <w:pStyle w:val="TEXTE"/>
        <w:rPr/>
      </w:pPr>
      <w:r>
        <w:rPr/>
        <w:t>Comme indiqué précédemment plusieurs réseaux DiRIF cohabitent au PCTT :</w:t>
      </w:r>
    </w:p>
    <w:p>
      <w:pPr>
        <w:pStyle w:val="TEXTE"/>
        <w:numPr>
          <w:ilvl w:val="0"/>
          <w:numId w:val="114"/>
        </w:numPr>
        <w:rPr/>
      </w:pPr>
      <w:r>
        <w:rPr/>
        <w:t>RTHD ;</w:t>
      </w:r>
    </w:p>
    <w:p>
      <w:pPr>
        <w:pStyle w:val="TEXTE"/>
        <w:numPr>
          <w:ilvl w:val="0"/>
          <w:numId w:val="114"/>
        </w:numPr>
        <w:rPr/>
      </w:pPr>
      <w:r>
        <w:rPr/>
        <w:t>Technique ;</w:t>
      </w:r>
    </w:p>
    <w:p>
      <w:pPr>
        <w:pStyle w:val="TEXTE"/>
        <w:numPr>
          <w:ilvl w:val="0"/>
          <w:numId w:val="114"/>
        </w:numPr>
        <w:rPr/>
      </w:pPr>
      <w:r>
        <w:rPr/>
        <w:t>Bureautique ;</w:t>
      </w:r>
    </w:p>
    <w:p>
      <w:pPr>
        <w:pStyle w:val="TEXTE"/>
        <w:numPr>
          <w:ilvl w:val="0"/>
          <w:numId w:val="114"/>
        </w:numPr>
        <w:rPr/>
      </w:pPr>
      <w:r>
        <w:rPr/>
        <w:t>Ancienne GTC.</w:t>
      </w:r>
    </w:p>
    <w:p>
      <w:pPr>
        <w:pStyle w:val="Corpsdetexte"/>
        <w:rPr/>
      </w:pPr>
      <w:r>
        <w:rPr/>
        <w:t>Comme il a été acté de conserver tous les équipements réseau dans le local technique à droite du mur d’images, toutes les futures prises du pupitre devront être raccordées sur des panneaux de brassage installés dans la baie commune aux équipements. Cette disposition permettra de disposer de tous les réseaux en un seul point dans une baie à proximité du mur d’images, rendra l’architecture claire et lisible.</w:t>
      </w:r>
    </w:p>
    <w:p>
      <w:pPr>
        <w:pStyle w:val="Corpsdetexte"/>
        <w:rPr/>
      </w:pPr>
      <w:r>
        <w:rPr/>
        <w:t>Ces dispositions imposent de transformer la vocation du local existant derrière le mur d’images qui était à usage de bureaux avant l’installation du nouveau mur d’images, en y installant des armoires électriques adaptées et en assurant le refroidissement par un système redondant.</w:t>
      </w:r>
    </w:p>
    <w:p>
      <w:pPr>
        <w:pStyle w:val="Corpsdetexte"/>
        <w:rPr/>
      </w:pPr>
      <w:r>
        <w:rPr/>
        <w:t>Pour la gestion de la phase provisoire, il est proposé d’installer des panneaux de brassage en salle d’exploitation provisoire qui devront être reliés à des panneaux de brassage (également provisoires) installés dans le local à droite du mur d’images.</w:t>
      </w:r>
    </w:p>
    <w:p>
      <w:pPr>
        <w:pStyle w:val="Corpsdetexte"/>
        <w:rPr/>
      </w:pPr>
      <w:r>
        <w:rPr/>
        <w:t>La première étape serait de construire les réseaux utiles à la salle provisoire pour que les panneaux de brassage soient installés derrière le mur d’images comme ci-avant décrit. Ces opérations pourraient être réalisées sans contrainte, ce local est peu touché par les réaménagements (sauf énergie), ces modifications pourraient être lancées avant le début de la migration et déclencher celle-ci que lorsque les installations seraient opérationnelles. Aucune perturbation d’exploitation (ou mineure) serait à prévoir en utilisant cette technique.</w:t>
      </w:r>
    </w:p>
    <w:p>
      <w:pPr>
        <w:pStyle w:val="Corpsdetexte"/>
        <w:rPr/>
      </w:pPr>
      <w:r>
        <w:rPr/>
        <w:t>Le déplacement des jarretières sur les switchs permettrait un basculement aisé avec un retour arrière possible sans aucune difficulté en cas d’échec de la tentative.</w:t>
      </w:r>
    </w:p>
    <w:p>
      <w:pPr>
        <w:pStyle w:val="Corpsdetexte"/>
        <w:rPr/>
      </w:pPr>
      <w:r>
        <w:rPr/>
        <w:t>L’ensemble des modalités de transfert de fonctionnement des équipements existants de la salle d’exploitation d’origine vers la salle d’exploitation provisoire et définitive sont décrites en détail dans la suite du présent document.</w:t>
      </w:r>
    </w:p>
    <w:p>
      <w:pPr>
        <w:pStyle w:val="Corpsdetexte"/>
        <w:rPr/>
      </w:pPr>
      <w:r>
        <w:rPr/>
        <w:t>Les modalités de transfert de fonctionnement des outils d’exploitation de la salle d’exploitation d’origine vers les salles provisoire et définitive sont détaillées dans la suite du présent document.</w:t>
      </w:r>
    </w:p>
    <w:p>
      <w:pPr>
        <w:pStyle w:val="Corpsdetexte"/>
        <w:rPr/>
      </w:pPr>
      <w:r>
        <w:rPr/>
        <w:t>Les articles ci-après détaillent la procédure pour les différents réseaux.</w:t>
      </w:r>
    </w:p>
    <w:p>
      <w:pPr>
        <w:pStyle w:val="Corpsdetexte"/>
        <w:rPr/>
      </w:pPr>
      <w:r>
        <w:rPr/>
        <w:t>Toutes les prestations décrites pour assurer les différentes phases (câblages, installation et fourniture d’équipements, de baies, etc.) sont à réaliser au titre du présent projet.</w:t>
      </w:r>
    </w:p>
    <w:p>
      <w:pPr>
        <w:pStyle w:val="Titre4"/>
        <w:rPr/>
      </w:pPr>
      <w:bookmarkStart w:id="205" w:name="_Toc32334583"/>
      <w:bookmarkStart w:id="206" w:name="_Toc422406699"/>
      <w:r>
        <w:rPr/>
        <w:t>RTHD</w:t>
      </w:r>
      <w:bookmarkEnd w:id="205"/>
      <w:bookmarkEnd w:id="206"/>
    </w:p>
    <w:p>
      <w:pPr>
        <w:pStyle w:val="Corpsdetexte"/>
        <w:rPr/>
      </w:pPr>
      <w:r>
        <w:rPr/>
        <w:t>Il s’agit du réseau sur lequel les contraintes sont les plus fortes car il supporte les principaux systèmes techniques participant activement à la sécurité des usagers.</w:t>
      </w:r>
    </w:p>
    <w:p>
      <w:pPr>
        <w:pStyle w:val="Corpsdetexte"/>
        <w:rPr/>
      </w:pPr>
      <w:r>
        <w:rPr/>
        <w:t>Pour faciliter la compréhension et le repérage des différents équipements et liaisons, un synoptique représentant les liaisons, les équipements, les câblages, les ports optiques utilisés, etc., est joint dans le dossier de plan. Ce document est indispensable pour comprendre les l’installation existante.</w:t>
      </w:r>
    </w:p>
    <w:p>
      <w:pPr>
        <w:pStyle w:val="Corpsdetexte"/>
        <w:rPr/>
      </w:pPr>
      <w:r>
        <w:rPr/>
        <w:t>En phase provisoire, les équipements seront connectés aux switch existants (W10.489M et W10.491P) selon la répartition actuelle des systèmes, en phase définitive il ne s’agira juste que de basculer les jarretières d’un panneau de brassage à l’autre.</w:t>
      </w:r>
    </w:p>
    <w:p>
      <w:pPr>
        <w:pStyle w:val="Corpsdetexte"/>
        <w:rPr/>
      </w:pPr>
      <w:r>
        <w:rPr/>
        <w:t>Après connexion des machines sur les switchs, tous les systèmes sont opérationnels comme avant le début du basculement.</w:t>
      </w:r>
    </w:p>
    <w:p>
      <w:pPr>
        <w:pStyle w:val="Titre4"/>
        <w:rPr/>
      </w:pPr>
      <w:bookmarkStart w:id="207" w:name="_Toc32334584"/>
      <w:bookmarkStart w:id="208" w:name="_Toc422406700"/>
      <w:r>
        <w:rPr/>
        <w:t>Bureautique</w:t>
      </w:r>
      <w:bookmarkEnd w:id="207"/>
      <w:bookmarkEnd w:id="208"/>
    </w:p>
    <w:p>
      <w:pPr>
        <w:pStyle w:val="Corpsdetexte"/>
        <w:rPr/>
      </w:pPr>
      <w:r>
        <w:rPr/>
        <w:t>Pour assurer le fonctionnement des postes bureautique, raccordés à un réseau spécifique à cet usage, un switch est existant en baie 19 pouces dans le local à droite du mur d’images.</w:t>
      </w:r>
    </w:p>
    <w:p>
      <w:pPr>
        <w:pStyle w:val="Corpsdetexte"/>
        <w:rPr/>
      </w:pPr>
      <w:r>
        <w:rPr/>
        <w:t>Comme indiqué précédemment toutes les liaisons catégorie 6 vont converger vers cette baie sur des panneaux de brassage, il sera donc aisé de connecter les postes bureautiques sur le switch existant (par simple jarretièrage).</w:t>
      </w:r>
    </w:p>
    <w:p>
      <w:pPr>
        <w:pStyle w:val="Titre4"/>
        <w:rPr/>
      </w:pPr>
      <w:bookmarkStart w:id="209" w:name="_Toc32334585"/>
      <w:bookmarkStart w:id="210" w:name="_Toc422406701"/>
      <w:r>
        <w:rPr/>
        <w:t>Réseau technique</w:t>
      </w:r>
      <w:bookmarkEnd w:id="209"/>
      <w:bookmarkEnd w:id="210"/>
    </w:p>
    <w:p>
      <w:pPr>
        <w:pStyle w:val="Corpsdetexte"/>
        <w:rPr/>
      </w:pPr>
      <w:r>
        <w:rPr/>
        <w:t>Pour assurer le fonctionnement des postes du réseau technique (Sirius 2 par exemple), raccordés à un réseau spécifique à cet usage, en baie 19 pouces dans le local à droite du mur d’images.</w:t>
      </w:r>
    </w:p>
    <w:p>
      <w:pPr>
        <w:pStyle w:val="Corpsdetexte"/>
        <w:rPr/>
      </w:pPr>
      <w:r>
        <w:rPr/>
        <w:t>Comme indiqué précédemment toutes les liaisons catégorie 6 vont converger vers cette baie sur des panneaux de brassage, il sera donc aisé de connecter les postes du réseau technique sur ce switch existant (par simple jarretièrage).</w:t>
      </w:r>
    </w:p>
    <w:p>
      <w:pPr>
        <w:pStyle w:val="Titre4"/>
        <w:rPr/>
      </w:pPr>
      <w:bookmarkStart w:id="211" w:name="_Toc32334586"/>
      <w:bookmarkStart w:id="212" w:name="_Toc422406702"/>
      <w:r>
        <w:rPr/>
        <w:t>Caractéristiques des liaisons optiques et de leurs extrémités</w:t>
      </w:r>
      <w:bookmarkEnd w:id="211"/>
      <w:bookmarkEnd w:id="212"/>
    </w:p>
    <w:p>
      <w:pPr>
        <w:pStyle w:val="Corpsdetexte"/>
        <w:rPr/>
      </w:pPr>
      <w:r>
        <w:rPr/>
        <w:t>A priori, il n’y a pas de nouveaux câbles à poser sauf si lors des travaux un incident, une modification de chemin de câble, etc. l’imposait. Les spécifications ci-après sont précisées si un tel cas devait survenir.</w:t>
      </w:r>
    </w:p>
    <w:p>
      <w:pPr>
        <w:pStyle w:val="Corpsdetexte"/>
        <w:rPr/>
      </w:pPr>
      <w:r>
        <w:rPr/>
        <w:t>Les câbles assurant les liaisons entre les switchs devront être de type break-out et disposer de minimum 12 fibres optiques monomodes. Ce câble devra être entièrement diélectrique mais disposer de renforts sur toute la périphérie (fibre de verre ou kevlar) assurant une bonne protection contre les attaques de rongeurs. La structure devra être libre, de type micro gaine.</w:t>
      </w:r>
    </w:p>
    <w:p>
      <w:pPr>
        <w:pStyle w:val="Corpsdetexte"/>
        <w:rPr/>
      </w:pPr>
      <w:r>
        <w:rPr/>
        <w:t>Les têtes de câbles devront être de hauteur un U au standard 19 pouces. Elles seront équipées des systèmes de rangement et de lovage. Les connecteurs devront être de type SC APC et être équipés de pigtails réalisés en usine.</w:t>
      </w:r>
    </w:p>
    <w:p>
      <w:pPr>
        <w:pStyle w:val="Corpsdetexte"/>
        <w:rPr/>
      </w:pPr>
      <w:r>
        <w:rPr/>
        <w:t>Les connecteurs sur les switch JUNIPER 4200 sont de type LC, les jarretières à fournir pour les raccordements seront équipées de ce type de connecteur.</w:t>
      </w:r>
    </w:p>
    <w:p>
      <w:pPr>
        <w:pStyle w:val="Corpsdetexte"/>
        <w:rPr/>
      </w:pPr>
      <w:r>
        <w:rPr/>
        <w:t>Tous les câbles, connecteurs jarretières, têtes, accessoires, etc. sont à fournir, installer et raccorder au titre du présent projet.</w:t>
      </w:r>
    </w:p>
    <w:p>
      <w:pPr>
        <w:pStyle w:val="Corpsdetexte"/>
        <w:rPr>
          <w:highlight w:val="yellow"/>
        </w:rPr>
      </w:pPr>
      <w:r>
        <w:rPr>
          <w:highlight w:val="yellow"/>
        </w:rPr>
      </w:r>
    </w:p>
    <w:p>
      <w:pPr>
        <w:pStyle w:val="Titre3"/>
        <w:rPr/>
      </w:pPr>
      <w:bookmarkStart w:id="213" w:name="_Toc32334587"/>
      <w:r>
        <w:rPr/>
        <w:t>Phasage des travaux</w:t>
      </w:r>
      <w:bookmarkEnd w:id="213"/>
    </w:p>
    <w:p>
      <w:pPr>
        <w:pStyle w:val="Titre4"/>
        <w:rPr/>
      </w:pPr>
      <w:bookmarkStart w:id="214" w:name="_Toc32334588"/>
      <w:bookmarkStart w:id="215" w:name="_Toc420929453"/>
      <w:r>
        <w:rPr/>
        <w:t>Le mur d’image</w:t>
      </w:r>
      <w:bookmarkEnd w:id="214"/>
      <w:bookmarkEnd w:id="215"/>
    </w:p>
    <w:p>
      <w:pPr>
        <w:pStyle w:val="TEXTE"/>
        <w:rPr/>
      </w:pPr>
      <w:bookmarkStart w:id="216" w:name="_Toc420929459"/>
      <w:r>
        <w:rPr/>
        <w:t>Le mur d’images est partagé par les opérateurs DiRIF et CRS. Il est certainement avec la GTC, celui qui présente le plus fort risque potentiel, et qui ne dispose pas de « secours ». La perte des images conduit dans un délai très à court, à fermer l’ensemble des tunnels du secteur, avec d’énormes conséquences sur le trafic routier.</w:t>
      </w:r>
    </w:p>
    <w:p>
      <w:pPr>
        <w:pStyle w:val="TEXTE"/>
        <w:rPr/>
      </w:pPr>
      <w:r>
        <w:rPr/>
        <w:t xml:space="preserve">Le système vidéo dans son ensemble est entièrement neuf. En effet, la DiRIF remplace son système vidéo (plate-forme de décodage, système de contrôle commande, visualisation, etc.). </w:t>
      </w:r>
    </w:p>
    <w:p>
      <w:pPr>
        <w:pStyle w:val="TEXTE"/>
        <w:rPr/>
      </w:pPr>
      <w:r>
        <w:rPr/>
        <w:t>Les travaux objet du présent projet consistent donc à protéger le mur d’image existant pendant les travaux. Les liaisons optiques spécifiques entre les projecteurs et les plateformes de décodage, seront mises en œuvre dans le cadre du projet vidéo géré par la DiRIF.</w:t>
      </w:r>
    </w:p>
    <w:p>
      <w:pPr>
        <w:pStyle w:val="Titre4"/>
        <w:rPr/>
      </w:pPr>
      <w:bookmarkStart w:id="217" w:name="_Toc420929459"/>
      <w:bookmarkStart w:id="218" w:name="_Toc32334589"/>
      <w:r>
        <w:rPr/>
        <w:t>Réseaux transmission –communication</w:t>
      </w:r>
      <w:bookmarkEnd w:id="217"/>
      <w:bookmarkEnd w:id="218"/>
    </w:p>
    <w:p>
      <w:pPr>
        <w:pStyle w:val="Titre5"/>
        <w:rPr/>
      </w:pPr>
      <w:bookmarkStart w:id="219" w:name="_Toc420929460"/>
      <w:bookmarkStart w:id="220" w:name="_Toc375130414"/>
      <w:bookmarkStart w:id="221" w:name="_Ref374032553"/>
      <w:r>
        <w:rPr/>
        <w:t>Déploiement de l’architecture des transmissions en phase provisoire.</w:t>
      </w:r>
      <w:bookmarkEnd w:id="219"/>
      <w:bookmarkEnd w:id="220"/>
      <w:bookmarkEnd w:id="221"/>
    </w:p>
    <w:p>
      <w:pPr>
        <w:pStyle w:val="Corpsdetexte"/>
        <w:rPr/>
      </w:pPr>
      <w:r>
        <w:rPr/>
        <w:t>Dans le but d’assurer les liaisons Ethernet de tous les équipements nous prévoyons de dupliquer l’ensemble des prises et câbles réseaux nécessaires aux outils d’exploitation. Cette disposition s’applique aux postes raccordés au RTHD, ainsi qu’aux réseaux techniques.</w:t>
      </w:r>
    </w:p>
    <w:p>
      <w:pPr>
        <w:pStyle w:val="Corpsdetexte"/>
        <w:rPr/>
      </w:pPr>
      <w:r>
        <w:rPr/>
        <w:t>Ces câbles seront connectés à un bandeau de brassages situés dans le local technique du premier étage.</w:t>
      </w:r>
    </w:p>
    <w:p>
      <w:pPr>
        <w:pStyle w:val="Corpsdetexte"/>
        <w:jc w:val="center"/>
        <w:rPr/>
      </w:pPr>
      <w:r>
        <w:rPr/>
        <w:t>Conformément au paragraphe ci-après, nous déconnecterons, pour chaque déplacement de poste, la liaison associée entre la baie de brassage existante et le port du switch EX4200 correspondant.</w:t>
      </w:r>
    </w:p>
    <w:p>
      <w:pPr>
        <w:pStyle w:val="Corpsdetexte"/>
        <w:spacing w:before="0" w:after="120"/>
        <w:rPr/>
      </w:pPr>
      <w:r>
        <w:rPr/>
        <w:t>Les schémas ci-après présentent les principes à adopter pour assurer les différentes phases prévues.</w:t>
      </w:r>
    </w:p>
    <w:p>
      <w:pPr>
        <w:pStyle w:val="Corpsdetexte"/>
        <w:jc w:val="center"/>
        <w:rPr/>
      </w:pPr>
      <w:r>
        <w:rPr/>
      </w:r>
    </w:p>
    <w:p>
      <w:pPr>
        <w:pStyle w:val="Corpsdetexte"/>
        <w:jc w:val="center"/>
        <w:rPr/>
      </w:pPr>
      <w:r>
        <w:rPr/>
        <w:drawing>
          <wp:inline distT="0" distB="0" distL="0" distR="0">
            <wp:extent cx="5580380" cy="3778250"/>
            <wp:effectExtent l="0" t="0" r="0" b="0"/>
            <wp:docPr id="12" name="Image3" descr="C:\Users\kevin.hornech\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3" descr="C:\Users\kevin.hornech\Desktop\1.png"/>
                    <pic:cNvPicPr>
                      <a:picLocks noChangeAspect="1" noChangeArrowheads="1"/>
                    </pic:cNvPicPr>
                  </pic:nvPicPr>
                  <pic:blipFill>
                    <a:blip r:embed="rId16"/>
                    <a:stretch>
                      <a:fillRect/>
                    </a:stretch>
                  </pic:blipFill>
                  <pic:spPr bwMode="auto">
                    <a:xfrm>
                      <a:off x="0" y="0"/>
                      <a:ext cx="5580380" cy="3778250"/>
                    </a:xfrm>
                    <a:prstGeom prst="rect">
                      <a:avLst/>
                    </a:prstGeom>
                  </pic:spPr>
                </pic:pic>
              </a:graphicData>
            </a:graphic>
          </wp:inline>
        </w:drawing>
      </w:r>
    </w:p>
    <w:p>
      <w:pPr>
        <w:pStyle w:val="TFIG"/>
        <w:numPr>
          <w:ilvl w:val="0"/>
          <w:numId w:val="4"/>
        </w:numPr>
        <w:ind w:left="6096" w:hanging="6096"/>
        <w:rPr/>
      </w:pPr>
      <w:bookmarkStart w:id="222" w:name="_Toc32334965"/>
      <w:bookmarkStart w:id="223" w:name="_Toc420929622"/>
      <w:bookmarkStart w:id="224" w:name="_Toc374618115"/>
      <w:bookmarkStart w:id="225" w:name="_Toc374609819"/>
      <w:r>
        <w:rPr/>
        <w:t>Architecture réseau Existante</w:t>
      </w:r>
      <w:bookmarkEnd w:id="222"/>
      <w:bookmarkEnd w:id="223"/>
      <w:bookmarkEnd w:id="224"/>
      <w:bookmarkEnd w:id="225"/>
    </w:p>
    <w:p>
      <w:pPr>
        <w:pStyle w:val="Corpsdetexte"/>
        <w:rPr/>
      </w:pPr>
      <w:r>
        <w:rPr/>
        <w:t xml:space="preserve">Raccordement en lieu et place de la jarretière existante, de la liaison vers le bandeau de brassage provisoire. </w:t>
      </w:r>
    </w:p>
    <w:p>
      <w:pPr>
        <w:pStyle w:val="Corpsdetexte"/>
        <w:jc w:val="center"/>
        <w:rPr/>
      </w:pPr>
      <w:r>
        <w:rPr/>
      </w:r>
    </w:p>
    <w:p>
      <w:pPr>
        <w:pStyle w:val="Corpsdetexte"/>
        <w:jc w:val="center"/>
        <w:rPr/>
      </w:pPr>
      <w:r>
        <w:rPr/>
      </w:r>
    </w:p>
    <w:p>
      <w:pPr>
        <w:pStyle w:val="Corpsdetexte"/>
        <w:jc w:val="center"/>
        <w:rPr/>
      </w:pPr>
      <w:r>
        <w:rPr/>
        <w:drawing>
          <wp:inline distT="0" distB="0" distL="0" distR="0">
            <wp:extent cx="5580380" cy="3817620"/>
            <wp:effectExtent l="0" t="0" r="0" b="0"/>
            <wp:docPr id="13" name="Image 16" descr="C:\Users\kevin.hornech\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6" descr="C:\Users\kevin.hornech\Desktop\2.png"/>
                    <pic:cNvPicPr>
                      <a:picLocks noChangeAspect="1" noChangeArrowheads="1"/>
                    </pic:cNvPicPr>
                  </pic:nvPicPr>
                  <pic:blipFill>
                    <a:blip r:embed="rId17"/>
                    <a:stretch>
                      <a:fillRect/>
                    </a:stretch>
                  </pic:blipFill>
                  <pic:spPr bwMode="auto">
                    <a:xfrm>
                      <a:off x="0" y="0"/>
                      <a:ext cx="5580380" cy="3817620"/>
                    </a:xfrm>
                    <a:prstGeom prst="rect">
                      <a:avLst/>
                    </a:prstGeom>
                  </pic:spPr>
                </pic:pic>
              </a:graphicData>
            </a:graphic>
          </wp:inline>
        </w:drawing>
      </w:r>
    </w:p>
    <w:p>
      <w:pPr>
        <w:pStyle w:val="TFIG"/>
        <w:numPr>
          <w:ilvl w:val="0"/>
          <w:numId w:val="4"/>
        </w:numPr>
        <w:ind w:left="6096" w:hanging="6096"/>
        <w:rPr/>
      </w:pPr>
      <w:bookmarkStart w:id="226" w:name="_Toc32334966"/>
      <w:bookmarkStart w:id="227" w:name="_Toc420929623"/>
      <w:bookmarkStart w:id="228" w:name="_Toc374618116"/>
      <w:r>
        <w:rPr/>
        <w:t>Phase 1 : Déplacement poste opérateur normal (GTC, TSE, etc…)</w:t>
      </w:r>
      <w:bookmarkEnd w:id="226"/>
      <w:bookmarkEnd w:id="227"/>
      <w:bookmarkEnd w:id="228"/>
    </w:p>
    <w:p>
      <w:pPr>
        <w:pStyle w:val="Corpsdetexte"/>
        <w:rPr/>
      </w:pPr>
      <w:r>
        <w:rPr/>
        <w:t xml:space="preserve">Un ensemble de test sera réalisé afin de s’assurer de l’iso-fonctionnalité du système avant de réaliser le déplacement du second poste. </w:t>
      </w:r>
    </w:p>
    <w:p>
      <w:pPr>
        <w:pStyle w:val="Corpsdetexte"/>
        <w:jc w:val="center"/>
        <w:rPr/>
      </w:pPr>
      <w:r>
        <w:rPr/>
        <w:drawing>
          <wp:inline distT="0" distB="0" distL="0" distR="0">
            <wp:extent cx="5580380" cy="3828415"/>
            <wp:effectExtent l="0" t="0" r="0" b="0"/>
            <wp:docPr id="14" name="Image 18" descr="C:\Users\kevin.hornech\Deskto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8" descr="C:\Users\kevin.hornech\Desktop\3.png"/>
                    <pic:cNvPicPr>
                      <a:picLocks noChangeAspect="1" noChangeArrowheads="1"/>
                    </pic:cNvPicPr>
                  </pic:nvPicPr>
                  <pic:blipFill>
                    <a:blip r:embed="rId18"/>
                    <a:stretch>
                      <a:fillRect/>
                    </a:stretch>
                  </pic:blipFill>
                  <pic:spPr bwMode="auto">
                    <a:xfrm>
                      <a:off x="0" y="0"/>
                      <a:ext cx="5580380" cy="3828415"/>
                    </a:xfrm>
                    <a:prstGeom prst="rect">
                      <a:avLst/>
                    </a:prstGeom>
                  </pic:spPr>
                </pic:pic>
              </a:graphicData>
            </a:graphic>
          </wp:inline>
        </w:drawing>
      </w:r>
    </w:p>
    <w:p>
      <w:pPr>
        <w:pStyle w:val="TFIG"/>
        <w:numPr>
          <w:ilvl w:val="0"/>
          <w:numId w:val="4"/>
        </w:numPr>
        <w:tabs>
          <w:tab w:val="left" w:pos="709" w:leader="none"/>
          <w:tab w:val="left" w:pos="851" w:leader="none"/>
          <w:tab w:val="left" w:pos="3402" w:leader="none"/>
        </w:tabs>
        <w:ind w:left="0" w:hanging="0"/>
        <w:rPr/>
      </w:pPr>
      <w:bookmarkStart w:id="229" w:name="_Toc32334967"/>
      <w:bookmarkStart w:id="230" w:name="_Toc420929624"/>
      <w:bookmarkStart w:id="231" w:name="_Toc374618117"/>
      <w:r>
        <w:rPr/>
        <w:t>Phase 2 : Déplacement du poste opérateur secours (situation d’exploitation stabilisée)</w:t>
      </w:r>
      <w:bookmarkEnd w:id="229"/>
      <w:bookmarkEnd w:id="230"/>
      <w:bookmarkEnd w:id="231"/>
    </w:p>
    <w:p>
      <w:pPr>
        <w:pStyle w:val="Corpsdetexte"/>
        <w:jc w:val="center"/>
        <w:rPr/>
      </w:pPr>
      <w:r>
        <w:rPr/>
      </w:r>
    </w:p>
    <w:p>
      <w:pPr>
        <w:pStyle w:val="Corpsdetexte"/>
        <w:rPr/>
      </w:pPr>
      <w:r>
        <w:rPr/>
        <w:t>Le procédé inverse sera réalisé à l’issu des travaux pour le retour des opérateurs dans la salle d’exploitation.</w:t>
      </w:r>
    </w:p>
    <w:p>
      <w:pPr>
        <w:pStyle w:val="Titre5"/>
        <w:rPr/>
      </w:pPr>
      <w:bookmarkStart w:id="232" w:name="_Toc420929462"/>
      <w:bookmarkStart w:id="233" w:name="_Toc354065856"/>
      <w:bookmarkStart w:id="234" w:name="_Toc420929461"/>
      <w:bookmarkStart w:id="235" w:name="_Toc354065855"/>
      <w:r>
        <w:rPr/>
        <w:t>Téléphones de sécurité</w:t>
      </w:r>
      <w:bookmarkEnd w:id="234"/>
      <w:bookmarkEnd w:id="235"/>
    </w:p>
    <w:p>
      <w:pPr>
        <w:pStyle w:val="TEXTE"/>
        <w:rPr/>
      </w:pPr>
      <w:r>
        <w:rPr/>
        <w:t>Ce système est utilisé par les CRS uniquement.</w:t>
      </w:r>
    </w:p>
    <w:p>
      <w:pPr>
        <w:pStyle w:val="TEXTE"/>
        <w:rPr/>
      </w:pPr>
      <w:r>
        <w:rPr/>
        <w:t>Les téléphones de sécurité (TSE) sont installés et mis en service lors de la mise en sécurité des Tunnels Franciliens. Cette opération est à l’heure actuelle en cours de déploiement, les systèmes centraux sont présents au PCTT. Comme pour le réseau d’appel d’urgence, ce système participe à la sécurité des usagers mais plus encore car il s’agit de tunnels. Ces postes permettent d’entrer en contact à partir des issues de secours, notamment en cas d’incendie.</w:t>
      </w:r>
    </w:p>
    <w:p>
      <w:pPr>
        <w:pStyle w:val="TEXTE"/>
        <w:rPr/>
      </w:pPr>
      <w:r>
        <w:rPr/>
        <w:t>Bien conscient du risque important justifié par la fonction des TSE, il est prévu de déplacer les postes un à un. En fait, la machine du poste opérateur est installée dans la salle technique SIRIUS située au sous-sol du bâtiment. La liaison entre cet équipement et l’écran/clavier/souris est assurée par un déport KVM sur liaison catégorie 6. Deux nouvelles liaisons devront être posées entre la baie AEV au sous-sol et la salle provisoire. Un premier poste sera déplacé vers la salle provisoire ainsi que l’équipement de déport KVM. Après raccordement à l’énergie et connexion du déport KVM sur la liaison nouvelle posée à l’étape précédente, une vérification du fonctionnement sera réalisée. Après confirmation du bon fonctionnement du poste déplacé, la même méthode sera utilisée pour déplacer le second poste.</w:t>
      </w:r>
    </w:p>
    <w:p>
      <w:pPr>
        <w:pStyle w:val="TEXTE"/>
        <w:rPr/>
      </w:pPr>
      <w:r>
        <w:rPr/>
        <w:t>Les descriptions ci-avant portent sur le déplacement des postes opérateurs. Les téléphones permettant la réponse aux appels des usagers en détresse, devront être également déplacés dans le même temps que les postes opérateurs. Ces téléphones utilisent la technologie IP, ils seront basculés sur le RTHD en utilisant les liaisons provisoires ci-avant décrites et connectés au réseau RTHD par un déplacement de jarretières.</w:t>
      </w:r>
    </w:p>
    <w:p>
      <w:pPr>
        <w:pStyle w:val="TEXTE"/>
        <w:rPr/>
      </w:pPr>
      <w:r>
        <w:rPr/>
        <w:t>Aucun déplacement de personnel CRS ne sera diligenté, sans qu’il ait été vérifié au préalable, que les appels des TSE puissent être traités indifféremment de la salle d’exploitation ou de la salle provisoire.</w:t>
      </w:r>
    </w:p>
    <w:p>
      <w:pPr>
        <w:pStyle w:val="TEXTE"/>
        <w:rPr/>
      </w:pPr>
      <w:r>
        <w:rPr/>
        <w:t>Pendant les travaux, le poste principal de la salle d’exploitation sera déposé, il sera remis en place après que les travaux de bâtiment soient achevés. Avant le retour des personnels (CRS et OST) dans la salle d’exploitation, il faudra s’assurer que les appels TSE puissent être traités depuis ce poste.</w:t>
      </w:r>
    </w:p>
    <w:p>
      <w:pPr>
        <w:pStyle w:val="TEXTE"/>
        <w:rPr/>
      </w:pPr>
      <w:r>
        <w:rPr/>
        <w:t>Après mise en service définitive de la salle d’exploitation, les modifications de configuration permettant de revenir à l’état initial avant travaux seront alors réalisées et toutes les liaisons provisoires déposées.</w:t>
      </w:r>
    </w:p>
    <w:p>
      <w:pPr>
        <w:pStyle w:val="Titre5"/>
        <w:rPr/>
      </w:pPr>
      <w:bookmarkStart w:id="236" w:name="_Toc420929462"/>
      <w:bookmarkStart w:id="237" w:name="_Toc354065856"/>
      <w:r>
        <w:rPr/>
        <w:t>Réseau d’appel d’urgence</w:t>
      </w:r>
      <w:bookmarkEnd w:id="236"/>
      <w:bookmarkEnd w:id="237"/>
    </w:p>
    <w:p>
      <w:pPr>
        <w:pStyle w:val="Normal"/>
        <w:tabs>
          <w:tab w:val="clear" w:pos="708"/>
          <w:tab w:val="right" w:pos="8789" w:leader="underscore"/>
        </w:tabs>
        <w:spacing w:before="200" w:after="120"/>
        <w:rPr/>
      </w:pPr>
      <w:r>
        <w:rPr/>
        <w:t>Ce système est utilisé par les CRS uniquement. Les systèmes installés en 1996 ont été récemment replacés par de nouveaux utilisant les technologies IP.</w:t>
      </w:r>
    </w:p>
    <w:p>
      <w:pPr>
        <w:pStyle w:val="TEXTE"/>
        <w:rPr/>
      </w:pPr>
      <w:r>
        <w:rPr/>
        <w:t xml:space="preserve">La méthodologie est décrite ci-après. </w:t>
      </w:r>
    </w:p>
    <w:p>
      <w:pPr>
        <w:pStyle w:val="Corpsdetexte"/>
        <w:rPr/>
      </w:pPr>
      <w:r>
        <w:rPr/>
        <w:t>Les deux postes opérateurs sont constitués d’une machine unique intégrant l’écran, le processeur, la carte mère, le lecteur DVD, etc. L’aspect extérieur de cet équipement est similaire à celui d’un écran, et il dispose d’un système de fixation VESA (fixation par un bras à l’arrière de l’équipement). Un téléphone IP est associé à chacun des postes opérateurs.</w:t>
      </w:r>
    </w:p>
    <w:p>
      <w:pPr>
        <w:pStyle w:val="Corpsdetexte"/>
        <w:rPr>
          <w:lang w:val="fr-CA"/>
        </w:rPr>
      </w:pPr>
      <w:r>
        <w:rPr>
          <w:lang w:val="fr-CA"/>
        </w:rPr>
        <w:t>Le premier poste opérateur et le téléphone associé seront déplacés dans la salle provisoire. Après raccordement à l’énergie et au RTHD (déplacement de jarretières), les vérifications de bon fonctionnement seront réalisées. Après qualification des fonctionnalités, le second poste pourra être déplacé selon une méthode identique.</w:t>
      </w:r>
    </w:p>
    <w:p>
      <w:pPr>
        <w:pStyle w:val="TEXTE"/>
        <w:rPr/>
      </w:pPr>
      <w:r>
        <w:rPr/>
        <w:t>Aucune interruption d’exploitation importante ne sera à prévoir. Cela permettra de rassurer l’exploitant qui est beaucoup plus sensibilisé lorsqu’il s’agit d’équipements tunnel, ce qui est le cas avec les PAU IP et les TSE.</w:t>
      </w:r>
    </w:p>
    <w:p>
      <w:pPr>
        <w:pStyle w:val="TEXTE"/>
        <w:rPr/>
      </w:pPr>
      <w:r>
        <w:rPr/>
        <w:t>Un premier poste sera déplacé, après vérification du fonctionnement le second sera lui aussi déplacé.</w:t>
      </w:r>
    </w:p>
    <w:p>
      <w:pPr>
        <w:pStyle w:val="Titre5"/>
        <w:rPr/>
      </w:pPr>
      <w:bookmarkStart w:id="238" w:name="_Toc420929463"/>
      <w:bookmarkStart w:id="239" w:name="_Toc354065859"/>
      <w:r>
        <w:rPr/>
        <w:t>Réseaux informatiques</w:t>
      </w:r>
      <w:bookmarkEnd w:id="238"/>
      <w:bookmarkEnd w:id="239"/>
    </w:p>
    <w:p>
      <w:pPr>
        <w:pStyle w:val="TEXTE"/>
        <w:rPr/>
      </w:pPr>
      <w:r>
        <w:rPr/>
        <w:t>Ce chapitre traite uniquement des réseaux informatiques DiRIF.</w:t>
      </w:r>
    </w:p>
    <w:p>
      <w:pPr>
        <w:pStyle w:val="TEXTE"/>
        <w:rPr/>
      </w:pPr>
      <w:r>
        <w:rPr/>
        <w:t>De nombreux réseaux sont distribués dans les salles du PCTT (bureautique, réseaux techniques, RTHD, etc.). Ces réseaux constituent le principal système de soutien, garantissant le fonctionnement des différentes installations techniques : sans réseau aucun système ne serait fonctionnel. Bien que ces réseaux soient sécurisés en amont, les liaisons terminales ne le sont pas, une simple coupure entre le switch de rattachement et la machine conduit à une panne totale du système concerné.</w:t>
      </w:r>
    </w:p>
    <w:p>
      <w:pPr>
        <w:pStyle w:val="TEXTE"/>
        <w:spacing w:before="200" w:after="120"/>
        <w:rPr/>
      </w:pPr>
      <w:r>
        <w:rPr/>
        <w:t>Il est donc indispensable de prendre toutes les mesures nécessaires pour garantir la continuité de fonctionnement des réseaux. Ces systèmes sont devenus au fil des années complexes de par la multiplicité des services qu’ils offrent (reroutage dynamique, paramétrage individuel, fonctions élaborées de supervision par la liaison, etc.) :</w:t>
      </w:r>
    </w:p>
    <w:p>
      <w:pPr>
        <w:pStyle w:val="Corpsdetexte"/>
        <w:numPr>
          <w:ilvl w:val="0"/>
          <w:numId w:val="86"/>
        </w:numPr>
        <w:spacing w:before="0" w:after="120"/>
        <w:ind w:left="714" w:hanging="357"/>
        <w:rPr/>
      </w:pPr>
      <w:r>
        <w:rPr/>
        <w:t>Ouverture des anneaux optiques et insertion d’un nouvel équipement ;</w:t>
      </w:r>
    </w:p>
    <w:p>
      <w:pPr>
        <w:pStyle w:val="Corpsdetexte"/>
        <w:numPr>
          <w:ilvl w:val="0"/>
          <w:numId w:val="86"/>
        </w:numPr>
        <w:spacing w:before="0" w:after="120"/>
        <w:ind w:left="714" w:hanging="357"/>
        <w:rPr/>
      </w:pPr>
      <w:r>
        <w:rPr/>
        <w:t>Paramétrage des ports des switch (unicast, multicast, VLAN, etc.) pour assurer le fonctionnement des machines installées dans la salle provisoire ;</w:t>
      </w:r>
    </w:p>
    <w:p>
      <w:pPr>
        <w:pStyle w:val="Corpsdetexte"/>
        <w:numPr>
          <w:ilvl w:val="0"/>
          <w:numId w:val="86"/>
        </w:numPr>
        <w:spacing w:before="0" w:after="120"/>
        <w:ind w:left="714" w:hanging="357"/>
        <w:rPr/>
      </w:pPr>
      <w:r>
        <w:rPr/>
        <w:t>Adéquation de la capacité des switchs existants pour la gestion de la salle provisoire ;</w:t>
      </w:r>
    </w:p>
    <w:p>
      <w:pPr>
        <w:pStyle w:val="Corpsdetexte"/>
        <w:numPr>
          <w:ilvl w:val="0"/>
          <w:numId w:val="86"/>
        </w:numPr>
        <w:spacing w:before="0" w:after="120"/>
        <w:ind w:left="714" w:hanging="357"/>
        <w:rPr/>
      </w:pPr>
      <w:r>
        <w:rPr/>
        <w:t>Liens optiques provisoires.</w:t>
      </w:r>
    </w:p>
    <w:p>
      <w:pPr>
        <w:pStyle w:val="TEXTE"/>
        <w:rPr/>
      </w:pPr>
      <w:r>
        <w:rPr/>
        <w:t>Les infrastructures réseau modifiées permettront un fonctionnement en parallèle de la salle d’exploitation actuelle et de la salle provisoire. Cette condition sera impérativement vérifiée avant tout début de basculement. Chaque prise, chaque port, chaque configuration fera l’objet d’une vérification minutieuse, aucun déplacement ne sera envisagé avant d’avoir la certitude que l’infrastructure réseau est opérationnelle et qu’une machine peut y être connectée.</w:t>
      </w:r>
    </w:p>
    <w:p>
      <w:pPr>
        <w:pStyle w:val="Titre5"/>
        <w:rPr/>
      </w:pPr>
      <w:bookmarkStart w:id="240" w:name="_Toc420929464"/>
      <w:bookmarkStart w:id="241" w:name="_Toc354065860"/>
      <w:r>
        <w:rPr/>
        <w:t>Sirius 2</w:t>
      </w:r>
      <w:bookmarkEnd w:id="240"/>
      <w:bookmarkEnd w:id="241"/>
    </w:p>
    <w:p>
      <w:pPr>
        <w:pStyle w:val="TEXTE"/>
        <w:rPr/>
      </w:pPr>
      <w:r>
        <w:rPr/>
        <w:t>Ce système, utilisé exclusivement par la DiRIF, est un élément fondamental dans la gestion du trafic en Ile de France, il permet la visualisation des conditions de trafic en temps réel et est utilisé :</w:t>
      </w:r>
    </w:p>
    <w:p>
      <w:pPr>
        <w:pStyle w:val="P1"/>
        <w:numPr>
          <w:ilvl w:val="0"/>
          <w:numId w:val="20"/>
        </w:numPr>
        <w:rPr/>
      </w:pPr>
      <w:r>
        <w:rPr/>
        <w:t>Pour la validation des bouchons.</w:t>
      </w:r>
    </w:p>
    <w:p>
      <w:pPr>
        <w:pStyle w:val="P1"/>
        <w:numPr>
          <w:ilvl w:val="0"/>
          <w:numId w:val="20"/>
        </w:numPr>
        <w:rPr/>
      </w:pPr>
      <w:r>
        <w:rPr/>
        <w:t>La génération automatique par le système de messages PMV relatifs :</w:t>
      </w:r>
    </w:p>
    <w:p>
      <w:pPr>
        <w:pStyle w:val="P1"/>
        <w:numPr>
          <w:ilvl w:val="0"/>
          <w:numId w:val="20"/>
        </w:numPr>
        <w:rPr/>
      </w:pPr>
      <w:r>
        <w:rPr/>
        <w:t>Aux temps de parcours,</w:t>
      </w:r>
    </w:p>
    <w:p>
      <w:pPr>
        <w:pStyle w:val="P1"/>
        <w:numPr>
          <w:ilvl w:val="0"/>
          <w:numId w:val="20"/>
        </w:numPr>
        <w:rPr/>
      </w:pPr>
      <w:r>
        <w:rPr/>
        <w:t>Aux accidents,</w:t>
      </w:r>
    </w:p>
    <w:p>
      <w:pPr>
        <w:pStyle w:val="P1"/>
        <w:numPr>
          <w:ilvl w:val="0"/>
          <w:numId w:val="20"/>
        </w:numPr>
        <w:rPr/>
      </w:pPr>
      <w:r>
        <w:rPr/>
        <w:t>À la distance de la tête de bouchon.</w:t>
      </w:r>
    </w:p>
    <w:p>
      <w:pPr>
        <w:pStyle w:val="P1"/>
        <w:numPr>
          <w:ilvl w:val="0"/>
          <w:numId w:val="20"/>
        </w:numPr>
        <w:rPr/>
      </w:pPr>
      <w:r>
        <w:rPr/>
        <w:t>L’utilisation de messages préprogrammés à afficher sur les PMV, notamment dans l’application d’un Plan de Gestion de Trafic (PGT).</w:t>
      </w:r>
    </w:p>
    <w:p>
      <w:pPr>
        <w:pStyle w:val="P1"/>
        <w:numPr>
          <w:ilvl w:val="0"/>
          <w:numId w:val="20"/>
        </w:numPr>
        <w:rPr/>
      </w:pPr>
      <w:r>
        <w:rPr/>
        <w:t>La commande des SAV, des équipements de pré signalisation et de fermetures des tunnels.</w:t>
      </w:r>
    </w:p>
    <w:p>
      <w:pPr>
        <w:pStyle w:val="P1"/>
        <w:numPr>
          <w:ilvl w:val="0"/>
          <w:numId w:val="20"/>
        </w:numPr>
        <w:rPr/>
      </w:pPr>
      <w:r>
        <w:rPr/>
        <w:t>La possibilité de transmettre un message manuel au choix de l’opérateur sur un PMV choisi.</w:t>
      </w:r>
    </w:p>
    <w:p>
      <w:pPr>
        <w:pStyle w:val="P1"/>
        <w:numPr>
          <w:ilvl w:val="0"/>
          <w:numId w:val="20"/>
        </w:numPr>
        <w:rPr/>
      </w:pPr>
      <w:r>
        <w:rPr/>
        <w:t>Pour visualiser les données des stations de recueil automatique de données.</w:t>
      </w:r>
    </w:p>
    <w:p>
      <w:pPr>
        <w:pStyle w:val="P1"/>
        <w:numPr>
          <w:ilvl w:val="0"/>
          <w:numId w:val="20"/>
        </w:numPr>
        <w:rPr/>
      </w:pPr>
      <w:r>
        <w:rPr/>
        <w:t>Pour connaître l’état des équipements (notamment les pannes de PMV).</w:t>
      </w:r>
    </w:p>
    <w:p>
      <w:pPr>
        <w:pStyle w:val="TEXTE"/>
        <w:rPr/>
      </w:pPr>
      <w:r>
        <w:rPr/>
        <w:t>Deux postes utilisateurs, installés au pupitre de chacun des PCTT, permettent l’utilisation du système par les OST. Il s’agit d’un poste bi-écrans et d’un second mono écran.</w:t>
      </w:r>
    </w:p>
    <w:p>
      <w:pPr>
        <w:pStyle w:val="TEXTE"/>
        <w:rPr/>
      </w:pPr>
      <w:r>
        <w:rPr/>
        <w:t>Nous prévoyons le déplacement du premier poste opérateur vers la salle d’exploitation provisoire, après vérification que toutes les fonctionnalités sont accessibles nous déplacerons le second.</w:t>
      </w:r>
    </w:p>
    <w:p>
      <w:pPr>
        <w:pStyle w:val="TEXTE"/>
        <w:rPr/>
      </w:pPr>
      <w:r>
        <w:rPr/>
        <w:t>Une méthode identique sera appliquée pour le retour des matériels vers la salle d’exploitation réaménagée.</w:t>
      </w:r>
    </w:p>
    <w:p>
      <w:pPr>
        <w:pStyle w:val="Titre5"/>
        <w:rPr/>
      </w:pPr>
      <w:bookmarkStart w:id="242" w:name="_Toc420929465"/>
      <w:bookmarkStart w:id="243" w:name="_Toc354065861"/>
      <w:r>
        <w:rPr/>
        <w:t>Gestion technique centralisée (GTC)</w:t>
      </w:r>
      <w:bookmarkEnd w:id="242"/>
      <w:bookmarkEnd w:id="243"/>
    </w:p>
    <w:p>
      <w:pPr>
        <w:pStyle w:val="TEXTE"/>
        <w:rPr/>
      </w:pPr>
      <w:r>
        <w:rPr/>
        <w:t>Ces systèmes sont utilisés par les opérateurs DiRIF (OST et TDM).</w:t>
      </w:r>
    </w:p>
    <w:p>
      <w:pPr>
        <w:pStyle w:val="TEXTE"/>
        <w:rPr/>
      </w:pPr>
      <w:r>
        <w:rPr/>
        <w:t>Les systèmes de Gestion Technique Centralisée existants dans les PCTT, sont principalement utilisés pour les équipements de tunnel et sont à ce titre, extrêmement importants vis-à-vis de la sécurité des usagers (accidents, incendie, etc.). La DiRIF gère actuellement un marché de mise en conformité des GTC pour homogénéiser les systèmes. Ce marché transversal nommé « GTC Ile de France » comporte aussi la gestion des interfaces avec des systèmes connexes (SI DAI, SIV, SI phonie, etc.). Ce système permet la commande et le contrôle des principaux équipements suivants :</w:t>
      </w:r>
    </w:p>
    <w:p>
      <w:pPr>
        <w:pStyle w:val="P1"/>
        <w:numPr>
          <w:ilvl w:val="0"/>
          <w:numId w:val="20"/>
        </w:numPr>
        <w:rPr/>
      </w:pPr>
      <w:r>
        <w:rPr/>
        <w:t>Ventilation d’extraction lors d’un incendie y compris le contrôle du courant d’air sur certaines des installations tunnel (Landy, Saint-Cloud, etc.).</w:t>
      </w:r>
    </w:p>
    <w:p>
      <w:pPr>
        <w:pStyle w:val="P1"/>
        <w:numPr>
          <w:ilvl w:val="0"/>
          <w:numId w:val="20"/>
        </w:numPr>
        <w:rPr/>
      </w:pPr>
      <w:r>
        <w:rPr/>
        <w:t>Ventilation sanitaire consistant à insuffler de l’air neuf dans le tunnel en cas de dépassement des seuils programmés, y compris la gestion des capteurs de pollution CO/NO/opacimètres.</w:t>
      </w:r>
    </w:p>
    <w:p>
      <w:pPr>
        <w:pStyle w:val="P1"/>
        <w:numPr>
          <w:ilvl w:val="0"/>
          <w:numId w:val="20"/>
        </w:numPr>
        <w:rPr/>
      </w:pPr>
      <w:r>
        <w:rPr/>
        <w:t>Signaux d’affectation de voies.</w:t>
      </w:r>
    </w:p>
    <w:p>
      <w:pPr>
        <w:pStyle w:val="P1"/>
        <w:numPr>
          <w:ilvl w:val="0"/>
          <w:numId w:val="20"/>
        </w:numPr>
        <w:rPr/>
      </w:pPr>
      <w:r>
        <w:rPr/>
        <w:t>Détection automatique d’incident par les caméras de DAI.</w:t>
      </w:r>
    </w:p>
    <w:p>
      <w:pPr>
        <w:pStyle w:val="P1"/>
        <w:numPr>
          <w:ilvl w:val="0"/>
          <w:numId w:val="20"/>
        </w:numPr>
        <w:rPr/>
      </w:pPr>
      <w:r>
        <w:rPr/>
        <w:t>Pilotage des fermetures tunnel en cas d’incident grave.</w:t>
      </w:r>
    </w:p>
    <w:p>
      <w:pPr>
        <w:pStyle w:val="P1"/>
        <w:numPr>
          <w:ilvl w:val="0"/>
          <w:numId w:val="20"/>
        </w:numPr>
        <w:rPr/>
      </w:pPr>
      <w:r>
        <w:rPr/>
        <w:t>Pilotage des PMV de présignalisation.</w:t>
      </w:r>
    </w:p>
    <w:p>
      <w:pPr>
        <w:pStyle w:val="P1"/>
        <w:numPr>
          <w:ilvl w:val="0"/>
          <w:numId w:val="20"/>
        </w:numPr>
        <w:rPr/>
      </w:pPr>
      <w:r>
        <w:rPr/>
        <w:t>Gestion des états de fonctionnement des équipements.</w:t>
      </w:r>
    </w:p>
    <w:p>
      <w:pPr>
        <w:pStyle w:val="P1"/>
        <w:numPr>
          <w:ilvl w:val="0"/>
          <w:numId w:val="20"/>
        </w:numPr>
        <w:rPr/>
      </w:pPr>
      <w:r>
        <w:rPr/>
        <w:t>Visualisation sur le poste GTC, de l’image vidéo issue de la caméra au niveau de l’incident (piéton, accident, etc.) mais également sur le mur d’images.</w:t>
      </w:r>
    </w:p>
    <w:p>
      <w:pPr>
        <w:pStyle w:val="P1"/>
        <w:numPr>
          <w:ilvl w:val="0"/>
          <w:numId w:val="20"/>
        </w:numPr>
        <w:rPr/>
      </w:pPr>
      <w:r>
        <w:rPr/>
        <w:t>Etc.</w:t>
      </w:r>
    </w:p>
    <w:p>
      <w:pPr>
        <w:pStyle w:val="TEXTE"/>
        <w:rPr/>
      </w:pPr>
      <w:r>
        <w:rPr/>
        <w:t>Ce système est également utilisé pour le choix des images en tunnel, l’opérateur (OST) peut choisir d’afficher des images IP (tunnel) sur le mur d’images et sur le poste GTC.</w:t>
      </w:r>
    </w:p>
    <w:p>
      <w:pPr>
        <w:pStyle w:val="TEXTE"/>
        <w:rPr/>
      </w:pPr>
      <w:r>
        <w:rPr/>
        <w:t>Une exploitation permanente de ce système est impérative (une perte d’exploitation revenant à une Condition Minimale d’Exploitation et par conséquent une fermeture des tunnels).</w:t>
      </w:r>
    </w:p>
    <w:p>
      <w:pPr>
        <w:pStyle w:val="TEXTE"/>
        <w:rPr/>
      </w:pPr>
      <w:r>
        <w:rPr/>
        <w:t>En ce qui concerne les postes opérateurs des PCTT, il en existe trois :</w:t>
      </w:r>
    </w:p>
    <w:p>
      <w:pPr>
        <w:pStyle w:val="P1"/>
        <w:numPr>
          <w:ilvl w:val="0"/>
          <w:numId w:val="20"/>
        </w:numPr>
        <w:rPr/>
      </w:pPr>
      <w:r>
        <w:rPr/>
        <w:t>Un poste quadruple écrans destiné à l’exploitation normale.</w:t>
      </w:r>
    </w:p>
    <w:p>
      <w:pPr>
        <w:pStyle w:val="P1"/>
        <w:numPr>
          <w:ilvl w:val="0"/>
          <w:numId w:val="20"/>
        </w:numPr>
        <w:rPr/>
      </w:pPr>
      <w:r>
        <w:rPr/>
        <w:t>Un poste quadruple écrans, qualifié de secours, utilisé en cas de défection du premier.</w:t>
      </w:r>
    </w:p>
    <w:p>
      <w:pPr>
        <w:pStyle w:val="P1"/>
        <w:numPr>
          <w:ilvl w:val="0"/>
          <w:numId w:val="20"/>
        </w:numPr>
        <w:rPr/>
      </w:pPr>
      <w:r>
        <w:rPr/>
        <w:t>Un poste bi-écrans installé dans le local TDM.</w:t>
      </w:r>
    </w:p>
    <w:p>
      <w:pPr>
        <w:pStyle w:val="TEXTE"/>
        <w:rPr/>
      </w:pPr>
      <w:r>
        <w:rPr/>
        <w:t>Après déplacement du premier poste, il sera vérifié très rigoureusement que toutes les fonctions accessibles avant la migration sont redevenues opérationnelles.</w:t>
      </w:r>
    </w:p>
    <w:p>
      <w:pPr>
        <w:pStyle w:val="TEXTE"/>
        <w:rPr/>
      </w:pPr>
      <w:r>
        <w:rPr/>
        <w:t>Après validation du transfert du premier poste, nous entamerons le basculement du second. Le poste TDM ne sera à priori pas concerné car il est dans le local TDM qui ne sera concerné que par des aménagements mineurs. Cependant, si besoin était, son déplacement ne pose pas de problème particulier car il n’est pas utilisé en exploitation courante, et le TDM d’astreinte peut malgré tout avoir accès aux informations via l’un des deux postes principaux.</w:t>
      </w:r>
    </w:p>
    <w:p>
      <w:pPr>
        <w:pStyle w:val="Titre5"/>
        <w:rPr/>
      </w:pPr>
      <w:bookmarkStart w:id="244" w:name="_Toc420929466"/>
      <w:bookmarkStart w:id="245" w:name="_Toc354065862"/>
      <w:r>
        <w:rPr/>
        <w:t>Système Informatique Vidéo (SIV)</w:t>
      </w:r>
      <w:bookmarkEnd w:id="244"/>
      <w:bookmarkEnd w:id="245"/>
    </w:p>
    <w:p>
      <w:pPr>
        <w:pStyle w:val="TEXTE"/>
        <w:rPr/>
      </w:pPr>
      <w:r>
        <w:rPr/>
        <w:t>Le système informatique vidéo, utilisé à terme par les OST et les CRS, est un des systèmes devant interagir avec le système GTC décrit à l’article précédent. Il gère un certain nombre de bases de données relatives à la vidéo et remplacera à terme les outils actuels de sélection des images et de télécommande des caméras.</w:t>
      </w:r>
    </w:p>
    <w:p>
      <w:pPr>
        <w:pStyle w:val="TEXTE"/>
        <w:rPr/>
      </w:pPr>
      <w:r>
        <w:rPr/>
        <w:t>Comme la GTC, ce système dispose de deux postes opérateurs qui pourront être déplacés alternativement vers l’une ou l’autre des salles en fonction de la phase de travaux.</w:t>
      </w:r>
    </w:p>
    <w:p>
      <w:pPr>
        <w:pStyle w:val="TEXTE"/>
        <w:rPr/>
      </w:pPr>
      <w:r>
        <w:rPr/>
        <w:t>A l’heure actuelle, le SIV n’est pas entièrement opérationnel et gère donc des fonctionnalités limitées, le déplacement des postes opérateurs sera donc aisé. En phase travaux, si le SIV était devenu le seul et unique outil de sélection des images, de télécommande des caméras et de la gestion d’affichage du mur d’images, il faudrait sérieusement reconsidérer ces déplacements et probablement acquérir des postes opérateurs supplémentaires pour gérer les phases provisoires.</w:t>
      </w:r>
    </w:p>
    <w:p>
      <w:pPr>
        <w:pStyle w:val="TEXTE"/>
        <w:rPr/>
      </w:pPr>
      <w:r>
        <w:rPr/>
        <w:t>Il est donc nécessaire pour la poursuite des études détaillées que l’exploitant confirme l’état fonctionnel des installations SIV prévu au démarrage et à l’échéance des travaux de la présente opération.</w:t>
      </w:r>
    </w:p>
    <w:p>
      <w:pPr>
        <w:pStyle w:val="TEXTE"/>
        <w:rPr/>
      </w:pPr>
      <w:r>
        <w:rPr/>
        <w:t>Le maître d’ouvrage devra préciser clairement l’option qui doit être intégrée dans le CCTP en phase ACT.</w:t>
      </w:r>
    </w:p>
    <w:p>
      <w:pPr>
        <w:pStyle w:val="Titre5"/>
        <w:rPr/>
      </w:pPr>
      <w:bookmarkStart w:id="246" w:name="_Toc420929467"/>
      <w:bookmarkStart w:id="247" w:name="_Toc354065863"/>
      <w:r>
        <w:rPr/>
        <w:t>Surveillance vidéo des bâtiments</w:t>
      </w:r>
      <w:bookmarkEnd w:id="246"/>
      <w:bookmarkEnd w:id="247"/>
    </w:p>
    <w:p>
      <w:pPr>
        <w:pStyle w:val="TEXTE"/>
        <w:rPr/>
      </w:pPr>
      <w:r>
        <w:rPr/>
        <w:t>Ce système est utilisé principalement par les CRS qui contrôlent les accès aux bâtiments.</w:t>
      </w:r>
    </w:p>
    <w:p>
      <w:pPr>
        <w:pStyle w:val="TEXTE"/>
        <w:rPr/>
      </w:pPr>
      <w:r>
        <w:rPr/>
        <w:t>Des installations spécifiques mises en place à la construction des bâtiments, puis complétées lors d’opérations ultérieures, permettent la surveillance extérieure du bâtiment.</w:t>
      </w:r>
    </w:p>
    <w:p>
      <w:pPr>
        <w:pStyle w:val="TEXTE"/>
        <w:rPr/>
      </w:pPr>
      <w:r>
        <w:rPr/>
        <w:t>Les images issues des caméras extérieures sont affichées sur le mur d’images.</w:t>
      </w:r>
    </w:p>
    <w:p>
      <w:pPr>
        <w:pStyle w:val="TEXTE"/>
        <w:rPr/>
      </w:pPr>
      <w:r>
        <w:rPr/>
        <w:t>Ce système est très important pour les CRS, il sera donc nécessaire de réaliser les modifications qui permettront de visualiser les images dans les deux salles (exploitation actuelle et provisoire).</w:t>
      </w:r>
    </w:p>
    <w:p>
      <w:pPr>
        <w:pStyle w:val="TEXTE"/>
        <w:rPr/>
      </w:pPr>
      <w:r>
        <w:rPr/>
        <w:t>Les images des salles de garde à vue sont uniquement visualisées au rez-de-chaussée.</w:t>
      </w:r>
    </w:p>
    <w:p>
      <w:pPr>
        <w:pStyle w:val="Titre5"/>
        <w:rPr/>
      </w:pPr>
      <w:bookmarkStart w:id="248" w:name="_Toc420929468"/>
      <w:bookmarkStart w:id="249" w:name="_Toc354065864"/>
      <w:r>
        <w:rPr/>
        <w:t>Téléphonie</w:t>
      </w:r>
      <w:bookmarkEnd w:id="248"/>
      <w:bookmarkEnd w:id="249"/>
    </w:p>
    <w:p>
      <w:pPr>
        <w:pStyle w:val="TEXTE"/>
        <w:rPr/>
      </w:pPr>
      <w:r>
        <w:rPr/>
        <w:t>Tous les opérateurs, qu’il s’agisse de CRS ou d’OST, disposent de téléphones leur permettant de recevoir ou d’émettre des appels.</w:t>
      </w:r>
    </w:p>
    <w:p>
      <w:pPr>
        <w:pStyle w:val="TEXTE"/>
        <w:rPr/>
      </w:pPr>
      <w:r>
        <w:rPr/>
        <w:t>Ces postes utilisent des lignes d’autocommutateurs installés dans la salle technique SIRIUS au sous-sol. Il faudra réaliser une liaison provisoire qui permettra de basculer la jarretière (quelques secondes) au moment du déplacement de l’opérateur (les mises en Y sur du câble type catégorie 6 sont bien trop fastidieuses).</w:t>
      </w:r>
    </w:p>
    <w:p>
      <w:pPr>
        <w:pStyle w:val="Titre5"/>
        <w:rPr/>
      </w:pPr>
      <w:bookmarkStart w:id="250" w:name="_Toc420929469"/>
      <w:bookmarkStart w:id="251" w:name="_Toc354065865"/>
      <w:r>
        <w:rPr/>
        <w:t>Installations radio tunnels</w:t>
      </w:r>
      <w:bookmarkEnd w:id="250"/>
      <w:bookmarkEnd w:id="251"/>
    </w:p>
    <w:p>
      <w:pPr>
        <w:pStyle w:val="TEXTE"/>
        <w:rPr/>
      </w:pPr>
      <w:r>
        <w:rPr/>
        <w:t>Ce système est utilisé par la DiRIF.</w:t>
      </w:r>
    </w:p>
    <w:p>
      <w:pPr>
        <w:pStyle w:val="TEXTE"/>
        <w:rPr/>
      </w:pPr>
      <w:r>
        <w:rPr/>
        <w:t>Il existe un poste opérateur radio qui permet à l’opérateur :</w:t>
      </w:r>
    </w:p>
    <w:p>
      <w:pPr>
        <w:pStyle w:val="P1"/>
        <w:numPr>
          <w:ilvl w:val="0"/>
          <w:numId w:val="20"/>
        </w:numPr>
        <w:rPr/>
      </w:pPr>
      <w:r>
        <w:rPr/>
        <w:t>La supervision de tous les équipements radio des tunnels.</w:t>
      </w:r>
    </w:p>
    <w:p>
      <w:pPr>
        <w:pStyle w:val="P1"/>
        <w:numPr>
          <w:ilvl w:val="0"/>
          <w:numId w:val="20"/>
        </w:numPr>
        <w:rPr/>
      </w:pPr>
      <w:r>
        <w:rPr/>
        <w:t>L’envoi, à destination des usagers, de messages préprogrammés notamment en cas d’incendie.</w:t>
      </w:r>
    </w:p>
    <w:p>
      <w:pPr>
        <w:pStyle w:val="P1"/>
        <w:numPr>
          <w:ilvl w:val="0"/>
          <w:numId w:val="20"/>
        </w:numPr>
        <w:rPr/>
      </w:pPr>
      <w:r>
        <w:rPr/>
        <w:t>L’envoi d’un message manuel toujours à destination des usagers du (ou des) tunnel.</w:t>
      </w:r>
    </w:p>
    <w:p>
      <w:pPr>
        <w:pStyle w:val="TEXTE"/>
        <w:rPr/>
      </w:pPr>
      <w:r>
        <w:rPr/>
        <w:t>La position de ces postes au pupitre ou en salle TDM n’est à priori pas définitive en fonction du PCTT concerné. Le poste opérateur (écran/clavier/souris) est relié à une machine qui est en salle technique par une liaison spécifique.</w:t>
      </w:r>
    </w:p>
    <w:p>
      <w:pPr>
        <w:pStyle w:val="TEXTE"/>
        <w:rPr/>
      </w:pPr>
      <w:r>
        <w:rPr/>
        <w:t>Comme ce poste est unique, il faudra probablement poser une liaison provisoire permettant de le faire fonctionner dans la salle qui sera utilisée pendant les travaux de la salle d’exploitation. Si l’exploitant juge qu’il faut assurer une continuité totale de l’exploitation, soit le basculement sera envisagé de nuit sous coupure totale de l’exploitation (zone vaste d’exploitation du PC) soit l’acquisition d’un poste supplémentaire sera nécessaire, il pourra être utilisé à chaque phase provisoire d’un PCTT.</w:t>
      </w:r>
    </w:p>
    <w:p>
      <w:pPr>
        <w:pStyle w:val="Titre4"/>
        <w:rPr/>
      </w:pPr>
      <w:bookmarkStart w:id="252" w:name="_Toc32334590"/>
      <w:bookmarkStart w:id="253" w:name="_Toc420929473"/>
      <w:bookmarkStart w:id="254" w:name="_Toc354065866"/>
      <w:r>
        <w:rPr/>
        <w:t>Installations spécifiques CRS</w:t>
      </w:r>
      <w:bookmarkEnd w:id="252"/>
      <w:bookmarkEnd w:id="253"/>
      <w:bookmarkEnd w:id="254"/>
    </w:p>
    <w:p>
      <w:pPr>
        <w:pStyle w:val="Titre5"/>
        <w:rPr/>
      </w:pPr>
      <w:bookmarkStart w:id="255" w:name="_Toc401219527"/>
      <w:r>
        <w:rPr/>
        <w:t>Présentation</w:t>
      </w:r>
      <w:bookmarkEnd w:id="255"/>
    </w:p>
    <w:p>
      <w:pPr>
        <w:pStyle w:val="TEXTE"/>
        <w:rPr/>
      </w:pPr>
      <w:r>
        <w:rPr/>
        <w:t>Les CRS utilisent, en sus des installations maintenues par la DiRIF (RAU, vidéo, TSE, etc.), des systèmes qui leur sont spécifiques, qui ne peuvent être modifiées sans l’avis préalable des différents services du ministère de l’intérieur.</w:t>
      </w:r>
    </w:p>
    <w:p>
      <w:pPr>
        <w:pStyle w:val="TEXTE"/>
        <w:rPr/>
      </w:pPr>
      <w:r>
        <w:rPr/>
        <w:t>Ils disposent de différents postes opérateurs qui sont connectés à des réseaux informatiques spécifiques n’ayant aucun lien avec ceux de la DiRIF. À titre d’information quelques-uns de ces systèmes sont listés ci-après :</w:t>
      </w:r>
    </w:p>
    <w:p>
      <w:pPr>
        <w:pStyle w:val="P1"/>
        <w:numPr>
          <w:ilvl w:val="0"/>
          <w:numId w:val="20"/>
        </w:numPr>
        <w:rPr/>
      </w:pPr>
      <w:r>
        <w:rPr/>
        <w:t>Station radio.</w:t>
      </w:r>
    </w:p>
    <w:p>
      <w:pPr>
        <w:pStyle w:val="P1"/>
        <w:numPr>
          <w:ilvl w:val="0"/>
          <w:numId w:val="20"/>
        </w:numPr>
        <w:rPr/>
      </w:pPr>
      <w:r>
        <w:rPr/>
        <w:t>Équipements réseaux informatiques.</w:t>
      </w:r>
    </w:p>
    <w:p>
      <w:pPr>
        <w:pStyle w:val="P1"/>
        <w:numPr>
          <w:ilvl w:val="0"/>
          <w:numId w:val="20"/>
        </w:numPr>
        <w:rPr/>
      </w:pPr>
      <w:r>
        <w:rPr/>
        <w:t>Main courante dépanneurs.</w:t>
      </w:r>
    </w:p>
    <w:p>
      <w:pPr>
        <w:pStyle w:val="P1"/>
        <w:numPr>
          <w:ilvl w:val="0"/>
          <w:numId w:val="20"/>
        </w:numPr>
        <w:rPr/>
      </w:pPr>
      <w:r>
        <w:rPr/>
        <w:t>Enregistrement des communications radio.</w:t>
      </w:r>
    </w:p>
    <w:p>
      <w:pPr>
        <w:pStyle w:val="P1"/>
        <w:numPr>
          <w:ilvl w:val="0"/>
          <w:numId w:val="20"/>
        </w:numPr>
        <w:rPr/>
      </w:pPr>
      <w:r>
        <w:rPr/>
        <w:t>RESCOM.</w:t>
      </w:r>
    </w:p>
    <w:p>
      <w:pPr>
        <w:pStyle w:val="P1"/>
        <w:numPr>
          <w:ilvl w:val="0"/>
          <w:numId w:val="20"/>
        </w:numPr>
        <w:rPr/>
      </w:pPr>
      <w:r>
        <w:rPr/>
        <w:t>Interrogation fichiers de police.</w:t>
      </w:r>
    </w:p>
    <w:p>
      <w:pPr>
        <w:pStyle w:val="P1"/>
        <w:numPr>
          <w:ilvl w:val="0"/>
          <w:numId w:val="20"/>
        </w:numPr>
        <w:rPr/>
      </w:pPr>
      <w:r>
        <w:rPr/>
        <w:t>Autocommutateur spécifique (liaisons directes ministère de l’intérieur).</w:t>
      </w:r>
    </w:p>
    <w:p>
      <w:pPr>
        <w:pStyle w:val="P1"/>
        <w:numPr>
          <w:ilvl w:val="0"/>
          <w:numId w:val="20"/>
        </w:numPr>
        <w:rPr/>
      </w:pPr>
      <w:r>
        <w:rPr/>
        <w:t>Etc.</w:t>
      </w:r>
    </w:p>
    <w:p>
      <w:pPr>
        <w:pStyle w:val="Titre5"/>
        <w:rPr/>
      </w:pPr>
      <w:bookmarkStart w:id="256" w:name="_Toc401219528"/>
      <w:r>
        <w:rPr/>
        <w:t>Locaux techniques</w:t>
      </w:r>
      <w:bookmarkEnd w:id="256"/>
    </w:p>
    <w:p>
      <w:pPr>
        <w:pStyle w:val="TEXTE"/>
        <w:rPr/>
      </w:pPr>
      <w:r>
        <w:rPr/>
        <w:t>Le site de Nanterre est un peu spécifique car l’architecture est différente des autres sites. En effet, les équipements sont hébergés dans deux locaux :</w:t>
      </w:r>
    </w:p>
    <w:p>
      <w:pPr>
        <w:pStyle w:val="TEXTE"/>
        <w:numPr>
          <w:ilvl w:val="0"/>
          <w:numId w:val="109"/>
        </w:numPr>
        <w:rPr/>
      </w:pPr>
      <w:r>
        <w:rPr/>
        <w:t>Un local nommé « radio » jouxtant la salle d’exploitation côté CRS qui contient notamment l’enregistreur de communication.</w:t>
      </w:r>
    </w:p>
    <w:p>
      <w:pPr>
        <w:pStyle w:val="TEXTE"/>
        <w:numPr>
          <w:ilvl w:val="0"/>
          <w:numId w:val="109"/>
        </w:numPr>
        <w:rPr/>
      </w:pPr>
      <w:r>
        <w:rPr/>
        <w:t>Un local technique regroupant notamment l’autocommutateur et les équipements réseau, qui lui ; est situé au rez-de-chaussée.</w:t>
      </w:r>
    </w:p>
    <w:p>
      <w:pPr>
        <w:pStyle w:val="Titre5"/>
        <w:rPr/>
      </w:pPr>
      <w:bookmarkStart w:id="257" w:name="_Toc401219529"/>
      <w:r>
        <w:rPr/>
        <w:t>Installation radio</w:t>
      </w:r>
      <w:bookmarkEnd w:id="257"/>
    </w:p>
    <w:p>
      <w:pPr>
        <w:pStyle w:val="TEXTE"/>
        <w:rPr/>
      </w:pPr>
      <w:r>
        <w:rPr/>
        <w:t>Il existe deux boîtiers radio qui sont installés dans les caissons des pupitres, l’un deux fonctionne via un câble coaxial, l’autre via une liaison FT (à priori en dérangement). En phase provisoire, nous proposons d’installer ces deux boîtiers derrière le mur d’image (dans la base de celui-ci). Il faudra prolonger le câble coaxial d’antenne et les liaisons téléphoniques vers le répartiteur en faux-plancher ci-après décrit. En phase définitive ces deux boîtiers devront être installés dans le local technique radio. Cette disposition impose de prolonger le câble coaxial d’antenne.</w:t>
      </w:r>
    </w:p>
    <w:p>
      <w:pPr>
        <w:pStyle w:val="TEXTE"/>
        <w:rPr/>
      </w:pPr>
      <w:r>
        <w:rPr/>
        <w:t>Ces installations sont très contraignantes. En effet, la liaison entre le boîtier radio et le poste ne peut excéder 21 mètres.</w:t>
      </w:r>
    </w:p>
    <w:p>
      <w:pPr>
        <w:pStyle w:val="TEXTE"/>
        <w:rPr/>
      </w:pPr>
      <w:r>
        <w:rPr/>
        <w:t>Un répartiteur téléphonique est installé dans le faux-plancher, il permet les liaisons principales avec le répartiteur du local technique mur d’images. Des liaisons relient les boîtiers radio au répartiteur situé dans le local technique mur d’images.</w:t>
      </w:r>
    </w:p>
    <w:p>
      <w:pPr>
        <w:pStyle w:val="TEXTE"/>
        <w:rPr/>
      </w:pPr>
      <w:r>
        <w:rPr/>
        <w:t>En phase définitive, il faudra installer un nouveau répartiteur dans le local technique radio qui viendra remplacer celui installé en faux-plancher.</w:t>
      </w:r>
    </w:p>
    <w:p>
      <w:pPr>
        <w:pStyle w:val="TEXTE"/>
        <w:rPr/>
      </w:pPr>
      <w:r>
        <w:rPr/>
        <w:t>L’enregistreur de communication est installé dans un local technique derrière la salle d’exploitation. Des liaisons entre les boîtiers radio du pupitre et ce local permettent les enregistrements.</w:t>
      </w:r>
    </w:p>
    <w:p>
      <w:pPr>
        <w:pStyle w:val="TEXTE"/>
        <w:rPr/>
      </w:pPr>
      <w:r>
        <w:rPr/>
        <w:t>Les boîtiers radio devront être déplacés et tous les câbles prolongés (notamment les coaxiaux) lors de la phase provisoire. En phase définitive, ils devront être installés à proximité de l’enregistreur de communications, tous les câbles devront être également prolongés lors de cette phase.</w:t>
      </w:r>
    </w:p>
    <w:p>
      <w:pPr>
        <w:pStyle w:val="TEXTE"/>
        <w:rPr/>
      </w:pPr>
      <w:r>
        <w:rPr/>
        <w:t>Les liaisons entre les boîtiers radio et les postes du pupitre devront être mises en œuvre en phase provisoire puis en phase définitive.</w:t>
      </w:r>
    </w:p>
    <w:p>
      <w:pPr>
        <w:pStyle w:val="Titre5"/>
        <w:spacing w:before="240" w:after="240"/>
        <w:ind w:left="1843" w:hanging="1134"/>
        <w:rPr/>
      </w:pPr>
      <w:bookmarkStart w:id="258" w:name="_Toc401219530"/>
      <w:r>
        <w:rPr/>
        <w:t>Installation téléphoniques</w:t>
      </w:r>
      <w:bookmarkEnd w:id="258"/>
    </w:p>
    <w:p>
      <w:pPr>
        <w:pStyle w:val="Normal"/>
        <w:spacing w:before="0" w:after="240"/>
        <w:rPr/>
      </w:pPr>
      <w:r>
        <w:rPr/>
        <w:t>L’arrivée du câble France télécom (réglette spécifique affectée à cette fonction) est située dans la salle technique SIRIUS au sous-sol. Pour assurer la distribution vers les étages il existe :</w:t>
      </w:r>
    </w:p>
    <w:p>
      <w:pPr>
        <w:pStyle w:val="TEXTE"/>
        <w:numPr>
          <w:ilvl w:val="0"/>
          <w:numId w:val="109"/>
        </w:numPr>
        <w:rPr/>
      </w:pPr>
      <w:r>
        <w:rPr/>
        <w:t>Une liaison 112 paires entre le local technique CRS du RDC et la salle technique au sous-sol (des jarretières permettent d’acheminer les lignes FT jusqu’au local technique CRS du RDC).</w:t>
      </w:r>
    </w:p>
    <w:p>
      <w:pPr>
        <w:pStyle w:val="TEXTE"/>
        <w:numPr>
          <w:ilvl w:val="0"/>
          <w:numId w:val="109"/>
        </w:numPr>
        <w:rPr/>
      </w:pPr>
      <w:r>
        <w:rPr/>
        <w:t>Cinq 112 paires qui relient la salle technique du sous-sol au local technique à droite du mur d’images, utilisés notamment pour acheminer les lignes entre le sous-sol et le local technique mur d’images.</w:t>
      </w:r>
    </w:p>
    <w:p>
      <w:pPr>
        <w:pStyle w:val="Normal"/>
        <w:spacing w:before="0" w:after="240"/>
        <w:rPr/>
      </w:pPr>
      <w:r>
        <w:rPr/>
        <w:t>L’autocommutateur est installé dans le local technique du rez-de-chaussée dans une mini baie (sur la partie gauche en regardant les baies de face) contenant tous les équipements centraux de téléphonie (autocom) et les câblages associés (à gauche).</w:t>
      </w:r>
    </w:p>
    <w:p>
      <w:pPr>
        <w:pStyle w:val="Corpsdetexte"/>
        <w:rPr/>
      </w:pPr>
      <w:r>
        <w:rPr/>
        <w:t>Un répartiteur de câblage disparate mélangeant les réglettes à wrapper et les extrémités push-pull permet les liaisons vers les postes.</w:t>
      </w:r>
    </w:p>
    <w:p>
      <w:pPr>
        <w:pStyle w:val="Corpsdetexte"/>
        <w:rPr/>
      </w:pPr>
      <w:r>
        <w:rPr/>
        <w:t>Pour gérer la phase provisoire, un panneau de brassage 16 ports sera installé dans la mini-baie. Des jarretières provisoires permettront de connecter les postes aux prises du pupitre provisoire.</w:t>
      </w:r>
    </w:p>
    <w:p>
      <w:pPr>
        <w:pStyle w:val="Corpsdetexte"/>
        <w:rPr/>
      </w:pPr>
      <w:r>
        <w:rPr/>
        <w:t>En phase définitive, les prises du pupitre affectées à la téléphonie devront également aboutir sur ce panneau de brassage.</w:t>
      </w:r>
    </w:p>
    <w:p>
      <w:pPr>
        <w:pStyle w:val="Titre5"/>
        <w:rPr/>
      </w:pPr>
      <w:bookmarkStart w:id="259" w:name="_Toc401219531"/>
      <w:r>
        <w:rPr/>
        <w:t>Installations informatiques</w:t>
      </w:r>
      <w:bookmarkEnd w:id="259"/>
    </w:p>
    <w:p>
      <w:pPr>
        <w:pStyle w:val="P1"/>
        <w:rPr>
          <w:lang w:val="fr-FR"/>
        </w:rPr>
      </w:pPr>
      <w:r>
        <w:rPr>
          <w:lang w:val="fr-FR"/>
        </w:rPr>
        <w:t>Les équipements réseau et les brassages associés sont installés dans une mini-baie (à droite en regardant les baies de face).</w:t>
      </w:r>
    </w:p>
    <w:p>
      <w:pPr>
        <w:pStyle w:val="P1"/>
        <w:rPr>
          <w:lang w:val="fr-FR"/>
        </w:rPr>
      </w:pPr>
      <w:r>
        <w:rPr>
          <w:lang w:val="fr-FR"/>
        </w:rPr>
        <w:t>Pour gérer la phase provisoire, un panneau de brassage 16 ports sera installé dans la mini-baie. Des jarretières provisoires permettront de connecter les postes aux prises du pupitre provisoire.</w:t>
      </w:r>
    </w:p>
    <w:p>
      <w:pPr>
        <w:pStyle w:val="P1"/>
        <w:rPr>
          <w:lang w:val="fr-FR"/>
        </w:rPr>
      </w:pPr>
      <w:r>
        <w:rPr>
          <w:lang w:val="fr-FR"/>
        </w:rPr>
        <w:t>En phase définitive, les prises du pupitre affectées à l’informatique devront également aboutir sur ce panneau de brassage.</w:t>
      </w:r>
    </w:p>
    <w:p>
      <w:pPr>
        <w:pStyle w:val="Titre4"/>
        <w:rPr/>
      </w:pPr>
      <w:bookmarkStart w:id="260" w:name="_Toc32334591"/>
      <w:bookmarkStart w:id="261" w:name="_Toc420929481"/>
      <w:r>
        <w:rPr/>
        <w:t>Impact sur l’exploitation</w:t>
      </w:r>
      <w:bookmarkEnd w:id="260"/>
      <w:bookmarkEnd w:id="261"/>
    </w:p>
    <w:p>
      <w:pPr>
        <w:pStyle w:val="Corpsdetexte"/>
        <w:rPr/>
      </w:pPr>
      <w:r>
        <w:rPr/>
        <w:t>Le phasage tel que défini précédemment permet aux exploitants de ne perdre à aucun moment ses outils maintenus dans des conditions relativement confortables au regard des travaux à réalisés.</w:t>
      </w:r>
    </w:p>
    <w:p>
      <w:pPr>
        <w:pStyle w:val="Corpsdetexte"/>
        <w:rPr/>
      </w:pPr>
      <w:r>
        <w:rPr/>
        <w:t>Le déménagement des opérateurs vers la salle d’exploitation définitive sera réalisé une fois l’ensemble des outils principaux déplacés au pupitre (un poste sur deux pour tous les outils redondants). Lorsque les opérateurs auront réinvesti la salle d’exploitation, les seconds postes relatifs à chacun des systèmes seront déplacés de la salle provisoire vers la salle d’exploitation définitive.</w:t>
      </w:r>
    </w:p>
    <w:p>
      <w:pPr>
        <w:pStyle w:val="Titre4"/>
        <w:rPr/>
      </w:pPr>
      <w:bookmarkStart w:id="262" w:name="_Toc32334592"/>
      <w:bookmarkStart w:id="263" w:name="_Toc420929482"/>
      <w:r>
        <w:rPr/>
        <w:t>Mise en service des outils définitifs</w:t>
      </w:r>
      <w:bookmarkEnd w:id="262"/>
      <w:bookmarkEnd w:id="263"/>
      <w:r>
        <w:rPr/>
        <w:t xml:space="preserve"> </w:t>
      </w:r>
    </w:p>
    <w:p>
      <w:pPr>
        <w:pStyle w:val="Titre5"/>
        <w:rPr/>
      </w:pPr>
      <w:bookmarkStart w:id="264" w:name="_Toc420929483"/>
      <w:r>
        <w:rPr/>
        <w:t>Essais</w:t>
      </w:r>
      <w:bookmarkEnd w:id="264"/>
      <w:r>
        <w:rPr/>
        <w:t xml:space="preserve"> </w:t>
      </w:r>
    </w:p>
    <w:p>
      <w:pPr>
        <w:pStyle w:val="Corpsdetexte"/>
        <w:rPr/>
      </w:pPr>
      <w:r>
        <w:rPr/>
        <w:t>Après chaque déplacement d’outils de la salle provisoire au pupitre définitif il est prévu la réalisation de l’ensemble des tests liés aux différentes fonctionnalités intrinsèques de l’outil déplacé (contrôle des vues, lien réseau avec le terrain ou les serveurs…)</w:t>
      </w:r>
    </w:p>
    <w:p>
      <w:pPr>
        <w:pStyle w:val="Corpsdetexte"/>
        <w:rPr/>
      </w:pPr>
      <w:r>
        <w:rPr/>
        <w:t>Dans un second temps, l’ensemble des actions de l’outil seront testées par prélèvement.</w:t>
      </w:r>
    </w:p>
    <w:p>
      <w:pPr>
        <w:pStyle w:val="Titre5"/>
        <w:rPr/>
      </w:pPr>
      <w:bookmarkStart w:id="265" w:name="_Toc420929484"/>
      <w:r>
        <w:rPr/>
        <w:t>Validation des opérateurs (CRS et OST)</w:t>
      </w:r>
      <w:bookmarkEnd w:id="265"/>
    </w:p>
    <w:p>
      <w:pPr>
        <w:pStyle w:val="Corpsdetexte"/>
        <w:rPr/>
      </w:pPr>
      <w:r>
        <w:rPr/>
        <w:t>Après déplacement des outils redondants (un seul poste), une phase de validation contradictoire sera réalisée avec les exploitants et les opérateurs. Si celle-ci est concluante, l’ensemble des outils sera déplacé (tous les seconds postes) et une nouvelle phase de qualification sera réalisée dans les mêmes conditions.</w:t>
      </w:r>
    </w:p>
    <w:p>
      <w:pPr>
        <w:pStyle w:val="Titre4"/>
        <w:rPr/>
      </w:pPr>
      <w:bookmarkStart w:id="266" w:name="_Toc32334593"/>
      <w:bookmarkStart w:id="267" w:name="_Toc420929485"/>
      <w:r>
        <w:rPr/>
        <w:t>Basculement de l’exploitation</w:t>
      </w:r>
      <w:bookmarkEnd w:id="266"/>
      <w:bookmarkEnd w:id="267"/>
    </w:p>
    <w:p>
      <w:pPr>
        <w:pStyle w:val="Titre5"/>
        <w:rPr/>
      </w:pPr>
      <w:bookmarkStart w:id="268" w:name="_Toc420929486"/>
      <w:r>
        <w:rPr/>
        <w:t>Retour arrière</w:t>
      </w:r>
      <w:bookmarkEnd w:id="268"/>
    </w:p>
    <w:p>
      <w:pPr>
        <w:pStyle w:val="Corpsdetexte"/>
        <w:rPr/>
      </w:pPr>
      <w:r>
        <w:rPr/>
        <w:t>Pour chaque transfert d’un outil d’exploitation, il sera établi une procédure détaillée de retour en arrière, décrivant les étapes à réaliser ainsi que le temps d’indisponibilité du système.</w:t>
      </w:r>
    </w:p>
    <w:p>
      <w:pPr>
        <w:pStyle w:val="Titre5"/>
        <w:rPr/>
      </w:pPr>
      <w:bookmarkStart w:id="269" w:name="_Toc420929487"/>
      <w:r>
        <w:rPr/>
        <w:t>Abandon et démontage de la zone provisoire</w:t>
      </w:r>
      <w:bookmarkEnd w:id="269"/>
    </w:p>
    <w:p>
      <w:pPr>
        <w:pStyle w:val="Corpsdetexte"/>
        <w:rPr/>
      </w:pPr>
      <w:r>
        <w:rPr/>
        <w:t>Une fois la totalité du déménagement réalisé, l’ensemble des installations électriques et de transmissions sera déposé.</w:t>
      </w:r>
    </w:p>
    <w:p>
      <w:pPr>
        <w:pStyle w:val="Corpsdetexte"/>
        <w:rPr/>
      </w:pPr>
      <w:r>
        <w:rPr/>
        <w:t xml:space="preserve">Les dégradations engendrées par le passage des câbles provisoires et les supports d’écrans seront rebouchés coupe-feu et les murs seront repeints. Les tables et chaises de la salle de réunion stockées, seront reposées dans la salle de réunion. </w:t>
      </w:r>
    </w:p>
    <w:p>
      <w:pPr>
        <w:pStyle w:val="Corpsdetexte"/>
        <w:rPr/>
      </w:pPr>
      <w:r>
        <w:rPr/>
        <w:t>L’armoire située dans le local technique servant à l’alimentation de la salle de supervision provisoire sera également déposée. Les installations de brassage provisoire seront également déposées.</w:t>
      </w:r>
    </w:p>
    <w:p>
      <w:pPr>
        <w:pStyle w:val="Corpsdetexte"/>
        <w:rPr/>
      </w:pPr>
      <w:r>
        <w:rPr/>
        <w:t>Le mur d’images provisoire sera déposé et utilisé pour le réaménagement du PCTT suivant. Toutes les installations provisoires permettant la visualisation des images seront également déposées et stockées en attente de déploiement sur le PCTT suivant.</w:t>
      </w:r>
    </w:p>
    <w:p>
      <w:pPr>
        <w:pStyle w:val="Corpsdetexte"/>
        <w:rPr/>
      </w:pPr>
      <w:r>
        <w:rPr/>
        <w:t>Le pupitre provisoire sera déposé et mis en décharge ou à la disposition du Maître d’ouvrage.</w:t>
      </w:r>
    </w:p>
    <w:p>
      <w:pPr>
        <w:pStyle w:val="Titre2"/>
        <w:tabs>
          <w:tab w:val="clear" w:pos="0"/>
          <w:tab w:val="clear" w:pos="8789"/>
          <w:tab w:val="left" w:pos="426" w:leader="none"/>
        </w:tabs>
        <w:ind w:left="0" w:hanging="0"/>
        <w:rPr/>
      </w:pPr>
      <w:bookmarkStart w:id="270" w:name="_Toc32334594"/>
      <w:r>
        <w:rPr/>
        <w:t>Virtualisation des outils d’exploitation</w:t>
      </w:r>
      <w:bookmarkEnd w:id="270"/>
    </w:p>
    <w:p>
      <w:pPr>
        <w:pStyle w:val="Titre3"/>
        <w:rPr/>
      </w:pPr>
      <w:bookmarkStart w:id="271" w:name="_Toc32334595"/>
      <w:r>
        <w:rPr/>
        <w:t>Présentation de la virtualisation</w:t>
      </w:r>
      <w:bookmarkEnd w:id="271"/>
    </w:p>
    <w:p>
      <w:pPr>
        <w:pStyle w:val="Corpsdetexte"/>
        <w:rPr/>
      </w:pPr>
      <w:r>
        <w:rPr/>
        <w:t>L’opération de virtualisation des Systèmes Informatiques Tunnels est sous maîtrise d’œuvre intégrée d’UIRC de la DiRIF.</w:t>
      </w:r>
    </w:p>
    <w:p>
      <w:pPr>
        <w:pStyle w:val="Corpsdetexte"/>
        <w:rPr/>
      </w:pPr>
      <w:r>
        <w:rPr/>
        <w:t>L’opération de virtualisation des SI déployés au pupitre porte sur : le SAGTU, la GTC, les postes Sirius, les PIAF et les postes Sytadin. Elle ne porte pas sur la bureautique ; les SI Police, le SI vidéo, le SI phonie et les SI particuliers à certains PCTT.</w:t>
      </w:r>
    </w:p>
    <w:p>
      <w:pPr>
        <w:pStyle w:val="Corpsdetexte"/>
        <w:rPr/>
      </w:pPr>
      <w:r>
        <w:rPr/>
        <w:t>Cette opération consiste à remplacer les postes opérateurs redondés déployés au pupitre par des postes clients et à transférer les systèmes principaux dans des serveurs installés dans les salles informatiques.</w:t>
      </w:r>
    </w:p>
    <w:p>
      <w:pPr>
        <w:pStyle w:val="Corpsdetexte"/>
        <w:rPr/>
      </w:pPr>
      <w:r>
        <w:rPr/>
        <w:t xml:space="preserve">L’ensemble des équipements nécessaires à ce changement (serveurs, postes clients, écrans) sont acquis dans le cadre de l’opération dédiée à la virtualisation. Il restera à la charge du présent projet la fourniture et l’installation des fixations définitives des écrans et des interfaces raccordées au réseau. </w:t>
      </w:r>
    </w:p>
    <w:p>
      <w:pPr>
        <w:pStyle w:val="Titre3"/>
        <w:rPr/>
      </w:pPr>
      <w:bookmarkStart w:id="272" w:name="_Toc32334596"/>
      <w:r>
        <w:rPr/>
        <w:t>Impact de la virtualisation sur le projet</w:t>
      </w:r>
      <w:bookmarkEnd w:id="272"/>
    </w:p>
    <w:p>
      <w:pPr>
        <w:pStyle w:val="Corpsdetexte"/>
        <w:rPr/>
      </w:pPr>
      <w:r>
        <w:rPr/>
        <w:t>Au démarrage des travaux d’aménagement des salles d’exploitation, les systèmes virtualisés auront été déployés au pupitre. Les écrans et les postes clients seront neufs. Les transferts entre les salles d’exploitation actuelle, provisoire et définitive ne devraient plus présenter de risques importants de non redémarrage.</w:t>
      </w:r>
    </w:p>
    <w:p>
      <w:pPr>
        <w:pStyle w:val="Corpsdetexte"/>
        <w:spacing w:before="200" w:after="120"/>
        <w:rPr/>
      </w:pPr>
      <w:r>
        <w:rPr/>
        <w:t>L’impact de la virtualisation sur la rénovation de la salle d’exploitation peut être résumé à :</w:t>
      </w:r>
    </w:p>
    <w:p>
      <w:pPr>
        <w:pStyle w:val="P1"/>
        <w:numPr>
          <w:ilvl w:val="0"/>
          <w:numId w:val="28"/>
        </w:numPr>
        <w:tabs>
          <w:tab w:val="clear" w:pos="8789"/>
        </w:tabs>
        <w:spacing w:before="0" w:after="120"/>
        <w:ind w:left="714" w:hanging="357"/>
        <w:rPr>
          <w:lang w:val="fr-FR"/>
        </w:rPr>
      </w:pPr>
      <w:r>
        <w:rPr>
          <w:lang w:val="fr-FR"/>
        </w:rPr>
        <w:t>Une meilleure sécurité des travaux lors des transferts de fonctionnement ;</w:t>
      </w:r>
    </w:p>
    <w:p>
      <w:pPr>
        <w:pStyle w:val="P1"/>
        <w:numPr>
          <w:ilvl w:val="0"/>
          <w:numId w:val="28"/>
        </w:numPr>
        <w:tabs>
          <w:tab w:val="clear" w:pos="8789"/>
        </w:tabs>
        <w:spacing w:before="0" w:after="120"/>
        <w:ind w:left="714" w:hanging="357"/>
        <w:rPr>
          <w:lang w:val="fr-FR"/>
        </w:rPr>
      </w:pPr>
      <w:r>
        <w:rPr>
          <w:lang w:val="fr-FR"/>
        </w:rPr>
        <w:t>L’optimisation dimensionnelle des pupitres suite à la suppression de nombreuses UC ;</w:t>
      </w:r>
    </w:p>
    <w:p>
      <w:pPr>
        <w:pStyle w:val="P1"/>
        <w:numPr>
          <w:ilvl w:val="0"/>
          <w:numId w:val="28"/>
        </w:numPr>
        <w:tabs>
          <w:tab w:val="clear" w:pos="8789"/>
        </w:tabs>
        <w:spacing w:before="0" w:after="120"/>
        <w:ind w:left="714" w:hanging="357"/>
        <w:rPr>
          <w:lang w:val="fr-FR"/>
        </w:rPr>
      </w:pPr>
      <w:r>
        <w:rPr>
          <w:lang w:val="fr-FR"/>
        </w:rPr>
        <w:t>L’optimisation de la climatisation suite à la réduction de l’apport thermique dégagé par les UC.</w:t>
      </w:r>
    </w:p>
    <w:p>
      <w:pPr>
        <w:pStyle w:val="Corpsdetexte"/>
        <w:rPr/>
      </w:pPr>
      <w:r>
        <w:rPr/>
        <w:t>L’impact sur les prises de courant est sans objet.</w:t>
      </w:r>
    </w:p>
    <w:p>
      <w:pPr>
        <w:pStyle w:val="Corpsdetexte"/>
        <w:rPr/>
      </w:pPr>
      <w:r>
        <w:rPr/>
        <w:t>Les équipements des CRS ne sont pas concernés par la virtualisation.</w:t>
      </w:r>
    </w:p>
    <w:p>
      <w:pPr>
        <w:pStyle w:val="Corpsdetexte"/>
        <w:rPr/>
      </w:pPr>
      <w:r>
        <w:rPr/>
        <w:t>Les outils d’exploitation recensés au PCTT, sont récapitulés dans le tableau ci-dessous, dont l’objectif est de préciser l’impact de la virtualisation sur les Unités Centrales et écrans au pupitre :</w:t>
      </w:r>
    </w:p>
    <w:p>
      <w:pPr>
        <w:pStyle w:val="Corpsdetexte"/>
        <w:rPr/>
      </w:pPr>
      <w:r>
        <w:rPr/>
      </w:r>
    </w:p>
    <w:p>
      <w:pPr>
        <w:pStyle w:val="TFIG"/>
        <w:numPr>
          <w:ilvl w:val="0"/>
          <w:numId w:val="4"/>
        </w:numPr>
        <w:tabs>
          <w:tab w:val="left" w:pos="567" w:leader="none"/>
          <w:tab w:val="left" w:pos="709" w:leader="none"/>
          <w:tab w:val="left" w:pos="851" w:leader="none"/>
        </w:tabs>
        <w:spacing w:before="180" w:after="120"/>
        <w:ind w:left="567" w:hanging="970"/>
        <w:rPr/>
      </w:pPr>
      <w:bookmarkStart w:id="273" w:name="_Toc32334968"/>
      <w:r>
        <w:rPr/>
        <w:t>Liste des postes DiRIF à virtualiser</w:t>
      </w:r>
      <w:bookmarkEnd w:id="273"/>
    </w:p>
    <w:tbl>
      <w:tblPr>
        <w:tblW w:w="8861" w:type="dxa"/>
        <w:jc w:val="left"/>
        <w:tblInd w:w="-3" w:type="dxa"/>
        <w:tblLayout w:type="fixed"/>
        <w:tblCellMar>
          <w:top w:w="57" w:type="dxa"/>
          <w:left w:w="57" w:type="dxa"/>
          <w:bottom w:w="57" w:type="dxa"/>
          <w:right w:w="0" w:type="dxa"/>
        </w:tblCellMar>
        <w:tblLook w:firstRow="1" w:noVBand="1" w:lastRow="0" w:firstColumn="1" w:lastColumn="0" w:noHBand="0" w:val="04a0"/>
      </w:tblPr>
      <w:tblGrid>
        <w:gridCol w:w="2386"/>
        <w:gridCol w:w="476"/>
        <w:gridCol w:w="996"/>
        <w:gridCol w:w="1588"/>
        <w:gridCol w:w="3415"/>
      </w:tblGrid>
      <w:tr>
        <w:trPr/>
        <w:tc>
          <w:tcPr>
            <w:tcW w:w="2386" w:type="dxa"/>
            <w:tcBorders>
              <w:top w:val="single" w:sz="6" w:space="0" w:color="000000"/>
              <w:left w:val="single" w:sz="6" w:space="0" w:color="000000"/>
              <w:bottom w:val="single" w:sz="6" w:space="0" w:color="000000"/>
            </w:tcBorders>
            <w:shd w:color="auto" w:fill="E6E6E6" w:val="clear"/>
          </w:tcPr>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Désignation</w:t>
            </w:r>
          </w:p>
        </w:tc>
        <w:tc>
          <w:tcPr>
            <w:tcW w:w="476" w:type="dxa"/>
            <w:tcBorders>
              <w:top w:val="single" w:sz="6" w:space="0" w:color="000000"/>
              <w:left w:val="single" w:sz="6" w:space="0" w:color="000000"/>
              <w:bottom w:val="single" w:sz="6" w:space="0" w:color="000000"/>
            </w:tcBorders>
            <w:shd w:color="auto" w:fill="E6E6E6" w:val="clear"/>
          </w:tcPr>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Qté</w:t>
            </w:r>
          </w:p>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UC</w:t>
            </w:r>
          </w:p>
        </w:tc>
        <w:tc>
          <w:tcPr>
            <w:tcW w:w="996" w:type="dxa"/>
            <w:tcBorders>
              <w:top w:val="single" w:sz="6" w:space="0" w:color="000000"/>
              <w:left w:val="single" w:sz="6" w:space="0" w:color="000000"/>
              <w:bottom w:val="single" w:sz="6" w:space="0" w:color="000000"/>
            </w:tcBorders>
            <w:shd w:color="auto" w:fill="E6E6E6" w:val="clear"/>
          </w:tcPr>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Nombre d'écrans</w:t>
            </w:r>
          </w:p>
        </w:tc>
        <w:tc>
          <w:tcPr>
            <w:tcW w:w="1588" w:type="dxa"/>
            <w:tcBorders>
              <w:top w:val="single" w:sz="6" w:space="0" w:color="000000"/>
              <w:left w:val="single" w:sz="6" w:space="0" w:color="000000"/>
              <w:bottom w:val="single" w:sz="6" w:space="0" w:color="000000"/>
            </w:tcBorders>
            <w:shd w:color="auto" w:fill="E6E6E6" w:val="clear"/>
          </w:tcPr>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Virtualisation</w:t>
            </w:r>
          </w:p>
        </w:tc>
        <w:tc>
          <w:tcPr>
            <w:tcW w:w="3415" w:type="dxa"/>
            <w:tcBorders>
              <w:top w:val="single" w:sz="6" w:space="0" w:color="000000"/>
              <w:left w:val="single" w:sz="6" w:space="0" w:color="000000"/>
              <w:bottom w:val="single" w:sz="6" w:space="0" w:color="000000"/>
              <w:right w:val="single" w:sz="6" w:space="0" w:color="000000"/>
            </w:tcBorders>
            <w:shd w:color="auto" w:fill="E6E6E6" w:val="clear"/>
            <w:tcMar>
              <w:right w:w="57" w:type="dxa"/>
            </w:tcMar>
          </w:tcPr>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Commentaires</w:t>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PC Bureautique</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NON</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GTC principale</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4</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OUI</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GTC secours</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4</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OUI</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P.O. sirius2 principal</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2</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OUI</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P.O. sirius2 secours</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OUI</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A passer en bi-écran</w:t>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PC METEO</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NON</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Ancienne GTC</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5</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5</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NON</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Va disparaitre</w:t>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SI-VIDEO</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OUI</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GTC A14 A86 N315</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NON</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Inutilisé</w:t>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RAU MIOS Défense</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2</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2</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NON</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r>
          </w:p>
        </w:tc>
      </w:tr>
    </w:tbl>
    <w:p>
      <w:pPr>
        <w:pStyle w:val="Corpsdetexte"/>
        <w:spacing w:before="200" w:after="120"/>
        <w:rPr/>
      </w:pPr>
      <w:r>
        <w:rPr/>
      </w:r>
    </w:p>
    <w:p>
      <w:pPr>
        <w:pStyle w:val="TFIG"/>
        <w:numPr>
          <w:ilvl w:val="0"/>
          <w:numId w:val="4"/>
        </w:numPr>
        <w:tabs>
          <w:tab w:val="left" w:pos="567" w:leader="none"/>
          <w:tab w:val="left" w:pos="709" w:leader="none"/>
          <w:tab w:val="left" w:pos="851" w:leader="none"/>
        </w:tabs>
        <w:spacing w:before="180" w:after="120"/>
        <w:ind w:left="567" w:hanging="970"/>
        <w:rPr/>
      </w:pPr>
      <w:bookmarkStart w:id="274" w:name="_Toc32334969"/>
      <w:r>
        <w:rPr/>
        <w:t>Liste des postes CRS à virtualiser</w:t>
      </w:r>
      <w:bookmarkEnd w:id="274"/>
    </w:p>
    <w:tbl>
      <w:tblPr>
        <w:tblW w:w="8861" w:type="dxa"/>
        <w:jc w:val="left"/>
        <w:tblInd w:w="-3" w:type="dxa"/>
        <w:tblLayout w:type="fixed"/>
        <w:tblCellMar>
          <w:top w:w="57" w:type="dxa"/>
          <w:left w:w="57" w:type="dxa"/>
          <w:bottom w:w="57" w:type="dxa"/>
          <w:right w:w="0" w:type="dxa"/>
        </w:tblCellMar>
        <w:tblLook w:firstRow="1" w:noVBand="1" w:lastRow="0" w:firstColumn="1" w:lastColumn="0" w:noHBand="0" w:val="04a0"/>
      </w:tblPr>
      <w:tblGrid>
        <w:gridCol w:w="2386"/>
        <w:gridCol w:w="476"/>
        <w:gridCol w:w="996"/>
        <w:gridCol w:w="1588"/>
        <w:gridCol w:w="3415"/>
      </w:tblGrid>
      <w:tr>
        <w:trPr/>
        <w:tc>
          <w:tcPr>
            <w:tcW w:w="2386" w:type="dxa"/>
            <w:tcBorders>
              <w:top w:val="single" w:sz="6" w:space="0" w:color="000000"/>
              <w:left w:val="single" w:sz="6" w:space="0" w:color="000000"/>
              <w:bottom w:val="single" w:sz="6" w:space="0" w:color="000000"/>
            </w:tcBorders>
            <w:shd w:color="auto" w:fill="E6E6E6" w:val="clear"/>
          </w:tcPr>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Désignation</w:t>
            </w:r>
          </w:p>
        </w:tc>
        <w:tc>
          <w:tcPr>
            <w:tcW w:w="476" w:type="dxa"/>
            <w:tcBorders>
              <w:top w:val="single" w:sz="6" w:space="0" w:color="000000"/>
              <w:left w:val="single" w:sz="6" w:space="0" w:color="000000"/>
              <w:bottom w:val="single" w:sz="6" w:space="0" w:color="000000"/>
            </w:tcBorders>
            <w:shd w:color="auto" w:fill="E6E6E6" w:val="clear"/>
          </w:tcPr>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Qté</w:t>
            </w:r>
          </w:p>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UC</w:t>
            </w:r>
          </w:p>
        </w:tc>
        <w:tc>
          <w:tcPr>
            <w:tcW w:w="996" w:type="dxa"/>
            <w:tcBorders>
              <w:top w:val="single" w:sz="6" w:space="0" w:color="000000"/>
              <w:left w:val="single" w:sz="6" w:space="0" w:color="000000"/>
              <w:bottom w:val="single" w:sz="6" w:space="0" w:color="000000"/>
            </w:tcBorders>
            <w:shd w:color="auto" w:fill="E6E6E6" w:val="clear"/>
          </w:tcPr>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Nombre d'écrans</w:t>
            </w:r>
          </w:p>
        </w:tc>
        <w:tc>
          <w:tcPr>
            <w:tcW w:w="1588" w:type="dxa"/>
            <w:tcBorders>
              <w:top w:val="single" w:sz="6" w:space="0" w:color="000000"/>
              <w:left w:val="single" w:sz="6" w:space="0" w:color="000000"/>
              <w:bottom w:val="single" w:sz="6" w:space="0" w:color="000000"/>
            </w:tcBorders>
            <w:shd w:color="auto" w:fill="E6E6E6" w:val="clear"/>
          </w:tcPr>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Virtualisation</w:t>
            </w:r>
          </w:p>
        </w:tc>
        <w:tc>
          <w:tcPr>
            <w:tcW w:w="3415" w:type="dxa"/>
            <w:tcBorders>
              <w:top w:val="single" w:sz="6" w:space="0" w:color="000000"/>
              <w:left w:val="single" w:sz="6" w:space="0" w:color="000000"/>
              <w:bottom w:val="single" w:sz="6" w:space="0" w:color="000000"/>
              <w:right w:val="single" w:sz="6" w:space="0" w:color="000000"/>
            </w:tcBorders>
            <w:shd w:color="auto" w:fill="E6E6E6" w:val="clear"/>
            <w:tcMar>
              <w:right w:w="57" w:type="dxa"/>
            </w:tcMar>
          </w:tcPr>
          <w:p>
            <w:pPr>
              <w:pStyle w:val="Normal"/>
              <w:widowControl w:val="false"/>
              <w:spacing w:beforeAutospacing="1" w:after="0"/>
              <w:jc w:val="center"/>
              <w:rPr>
                <w:rFonts w:ascii="Times New Roman" w:hAnsi="Times New Roman"/>
                <w:sz w:val="24"/>
                <w:szCs w:val="24"/>
              </w:rPr>
            </w:pPr>
            <w:r>
              <w:rPr>
                <w:rFonts w:ascii="Times New Roman" w:hAnsi="Times New Roman"/>
                <w:b/>
                <w:bCs/>
                <w:sz w:val="24"/>
                <w:szCs w:val="24"/>
              </w:rPr>
              <w:t>Commentaires</w:t>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RAU MIOS A12 St Cloud, Boulogne, Ambroise Paré</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2</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2</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NON</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Bornes d'appel d'urgence</w:t>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RAU MIOS A14</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NON</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Bornes d'appel d'urgence</w:t>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RESCOM SIV</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2</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2</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NON</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Police nationale</w:t>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RAU A12 A86 N118 A13</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2</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2</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NON</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Bornes d'appel d'urgence</w:t>
            </w:r>
          </w:p>
        </w:tc>
      </w:tr>
      <w:tr>
        <w:trPr/>
        <w:tc>
          <w:tcPr>
            <w:tcW w:w="2386" w:type="dxa"/>
            <w:tcBorders>
              <w:left w:val="single" w:sz="6" w:space="0" w:color="000000"/>
              <w:bottom w:val="single" w:sz="6" w:space="0" w:color="000000"/>
            </w:tcBorders>
            <w:tcMar>
              <w:top w:w="0"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t>Main courante CRS</w:t>
            </w:r>
          </w:p>
        </w:tc>
        <w:tc>
          <w:tcPr>
            <w:tcW w:w="47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996"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1</w:t>
            </w:r>
          </w:p>
        </w:tc>
        <w:tc>
          <w:tcPr>
            <w:tcW w:w="1588" w:type="dxa"/>
            <w:tcBorders>
              <w:left w:val="single" w:sz="6" w:space="0" w:color="000000"/>
              <w:bottom w:val="single" w:sz="6" w:space="0" w:color="000000"/>
            </w:tcBorders>
            <w:tcMar>
              <w:top w:w="0" w:type="dxa"/>
            </w:tcMar>
          </w:tcPr>
          <w:p>
            <w:pPr>
              <w:pStyle w:val="Normal"/>
              <w:widowControl w:val="false"/>
              <w:spacing w:beforeAutospacing="1" w:after="0"/>
              <w:jc w:val="center"/>
              <w:rPr>
                <w:rFonts w:ascii="Times New Roman" w:hAnsi="Times New Roman"/>
                <w:sz w:val="24"/>
                <w:szCs w:val="24"/>
              </w:rPr>
            </w:pPr>
            <w:r>
              <w:rPr>
                <w:rFonts w:ascii="Times New Roman" w:hAnsi="Times New Roman"/>
                <w:sz w:val="24"/>
                <w:szCs w:val="24"/>
              </w:rPr>
              <w:t>NON</w:t>
            </w:r>
          </w:p>
        </w:tc>
        <w:tc>
          <w:tcPr>
            <w:tcW w:w="3415" w:type="dxa"/>
            <w:tcBorders>
              <w:left w:val="single" w:sz="6" w:space="0" w:color="000000"/>
              <w:bottom w:val="single" w:sz="6" w:space="0" w:color="000000"/>
              <w:right w:val="single" w:sz="6" w:space="0" w:color="000000"/>
            </w:tcBorders>
            <w:tcMar>
              <w:top w:w="0" w:type="dxa"/>
              <w:right w:w="57" w:type="dxa"/>
            </w:tcMar>
          </w:tcPr>
          <w:p>
            <w:pPr>
              <w:pStyle w:val="Normal"/>
              <w:widowControl w:val="false"/>
              <w:spacing w:beforeAutospacing="1" w:after="0"/>
              <w:jc w:val="left"/>
              <w:rPr>
                <w:rFonts w:ascii="Times New Roman" w:hAnsi="Times New Roman"/>
                <w:sz w:val="24"/>
                <w:szCs w:val="24"/>
              </w:rPr>
            </w:pPr>
            <w:r>
              <w:rPr>
                <w:rFonts w:ascii="Times New Roman" w:hAnsi="Times New Roman"/>
                <w:sz w:val="24"/>
                <w:szCs w:val="24"/>
              </w:rPr>
            </w:r>
          </w:p>
        </w:tc>
      </w:tr>
    </w:tbl>
    <w:p>
      <w:pPr>
        <w:pStyle w:val="Corpsdetexte"/>
        <w:spacing w:before="200" w:after="120"/>
        <w:rPr/>
      </w:pPr>
      <w:r>
        <w:rPr/>
      </w:r>
    </w:p>
    <w:p>
      <w:pPr>
        <w:pStyle w:val="Titre2"/>
        <w:tabs>
          <w:tab w:val="clear" w:pos="0"/>
          <w:tab w:val="clear" w:pos="8789"/>
          <w:tab w:val="left" w:pos="426" w:leader="none"/>
        </w:tabs>
        <w:ind w:left="0" w:hanging="0"/>
        <w:rPr/>
      </w:pPr>
      <w:bookmarkStart w:id="275" w:name="_Toc32334597"/>
      <w:r>
        <w:rPr/>
        <w:t>Contrôles d’accès</w:t>
      </w:r>
      <w:bookmarkEnd w:id="275"/>
    </w:p>
    <w:p>
      <w:pPr>
        <w:pStyle w:val="Titre3"/>
        <w:rPr/>
      </w:pPr>
      <w:bookmarkStart w:id="276" w:name="_Toc32334598"/>
      <w:r>
        <w:rPr/>
        <w:t>Description des installations existantes</w:t>
      </w:r>
      <w:bookmarkEnd w:id="276"/>
    </w:p>
    <w:p>
      <w:pPr>
        <w:pStyle w:val="TEXTE"/>
        <w:rPr/>
      </w:pPr>
      <w:r>
        <w:rPr/>
        <w:t>Il existe actuellement un dispositif de contrôle d’accès par lecteur de badge. Ce dispositif est installé à la hauteur des portes d’accès aux locaux CRS et DiRIF</w:t>
      </w:r>
    </w:p>
    <w:p>
      <w:pPr>
        <w:pStyle w:val="TEXTE"/>
        <w:rPr/>
      </w:pPr>
      <w:r>
        <w:rPr/>
        <w:t xml:space="preserve">Le programme indique de manière générale qu’un contrôle d’accès sera déployé sur les zones d’accès au bâtiment et à la zone d’exploitation. </w:t>
      </w:r>
    </w:p>
    <w:p>
      <w:pPr>
        <w:pStyle w:val="Titre3"/>
        <w:rPr/>
      </w:pPr>
      <w:bookmarkStart w:id="277" w:name="_Toc32334599"/>
      <w:r>
        <w:rPr/>
        <w:t>Dispositions projetées</w:t>
      </w:r>
      <w:bookmarkEnd w:id="277"/>
    </w:p>
    <w:p>
      <w:pPr>
        <w:pStyle w:val="Normal"/>
        <w:jc w:val="left"/>
        <w:rPr/>
      </w:pPr>
      <w:r>
        <w:rPr/>
      </w:r>
    </w:p>
    <w:p>
      <w:pPr>
        <w:pStyle w:val="Normal"/>
        <w:rPr/>
      </w:pPr>
      <w:r>
        <w:rPr/>
        <w:t>Il est proposé de conserver le système de contrôle d’accès existant et d’installer deux autres lecteurs de badges au premier niveau du bâtiment afin d’empêcher toute intrusion dans la zone d’exploitation.</w:t>
      </w:r>
    </w:p>
    <w:p>
      <w:pPr>
        <w:pStyle w:val="TEXTE"/>
        <w:rPr/>
      </w:pPr>
      <w:r>
        <w:rPr/>
        <w:t>Ces lecteurs seront implantés :</w:t>
      </w:r>
    </w:p>
    <w:p>
      <w:pPr>
        <w:pStyle w:val="P1"/>
        <w:numPr>
          <w:ilvl w:val="0"/>
          <w:numId w:val="20"/>
        </w:numPr>
        <w:rPr/>
      </w:pPr>
      <w:r>
        <w:rPr/>
        <w:t>Sur la porte donnant sur la salle de supervision (couloir DiRIF);</w:t>
      </w:r>
    </w:p>
    <w:p>
      <w:pPr>
        <w:pStyle w:val="P1"/>
        <w:numPr>
          <w:ilvl w:val="0"/>
          <w:numId w:val="20"/>
        </w:numPr>
        <w:rPr/>
      </w:pPr>
      <w:r>
        <w:rPr/>
        <w:t>Sur la porte donnant sur la salle de crise (couloir CRS);</w:t>
      </w:r>
    </w:p>
    <w:p>
      <w:pPr>
        <w:pStyle w:val="TEXTE"/>
        <w:rPr/>
      </w:pPr>
      <w:r>
        <w:rPr/>
        <w:t xml:space="preserve">Ces accès seront équipés d’un déclencheur manuel vert pour l’évacuation en cas d’urgence. Ces déclencheurs seront asservis au système de détection incendie. </w:t>
      </w:r>
    </w:p>
    <w:p>
      <w:pPr>
        <w:pStyle w:val="TEXTE"/>
        <w:rPr/>
      </w:pPr>
      <w:r>
        <w:rPr/>
        <w:t xml:space="preserve">Les lecteurs de badge seront pilotés par des unités de traitement local permettant d’assurer la commande d’ouverture des portes à contrôler. </w:t>
      </w:r>
    </w:p>
    <w:p>
      <w:pPr>
        <w:pStyle w:val="TEXTE"/>
        <w:rPr/>
      </w:pPr>
      <w:r>
        <w:rPr/>
        <w:t xml:space="preserve">Un poste de supervision dédié à cette GTB existe au PCTT de Nanterre, le système existant sera implémenté avec ces nouvelles données. </w:t>
      </w:r>
    </w:p>
    <w:p>
      <w:pPr>
        <w:pStyle w:val="Titre4"/>
        <w:rPr/>
      </w:pPr>
      <w:bookmarkStart w:id="278" w:name="_Toc32334600"/>
      <w:r>
        <w:rPr/>
        <w:t>Badges</w:t>
      </w:r>
      <w:bookmarkEnd w:id="278"/>
    </w:p>
    <w:p>
      <w:pPr>
        <w:pStyle w:val="TEXTE"/>
        <w:rPr>
          <w:rFonts w:cs="Arial"/>
          <w:iCs/>
          <w:kern w:val="2"/>
        </w:rPr>
      </w:pPr>
      <w:r>
        <w:rPr/>
        <w:t xml:space="preserve">La technologie des badges et lecteur adaptée au contexte de l’installation est la détection par </w:t>
      </w:r>
      <w:r>
        <w:rPr>
          <w:rFonts w:cs="Arial"/>
          <w:iCs/>
          <w:kern w:val="2"/>
        </w:rPr>
        <w:t>badge de proximité, type MIFARE Classic à 13.56Mhz.</w:t>
      </w:r>
    </w:p>
    <w:p>
      <w:pPr>
        <w:pStyle w:val="Titre4"/>
        <w:rPr/>
      </w:pPr>
      <w:bookmarkStart w:id="279" w:name="_Toc32334601"/>
      <w:r>
        <w:rPr/>
        <w:t>Informatique</w:t>
      </w:r>
      <w:bookmarkEnd w:id="279"/>
    </w:p>
    <w:p>
      <w:pPr>
        <w:pStyle w:val="TEXTE"/>
        <w:rPr/>
      </w:pPr>
      <w:r>
        <w:rPr/>
        <w:t>Le système existant sera implémenté de ces nouveaux équipements.</w:t>
      </w:r>
    </w:p>
    <w:p>
      <w:pPr>
        <w:pStyle w:val="Titre2"/>
        <w:tabs>
          <w:tab w:val="clear" w:pos="0"/>
          <w:tab w:val="clear" w:pos="8789"/>
          <w:tab w:val="left" w:pos="426" w:leader="none"/>
        </w:tabs>
        <w:ind w:left="0" w:hanging="0"/>
        <w:rPr/>
      </w:pPr>
      <w:bookmarkStart w:id="280" w:name="_Toc32334602"/>
      <w:bookmarkStart w:id="281" w:name="_Ref374002654"/>
      <w:bookmarkStart w:id="282" w:name="_Toc373832485"/>
      <w:r>
        <w:rPr/>
        <w:t>Détection incendie</w:t>
      </w:r>
      <w:bookmarkEnd w:id="280"/>
      <w:bookmarkEnd w:id="281"/>
      <w:bookmarkEnd w:id="282"/>
    </w:p>
    <w:p>
      <w:pPr>
        <w:pStyle w:val="Titre3"/>
        <w:rPr/>
      </w:pPr>
      <w:bookmarkStart w:id="283" w:name="_Toc32334603"/>
      <w:r>
        <w:rPr/>
        <w:t>Contexte</w:t>
      </w:r>
      <w:bookmarkEnd w:id="283"/>
    </w:p>
    <w:p>
      <w:pPr>
        <w:pStyle w:val="TEXTE"/>
        <w:rPr/>
      </w:pPr>
      <w:r>
        <w:rPr/>
        <w:t>Le domaine du SSI (Système de Sécurité Incendie) est un domaine normatif et extrêmement règlementé, la rénovation d’une zone géographique d’un ensemble immobilier impose que le système en place soit en adéquation avec les risques et les normes applicables.</w:t>
      </w:r>
    </w:p>
    <w:p>
      <w:pPr>
        <w:pStyle w:val="TEXTE"/>
        <w:rPr/>
      </w:pPr>
      <w:r>
        <w:rPr/>
        <w:t xml:space="preserve">L’extension ou la modification d’une zone clairement identifié n’est possible que si le système qui doit recevoir les extensions est correct, normatif et exploitable. </w:t>
      </w:r>
    </w:p>
    <w:p>
      <w:pPr>
        <w:pStyle w:val="Titre3"/>
        <w:rPr/>
      </w:pPr>
      <w:bookmarkStart w:id="284" w:name="_Toc32334604"/>
      <w:r>
        <w:rPr/>
        <w:t>Description des installations existantes</w:t>
      </w:r>
      <w:bookmarkEnd w:id="284"/>
    </w:p>
    <w:p>
      <w:pPr>
        <w:pStyle w:val="Corpsdetexte"/>
        <w:rPr>
          <w:bCs/>
          <w:iCs/>
        </w:rPr>
      </w:pPr>
      <w:r>
        <w:rPr/>
        <w:t>Le diagnostic a conclu que les implantations des capteurs ne sont en adéquation au risque exposé.</w:t>
      </w:r>
      <w:r>
        <w:rPr>
          <w:bCs/>
          <w:iCs/>
        </w:rPr>
        <w:t xml:space="preserve"> La centrale n’est pas implantée dans un Volume Technique Protégé mais directement dans le poste d’exploitation du site.</w:t>
      </w:r>
    </w:p>
    <w:p>
      <w:pPr>
        <w:pStyle w:val="Titre3"/>
        <w:rPr/>
      </w:pPr>
      <w:bookmarkStart w:id="285" w:name="_Toc32334605"/>
      <w:r>
        <w:rPr/>
        <w:t>Dispositions projetées</w:t>
      </w:r>
      <w:bookmarkEnd w:id="285"/>
    </w:p>
    <w:p>
      <w:pPr>
        <w:pStyle w:val="TEXTE"/>
        <w:rPr/>
      </w:pPr>
      <w:r>
        <w:rPr/>
        <w:t xml:space="preserve">La réglementation et les normes applicables aux équipements du SSI font l’objet des spécifications générales indiquées au chapitre 3.  </w:t>
      </w:r>
    </w:p>
    <w:p>
      <w:pPr>
        <w:pStyle w:val="TEXTE"/>
        <w:rPr/>
      </w:pPr>
      <w:r>
        <w:rPr/>
        <w:t>Il est prévu, dans le cadre du projet, du fait de la modification du cloisonnement, nous prévoyons la mise en place de détecteur optique de fumée dans la salle de crise créée dans le cadre du programme.</w:t>
      </w:r>
    </w:p>
    <w:p>
      <w:pPr>
        <w:pStyle w:val="TEXTE"/>
        <w:rPr/>
      </w:pPr>
      <w:r>
        <w:rPr/>
        <w:t>Le PCTT de Nanterre est équipé d’un système de Sécurité incendie de marque CHUBB Estampillé ECS. Cette centrale ne sera pas remplacée. Le périmètre de la mission sera cantonné au déploiement de détecteurs automatique d’incendie sur les zones couvertes par le projet, ainsi que le raccordement de ces boucles sur la centrale incendie.</w:t>
      </w:r>
    </w:p>
    <w:p>
      <w:pPr>
        <w:pStyle w:val="Titre4"/>
        <w:rPr/>
      </w:pPr>
      <w:bookmarkStart w:id="286" w:name="_Toc32334606"/>
      <w:r>
        <w:rPr/>
        <w:t>Détecteurs Automatique d’Incendie</w:t>
      </w:r>
      <w:bookmarkEnd w:id="286"/>
    </w:p>
    <w:p>
      <w:pPr>
        <w:pStyle w:val="TEXTE"/>
        <w:rPr/>
      </w:pPr>
      <w:r>
        <w:rPr/>
        <w:t>Domaine de surveillance : dans le périmètre défini par le programme, des détecteurs automatiques d’incendie, appropriés aux risques, doivent être installés dans les locaux : circulations, locaux techniques, bureaux, salle d’exploitation plénums techniques.</w:t>
      </w:r>
    </w:p>
    <w:p>
      <w:pPr>
        <w:pStyle w:val="TEXTE"/>
        <w:rPr/>
      </w:pPr>
      <w:r>
        <w:rPr/>
        <w:t>Niveau de surveillance : il s’agit d’une surveillance partielle au sens de la NF S 61-970 § 5.5.2</w:t>
      </w:r>
    </w:p>
    <w:p>
      <w:pPr>
        <w:pStyle w:val="TEXTE"/>
        <w:rPr>
          <w:u w:val="single"/>
        </w:rPr>
      </w:pPr>
      <w:r>
        <w:rPr>
          <w:u w:val="single"/>
        </w:rPr>
        <w:t>Détecteur optique ponctuel interactif adressable :</w:t>
      </w:r>
    </w:p>
    <w:p>
      <w:pPr>
        <w:pStyle w:val="TEXTE"/>
        <w:rPr/>
      </w:pPr>
      <w:r>
        <w:rPr/>
        <w:t>Détecteur ponctuel de fumée exploitant l’effet Tyndall permettant de mesurer la diffusion de la lumière sur les particules de fumée pénétrant dans la chambre d’analyse. Ce capteur est dédié aux fumées issues de foyers couvant. Il intègre un isolateur de court-circuit (ICC).</w:t>
      </w:r>
    </w:p>
    <w:p>
      <w:pPr>
        <w:pStyle w:val="TEXTE"/>
        <w:rPr>
          <w:u w:val="single"/>
        </w:rPr>
      </w:pPr>
      <w:r>
        <w:rPr>
          <w:u w:val="single"/>
        </w:rPr>
        <w:t>Détecteur thermique ponctuel interactif adressable :</w:t>
      </w:r>
    </w:p>
    <w:p>
      <w:pPr>
        <w:pStyle w:val="TEXTE"/>
        <w:rPr/>
      </w:pPr>
      <w:r>
        <w:rPr/>
        <w:t>Détecteur ponctuel utilisant le principe de la mesure de la température par l’intermédiaire d’un capteur composé essentiellement d’une thermistance faible inertie Il peut être utilisé de manière thermostatique ou thermovélocimétrique. Idéal pour la détection de foyers calorifiques à évolution rapide. Il intègre un isolateur de court-circuit (ICC).</w:t>
      </w:r>
    </w:p>
    <w:p>
      <w:pPr>
        <w:pStyle w:val="TEXTE"/>
        <w:rPr>
          <w:u w:val="single"/>
        </w:rPr>
      </w:pPr>
      <w:r>
        <w:rPr>
          <w:u w:val="single"/>
        </w:rPr>
        <w:t>Déclencheur manuel d’alarme</w:t>
      </w:r>
    </w:p>
    <w:p>
      <w:pPr>
        <w:pStyle w:val="TEXTE"/>
        <w:rPr/>
      </w:pPr>
      <w:r>
        <w:rPr/>
        <w:t>Implantation : des déclencheurs manuels doivent être disposés dans les circulations, à chaque niveau, à proximité immédiate de chaque escalier et au rez-de-chaussée à proximité des sorties. Dans les établissements ou les services nécessitant une surveillance particulière, les déclencheurs manuels peuvent être installés dans les locaux accessibles uniquement au personnel habilité.</w:t>
      </w:r>
    </w:p>
    <w:p>
      <w:pPr>
        <w:pStyle w:val="TEXTE"/>
        <w:rPr/>
      </w:pPr>
      <w:r>
        <w:rPr/>
        <w:t>Déclencheur manuel adressable disposant d'une led rouge permettant le repérage rapide de l'alarme dans la circulation. Membrane déformable en plastique permettant plusieurs essais du déclencheur sans danger pour l'opérateur.</w:t>
      </w:r>
    </w:p>
    <w:p>
      <w:pPr>
        <w:pStyle w:val="TEXTE"/>
        <w:rPr/>
      </w:pPr>
      <w:r>
        <w:rPr/>
        <w:t>Les déclencheurs seront équipés de volet de protection Le capot de protection pour déclencheur manuel, par l’action même, d'avoir à soulever ce capot pour appuyer sur la membrane permet de limiter les manœuvres accidentelles ou inconsidérées. Ce capot se monte sans outil particulier et sans démontage de la face avant du déclencheur manuel.</w:t>
      </w:r>
    </w:p>
    <w:p>
      <w:pPr>
        <w:pStyle w:val="TEXTE"/>
        <w:rPr>
          <w:u w:val="single"/>
        </w:rPr>
      </w:pPr>
      <w:r>
        <w:rPr>
          <w:u w:val="single"/>
        </w:rPr>
        <w:t>Diffuseur sonore non autonome classe B</w:t>
      </w:r>
    </w:p>
    <w:p>
      <w:pPr>
        <w:pStyle w:val="TEXTE"/>
        <w:rPr/>
      </w:pPr>
      <w:r>
        <w:rPr/>
        <w:t>Les diffuseurs sonores devront être de classe B (90dB). Ils permettront la diffusion du signal d'alarme dans toutes les directions. Le diffuseur utilisera une technologie piezzo électrique, garantissant une très faible consommation tout en gardant une puissance acoustique importante.</w:t>
      </w:r>
    </w:p>
    <w:p>
      <w:pPr>
        <w:pStyle w:val="Titre4"/>
        <w:rPr/>
      </w:pPr>
      <w:bookmarkStart w:id="287" w:name="_Toc32334607"/>
      <w:r>
        <w:rPr/>
        <w:t>Éclairage de sécurité</w:t>
      </w:r>
      <w:bookmarkEnd w:id="287"/>
    </w:p>
    <w:p>
      <w:pPr>
        <w:pStyle w:val="TEXTE"/>
        <w:rPr/>
      </w:pPr>
      <w:r>
        <w:rPr/>
        <w:t>Il sera prévu un éclairage de sécurité par bloc autonome comprenant un éclairage d'évacuation assurant le balisage des sorties, des circulations et de certains locaux suivant le périmètre défini dans le programme de la mission. Ces blocs seront disposés tous les 15 m, à chaque obstacle et à chaque changement de direction ;</w:t>
      </w:r>
    </w:p>
    <w:p>
      <w:pPr>
        <w:pStyle w:val="TEXTE"/>
        <w:rPr/>
      </w:pPr>
      <w:r>
        <w:rPr/>
        <w:t>En fonctionnement normal, les blocs seront en veille et seule une veilleuse sera allumée. En cas de coupure de réseau, la mise en service de l'éclairage de sécurité se fera automatiquement par zone après défectuosité de la protection du circuit concerné.</w:t>
      </w:r>
    </w:p>
    <w:p>
      <w:pPr>
        <w:pStyle w:val="TEXTE"/>
        <w:rPr/>
      </w:pPr>
      <w:r>
        <w:rPr/>
        <w:t>L'alimentation des blocs sera reprise entre les dispositifs de protections et les dispositifs de commande.</w:t>
      </w:r>
    </w:p>
    <w:p>
      <w:pPr>
        <w:pStyle w:val="TEXTE"/>
        <w:rPr/>
      </w:pPr>
      <w:r>
        <w:rPr/>
        <w:t>L'éclairage de balisage sera assuré par des blocs autonomes 60lm fluorescents, avec pictogramme de signalisation les blocs d'éclairage de sécurité seront tous en applique. Ils seront de type autotestable avec module de test automatique intégré au bloc.</w:t>
      </w:r>
    </w:p>
    <w:p>
      <w:pPr>
        <w:pStyle w:val="TEXTE"/>
        <w:rPr/>
      </w:pPr>
      <w:r>
        <w:rPr/>
        <w:t>Les tests réglementaires seront lancés automatiquement. Seront testés l'état des lampes, de la batterie, les différents fonctionnements et l'autonomie des batteries. Les résultats des tests sont mémorisés et visibles par des diodes placées sur les blocs.</w:t>
      </w:r>
    </w:p>
    <w:p>
      <w:pPr>
        <w:pStyle w:val="TEXTE"/>
        <w:rPr/>
      </w:pPr>
      <w:r>
        <w:rPr/>
        <w:t>Une mise au repos générale se fera depuis le TGBT principal à partir d'un bloc de télécommande.</w:t>
      </w:r>
    </w:p>
    <w:p>
      <w:pPr>
        <w:pStyle w:val="Titre4"/>
        <w:rPr/>
      </w:pPr>
      <w:bookmarkStart w:id="288" w:name="_Toc32334608"/>
      <w:r>
        <w:rPr/>
        <w:t>Moyens d’extinction</w:t>
      </w:r>
      <w:bookmarkEnd w:id="288"/>
    </w:p>
    <w:p>
      <w:pPr>
        <w:pStyle w:val="TEXTE"/>
        <w:rPr/>
      </w:pPr>
      <w:r>
        <w:rPr/>
        <w:t>La défense incendie extérieure actuelle ne sera pas modifiée</w:t>
      </w:r>
    </w:p>
    <w:p>
      <w:pPr>
        <w:pStyle w:val="TEXTE"/>
        <w:rPr/>
      </w:pPr>
      <w:r>
        <w:rPr/>
        <w:t>La défense incendie extérieure actuelle ne sera pas modifiée. La défense incendie intérieure sur la zone du périmètre des travaux est correctement dimensionnée, seul un extincteur classe F sera installé dans la cuisine du PCTT.</w:t>
      </w:r>
    </w:p>
    <w:p>
      <w:pPr>
        <w:pStyle w:val="Titre4"/>
        <w:rPr/>
      </w:pPr>
      <w:bookmarkStart w:id="289" w:name="_Toc32334609"/>
      <w:r>
        <w:rPr/>
        <w:t>Câblage d’alimentation</w:t>
      </w:r>
      <w:bookmarkEnd w:id="289"/>
    </w:p>
    <w:p>
      <w:pPr>
        <w:pStyle w:val="TEXTE"/>
        <w:rPr/>
      </w:pPr>
      <w:r>
        <w:rPr/>
        <w:t>Dans le respect des Normes NFS 61932 01 970et EN 54, les différents câblages seront réalisés comme suit :</w:t>
      </w:r>
    </w:p>
    <w:p>
      <w:pPr>
        <w:pStyle w:val="P1"/>
        <w:numPr>
          <w:ilvl w:val="0"/>
          <w:numId w:val="28"/>
        </w:numPr>
        <w:tabs>
          <w:tab w:val="clear" w:pos="8789"/>
        </w:tabs>
        <w:spacing w:before="0" w:after="120"/>
        <w:ind w:left="714" w:hanging="357"/>
        <w:rPr>
          <w:lang w:val="fr-FR"/>
        </w:rPr>
      </w:pPr>
      <w:r>
        <w:rPr>
          <w:lang w:val="fr-FR"/>
        </w:rPr>
        <w:t>Le Système de Sécurité Incendie sera alimenté au moyen de deux dérivations issues directement du Tableau Général Basse Tension (TGBT) du bâtiment et sélectivement protégée, une pour l’ECS, l’autre pour le CMSI. Chacun des départs d’une alimentation de sécurité doit être individuellement protégé contre les défauts du circuit correspondant.</w:t>
      </w:r>
    </w:p>
    <w:p>
      <w:pPr>
        <w:pStyle w:val="P1"/>
        <w:numPr>
          <w:ilvl w:val="0"/>
          <w:numId w:val="28"/>
        </w:numPr>
        <w:tabs>
          <w:tab w:val="clear" w:pos="8789"/>
        </w:tabs>
        <w:spacing w:before="0" w:after="120"/>
        <w:ind w:left="714" w:hanging="357"/>
        <w:rPr>
          <w:lang w:val="fr-FR"/>
        </w:rPr>
      </w:pPr>
      <w:r>
        <w:rPr>
          <w:lang w:val="fr-FR"/>
        </w:rPr>
        <w:t>Les liaisons externes entre, d’une part, le coffret de l’Equipement d’Alarme (E.A) et les Diffuseurs Sonores (D.S) et, d’autre part, le coffret de l’Equipement d’Alarme (E.A) et les Déclencheurs Manuels doivent être surveillées.</w:t>
      </w:r>
    </w:p>
    <w:p>
      <w:pPr>
        <w:pStyle w:val="P1"/>
        <w:numPr>
          <w:ilvl w:val="0"/>
          <w:numId w:val="28"/>
        </w:numPr>
        <w:tabs>
          <w:tab w:val="clear" w:pos="8789"/>
        </w:tabs>
        <w:spacing w:before="0" w:after="120"/>
        <w:ind w:left="714" w:hanging="357"/>
        <w:rPr>
          <w:lang w:val="fr-FR"/>
        </w:rPr>
      </w:pPr>
      <w:r>
        <w:rPr>
          <w:lang w:val="fr-FR"/>
        </w:rPr>
        <w:t>Un défaut sur n’importe quelle voie de transmission entre l’E.C.S. et les autres composants du Système de Détection Incendie ne doit affecter, ni le bon fonctionnement de l’E.C.S, ni aucune autre voie de transmission.</w:t>
      </w:r>
    </w:p>
    <w:p>
      <w:pPr>
        <w:pStyle w:val="ListParagraph"/>
        <w:numPr>
          <w:ilvl w:val="0"/>
          <w:numId w:val="28"/>
        </w:numPr>
        <w:rPr/>
      </w:pPr>
      <w:r>
        <w:rPr>
          <w:rFonts w:cs="Arial"/>
          <w:color w:val="000000"/>
        </w:rPr>
        <w:t>Les lignes de télécommande par émission de courant doivent être réalisées, soit en câbles de catégorie CR1 (au sens de la Norme NF S32-070), soit en câbles de catégorie C2 (au sens de la Norme NF S32-070) placés dans des cheminements techniques protégés. Toutefois, elles ne peuvent être réalisées en câbles de la catégorie C2 et sous protection dès qu’elles pénètrent dans la Zone de Mise en Sécurité correspondante aux DAS qu’elles desservent.</w:t>
      </w:r>
    </w:p>
    <w:p>
      <w:pPr>
        <w:pStyle w:val="Titre3"/>
        <w:rPr/>
      </w:pPr>
      <w:bookmarkStart w:id="290" w:name="_Toc32334610"/>
      <w:r>
        <w:rPr/>
        <w:t>Consistance des travaux</w:t>
      </w:r>
      <w:bookmarkEnd w:id="290"/>
    </w:p>
    <w:p>
      <w:pPr>
        <w:pStyle w:val="Normal"/>
        <w:jc w:val="left"/>
        <w:rPr>
          <w:rFonts w:cs="Arial"/>
        </w:rPr>
      </w:pPr>
      <w:r>
        <w:rPr>
          <w:rFonts w:cs="Arial"/>
        </w:rPr>
      </w:r>
    </w:p>
    <w:p>
      <w:pPr>
        <w:pStyle w:val="TEXTE"/>
        <w:spacing w:before="200" w:after="120"/>
        <w:rPr/>
      </w:pPr>
      <w:r>
        <w:rPr/>
        <w:t>Les principales prestations à réaliser au titre du projet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w:t>
      </w:r>
    </w:p>
    <w:p>
      <w:pPr>
        <w:pStyle w:val="P1"/>
        <w:numPr>
          <w:ilvl w:val="0"/>
          <w:numId w:val="28"/>
        </w:numPr>
        <w:tabs>
          <w:tab w:val="clear" w:pos="8789"/>
        </w:tabs>
        <w:spacing w:before="0" w:after="120"/>
        <w:ind w:left="714" w:hanging="357"/>
        <w:rPr>
          <w:lang w:val="fr-FR"/>
        </w:rPr>
      </w:pPr>
      <w:r>
        <w:rPr>
          <w:lang w:val="fr-FR"/>
        </w:rPr>
        <w:t>La fourniture de l’ensemble des équipements relatif au SSI, le transport sur le site, le déchargement, le stockage et la préservation sur site :</w:t>
      </w:r>
    </w:p>
    <w:p>
      <w:pPr>
        <w:pStyle w:val="P2"/>
        <w:numPr>
          <w:ilvl w:val="1"/>
          <w:numId w:val="21"/>
        </w:numPr>
        <w:spacing w:before="120" w:after="120"/>
        <w:rPr>
          <w:rFonts w:eastAsia="Calibri" w:eastAsiaTheme="minorHAnsi"/>
          <w:lang w:eastAsia="en-US"/>
        </w:rPr>
      </w:pPr>
      <w:r>
        <w:rPr>
          <w:rFonts w:eastAsia="Calibri" w:eastAsiaTheme="minorHAnsi"/>
          <w:lang w:eastAsia="en-US"/>
        </w:rPr>
        <w:t>Les blocs autonomes d’éclairage de sécurité ;</w:t>
      </w:r>
    </w:p>
    <w:p>
      <w:pPr>
        <w:pStyle w:val="P2"/>
        <w:numPr>
          <w:ilvl w:val="1"/>
          <w:numId w:val="21"/>
        </w:numPr>
        <w:spacing w:before="120" w:after="120"/>
        <w:rPr>
          <w:rFonts w:eastAsia="Calibri" w:eastAsiaTheme="minorHAnsi"/>
          <w:lang w:eastAsia="en-US"/>
        </w:rPr>
      </w:pPr>
      <w:r>
        <w:rPr>
          <w:rFonts w:eastAsia="Calibri" w:eastAsiaTheme="minorHAnsi"/>
          <w:lang w:eastAsia="en-US"/>
        </w:rPr>
        <w:t>Les déclencheurs manuels ;</w:t>
      </w:r>
    </w:p>
    <w:p>
      <w:pPr>
        <w:pStyle w:val="P2"/>
        <w:numPr>
          <w:ilvl w:val="1"/>
          <w:numId w:val="21"/>
        </w:numPr>
        <w:spacing w:before="120" w:after="120"/>
        <w:rPr>
          <w:rFonts w:eastAsia="Calibri" w:eastAsiaTheme="minorHAnsi"/>
          <w:lang w:eastAsia="en-US"/>
        </w:rPr>
      </w:pPr>
      <w:r>
        <w:rPr>
          <w:rFonts w:eastAsia="Calibri" w:eastAsiaTheme="minorHAnsi"/>
          <w:lang w:eastAsia="en-US"/>
        </w:rPr>
        <w:t>Les détecteurs de fumée optiques ;</w:t>
      </w:r>
    </w:p>
    <w:p>
      <w:pPr>
        <w:pStyle w:val="P2"/>
        <w:numPr>
          <w:ilvl w:val="1"/>
          <w:numId w:val="21"/>
        </w:numPr>
        <w:spacing w:before="120" w:after="120"/>
        <w:rPr>
          <w:rFonts w:eastAsia="Calibri" w:eastAsiaTheme="minorHAnsi"/>
          <w:lang w:eastAsia="en-US"/>
        </w:rPr>
      </w:pPr>
      <w:r>
        <w:rPr>
          <w:rFonts w:eastAsia="Calibri" w:eastAsiaTheme="minorHAnsi"/>
          <w:lang w:eastAsia="en-US"/>
        </w:rPr>
        <w:t>Les détecteurs de fumée thermique ;</w:t>
      </w:r>
    </w:p>
    <w:p>
      <w:pPr>
        <w:pStyle w:val="P2"/>
        <w:numPr>
          <w:ilvl w:val="1"/>
          <w:numId w:val="21"/>
        </w:numPr>
        <w:spacing w:before="120" w:after="120"/>
        <w:rPr>
          <w:rFonts w:eastAsia="Calibri" w:eastAsiaTheme="minorHAnsi"/>
          <w:lang w:eastAsia="en-US"/>
        </w:rPr>
      </w:pPr>
      <w:r>
        <w:rPr>
          <w:rFonts w:eastAsia="Calibri" w:eastAsiaTheme="minorHAnsi"/>
          <w:lang w:eastAsia="en-US"/>
        </w:rPr>
        <w:t>Les diffuseurs sonores non autonomes classe B ;</w:t>
      </w:r>
    </w:p>
    <w:p>
      <w:pPr>
        <w:pStyle w:val="P2"/>
        <w:numPr>
          <w:ilvl w:val="1"/>
          <w:numId w:val="21"/>
        </w:numPr>
        <w:spacing w:before="120" w:after="120"/>
        <w:rPr>
          <w:rFonts w:eastAsia="Calibri" w:eastAsiaTheme="minorHAnsi"/>
          <w:lang w:eastAsia="en-US"/>
        </w:rPr>
      </w:pPr>
      <w:r>
        <w:rPr>
          <w:rFonts w:eastAsia="Calibri" w:eastAsiaTheme="minorHAnsi"/>
          <w:lang w:eastAsia="en-US"/>
        </w:rPr>
        <w:t>1 extincteur classe F - 6 kg ;</w:t>
      </w:r>
    </w:p>
    <w:p>
      <w:pPr>
        <w:pStyle w:val="P2"/>
        <w:numPr>
          <w:ilvl w:val="1"/>
          <w:numId w:val="21"/>
        </w:numPr>
        <w:spacing w:before="120" w:after="120"/>
        <w:rPr>
          <w:rFonts w:eastAsia="Calibri" w:eastAsiaTheme="minorHAnsi"/>
          <w:lang w:eastAsia="en-US"/>
        </w:rPr>
      </w:pPr>
      <w:r>
        <w:rPr>
          <w:rFonts w:eastAsia="Calibri" w:eastAsiaTheme="minorHAnsi"/>
          <w:lang w:eastAsia="en-US"/>
        </w:rPr>
        <w:t>Les plans d’évacuation avec consignes de sécurité ;</w:t>
      </w:r>
    </w:p>
    <w:p>
      <w:pPr>
        <w:pStyle w:val="P1"/>
        <w:numPr>
          <w:ilvl w:val="0"/>
          <w:numId w:val="28"/>
        </w:numPr>
        <w:tabs>
          <w:tab w:val="clear" w:pos="8789"/>
        </w:tabs>
        <w:spacing w:before="0" w:after="120"/>
        <w:ind w:left="714" w:hanging="357"/>
        <w:rPr>
          <w:lang w:val="fr-FR"/>
        </w:rPr>
      </w:pPr>
      <w:r>
        <w:rPr>
          <w:lang w:val="fr-FR"/>
        </w:rPr>
        <w:t>La dépose des équipements et des câbles non réglementaires, l’évacuation des matériaux et la mise en décharge après accord de l’Exploitant ;</w:t>
      </w:r>
    </w:p>
    <w:p>
      <w:pPr>
        <w:pStyle w:val="P1"/>
        <w:numPr>
          <w:ilvl w:val="0"/>
          <w:numId w:val="28"/>
        </w:numPr>
        <w:tabs>
          <w:tab w:val="clear" w:pos="8789"/>
        </w:tabs>
        <w:spacing w:before="0" w:after="120"/>
        <w:ind w:left="714" w:hanging="357"/>
        <w:rPr>
          <w:lang w:val="fr-FR"/>
        </w:rPr>
      </w:pPr>
      <w:r>
        <w:rPr>
          <w:lang w:val="fr-FR"/>
        </w:rPr>
        <w:t>La manutention, le montage, les raccordements, les essais et la mise en service de tous les équipements du SSI y compris la fourniture des fixations, des supports et des accessoires nécessaires au bon fonctionnement de l'ouvrage ;</w:t>
      </w:r>
    </w:p>
    <w:p>
      <w:pPr>
        <w:pStyle w:val="P1"/>
        <w:numPr>
          <w:ilvl w:val="0"/>
          <w:numId w:val="28"/>
        </w:numPr>
        <w:tabs>
          <w:tab w:val="clear" w:pos="8789"/>
        </w:tabs>
        <w:spacing w:before="0" w:after="120"/>
        <w:ind w:left="714" w:hanging="357"/>
        <w:rPr>
          <w:lang w:val="fr-FR"/>
        </w:rPr>
      </w:pPr>
      <w:r>
        <w:rPr>
          <w:lang w:val="fr-FR"/>
        </w:rPr>
        <w:t xml:space="preserve">La fourniture, la pose des câbles en faux-plafond ou en faux-plancher ; </w:t>
      </w:r>
    </w:p>
    <w:p>
      <w:pPr>
        <w:pStyle w:val="P1"/>
        <w:numPr>
          <w:ilvl w:val="0"/>
          <w:numId w:val="28"/>
        </w:numPr>
        <w:tabs>
          <w:tab w:val="clear" w:pos="8789"/>
        </w:tabs>
        <w:spacing w:before="0" w:after="120"/>
        <w:ind w:left="714" w:hanging="357"/>
        <w:rPr>
          <w:lang w:val="fr-FR"/>
        </w:rPr>
      </w:pPr>
      <w:r>
        <w:rPr>
          <w:lang w:val="fr-FR"/>
        </w:rPr>
        <w:t>Les interventions sur le site en plusieurs fois, suivant les nécessités du planning ;</w:t>
      </w:r>
    </w:p>
    <w:p>
      <w:pPr>
        <w:pStyle w:val="P1"/>
        <w:numPr>
          <w:ilvl w:val="0"/>
          <w:numId w:val="28"/>
        </w:numPr>
        <w:tabs>
          <w:tab w:val="clear" w:pos="8789"/>
        </w:tabs>
        <w:spacing w:before="0" w:after="120"/>
        <w:ind w:left="714" w:hanging="357"/>
        <w:jc w:val="left"/>
        <w:rPr>
          <w:rFonts w:cs="Arial"/>
        </w:rPr>
      </w:pPr>
      <w:r>
        <w:rPr>
          <w:lang w:val="fr-FR"/>
        </w:rPr>
        <w:t xml:space="preserve">La remise en état ou le remplacement d'éléments défectueux ou détériorés </w:t>
      </w:r>
      <w:r>
        <w:rPr>
          <w:rFonts w:cs="Arial"/>
        </w:rPr>
        <w:t>(l'entreprise étant totalement responsable de ses ouvrages jusqu'à la réception des travaux) ;</w:t>
      </w:r>
    </w:p>
    <w:p>
      <w:pPr>
        <w:pStyle w:val="P1"/>
        <w:numPr>
          <w:ilvl w:val="0"/>
          <w:numId w:val="28"/>
        </w:numPr>
        <w:tabs>
          <w:tab w:val="clear" w:pos="8789"/>
        </w:tabs>
        <w:spacing w:before="0" w:after="120"/>
        <w:ind w:left="714" w:hanging="357"/>
        <w:rPr>
          <w:rFonts w:cs="Arial"/>
        </w:rPr>
      </w:pPr>
      <w:r>
        <w:rPr>
          <w:lang w:val="fr-FR"/>
        </w:rPr>
        <w:t xml:space="preserve">Les sujétions de découpes des faux-planchers, des faux-plafonds, des cloisons, </w:t>
      </w:r>
      <w:r>
        <w:rPr/>
        <w:t xml:space="preserve">pour le passage des câbles et pour leur pose </w:t>
      </w:r>
      <w:r>
        <w:rPr>
          <w:rFonts w:cs="Arial"/>
        </w:rPr>
        <w:t>;</w:t>
      </w:r>
    </w:p>
    <w:p>
      <w:pPr>
        <w:pStyle w:val="P1"/>
        <w:numPr>
          <w:ilvl w:val="0"/>
          <w:numId w:val="28"/>
        </w:numPr>
        <w:tabs>
          <w:tab w:val="clear" w:pos="8789"/>
        </w:tabs>
        <w:spacing w:before="0" w:after="120"/>
        <w:ind w:left="714" w:hanging="357"/>
        <w:rPr>
          <w:lang w:val="fr-FR"/>
        </w:rPr>
      </w:pPr>
      <w:r>
        <w:rPr/>
        <w:t>La fourniture et pose des collerettes d’obturation ou couvre-joints aux percements des faux planchers ;</w:t>
      </w:r>
    </w:p>
    <w:p>
      <w:pPr>
        <w:pStyle w:val="P1"/>
        <w:numPr>
          <w:ilvl w:val="0"/>
          <w:numId w:val="28"/>
        </w:numPr>
        <w:tabs>
          <w:tab w:val="clear" w:pos="8789"/>
        </w:tabs>
        <w:spacing w:before="0" w:after="120"/>
        <w:ind w:left="714" w:hanging="357"/>
        <w:rPr>
          <w:lang w:val="fr-FR"/>
        </w:rPr>
      </w:pPr>
      <w:r>
        <w:rPr>
          <w:lang w:val="fr-FR"/>
        </w:rPr>
        <w:t>La protection nécessaire des ouvrages avant leur réception ;</w:t>
      </w:r>
    </w:p>
    <w:p>
      <w:pPr>
        <w:pStyle w:val="P1"/>
        <w:numPr>
          <w:ilvl w:val="0"/>
          <w:numId w:val="28"/>
        </w:numPr>
        <w:tabs>
          <w:tab w:val="clear" w:pos="8789"/>
        </w:tabs>
        <w:spacing w:before="0" w:after="120"/>
        <w:ind w:left="714" w:hanging="357"/>
        <w:rPr>
          <w:lang w:val="fr-FR"/>
        </w:rPr>
      </w:pPr>
      <w:r>
        <w:rPr/>
        <w:t>L’enlèvement des protections, le nettoyage en phase finale de tous les ouvrages mis en place ou environnants</w:t>
      </w:r>
      <w:r>
        <w:rPr>
          <w:rFonts w:cs="Arial"/>
        </w:rPr>
        <w:t>.</w:t>
      </w:r>
    </w:p>
    <w:p>
      <w:pPr>
        <w:pStyle w:val="Titre2"/>
        <w:tabs>
          <w:tab w:val="clear" w:pos="0"/>
          <w:tab w:val="clear" w:pos="8789"/>
          <w:tab w:val="left" w:pos="426" w:leader="none"/>
        </w:tabs>
        <w:ind w:left="0" w:hanging="0"/>
        <w:rPr/>
      </w:pPr>
      <w:bookmarkStart w:id="291" w:name="_Toc32334611"/>
      <w:bookmarkStart w:id="292" w:name="_Toc373832486"/>
      <w:r>
        <w:rPr/>
        <w:t>Climatisation chauffage</w:t>
      </w:r>
      <w:bookmarkEnd w:id="291"/>
      <w:bookmarkEnd w:id="292"/>
    </w:p>
    <w:p>
      <w:pPr>
        <w:pStyle w:val="Titre3"/>
        <w:rPr/>
      </w:pPr>
      <w:bookmarkStart w:id="293" w:name="_Toc32334612"/>
      <w:r>
        <w:rPr/>
        <w:t>Description des installations existantes</w:t>
      </w:r>
      <w:bookmarkEnd w:id="293"/>
    </w:p>
    <w:p>
      <w:pPr>
        <w:pStyle w:val="Normal"/>
        <w:tabs>
          <w:tab w:val="clear" w:pos="708"/>
          <w:tab w:val="right" w:pos="8789" w:leader="underscore"/>
        </w:tabs>
        <w:spacing w:before="200" w:after="240"/>
        <w:rPr/>
      </w:pPr>
      <w:r>
        <w:rPr/>
        <w:t>Les installations actuelles de la salle d’exploitation, sont complexes et hétérogènes, ce pour plusieurs raisons : problème de maintenance, l’une des deux armoires est restée en panne pendant plusieurs mois, de ce fait une armoire de marque CAPII a été ajoutée, une armoire a été réparée récemment, etc.). Elles sont constituées :</w:t>
      </w:r>
    </w:p>
    <w:p>
      <w:pPr>
        <w:pStyle w:val="P1"/>
        <w:numPr>
          <w:ilvl w:val="0"/>
          <w:numId w:val="110"/>
        </w:numPr>
        <w:rPr/>
      </w:pPr>
      <w:r>
        <w:rPr/>
        <w:t>D’une armoire Hyross type 036WD pour la partie CRS.</w:t>
      </w:r>
    </w:p>
    <w:p>
      <w:pPr>
        <w:pStyle w:val="P1"/>
        <w:numPr>
          <w:ilvl w:val="0"/>
          <w:numId w:val="110"/>
        </w:numPr>
        <w:rPr/>
      </w:pPr>
      <w:r>
        <w:rPr/>
        <w:t>D’une armoire Hyross type 036WD pour la partie DIRIF.</w:t>
      </w:r>
    </w:p>
    <w:p>
      <w:pPr>
        <w:pStyle w:val="P1"/>
        <w:numPr>
          <w:ilvl w:val="0"/>
          <w:numId w:val="110"/>
        </w:numPr>
        <w:rPr/>
      </w:pPr>
      <w:r>
        <w:rPr/>
        <w:t>D’une armoire CAPII en supplément pour la partie CRS.</w:t>
      </w:r>
    </w:p>
    <w:p>
      <w:pPr>
        <w:pStyle w:val="P1"/>
        <w:numPr>
          <w:ilvl w:val="0"/>
          <w:numId w:val="110"/>
        </w:numPr>
        <w:rPr/>
      </w:pPr>
      <w:r>
        <w:rPr/>
        <w:t>D’un ensemble split, l’unité intérieure étant installée en plafond à l’extrémité de la salle côté CRS, et l’unité extérieure sur le balcon côté bureau chef de poste.</w:t>
      </w:r>
    </w:p>
    <w:p>
      <w:pPr>
        <w:pStyle w:val="P1"/>
        <w:numPr>
          <w:ilvl w:val="0"/>
          <w:numId w:val="20"/>
        </w:numPr>
        <w:rPr/>
      </w:pPr>
      <w:r>
        <w:rPr/>
        <w:t>Toutes les armoires de climatisation (salle d’exploitation, salles techniques, etc.) sont hébergées dans un local situé sous la salle d’exploitation au rez-de-chaussée ; l’accès à ce local se fait par l’extérieur du bâtiment.</w:t>
      </w:r>
    </w:p>
    <w:p>
      <w:pPr>
        <w:pStyle w:val="P1"/>
        <w:numPr>
          <w:ilvl w:val="0"/>
          <w:numId w:val="20"/>
        </w:numPr>
        <w:rPr/>
      </w:pPr>
      <w:r>
        <w:rPr/>
        <w:t>Dans le faux-plancher de la salle d’exploitation, des plénums de soufflage aux deux extrémités de la salle (côtés accès à la salle) permettent de mettre le faux-plancher en surpression ; les pénétrations de câbles sont rendues étanches et coupe-feu par des manchons serrés mécaniquement autour du câble (MCT). Des bouches réglables en faux-plancher permettent d’ajuster le débit d’air.</w:t>
      </w:r>
    </w:p>
    <w:p>
      <w:pPr>
        <w:pStyle w:val="Normal"/>
        <w:tabs>
          <w:tab w:val="clear" w:pos="708"/>
          <w:tab w:val="right" w:pos="8789" w:leader="underscore"/>
        </w:tabs>
        <w:spacing w:before="200" w:after="0"/>
        <w:rPr/>
      </w:pPr>
      <w:r>
        <w:rPr/>
        <w:t>La reprise est assurée par des grilles situées aux extrémités de la salle, installées dans les cloisons. Elles sont raccordées sur des gaines venant des armoires du rez-de-chaussée, comme le sont celles raccordées aux plénums de soufflage.</w:t>
      </w:r>
    </w:p>
    <w:p>
      <w:pPr>
        <w:pStyle w:val="Titre3"/>
        <w:rPr/>
      </w:pPr>
      <w:bookmarkStart w:id="294" w:name="_Toc32334613"/>
      <w:r>
        <w:rPr/>
        <w:t>Dispositions projetées</w:t>
      </w:r>
      <w:bookmarkEnd w:id="294"/>
    </w:p>
    <w:p>
      <w:pPr>
        <w:pStyle w:val="Titre4"/>
        <w:rPr/>
      </w:pPr>
      <w:bookmarkStart w:id="295" w:name="_Toc32334614"/>
      <w:bookmarkStart w:id="296" w:name="_Toc422407285"/>
      <w:r>
        <w:rPr/>
        <w:t>Présentation</w:t>
      </w:r>
      <w:bookmarkEnd w:id="295"/>
      <w:bookmarkEnd w:id="296"/>
    </w:p>
    <w:p>
      <w:pPr>
        <w:pStyle w:val="Corpsdetexte"/>
        <w:rPr/>
      </w:pPr>
      <w:r>
        <w:rPr/>
        <w:t>Les travaux à réaliser au titre du présent projet sont décrits dans les articles ci-après, spécifiques à chaque salle réaménagée. Les spécifications qui suivent décrivent de manière sommaire les prestations à réaliser. Le chapitre 3 contenant les spécifications générales des systèmes de climatisation et de chauffage, est particulièrement applicable à toutes les prestations de climatisation et de chauffage à réaliser au titre du projet.</w:t>
      </w:r>
    </w:p>
    <w:p>
      <w:pPr>
        <w:pStyle w:val="Corpsdetexte"/>
        <w:rPr/>
      </w:pPr>
      <w:r>
        <w:rPr/>
        <w:t>Les méthodes de calcul des installations sont précisées ci-après sur la base des bilans de puissances annexées au présent document. Lors des études d’exécution, le titulaire devra confirmer ces choix par ses notes de calcul et alerter le maître d’œuvre sur les éventuelles discordances.</w:t>
      </w:r>
    </w:p>
    <w:p>
      <w:pPr>
        <w:pStyle w:val="Titre4"/>
        <w:rPr/>
      </w:pPr>
      <w:bookmarkStart w:id="297" w:name="_Toc32334615"/>
      <w:r>
        <w:rPr/>
        <w:t>Salle d’exploitation</w:t>
      </w:r>
      <w:bookmarkEnd w:id="297"/>
    </w:p>
    <w:p>
      <w:pPr>
        <w:pStyle w:val="Normal"/>
        <w:tabs>
          <w:tab w:val="clear" w:pos="708"/>
          <w:tab w:val="right" w:pos="8789" w:leader="underscore"/>
        </w:tabs>
        <w:spacing w:before="200" w:after="240"/>
        <w:rPr/>
      </w:pPr>
      <w:r>
        <w:rPr/>
        <w:t>Les installations étant maintenant totalement fonctionnelles, nous proposons de les maintenir en l’état en proposant une amélioration en ce qui concerne l’armoire CAPII utilisée comme secours pour le côté CRS. Nous proposons de modifier les automates pour interdire le fonctionnement des deux machines en même temps, et d’assurer un démarrage de l’armoire CAPII en cas de panne de l’armoire utilisée en mode normal.</w:t>
      </w:r>
    </w:p>
    <w:p>
      <w:pPr>
        <w:pStyle w:val="Normal"/>
        <w:tabs>
          <w:tab w:val="clear" w:pos="708"/>
          <w:tab w:val="right" w:pos="8789" w:leader="underscore"/>
        </w:tabs>
        <w:spacing w:before="200" w:after="240"/>
        <w:rPr/>
      </w:pPr>
      <w:r>
        <w:rPr/>
        <w:t>En ce qui concerne les gaines, il n’y a pas de modifications à prévoir en faux-plancher sur celles de soufflage. L’une des deux grilles de reprise (côté CRS) se trouvera dans la salle de crise, à l’issue des réaménagements. Nous avons étudié la possibilité de reprendre la gaine à sa traversée de la dalle en faux plancher, pour la faire cheminer dans celui-ci et ressortir au niveau de l’extérieur de la salle de crise, mais après vérification les gaines de soufflage et de reprise sont beaucoup trop proches et importantes pour pouvoir se croiser en faux-plancher.</w:t>
      </w:r>
    </w:p>
    <w:p>
      <w:pPr>
        <w:pStyle w:val="Normal"/>
        <w:tabs>
          <w:tab w:val="clear" w:pos="708"/>
          <w:tab w:val="right" w:pos="8789" w:leader="underscore"/>
        </w:tabs>
        <w:spacing w:before="200" w:after="240"/>
        <w:rPr/>
      </w:pPr>
      <w:r>
        <w:rPr/>
        <w:t>Nous proposons donc d’obturer en grande partie la grille actuelle et de réaliser en partie haute un plénum de reprise qui traverserait le faux-plafond à créer, pour reprendre l’air par une grille installée sur la cloison de la salle de crise.</w:t>
      </w:r>
    </w:p>
    <w:p>
      <w:pPr>
        <w:pStyle w:val="Normal"/>
        <w:tabs>
          <w:tab w:val="clear" w:pos="708"/>
          <w:tab w:val="right" w:pos="8789" w:leader="underscore"/>
        </w:tabs>
        <w:spacing w:before="200" w:after="240"/>
        <w:rPr/>
      </w:pPr>
      <w:r>
        <w:rPr/>
        <w:t>Il existe une centrale de traitement d’air au sous-sol (accès côté parking) qui permet le renouvellement d’air. Les débits seront ajustés si nécessaire pour satisfaire au programme.</w:t>
      </w:r>
    </w:p>
    <w:p>
      <w:pPr>
        <w:pStyle w:val="Normal"/>
        <w:tabs>
          <w:tab w:val="clear" w:pos="708"/>
          <w:tab w:val="right" w:pos="8789" w:leader="underscore"/>
        </w:tabs>
        <w:spacing w:before="200" w:after="120"/>
        <w:rPr/>
      </w:pPr>
      <w:r>
        <w:rPr/>
        <w:t>Les travaux comprennent :</w:t>
      </w:r>
    </w:p>
    <w:p>
      <w:pPr>
        <w:pStyle w:val="P1"/>
        <w:numPr>
          <w:ilvl w:val="0"/>
          <w:numId w:val="28"/>
        </w:numPr>
        <w:tabs>
          <w:tab w:val="clear" w:pos="8789"/>
        </w:tabs>
        <w:spacing w:before="0" w:after="120"/>
        <w:ind w:left="714" w:hanging="357"/>
        <w:rPr>
          <w:lang w:val="fr-FR"/>
        </w:rPr>
      </w:pPr>
      <w:r>
        <w:rPr>
          <w:lang w:val="fr-FR"/>
        </w:rPr>
        <w:t>Toutes les reprises des gaines comme indiqué ci-avant.</w:t>
      </w:r>
    </w:p>
    <w:p>
      <w:pPr>
        <w:pStyle w:val="P1"/>
        <w:numPr>
          <w:ilvl w:val="0"/>
          <w:numId w:val="28"/>
        </w:numPr>
        <w:tabs>
          <w:tab w:val="clear" w:pos="8789"/>
        </w:tabs>
        <w:spacing w:before="0" w:after="120"/>
        <w:ind w:left="714" w:hanging="357"/>
        <w:rPr>
          <w:lang w:val="fr-FR"/>
        </w:rPr>
      </w:pPr>
      <w:r>
        <w:rPr>
          <w:lang w:val="fr-FR"/>
        </w:rPr>
        <w:t>La fourniture et l’installation du plenum de soufflage.</w:t>
      </w:r>
    </w:p>
    <w:p>
      <w:pPr>
        <w:pStyle w:val="P1"/>
        <w:numPr>
          <w:ilvl w:val="0"/>
          <w:numId w:val="28"/>
        </w:numPr>
        <w:tabs>
          <w:tab w:val="clear" w:pos="8789"/>
        </w:tabs>
        <w:spacing w:before="0" w:after="120"/>
        <w:ind w:left="714" w:hanging="357"/>
        <w:rPr>
          <w:lang w:val="fr-FR"/>
        </w:rPr>
      </w:pPr>
      <w:r>
        <w:rPr>
          <w:lang w:val="fr-FR"/>
        </w:rPr>
        <w:t>Les modifications des bouches.</w:t>
      </w:r>
    </w:p>
    <w:p>
      <w:pPr>
        <w:pStyle w:val="P1"/>
        <w:numPr>
          <w:ilvl w:val="0"/>
          <w:numId w:val="28"/>
        </w:numPr>
        <w:tabs>
          <w:tab w:val="clear" w:pos="8789"/>
        </w:tabs>
        <w:spacing w:before="0" w:after="120"/>
        <w:ind w:left="714" w:hanging="357"/>
        <w:rPr>
          <w:lang w:val="fr-FR"/>
        </w:rPr>
      </w:pPr>
      <w:r>
        <w:rPr>
          <w:lang w:val="fr-FR"/>
        </w:rPr>
        <w:t>La modification des automates pour assurer le fonctionnement ci-avant décrit.</w:t>
      </w:r>
    </w:p>
    <w:p>
      <w:pPr>
        <w:pStyle w:val="P1"/>
        <w:numPr>
          <w:ilvl w:val="0"/>
          <w:numId w:val="28"/>
        </w:numPr>
        <w:tabs>
          <w:tab w:val="clear" w:pos="8789"/>
        </w:tabs>
        <w:spacing w:before="0" w:after="120"/>
        <w:ind w:left="714" w:hanging="357"/>
        <w:rPr>
          <w:lang w:val="fr-FR"/>
        </w:rPr>
      </w:pPr>
      <w:r>
        <w:rPr>
          <w:lang w:val="fr-FR"/>
        </w:rPr>
        <w:t>La vérification des réglages des débits de la centrale d’air neuf et l’adaptation des débits si cela s’avérait nécessaire.</w:t>
      </w:r>
    </w:p>
    <w:p>
      <w:pPr>
        <w:pStyle w:val="Titre4"/>
        <w:rPr/>
      </w:pPr>
      <w:bookmarkStart w:id="298" w:name="_Toc32334616"/>
      <w:bookmarkStart w:id="299" w:name="_Toc401219387"/>
      <w:r>
        <w:rPr/>
        <w:t>Salle de crise</w:t>
      </w:r>
      <w:bookmarkEnd w:id="298"/>
      <w:bookmarkEnd w:id="299"/>
    </w:p>
    <w:p>
      <w:pPr>
        <w:pStyle w:val="Normal"/>
        <w:keepNext w:val="true"/>
        <w:tabs>
          <w:tab w:val="clear" w:pos="708"/>
          <w:tab w:val="right" w:pos="8789" w:leader="underscore"/>
        </w:tabs>
        <w:spacing w:before="200" w:after="240"/>
        <w:rPr/>
      </w:pPr>
      <w:r>
        <w:rPr/>
        <w:t>L’ensemble SPLIT ci-avant décrit, installé côté CRS, est utilisé en secours. Cet équipement se trouve dans le futur espace du PC de crise. Par ailleurs il n’est pas du tout adapté à la climatisation de ce type de local, et du volume à traiter.</w:t>
      </w:r>
    </w:p>
    <w:p>
      <w:pPr>
        <w:pStyle w:val="Normal"/>
        <w:keepNext w:val="true"/>
        <w:tabs>
          <w:tab w:val="clear" w:pos="708"/>
          <w:tab w:val="right" w:pos="8789" w:leader="underscore"/>
        </w:tabs>
        <w:spacing w:before="200" w:after="240"/>
        <w:rPr>
          <w:lang w:val="fr-CA"/>
        </w:rPr>
      </w:pPr>
      <w:r>
        <w:rPr>
          <w:lang w:val="fr-CA"/>
        </w:rPr>
        <w:t>Nous proposons l’installation d’un appareil individuel pour chacune des deux pièces (salle de crise et lieu de vie) de type inverter réversible, qui assurerait le refroidissement l’été et le chauffage en ° hiver. La puissance en mode chauffage de ces équipements sera assurée jusqu’à moins 15° sans perte de puissance. En effet, la majorité de ces types d’équipements propose une puissance chaud à +7° et s’écroule en dessous de 0° de même que le rendement (COP).</w:t>
      </w:r>
    </w:p>
    <w:p>
      <w:pPr>
        <w:pStyle w:val="Normal"/>
        <w:keepNext w:val="true"/>
        <w:tabs>
          <w:tab w:val="clear" w:pos="708"/>
          <w:tab w:val="right" w:pos="8789" w:leader="underscore"/>
        </w:tabs>
        <w:spacing w:before="200" w:after="240"/>
        <w:rPr>
          <w:lang w:val="fr-CA"/>
        </w:rPr>
      </w:pPr>
      <w:r>
        <w:rPr>
          <w:lang w:val="fr-CA"/>
        </w:rPr>
        <w:t>Une reprise d’air en façade, associée à un équipement de traitement d’air (chauffage de l’air soufflé en hiver) permettra le renouvellement d’air spécifié au programme.</w:t>
      </w:r>
    </w:p>
    <w:p>
      <w:pPr>
        <w:pStyle w:val="Normal"/>
        <w:keepNext w:val="true"/>
        <w:tabs>
          <w:tab w:val="clear" w:pos="708"/>
          <w:tab w:val="right" w:pos="8789" w:leader="underscore"/>
        </w:tabs>
        <w:spacing w:before="200" w:after="240"/>
        <w:rPr>
          <w:lang w:val="fr-CA"/>
        </w:rPr>
      </w:pPr>
      <w:r>
        <w:rPr>
          <w:lang w:val="fr-CA"/>
        </w:rPr>
        <w:t>Les travaux comprennent :</w:t>
      </w:r>
    </w:p>
    <w:p>
      <w:pPr>
        <w:pStyle w:val="P1"/>
        <w:numPr>
          <w:ilvl w:val="0"/>
          <w:numId w:val="28"/>
        </w:numPr>
        <w:tabs>
          <w:tab w:val="clear" w:pos="8789"/>
        </w:tabs>
        <w:spacing w:before="0" w:after="120"/>
        <w:ind w:left="714" w:hanging="357"/>
        <w:rPr>
          <w:lang w:val="fr-FR"/>
        </w:rPr>
      </w:pPr>
      <w:r>
        <w:rPr>
          <w:lang w:val="fr-FR"/>
        </w:rPr>
        <w:t>L’installation d’un appareil de type « inverter » dans la salle de crise, y compris le condenseur en lieu et place de celui existant ;</w:t>
      </w:r>
    </w:p>
    <w:p>
      <w:pPr>
        <w:pStyle w:val="P1"/>
        <w:numPr>
          <w:ilvl w:val="0"/>
          <w:numId w:val="28"/>
        </w:numPr>
        <w:tabs>
          <w:tab w:val="clear" w:pos="8789"/>
        </w:tabs>
        <w:spacing w:before="0" w:after="120"/>
        <w:ind w:left="714" w:hanging="357"/>
        <w:rPr>
          <w:lang w:val="fr-FR"/>
        </w:rPr>
      </w:pPr>
      <w:r>
        <w:rPr>
          <w:lang w:val="fr-FR"/>
        </w:rPr>
        <w:t>Un démontage partiel de l’actuel faux-plafond pour y installer les réseaux frigorifiques ;</w:t>
      </w:r>
    </w:p>
    <w:p>
      <w:pPr>
        <w:pStyle w:val="P1"/>
        <w:numPr>
          <w:ilvl w:val="0"/>
          <w:numId w:val="28"/>
        </w:numPr>
        <w:tabs>
          <w:tab w:val="clear" w:pos="8789"/>
        </w:tabs>
        <w:spacing w:before="0" w:after="120"/>
        <w:ind w:left="714" w:hanging="357"/>
        <w:rPr>
          <w:lang w:val="fr-FR"/>
        </w:rPr>
      </w:pPr>
      <w:r>
        <w:rPr>
          <w:lang w:val="fr-FR"/>
        </w:rPr>
        <w:t>L’installation des réseaux frigorifiques ;</w:t>
      </w:r>
    </w:p>
    <w:p>
      <w:pPr>
        <w:pStyle w:val="P1"/>
        <w:numPr>
          <w:ilvl w:val="0"/>
          <w:numId w:val="28"/>
        </w:numPr>
        <w:tabs>
          <w:tab w:val="clear" w:pos="8789"/>
        </w:tabs>
        <w:spacing w:before="0" w:after="120"/>
        <w:ind w:left="714" w:hanging="357"/>
        <w:rPr>
          <w:lang w:val="fr-FR"/>
        </w:rPr>
      </w:pPr>
      <w:r>
        <w:rPr>
          <w:lang w:val="fr-FR"/>
        </w:rPr>
        <w:t>La dépose et l’évacuation de l’équipement existant ci-avant décrits, la récupération du gaz selon la réglementation en vigueur et l’obturation des gaines existantes (étanches). La dépose et l’évacuation des câbles est également prévue ;</w:t>
      </w:r>
    </w:p>
    <w:p>
      <w:pPr>
        <w:pStyle w:val="P1"/>
        <w:numPr>
          <w:ilvl w:val="0"/>
          <w:numId w:val="28"/>
        </w:numPr>
        <w:tabs>
          <w:tab w:val="clear" w:pos="8789"/>
        </w:tabs>
        <w:spacing w:before="0" w:after="120"/>
        <w:ind w:left="714" w:hanging="357"/>
        <w:rPr>
          <w:lang w:val="fr-FR"/>
        </w:rPr>
      </w:pPr>
      <w:r>
        <w:rPr>
          <w:lang w:val="fr-FR"/>
        </w:rPr>
        <w:t>D’assurer les modifications pour rendre pilotable l’extinction du soufflage en cas d’incendie (en coordination avec le remplacement des installations de SSI).</w:t>
      </w:r>
    </w:p>
    <w:p>
      <w:pPr>
        <w:pStyle w:val="P1"/>
        <w:numPr>
          <w:ilvl w:val="0"/>
          <w:numId w:val="28"/>
        </w:numPr>
        <w:tabs>
          <w:tab w:val="clear" w:pos="8789"/>
        </w:tabs>
        <w:spacing w:before="0" w:after="120"/>
        <w:ind w:left="714" w:hanging="357"/>
        <w:rPr>
          <w:lang w:val="fr-FR"/>
        </w:rPr>
      </w:pPr>
      <w:r>
        <w:rPr>
          <w:lang w:val="fr-FR"/>
        </w:rPr>
        <w:t>L’ensemble de gaine et de bouche en faux-plafond permettant la diffusion de l’air neuf dans cette salle ;</w:t>
      </w:r>
    </w:p>
    <w:p>
      <w:pPr>
        <w:pStyle w:val="P1"/>
        <w:numPr>
          <w:ilvl w:val="0"/>
          <w:numId w:val="28"/>
        </w:numPr>
        <w:tabs>
          <w:tab w:val="clear" w:pos="8789"/>
        </w:tabs>
        <w:spacing w:before="0" w:after="120"/>
        <w:ind w:left="714" w:hanging="357"/>
        <w:rPr>
          <w:lang w:val="fr-FR"/>
        </w:rPr>
      </w:pPr>
      <w:r>
        <w:rPr>
          <w:lang w:val="fr-FR"/>
        </w:rPr>
        <w:t>Les percements en façade permettant la prise d’air neuf à l’extérieur ;</w:t>
      </w:r>
    </w:p>
    <w:p>
      <w:pPr>
        <w:pStyle w:val="P1"/>
        <w:numPr>
          <w:ilvl w:val="0"/>
          <w:numId w:val="28"/>
        </w:numPr>
        <w:tabs>
          <w:tab w:val="clear" w:pos="8789"/>
        </w:tabs>
        <w:spacing w:before="0" w:after="120"/>
        <w:ind w:left="714" w:hanging="357"/>
        <w:rPr>
          <w:lang w:val="fr-FR"/>
        </w:rPr>
      </w:pPr>
      <w:r>
        <w:rPr>
          <w:lang w:val="fr-FR"/>
        </w:rPr>
        <w:t>La fourniture et l’installation, en faux-plafond, de la centrale de traitement d’air (CTA) ;</w:t>
      </w:r>
    </w:p>
    <w:p>
      <w:pPr>
        <w:pStyle w:val="P1"/>
        <w:numPr>
          <w:ilvl w:val="0"/>
          <w:numId w:val="28"/>
        </w:numPr>
        <w:tabs>
          <w:tab w:val="clear" w:pos="8789"/>
        </w:tabs>
        <w:spacing w:before="0" w:after="120"/>
        <w:ind w:left="714" w:hanging="357"/>
        <w:rPr>
          <w:lang w:val="fr-FR"/>
        </w:rPr>
      </w:pPr>
      <w:r>
        <w:rPr>
          <w:lang w:val="fr-FR"/>
        </w:rPr>
        <w:t>La fourniture et l’installation du registre de réglage en faux-plafond et de la grille nécessaire.</w:t>
      </w:r>
    </w:p>
    <w:p>
      <w:pPr>
        <w:pStyle w:val="Titre4"/>
        <w:rPr/>
      </w:pPr>
      <w:bookmarkStart w:id="300" w:name="_Toc32334617"/>
      <w:bookmarkStart w:id="301" w:name="_Toc401219388"/>
      <w:r>
        <w:rPr/>
        <w:t>Local de reproduction</w:t>
      </w:r>
      <w:bookmarkEnd w:id="300"/>
      <w:bookmarkEnd w:id="301"/>
    </w:p>
    <w:p>
      <w:pPr>
        <w:pStyle w:val="P1"/>
        <w:rPr/>
      </w:pPr>
      <w:r>
        <w:rPr/>
        <w:t>Nous proposons l’installation d’un appareil individuel de type identique à celui prescrit ci-avant pour le PC de crise, seul le choix de la puissance sera adapté.</w:t>
      </w:r>
    </w:p>
    <w:p>
      <w:pPr>
        <w:pStyle w:val="P1"/>
        <w:rPr/>
      </w:pPr>
      <w:r>
        <w:rPr/>
        <w:t>Les travaux comprennent :</w:t>
      </w:r>
    </w:p>
    <w:p>
      <w:pPr>
        <w:pStyle w:val="P1"/>
        <w:numPr>
          <w:ilvl w:val="0"/>
          <w:numId w:val="28"/>
        </w:numPr>
        <w:tabs>
          <w:tab w:val="clear" w:pos="8789"/>
        </w:tabs>
        <w:spacing w:before="0" w:after="120"/>
        <w:ind w:left="714" w:hanging="357"/>
        <w:rPr>
          <w:lang w:val="fr-FR"/>
        </w:rPr>
      </w:pPr>
      <w:r>
        <w:rPr>
          <w:lang w:val="fr-FR"/>
        </w:rPr>
        <w:t>L’installation d’un appareil de type « inverter », y compris le condenseur à l’extérieur ;</w:t>
      </w:r>
    </w:p>
    <w:p>
      <w:pPr>
        <w:pStyle w:val="P1"/>
        <w:numPr>
          <w:ilvl w:val="0"/>
          <w:numId w:val="28"/>
        </w:numPr>
        <w:tabs>
          <w:tab w:val="clear" w:pos="8789"/>
        </w:tabs>
        <w:spacing w:before="0" w:after="120"/>
        <w:ind w:left="714" w:hanging="357"/>
        <w:rPr>
          <w:lang w:val="fr-FR"/>
        </w:rPr>
      </w:pPr>
      <w:r>
        <w:rPr>
          <w:lang w:val="fr-FR"/>
        </w:rPr>
        <w:t>Un démontage partiel de l’actuel faux-plafond pour y installer les réseaux frigorifiques ;</w:t>
      </w:r>
    </w:p>
    <w:p>
      <w:pPr>
        <w:pStyle w:val="P1"/>
        <w:numPr>
          <w:ilvl w:val="0"/>
          <w:numId w:val="28"/>
        </w:numPr>
        <w:tabs>
          <w:tab w:val="clear" w:pos="8789"/>
        </w:tabs>
        <w:spacing w:before="0" w:after="120"/>
        <w:ind w:left="714" w:hanging="357"/>
        <w:rPr>
          <w:lang w:val="fr-FR"/>
        </w:rPr>
      </w:pPr>
      <w:r>
        <w:rPr>
          <w:lang w:val="fr-FR"/>
        </w:rPr>
        <w:t>L’installation des réseaux frigorifiques ;</w:t>
      </w:r>
    </w:p>
    <w:p>
      <w:pPr>
        <w:pStyle w:val="P1"/>
        <w:numPr>
          <w:ilvl w:val="0"/>
          <w:numId w:val="28"/>
        </w:numPr>
        <w:tabs>
          <w:tab w:val="clear" w:pos="8789"/>
        </w:tabs>
        <w:spacing w:before="0" w:after="120"/>
        <w:ind w:left="714" w:hanging="357"/>
        <w:rPr>
          <w:lang w:val="fr-FR"/>
        </w:rPr>
      </w:pPr>
      <w:r>
        <w:rPr>
          <w:lang w:val="fr-FR"/>
        </w:rPr>
        <w:t>D’assurer les modifications pour rendre pilotable l’extinction du soufflage en cas d’incendie (en coordination avec le remplacement des installations de SSI).</w:t>
      </w:r>
    </w:p>
    <w:p>
      <w:pPr>
        <w:pStyle w:val="Titre4"/>
        <w:rPr/>
      </w:pPr>
      <w:bookmarkStart w:id="302" w:name="_Toc32334618"/>
      <w:bookmarkStart w:id="303" w:name="_Toc401219389"/>
      <w:r>
        <w:rPr/>
        <w:t>Local technique Mur d’images</w:t>
      </w:r>
      <w:bookmarkEnd w:id="302"/>
      <w:bookmarkEnd w:id="303"/>
    </w:p>
    <w:p>
      <w:pPr>
        <w:pStyle w:val="P1"/>
        <w:rPr/>
      </w:pPr>
      <w:r>
        <w:rPr/>
        <w:t>Bien que le programme ne le spécifie pas (il s’agit probablement d’un oubli) nous proposons la climatisation de ce local par un système dédié uniquement à la production de froid. En effet, les équipements techniques installés dans ce local et sa situation font qu’il n’y pas de problème de chauffage.</w:t>
      </w:r>
    </w:p>
    <w:p>
      <w:pPr>
        <w:pStyle w:val="P1"/>
        <w:rPr/>
      </w:pPr>
      <w:r>
        <w:rPr/>
        <w:t>Les travaux comprennent :</w:t>
      </w:r>
    </w:p>
    <w:p>
      <w:pPr>
        <w:pStyle w:val="P1"/>
        <w:numPr>
          <w:ilvl w:val="0"/>
          <w:numId w:val="28"/>
        </w:numPr>
        <w:tabs>
          <w:tab w:val="clear" w:pos="8789"/>
        </w:tabs>
        <w:spacing w:before="0" w:after="120"/>
        <w:ind w:left="714" w:hanging="357"/>
        <w:rPr>
          <w:lang w:val="fr-FR"/>
        </w:rPr>
      </w:pPr>
      <w:r>
        <w:rPr>
          <w:lang w:val="fr-FR"/>
        </w:rPr>
        <w:t>L’installation d’un appareil de type « inverter », y compris le condenseur à l’extérieur ;</w:t>
      </w:r>
    </w:p>
    <w:p>
      <w:pPr>
        <w:pStyle w:val="P1"/>
        <w:numPr>
          <w:ilvl w:val="0"/>
          <w:numId w:val="28"/>
        </w:numPr>
        <w:tabs>
          <w:tab w:val="clear" w:pos="8789"/>
        </w:tabs>
        <w:spacing w:before="0" w:after="120"/>
        <w:ind w:left="714" w:hanging="357"/>
        <w:rPr>
          <w:lang w:val="fr-FR"/>
        </w:rPr>
      </w:pPr>
      <w:r>
        <w:rPr>
          <w:lang w:val="fr-FR"/>
        </w:rPr>
        <w:t>Un démontage partiel de l’actuel faux-plafond pour y installer les réseaux frigorifiques ;</w:t>
      </w:r>
    </w:p>
    <w:p>
      <w:pPr>
        <w:pStyle w:val="P1"/>
        <w:numPr>
          <w:ilvl w:val="0"/>
          <w:numId w:val="28"/>
        </w:numPr>
        <w:tabs>
          <w:tab w:val="clear" w:pos="8789"/>
        </w:tabs>
        <w:spacing w:before="0" w:after="120"/>
        <w:ind w:left="714" w:hanging="357"/>
        <w:rPr>
          <w:lang w:val="fr-FR"/>
        </w:rPr>
      </w:pPr>
      <w:r>
        <w:rPr>
          <w:lang w:val="fr-FR"/>
        </w:rPr>
        <w:t>L’installation des réseaux frigorifiques ;</w:t>
      </w:r>
    </w:p>
    <w:p>
      <w:pPr>
        <w:pStyle w:val="P1"/>
        <w:numPr>
          <w:ilvl w:val="0"/>
          <w:numId w:val="28"/>
        </w:numPr>
        <w:tabs>
          <w:tab w:val="clear" w:pos="8789"/>
        </w:tabs>
        <w:spacing w:before="0" w:after="120"/>
        <w:ind w:left="714" w:hanging="357"/>
        <w:rPr>
          <w:lang w:val="fr-FR"/>
        </w:rPr>
      </w:pPr>
      <w:r>
        <w:rPr>
          <w:lang w:val="fr-FR"/>
        </w:rPr>
        <w:t>D’assurer les modifications pour rendre pilotable l’extinction du soufflage en cas d’incendie (en coordination avec le remplacement des installations de SSI).</w:t>
      </w:r>
    </w:p>
    <w:p>
      <w:pPr>
        <w:pStyle w:val="Titre3"/>
        <w:rPr/>
      </w:pPr>
      <w:bookmarkStart w:id="304" w:name="_Toc32334619"/>
      <w:bookmarkStart w:id="305" w:name="_Toc401219113"/>
      <w:r>
        <w:rPr/>
        <w:t>Calcul des charges de climatisation et principes d’installation</w:t>
      </w:r>
      <w:bookmarkEnd w:id="304"/>
      <w:bookmarkEnd w:id="305"/>
    </w:p>
    <w:p>
      <w:pPr>
        <w:pStyle w:val="Titre4"/>
        <w:rPr/>
      </w:pPr>
      <w:bookmarkStart w:id="306" w:name="_Toc32334620"/>
      <w:bookmarkStart w:id="307" w:name="_Toc401219114"/>
      <w:r>
        <w:rPr/>
        <w:t>Méthode de calcul des installations</w:t>
      </w:r>
      <w:bookmarkEnd w:id="306"/>
      <w:bookmarkEnd w:id="307"/>
    </w:p>
    <w:p>
      <w:pPr>
        <w:pStyle w:val="Corpsdetexte"/>
        <w:rPr/>
      </w:pPr>
      <w:r>
        <w:rPr/>
        <w:t>Le dimensionnement des installations de refroidissement a été réalisé sur la base de notes de calcul simplifiées annexées au présent projet. Tous les équipements prévus sont de type « Inverter », à savoir qu’ils assurent le refroidissement en été, et le chauffage en hiver. Nous n’avons pas réalisé de bilan thermique pour le chauffage, car la détermination de la puissance froid nécessaire permet le choix d’un équipement dans une gamme de puissances standard (2.5kW, 3.5kW, 5kW etc.). La puissance froid implique donc une puissance chaud, qui est dans la majorité des cas (c’est la cas pour les installations objet du présent projet) surdimensionnée.</w:t>
      </w:r>
    </w:p>
    <w:p>
      <w:pPr>
        <w:pStyle w:val="Corpsdetexte"/>
        <w:rPr/>
      </w:pPr>
      <w:r>
        <w:rPr/>
        <w:t>Pour illustrer ces propos, une salle d’environ 20m² hébergeant une dizaine de personnes nécessite une climatisation d’environ 5kW de puissance froid. L’Ile de France est classée en zone 2 vis-à-vis du chauffage des locaux, ce qui conduit à prévoir environ 45W par m3 en considérant une isolation thermique moyenne. Le calcul (20m²*2.5m)*45 donne une puissance chaud nécessaire de 2300W environ, alors que ce type d’équipement fourni une puissance chaud de 6kW. Il est à noter que les puissances chaud et froid ne sont pas modifiables, l’un des deux choix impose l’autre. Par ailleurs les dégagements calorifiques des quelques matériels (écrans, PC, etc.) conduisent à améliorer encore le bilan thermique vis-à-vis du chauffage.</w:t>
      </w:r>
    </w:p>
    <w:p>
      <w:pPr>
        <w:pStyle w:val="Corpsdetexte"/>
        <w:rPr/>
      </w:pPr>
      <w:r>
        <w:rPr/>
        <w:t>L’air neuf injecté dans les locaux sera préalablement réchauffé par un système asservi à la température extérieure, cela n’a donc pas d’incidence sur le dimensionnement du chauffage.</w:t>
      </w:r>
    </w:p>
    <w:p>
      <w:pPr>
        <w:pStyle w:val="Corpsdetexte"/>
        <w:spacing w:before="200" w:after="120"/>
        <w:rPr/>
      </w:pPr>
      <w:r>
        <w:rPr/>
        <w:t>Les installations à réaliser devront respecter les exigences réglementaires en termes de nuisances sonores et notamment :</w:t>
      </w:r>
    </w:p>
    <w:p>
      <w:pPr>
        <w:pStyle w:val="P1"/>
        <w:numPr>
          <w:ilvl w:val="0"/>
          <w:numId w:val="28"/>
        </w:numPr>
        <w:tabs>
          <w:tab w:val="clear" w:pos="8789"/>
        </w:tabs>
        <w:spacing w:before="0" w:after="120"/>
        <w:ind w:left="714" w:hanging="357"/>
        <w:rPr>
          <w:lang w:val="fr-FR"/>
        </w:rPr>
      </w:pPr>
      <w:r>
        <w:rPr>
          <w:lang w:val="fr-FR"/>
        </w:rPr>
        <w:t>NFS 31010 ;</w:t>
      </w:r>
    </w:p>
    <w:p>
      <w:pPr>
        <w:pStyle w:val="P1"/>
        <w:numPr>
          <w:ilvl w:val="0"/>
          <w:numId w:val="28"/>
        </w:numPr>
        <w:tabs>
          <w:tab w:val="clear" w:pos="8789"/>
        </w:tabs>
        <w:spacing w:before="0" w:after="120"/>
        <w:ind w:left="714" w:hanging="357"/>
        <w:rPr>
          <w:lang w:val="fr-FR"/>
        </w:rPr>
      </w:pPr>
      <w:r>
        <w:rPr>
          <w:lang w:val="fr-FR"/>
        </w:rPr>
        <w:t>Décret n°2006-892 du 19 juillet 2006 (exposition des salariés au bruit de matériels utilisés dans les locaux professionnels) ;</w:t>
      </w:r>
    </w:p>
    <w:p>
      <w:pPr>
        <w:pStyle w:val="P1"/>
        <w:numPr>
          <w:ilvl w:val="0"/>
          <w:numId w:val="28"/>
        </w:numPr>
        <w:tabs>
          <w:tab w:val="clear" w:pos="8789"/>
        </w:tabs>
        <w:spacing w:before="0" w:after="120"/>
        <w:ind w:left="714" w:hanging="357"/>
        <w:rPr>
          <w:lang w:val="fr-FR"/>
        </w:rPr>
      </w:pPr>
      <w:r>
        <w:rPr>
          <w:lang w:val="fr-FR"/>
        </w:rPr>
        <w:t xml:space="preserve">Arrêté du 22 mai 2006 (émissions sonores des matériels utilisés à l’extérieur des bâtiments) ; </w:t>
      </w:r>
    </w:p>
    <w:p>
      <w:pPr>
        <w:pStyle w:val="P1"/>
        <w:numPr>
          <w:ilvl w:val="0"/>
          <w:numId w:val="28"/>
        </w:numPr>
        <w:tabs>
          <w:tab w:val="clear" w:pos="8789"/>
        </w:tabs>
        <w:spacing w:before="0" w:after="120"/>
        <w:ind w:left="714" w:hanging="357"/>
        <w:rPr>
          <w:lang w:val="fr-FR"/>
        </w:rPr>
      </w:pPr>
      <w:r>
        <w:rPr>
          <w:lang w:val="fr-FR"/>
        </w:rPr>
        <w:t>Décret n°2006-1099 du 31 août 2006 (bruits de voisinage).</w:t>
      </w:r>
    </w:p>
    <w:p>
      <w:pPr>
        <w:pStyle w:val="Titre4"/>
        <w:rPr/>
      </w:pPr>
      <w:bookmarkStart w:id="308" w:name="_Toc32334621"/>
      <w:bookmarkStart w:id="309" w:name="_Toc401219115"/>
      <w:r>
        <w:rPr/>
        <w:t>Salle d’exploitation</w:t>
      </w:r>
      <w:bookmarkEnd w:id="308"/>
      <w:bookmarkEnd w:id="309"/>
    </w:p>
    <w:p>
      <w:pPr>
        <w:pStyle w:val="Corpsdetexte"/>
        <w:rPr/>
      </w:pPr>
      <w:r>
        <w:rPr/>
        <w:t>Comme indiqué précédemment, la climatisation de la salle d’exploitation a fait l’objet récemment de modifications substantielles qui assurent maintenant une capacité suffisante, ainsi qu’une redondance partielle.</w:t>
      </w:r>
    </w:p>
    <w:p>
      <w:pPr>
        <w:pStyle w:val="Corpsdetexte"/>
        <w:rPr/>
      </w:pPr>
      <w:r>
        <w:rPr/>
        <w:t xml:space="preserve">La seule modification prévue est une adaptation de la reprise d’air côté CRS qui serait réalisée dans la salle de crise, après le nouveau cloisonnement. Elle sera donc modifiée pour passer en faux-plafond et reprendre l’air dans la salle d’exploitation.  </w:t>
      </w:r>
    </w:p>
    <w:p>
      <w:pPr>
        <w:pStyle w:val="Titre4"/>
        <w:rPr/>
      </w:pPr>
      <w:bookmarkStart w:id="310" w:name="_Toc32334622"/>
      <w:bookmarkStart w:id="311" w:name="_Toc401219393"/>
      <w:bookmarkStart w:id="312" w:name="_Toc395023565"/>
      <w:r>
        <w:rPr/>
        <w:t xml:space="preserve">Salle de </w:t>
      </w:r>
      <w:bookmarkEnd w:id="312"/>
      <w:r>
        <w:rPr/>
        <w:t>crise</w:t>
      </w:r>
      <w:bookmarkEnd w:id="310"/>
      <w:bookmarkEnd w:id="311"/>
    </w:p>
    <w:p>
      <w:pPr>
        <w:pStyle w:val="Corpsdetexte"/>
        <w:rPr/>
      </w:pPr>
      <w:r>
        <w:rPr/>
        <w:t xml:space="preserve">L’objectif est de standardiser les types d’appareils utilisés sur ce site (mono split inverter de 2.5 kW). En effet, la diversité des équipements installés dans les PCTT (marque, type, architecture, etc.) rend leur maintenance plus complexe, plus aléatoire et plus onéreuse. Le lot de rechange (filtres, pompe d’évacuation des condensats, etc.) sera commun aux différents équipements et pourra faciliter des opérations simples de maintenance pouvant être même réalisées par l’exploitant. </w:t>
      </w:r>
    </w:p>
    <w:p>
      <w:pPr>
        <w:pStyle w:val="Corpsdetexte"/>
        <w:rPr/>
      </w:pPr>
      <w:r>
        <w:rPr/>
        <w:t>Le bilan de puissance froid conduit à un besoin d’environ 1.8 kW, nous préconisons l’installation de d’un appareil de 2.5kW.</w:t>
      </w:r>
    </w:p>
    <w:p>
      <w:pPr>
        <w:pStyle w:val="Titre4"/>
        <w:rPr/>
      </w:pPr>
      <w:bookmarkStart w:id="313" w:name="_Toc32334623"/>
      <w:bookmarkStart w:id="314" w:name="_Toc401219395"/>
      <w:r>
        <w:rPr/>
        <w:t>Local technique mur d’images</w:t>
      </w:r>
      <w:bookmarkEnd w:id="313"/>
      <w:bookmarkEnd w:id="314"/>
    </w:p>
    <w:p>
      <w:pPr>
        <w:pStyle w:val="Corpsdetexte"/>
        <w:rPr/>
      </w:pPr>
      <w:r>
        <w:rPr/>
        <w:t>Le bilan de puissance froid conduit à un besoin d’environ 2.4 kW, nous préconisons l’installation de d’un appareil de 2.5kW.</w:t>
      </w:r>
    </w:p>
    <w:p>
      <w:pPr>
        <w:pStyle w:val="Titre4"/>
        <w:rPr/>
      </w:pPr>
      <w:bookmarkStart w:id="315" w:name="_Toc32334624"/>
      <w:bookmarkStart w:id="316" w:name="_Toc401219396"/>
      <w:r>
        <w:rPr/>
        <w:t>Local reproduction</w:t>
      </w:r>
      <w:bookmarkEnd w:id="315"/>
      <w:bookmarkEnd w:id="316"/>
    </w:p>
    <w:p>
      <w:pPr>
        <w:pStyle w:val="Corpsdetexte"/>
        <w:rPr/>
      </w:pPr>
      <w:r>
        <w:rPr/>
        <w:t>Le bilan de puissance froid conduit à un besoin d’environ 1.3 kW, nous préconisons l’installation de d’un appareil de 2.5kW.</w:t>
      </w:r>
    </w:p>
    <w:p>
      <w:pPr>
        <w:pStyle w:val="Titre3"/>
        <w:rPr/>
      </w:pPr>
      <w:bookmarkStart w:id="317" w:name="_Toc401219124"/>
      <w:bookmarkStart w:id="318" w:name="_Toc32334625"/>
      <w:r>
        <w:rPr/>
        <w:t>Air neuf</w:t>
      </w:r>
      <w:bookmarkEnd w:id="318"/>
    </w:p>
    <w:p>
      <w:pPr>
        <w:pStyle w:val="Titre4"/>
        <w:rPr/>
      </w:pPr>
      <w:bookmarkStart w:id="319" w:name="_Toc32334626"/>
      <w:r>
        <w:rPr/>
        <w:t>Dispositions projetées</w:t>
      </w:r>
      <w:bookmarkEnd w:id="319"/>
    </w:p>
    <w:p>
      <w:pPr>
        <w:pStyle w:val="Corpsdetexte"/>
        <w:rPr/>
      </w:pPr>
      <w:r>
        <w:rPr/>
        <w:t>Les spécifications techniques générales rappellent les prescriptions du code du travail, à savoir que le renouvellement d’air doit être 30 m3/h par personne. Une marge de 25% supplémentaire doit être prévue pour des occupants occasionnels.</w:t>
      </w:r>
    </w:p>
    <w:p>
      <w:pPr>
        <w:pStyle w:val="Corpsdetexte"/>
        <w:rPr/>
      </w:pPr>
      <w:r>
        <w:rPr/>
        <w:t>Les vitesses d’écoulement d’air devront être inférieures à 4 m/s pour éviter les nuisances sonores.</w:t>
      </w:r>
    </w:p>
    <w:p>
      <w:pPr>
        <w:pStyle w:val="Corpsdetexte"/>
        <w:rPr/>
      </w:pPr>
      <w:r>
        <w:rPr/>
        <w:t xml:space="preserve">Les calculs ont été réalisés sur cette base, et sont annexés au présent dossier. Dans le cadre de ses études, l’Entrepreneur établira toutes les notes de calculs nécessaires.  </w:t>
      </w:r>
    </w:p>
    <w:p>
      <w:pPr>
        <w:pStyle w:val="Corpsdetexte"/>
        <w:spacing w:before="200" w:after="120"/>
        <w:rPr/>
      </w:pPr>
      <w:r>
        <w:rPr/>
        <w:t>Deux espaces ont été considérés :</w:t>
      </w:r>
    </w:p>
    <w:p>
      <w:pPr>
        <w:pStyle w:val="P1"/>
        <w:numPr>
          <w:ilvl w:val="0"/>
          <w:numId w:val="28"/>
        </w:numPr>
        <w:tabs>
          <w:tab w:val="clear" w:pos="8789"/>
        </w:tabs>
        <w:spacing w:before="0" w:after="120"/>
        <w:ind w:left="714" w:hanging="357"/>
        <w:rPr>
          <w:lang w:val="fr-FR"/>
        </w:rPr>
      </w:pPr>
      <w:r>
        <w:rPr>
          <w:lang w:val="fr-FR"/>
        </w:rPr>
        <w:t>La salle d’exploitation et la salle de crise ;</w:t>
      </w:r>
    </w:p>
    <w:p>
      <w:pPr>
        <w:pStyle w:val="P1"/>
        <w:numPr>
          <w:ilvl w:val="0"/>
          <w:numId w:val="28"/>
        </w:numPr>
        <w:tabs>
          <w:tab w:val="clear" w:pos="8789"/>
        </w:tabs>
        <w:spacing w:before="0" w:after="120"/>
        <w:ind w:left="714" w:hanging="357"/>
        <w:rPr>
          <w:lang w:val="fr-FR"/>
        </w:rPr>
      </w:pPr>
      <w:r>
        <w:rPr>
          <w:lang w:val="fr-FR"/>
        </w:rPr>
        <w:t>Le groupe de locaux comportant :</w:t>
      </w:r>
    </w:p>
    <w:p>
      <w:pPr>
        <w:pStyle w:val="P1"/>
        <w:numPr>
          <w:ilvl w:val="1"/>
          <w:numId w:val="28"/>
        </w:numPr>
        <w:tabs>
          <w:tab w:val="clear" w:pos="8789"/>
        </w:tabs>
        <w:spacing w:before="0" w:after="120"/>
        <w:ind w:left="1434" w:hanging="357"/>
        <w:rPr>
          <w:lang w:val="fr-FR"/>
        </w:rPr>
      </w:pPr>
      <w:r>
        <w:rPr>
          <w:lang w:val="fr-FR"/>
        </w:rPr>
        <w:t>Local technique mur d’images.</w:t>
      </w:r>
    </w:p>
    <w:p>
      <w:pPr>
        <w:pStyle w:val="P1"/>
        <w:numPr>
          <w:ilvl w:val="1"/>
          <w:numId w:val="28"/>
        </w:numPr>
        <w:tabs>
          <w:tab w:val="clear" w:pos="8789"/>
        </w:tabs>
        <w:spacing w:before="0" w:after="120"/>
        <w:ind w:left="1434" w:hanging="357"/>
        <w:rPr>
          <w:lang w:val="fr-FR"/>
        </w:rPr>
      </w:pPr>
      <w:r>
        <w:rPr>
          <w:lang w:val="fr-FR"/>
        </w:rPr>
        <w:t>Local reproduction.</w:t>
      </w:r>
    </w:p>
    <w:p>
      <w:pPr>
        <w:pStyle w:val="Titre4"/>
        <w:rPr/>
      </w:pPr>
      <w:bookmarkStart w:id="320" w:name="_Toc32334627"/>
      <w:r>
        <w:rPr/>
        <w:t>Salle d’exploitation</w:t>
      </w:r>
      <w:bookmarkEnd w:id="320"/>
    </w:p>
    <w:p>
      <w:pPr>
        <w:pStyle w:val="P1"/>
        <w:rPr>
          <w:lang w:val="fr-FR"/>
        </w:rPr>
      </w:pPr>
      <w:r>
        <w:rPr/>
        <w:t>La centrale de traitement d’air est existante au sous-sol du bâtiment, les débits seront, si nécessaire, adaptés aux prescriptions du programme (mesures). A priori cette installation avait été dimensionnée pour un nombre de personnes plus important en 1996 lors de la mise en service du PC.</w:t>
      </w:r>
    </w:p>
    <w:p>
      <w:pPr>
        <w:pStyle w:val="Titre4"/>
        <w:rPr/>
      </w:pPr>
      <w:bookmarkStart w:id="321" w:name="_Toc32334628"/>
      <w:bookmarkStart w:id="322" w:name="_Toc401219400"/>
      <w:r>
        <w:rPr/>
        <w:t>Salle de crise</w:t>
      </w:r>
      <w:bookmarkEnd w:id="321"/>
      <w:bookmarkEnd w:id="322"/>
    </w:p>
    <w:p>
      <w:pPr>
        <w:pStyle w:val="P1"/>
        <w:rPr>
          <w:lang w:val="fr-FR"/>
        </w:rPr>
      </w:pPr>
      <w:r>
        <w:rPr/>
        <w:t>Un complément d’installation sera réalisé équipé d’un registre en utilisant la centrale de traitement d’air existante.</w:t>
      </w:r>
    </w:p>
    <w:p>
      <w:pPr>
        <w:pStyle w:val="Titre3"/>
        <w:rPr/>
      </w:pPr>
      <w:bookmarkStart w:id="323" w:name="_Toc401219124"/>
      <w:bookmarkStart w:id="324" w:name="_Toc32334629"/>
      <w:r>
        <w:rPr/>
        <w:t>Spécifications particulières des équipements</w:t>
      </w:r>
      <w:bookmarkEnd w:id="323"/>
      <w:bookmarkEnd w:id="324"/>
    </w:p>
    <w:p>
      <w:pPr>
        <w:pStyle w:val="Titre4"/>
        <w:numPr>
          <w:ilvl w:val="3"/>
          <w:numId w:val="111"/>
        </w:numPr>
        <w:rPr/>
      </w:pPr>
      <w:bookmarkStart w:id="325" w:name="_Toc32334630"/>
      <w:bookmarkStart w:id="326" w:name="_Toc401219402"/>
      <w:r>
        <w:rPr/>
        <w:t>Système de climatisation</w:t>
      </w:r>
      <w:bookmarkEnd w:id="325"/>
      <w:bookmarkEnd w:id="326"/>
    </w:p>
    <w:p>
      <w:pPr>
        <w:pStyle w:val="Corpsdetexte"/>
        <w:rPr/>
      </w:pPr>
      <w:r>
        <w:rPr/>
        <w:t>Cet article est destiné à décrire les caractéristiques principales des systèmes destinés aux locaux :</w:t>
      </w:r>
    </w:p>
    <w:p>
      <w:pPr>
        <w:pStyle w:val="P1"/>
        <w:numPr>
          <w:ilvl w:val="0"/>
          <w:numId w:val="28"/>
        </w:numPr>
        <w:tabs>
          <w:tab w:val="clear" w:pos="8789"/>
        </w:tabs>
        <w:rPr>
          <w:lang w:val="fr-FR"/>
        </w:rPr>
      </w:pPr>
      <w:r>
        <w:rPr>
          <w:lang w:val="fr-FR"/>
        </w:rPr>
        <w:t>Salle de crise.</w:t>
      </w:r>
    </w:p>
    <w:p>
      <w:pPr>
        <w:pStyle w:val="P1"/>
        <w:numPr>
          <w:ilvl w:val="0"/>
          <w:numId w:val="28"/>
        </w:numPr>
        <w:tabs>
          <w:tab w:val="clear" w:pos="8789"/>
        </w:tabs>
        <w:rPr>
          <w:lang w:val="fr-FR"/>
        </w:rPr>
      </w:pPr>
      <w:r>
        <w:rPr>
          <w:lang w:val="fr-FR"/>
        </w:rPr>
        <w:t>Local technique mur d’images.</w:t>
      </w:r>
    </w:p>
    <w:p>
      <w:pPr>
        <w:pStyle w:val="P1"/>
        <w:numPr>
          <w:ilvl w:val="0"/>
          <w:numId w:val="28"/>
        </w:numPr>
        <w:tabs>
          <w:tab w:val="clear" w:pos="8789"/>
        </w:tabs>
        <w:rPr>
          <w:lang w:val="fr-FR"/>
        </w:rPr>
      </w:pPr>
      <w:r>
        <w:rPr>
          <w:lang w:val="fr-FR"/>
        </w:rPr>
        <w:t>Local reproduction.</w:t>
      </w:r>
    </w:p>
    <w:p>
      <w:pPr>
        <w:pStyle w:val="P1"/>
        <w:numPr>
          <w:ilvl w:val="0"/>
          <w:numId w:val="20"/>
        </w:numPr>
        <w:rPr>
          <w:lang w:val="fr-FR"/>
        </w:rPr>
      </w:pPr>
      <w:r>
        <w:rPr>
          <w:lang w:val="fr-FR"/>
        </w:rPr>
        <w:t>Les principales caractéristiques auxquelles devront satisfaire ces équipements sont listés ci-après pour le modèle 2.5kW :</w:t>
      </w:r>
    </w:p>
    <w:p>
      <w:pPr>
        <w:pStyle w:val="P1"/>
        <w:numPr>
          <w:ilvl w:val="0"/>
          <w:numId w:val="28"/>
        </w:numPr>
        <w:tabs>
          <w:tab w:val="clear" w:pos="8789"/>
        </w:tabs>
        <w:rPr>
          <w:lang w:val="fr-FR"/>
        </w:rPr>
      </w:pPr>
      <w:r>
        <w:rPr>
          <w:lang w:val="fr-FR"/>
        </w:rPr>
        <w:t>Froid :</w:t>
      </w:r>
    </w:p>
    <w:p>
      <w:pPr>
        <w:pStyle w:val="P1"/>
        <w:numPr>
          <w:ilvl w:val="1"/>
          <w:numId w:val="28"/>
        </w:numPr>
        <w:tabs>
          <w:tab w:val="clear" w:pos="8789"/>
        </w:tabs>
        <w:rPr>
          <w:lang w:val="fr-FR"/>
        </w:rPr>
      </w:pPr>
      <w:r>
        <w:rPr>
          <w:lang w:val="fr-FR"/>
        </w:rPr>
        <w:t>Puissance nominale : 2.5kW</w:t>
      </w:r>
    </w:p>
    <w:p>
      <w:pPr>
        <w:pStyle w:val="P1"/>
        <w:numPr>
          <w:ilvl w:val="1"/>
          <w:numId w:val="28"/>
        </w:numPr>
        <w:tabs>
          <w:tab w:val="clear" w:pos="8789"/>
        </w:tabs>
        <w:rPr>
          <w:lang w:val="fr-FR"/>
        </w:rPr>
      </w:pPr>
      <w:r>
        <w:rPr>
          <w:lang w:val="fr-FR"/>
        </w:rPr>
        <w:t>Coefficient de performance mini : 5.1</w:t>
      </w:r>
    </w:p>
    <w:p>
      <w:pPr>
        <w:pStyle w:val="P1"/>
        <w:numPr>
          <w:ilvl w:val="1"/>
          <w:numId w:val="28"/>
        </w:numPr>
        <w:tabs>
          <w:tab w:val="clear" w:pos="8789"/>
        </w:tabs>
        <w:rPr>
          <w:lang w:val="fr-FR"/>
        </w:rPr>
      </w:pPr>
      <w:r>
        <w:rPr>
          <w:lang w:val="fr-FR"/>
        </w:rPr>
        <w:t>Plage de fonctionnement -10+46°</w:t>
      </w:r>
    </w:p>
    <w:p>
      <w:pPr>
        <w:pStyle w:val="P1"/>
        <w:numPr>
          <w:ilvl w:val="0"/>
          <w:numId w:val="28"/>
        </w:numPr>
        <w:tabs>
          <w:tab w:val="clear" w:pos="8789"/>
        </w:tabs>
        <w:rPr>
          <w:lang w:val="fr-FR"/>
        </w:rPr>
      </w:pPr>
      <w:r>
        <w:rPr>
          <w:lang w:val="fr-FR"/>
        </w:rPr>
        <w:t>Chaud :</w:t>
      </w:r>
    </w:p>
    <w:p>
      <w:pPr>
        <w:pStyle w:val="P1"/>
        <w:numPr>
          <w:ilvl w:val="1"/>
          <w:numId w:val="28"/>
        </w:numPr>
        <w:tabs>
          <w:tab w:val="clear" w:pos="8789"/>
        </w:tabs>
        <w:rPr>
          <w:lang w:val="fr-FR"/>
        </w:rPr>
      </w:pPr>
      <w:r>
        <w:rPr>
          <w:lang w:val="fr-FR"/>
        </w:rPr>
        <w:t>Puissance chaud à -7° et à -15° : 3.2kW</w:t>
      </w:r>
    </w:p>
    <w:p>
      <w:pPr>
        <w:pStyle w:val="P1"/>
        <w:numPr>
          <w:ilvl w:val="1"/>
          <w:numId w:val="28"/>
        </w:numPr>
        <w:tabs>
          <w:tab w:val="clear" w:pos="8789"/>
        </w:tabs>
        <w:rPr>
          <w:lang w:val="fr-FR"/>
        </w:rPr>
      </w:pPr>
      <w:r>
        <w:rPr>
          <w:lang w:val="fr-FR"/>
        </w:rPr>
        <w:t>Coefficient de performance mini : 5.5</w:t>
      </w:r>
    </w:p>
    <w:p>
      <w:pPr>
        <w:pStyle w:val="P1"/>
        <w:numPr>
          <w:ilvl w:val="1"/>
          <w:numId w:val="28"/>
        </w:numPr>
        <w:tabs>
          <w:tab w:val="clear" w:pos="8789"/>
        </w:tabs>
        <w:rPr>
          <w:lang w:val="fr-FR"/>
        </w:rPr>
      </w:pPr>
      <w:r>
        <w:rPr>
          <w:lang w:val="fr-FR"/>
        </w:rPr>
        <w:t>Plage de fonctionnement : -25+24°</w:t>
      </w:r>
    </w:p>
    <w:p>
      <w:pPr>
        <w:pStyle w:val="P1"/>
        <w:numPr>
          <w:ilvl w:val="0"/>
          <w:numId w:val="28"/>
        </w:numPr>
        <w:tabs>
          <w:tab w:val="clear" w:pos="8789"/>
        </w:tabs>
        <w:rPr>
          <w:lang w:val="fr-FR"/>
        </w:rPr>
      </w:pPr>
      <w:r>
        <w:rPr>
          <w:lang w:val="fr-FR"/>
        </w:rPr>
        <w:t>Unité intérieure :</w:t>
      </w:r>
    </w:p>
    <w:p>
      <w:pPr>
        <w:pStyle w:val="P1"/>
        <w:numPr>
          <w:ilvl w:val="1"/>
          <w:numId w:val="28"/>
        </w:numPr>
        <w:tabs>
          <w:tab w:val="clear" w:pos="8789"/>
        </w:tabs>
        <w:rPr>
          <w:lang w:val="fr-FR"/>
        </w:rPr>
      </w:pPr>
      <w:r>
        <w:rPr>
          <w:lang w:val="fr-FR"/>
        </w:rPr>
        <w:t>Pression acoustique en froid à 1m petite vitesse (PV) : 23 dB (A).</w:t>
      </w:r>
    </w:p>
    <w:p>
      <w:pPr>
        <w:pStyle w:val="P1"/>
        <w:numPr>
          <w:ilvl w:val="1"/>
          <w:numId w:val="28"/>
        </w:numPr>
        <w:tabs>
          <w:tab w:val="clear" w:pos="8789"/>
        </w:tabs>
        <w:rPr>
          <w:lang w:val="fr-FR"/>
        </w:rPr>
      </w:pPr>
      <w:r>
        <w:rPr>
          <w:lang w:val="fr-FR"/>
        </w:rPr>
        <w:t>Pression acoustique en froid à 1m moyenne vitesse (MV) : 29 dB (A).</w:t>
      </w:r>
    </w:p>
    <w:p>
      <w:pPr>
        <w:pStyle w:val="P1"/>
        <w:numPr>
          <w:ilvl w:val="1"/>
          <w:numId w:val="28"/>
        </w:numPr>
        <w:tabs>
          <w:tab w:val="clear" w:pos="8789"/>
        </w:tabs>
        <w:rPr>
          <w:lang w:val="fr-FR"/>
        </w:rPr>
      </w:pPr>
      <w:r>
        <w:rPr>
          <w:lang w:val="fr-FR"/>
        </w:rPr>
        <w:t>Pression acoustique en froid à 1m grande vitesse (GV) : 36 dB (A).</w:t>
      </w:r>
    </w:p>
    <w:p>
      <w:pPr>
        <w:pStyle w:val="P1"/>
        <w:numPr>
          <w:ilvl w:val="0"/>
          <w:numId w:val="28"/>
        </w:numPr>
        <w:tabs>
          <w:tab w:val="clear" w:pos="8789"/>
        </w:tabs>
        <w:rPr>
          <w:lang w:val="fr-FR"/>
        </w:rPr>
      </w:pPr>
      <w:r>
        <w:rPr>
          <w:lang w:val="fr-FR"/>
        </w:rPr>
        <w:t>Unité extérieure :</w:t>
      </w:r>
    </w:p>
    <w:p>
      <w:pPr>
        <w:pStyle w:val="P1"/>
        <w:numPr>
          <w:ilvl w:val="1"/>
          <w:numId w:val="28"/>
        </w:numPr>
        <w:tabs>
          <w:tab w:val="clear" w:pos="8789"/>
        </w:tabs>
        <w:rPr>
          <w:lang w:val="fr-FR"/>
        </w:rPr>
      </w:pPr>
      <w:r>
        <w:rPr>
          <w:lang w:val="fr-FR"/>
        </w:rPr>
        <w:t>Pression acoustique à 1m en grande vitesse : 46 dB (A).</w:t>
      </w:r>
    </w:p>
    <w:p>
      <w:pPr>
        <w:pStyle w:val="P1"/>
        <w:numPr>
          <w:ilvl w:val="1"/>
          <w:numId w:val="28"/>
        </w:numPr>
        <w:tabs>
          <w:tab w:val="clear" w:pos="8789"/>
        </w:tabs>
        <w:rPr>
          <w:lang w:val="fr-FR"/>
        </w:rPr>
      </w:pPr>
      <w:r>
        <w:rPr>
          <w:lang w:val="fr-FR"/>
        </w:rPr>
        <w:t>Débit d’air en froid : 1800m3/h en grande vitesse.</w:t>
      </w:r>
    </w:p>
    <w:p>
      <w:pPr>
        <w:pStyle w:val="P1"/>
        <w:numPr>
          <w:ilvl w:val="1"/>
          <w:numId w:val="28"/>
        </w:numPr>
        <w:tabs>
          <w:tab w:val="clear" w:pos="8789"/>
        </w:tabs>
        <w:rPr>
          <w:lang w:val="fr-FR"/>
        </w:rPr>
      </w:pPr>
      <w:r>
        <w:rPr>
          <w:lang w:val="fr-FR"/>
        </w:rPr>
        <w:t>Dénivelé minimum possible entre unité intérieure et extérieure : 12m.</w:t>
      </w:r>
    </w:p>
    <w:p>
      <w:pPr>
        <w:pStyle w:val="P1"/>
        <w:numPr>
          <w:ilvl w:val="1"/>
          <w:numId w:val="28"/>
        </w:numPr>
        <w:tabs>
          <w:tab w:val="clear" w:pos="8789"/>
        </w:tabs>
        <w:rPr>
          <w:lang w:val="fr-FR"/>
        </w:rPr>
      </w:pPr>
      <w:r>
        <w:rPr>
          <w:lang w:val="fr-FR"/>
        </w:rPr>
        <w:t>Longueur minimum possible des liaisons entre unité intérieure et extérieure : 20m.</w:t>
      </w:r>
    </w:p>
    <w:p>
      <w:pPr>
        <w:pStyle w:val="P1"/>
        <w:numPr>
          <w:ilvl w:val="1"/>
          <w:numId w:val="28"/>
        </w:numPr>
        <w:tabs>
          <w:tab w:val="clear" w:pos="8789"/>
        </w:tabs>
        <w:rPr>
          <w:lang w:val="fr-FR"/>
        </w:rPr>
      </w:pPr>
      <w:r>
        <w:rPr>
          <w:lang w:val="fr-FR"/>
        </w:rPr>
        <w:t>Fluide R410A.</w:t>
      </w:r>
    </w:p>
    <w:p>
      <w:pPr>
        <w:pStyle w:val="P1"/>
        <w:numPr>
          <w:ilvl w:val="1"/>
          <w:numId w:val="28"/>
        </w:numPr>
        <w:tabs>
          <w:tab w:val="clear" w:pos="8789"/>
        </w:tabs>
        <w:rPr>
          <w:lang w:val="fr-FR"/>
        </w:rPr>
      </w:pPr>
      <w:r>
        <w:rPr>
          <w:lang w:val="fr-FR"/>
        </w:rPr>
        <w:t>Diamètre liquide : 1/4 pouce flare.</w:t>
      </w:r>
    </w:p>
    <w:p>
      <w:pPr>
        <w:pStyle w:val="P1"/>
        <w:numPr>
          <w:ilvl w:val="1"/>
          <w:numId w:val="28"/>
        </w:numPr>
        <w:tabs>
          <w:tab w:val="clear" w:pos="8789"/>
        </w:tabs>
        <w:rPr>
          <w:lang w:val="fr-FR"/>
        </w:rPr>
      </w:pPr>
      <w:r>
        <w:rPr>
          <w:lang w:val="fr-FR"/>
        </w:rPr>
        <w:t>Diamètre gaz : 3/8 pouce flare.</w:t>
      </w:r>
    </w:p>
    <w:p>
      <w:pPr>
        <w:pStyle w:val="TEXTE"/>
        <w:rPr/>
      </w:pPr>
      <w:r>
        <w:rPr/>
        <w:t>Les unités extérieures seront installées en façade, le cheminement des liaisons sera réalisé en faux-plafond, puis empruntera une sortie à créer qui permettra le passage de l’ensemble des liaisons frigorifiques et des câbles électriques.</w:t>
      </w:r>
    </w:p>
    <w:p>
      <w:pPr>
        <w:pStyle w:val="TEXTE"/>
        <w:rPr/>
      </w:pPr>
      <w:r>
        <w:rPr/>
        <w:t>En règle générale, les liaisons sont pré chargées en gaz, mais cette charge ne permet pas d’atteindre les longueurs maximum spécifiées entre unité extérieure et intérieure. Après mise en œuvre des liaisons, la charge spécifiée sera comparée à la longueur réelle des canalisations frigorifiques et si besoin les compléments en gaz seront réalisés in-situ.</w:t>
      </w:r>
    </w:p>
    <w:p>
      <w:pPr>
        <w:pStyle w:val="TEXTE"/>
        <w:rPr/>
      </w:pPr>
      <w:r>
        <w:rPr/>
        <w:t>Les condensats seront évacués par des tuyaux diamètre 32mm qui seront raccordés aux réseaux d’évacuation existants.</w:t>
      </w:r>
    </w:p>
    <w:p>
      <w:pPr>
        <w:pStyle w:val="Titre4"/>
        <w:numPr>
          <w:ilvl w:val="3"/>
          <w:numId w:val="111"/>
        </w:numPr>
        <w:rPr/>
      </w:pPr>
      <w:bookmarkStart w:id="327" w:name="_Toc32334631"/>
      <w:bookmarkStart w:id="328" w:name="_Toc401219403"/>
      <w:r>
        <w:rPr/>
        <w:t>Gaines</w:t>
      </w:r>
      <w:bookmarkEnd w:id="327"/>
      <w:bookmarkEnd w:id="328"/>
    </w:p>
    <w:p>
      <w:pPr>
        <w:pStyle w:val="Corpsdetexte"/>
        <w:rPr/>
      </w:pPr>
      <w:r>
        <w:rPr/>
        <w:t>L’ensemble des gaines devra être classé au feu type A1 (M0) suivant norme DIN 4102. Leur section sera calculée selon la pression statique disponible au niveau de l’appareil, de la longueur nécessaire, du débit souhaité et de la vitesse d’air maximum autorisée (cf programme).</w:t>
      </w:r>
    </w:p>
    <w:p>
      <w:pPr>
        <w:pStyle w:val="Titre3"/>
        <w:rPr/>
      </w:pPr>
      <w:bookmarkStart w:id="329" w:name="_Toc32334632"/>
      <w:bookmarkStart w:id="330" w:name="_Toc401219131"/>
      <w:r>
        <w:rPr/>
        <w:t>Dépose et modifications des équipements existants</w:t>
      </w:r>
      <w:bookmarkEnd w:id="329"/>
      <w:bookmarkEnd w:id="330"/>
    </w:p>
    <w:p>
      <w:pPr>
        <w:pStyle w:val="Titre4"/>
        <w:rPr/>
      </w:pPr>
      <w:bookmarkStart w:id="331" w:name="_Toc32334633"/>
      <w:bookmarkStart w:id="332" w:name="_Toc401219132"/>
      <w:r>
        <w:rPr/>
        <w:t>Règles générales</w:t>
      </w:r>
      <w:bookmarkEnd w:id="331"/>
      <w:bookmarkEnd w:id="332"/>
    </w:p>
    <w:p>
      <w:pPr>
        <w:pStyle w:val="Corpsdetexte"/>
        <w:rPr/>
      </w:pPr>
      <w:r>
        <w:rPr/>
        <w:t>D’une manière générale tous les équipements à déposer seront évacués et leur traitement réalisés vis-à-vis de la réglementation sur la gestion des déchets. Tous les équipements et accessoires ont concernés : coffrets électriques, câbles, liaisons frigorifiques, gaines, etc.</w:t>
      </w:r>
    </w:p>
    <w:p>
      <w:pPr>
        <w:pStyle w:val="Corpsdetexte"/>
        <w:rPr/>
      </w:pPr>
      <w:r>
        <w:rPr/>
        <w:t>Avant la dépose des équipements le gaz devra être récupéré et reconditionné selon la réglementation en vigueur.</w:t>
      </w:r>
    </w:p>
    <w:p>
      <w:pPr>
        <w:pStyle w:val="Titre4"/>
        <w:rPr/>
      </w:pPr>
      <w:bookmarkStart w:id="333" w:name="_Toc32334634"/>
      <w:bookmarkStart w:id="334" w:name="_Toc401219133"/>
      <w:r>
        <w:rPr/>
        <w:t>Salle d’exploitation</w:t>
      </w:r>
      <w:bookmarkEnd w:id="333"/>
      <w:bookmarkEnd w:id="334"/>
    </w:p>
    <w:p>
      <w:pPr>
        <w:pStyle w:val="Corpsdetexte"/>
        <w:rPr/>
      </w:pPr>
      <w:r>
        <w:rPr/>
        <w:t>Il s’agit de déposer uniquement l’ensemble split comprenant l’unité intérieure installée en plafond à l’extrémité de la salle côté CRS, et l’unité extérieure située sur le balcon côté bureau chef de poste.</w:t>
      </w:r>
    </w:p>
    <w:p>
      <w:pPr>
        <w:pStyle w:val="Titre2"/>
        <w:tabs>
          <w:tab w:val="clear" w:pos="0"/>
          <w:tab w:val="clear" w:pos="8789"/>
          <w:tab w:val="left" w:pos="426" w:leader="none"/>
        </w:tabs>
        <w:ind w:left="0" w:hanging="0"/>
        <w:rPr/>
      </w:pPr>
      <w:bookmarkStart w:id="335" w:name="_Toc32334635"/>
      <w:r>
        <w:rPr/>
        <w:t>VMC (sanitaire)</w:t>
      </w:r>
      <w:bookmarkEnd w:id="335"/>
    </w:p>
    <w:p>
      <w:pPr>
        <w:pStyle w:val="P1"/>
        <w:rPr>
          <w:lang w:val="fr-FR"/>
        </w:rPr>
      </w:pPr>
      <w:r>
        <w:rPr/>
        <w:t>Sans objet.</w:t>
      </w:r>
    </w:p>
    <w:p>
      <w:pPr>
        <w:pStyle w:val="Titre2"/>
        <w:tabs>
          <w:tab w:val="clear" w:pos="0"/>
          <w:tab w:val="clear" w:pos="8789"/>
          <w:tab w:val="left" w:pos="426" w:leader="none"/>
        </w:tabs>
        <w:ind w:left="0" w:hanging="0"/>
        <w:rPr/>
      </w:pPr>
      <w:bookmarkStart w:id="336" w:name="_Toc32334636"/>
      <w:r>
        <w:rPr/>
        <w:t>Cloisonnement</w:t>
      </w:r>
      <w:bookmarkEnd w:id="336"/>
    </w:p>
    <w:p>
      <w:pPr>
        <w:pStyle w:val="Titre3"/>
        <w:rPr/>
      </w:pPr>
      <w:bookmarkStart w:id="337" w:name="_Toc32334637"/>
      <w:r>
        <w:rPr/>
        <w:t>Dispositions projetées</w:t>
      </w:r>
      <w:bookmarkEnd w:id="337"/>
    </w:p>
    <w:p>
      <w:pPr>
        <w:pStyle w:val="TEXTE"/>
        <w:rPr>
          <w:rFonts w:cs="Arial"/>
          <w:iCs/>
          <w:kern w:val="2"/>
        </w:rPr>
      </w:pPr>
      <w:r>
        <w:rPr/>
        <w:t xml:space="preserve">Le premier étage du bâtiment fera l’objet d’une modification substantielle du cloisonnement, conformément au périmètre de l’opération (salle d’exploitation, salle de crise, sanitaires, vestiaires, </w:t>
      </w:r>
      <w:r>
        <w:rPr>
          <w:rFonts w:cs="Arial"/>
          <w:iCs/>
          <w:kern w:val="2"/>
        </w:rPr>
        <w:t xml:space="preserve">lieu de vie, local technique, bureaux, couloirs, …). </w:t>
      </w:r>
    </w:p>
    <w:p>
      <w:pPr>
        <w:pStyle w:val="TEXTE"/>
        <w:rPr>
          <w:rFonts w:cs="Arial"/>
          <w:iCs/>
          <w:kern w:val="2"/>
        </w:rPr>
      </w:pPr>
      <w:r>
        <w:rPr>
          <w:rFonts w:cs="Arial"/>
          <w:iCs/>
          <w:kern w:val="2"/>
        </w:rPr>
        <w:t>La salle de crise est équipée d'une porte vitrée. Les autres portes sont des portes pleines.</w:t>
      </w:r>
    </w:p>
    <w:p>
      <w:pPr>
        <w:pStyle w:val="Titre4"/>
        <w:rPr/>
      </w:pPr>
      <w:bookmarkStart w:id="338" w:name="_Toc32334638"/>
      <w:r>
        <w:rPr/>
        <w:t>Cloison modulaire</w:t>
      </w:r>
      <w:bookmarkEnd w:id="338"/>
    </w:p>
    <w:p>
      <w:pPr>
        <w:pStyle w:val="TEXTE"/>
        <w:rPr/>
      </w:pPr>
      <w:r>
        <w:rPr/>
        <w:t>Les cloisons de la salle de crise permettront une liaison visuelle directe sur la salle d’exploitation. Elles seront composées de modules de cloison longitudinale comprenant un élément de cloison avec porte associé à un panneau vitré toute hauteur, profilés en aluminium extrudé, avec un remplissage par double vitrage conforme à la réglementation (2 glaces claires de 5 mm, séparées par un vide d’air).</w:t>
      </w:r>
    </w:p>
    <w:p>
      <w:pPr>
        <w:pStyle w:val="TEXTE"/>
        <w:rPr/>
      </w:pPr>
      <w:r>
        <w:rPr/>
        <w:t xml:space="preserve">Le panneau vitré permettra une visibilité permanente sur la salle d’exploitation. Il est proposé la mise en place dans la salle de crise d’un store dans le panneau vitré permettant, en cas de besoin, d’isoler visuellement la salle de crise de la salle d’exploitation. </w:t>
      </w:r>
    </w:p>
    <w:p>
      <w:pPr>
        <w:pStyle w:val="TEXTE"/>
        <w:rPr/>
      </w:pPr>
      <w:r>
        <w:rPr/>
      </w:r>
    </w:p>
    <w:p>
      <w:pPr>
        <w:pStyle w:val="Titre4"/>
        <w:rPr/>
      </w:pPr>
      <w:bookmarkStart w:id="339" w:name="_Toc32334639"/>
      <w:r>
        <w:rPr/>
        <w:t>Habillage du plan incliné de la salle d'exploitation</w:t>
      </w:r>
      <w:bookmarkEnd w:id="339"/>
    </w:p>
    <w:p>
      <w:pPr>
        <w:pStyle w:val="TEXTE"/>
        <w:rPr/>
      </w:pPr>
      <w:r>
        <w:rPr/>
        <w:t xml:space="preserve">Il sera mis en place à l’arrière de la salle d’exploitation, une cloison verticale à toute hauteur permettant de masquer le plan incliné. Cette cloison sera vitrée sur sa partie centrale (avec un éclairage naturel simulé) et pleine sur les côtés pour y fixer des plans et des cartes (format A0). </w:t>
      </w:r>
    </w:p>
    <w:p>
      <w:pPr>
        <w:pStyle w:val="TEXTE"/>
        <w:rPr/>
      </w:pPr>
      <w:r>
        <w:rPr/>
        <w:t>Des placards sur mesure seront réalisés dans cet espace</w:t>
      </w:r>
    </w:p>
    <w:p>
      <w:pPr>
        <w:pStyle w:val="Titre3"/>
        <w:rPr/>
      </w:pPr>
      <w:bookmarkStart w:id="340" w:name="_Toc32334640"/>
      <w:r>
        <w:rPr/>
        <w:t>Consistance des travaux</w:t>
      </w:r>
      <w:bookmarkEnd w:id="340"/>
    </w:p>
    <w:p>
      <w:pPr>
        <w:pStyle w:val="TEXTE"/>
        <w:rPr/>
      </w:pPr>
      <w:r>
        <w:rPr/>
        <w:t>Les principales prestations à réaliser au titre du projet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 ;</w:t>
      </w:r>
    </w:p>
    <w:p>
      <w:pPr>
        <w:pStyle w:val="P1"/>
        <w:numPr>
          <w:ilvl w:val="0"/>
          <w:numId w:val="28"/>
        </w:numPr>
        <w:tabs>
          <w:tab w:val="clear" w:pos="8789"/>
        </w:tabs>
        <w:spacing w:before="0" w:after="120"/>
        <w:ind w:left="714" w:hanging="357"/>
        <w:rPr>
          <w:lang w:val="fr-FR"/>
        </w:rPr>
      </w:pPr>
      <w:r>
        <w:rPr>
          <w:lang w:val="fr-FR"/>
        </w:rPr>
        <w:t>La dépose des cloisons existantes, l’évacuation des matériaux et la mise en décharge ;</w:t>
      </w:r>
    </w:p>
    <w:p>
      <w:pPr>
        <w:pStyle w:val="P1"/>
        <w:numPr>
          <w:ilvl w:val="0"/>
          <w:numId w:val="28"/>
        </w:numPr>
        <w:tabs>
          <w:tab w:val="clear" w:pos="8789"/>
        </w:tabs>
        <w:spacing w:before="0" w:after="120"/>
        <w:ind w:left="714" w:hanging="357"/>
        <w:rPr>
          <w:lang w:val="fr-FR"/>
        </w:rPr>
      </w:pPr>
      <w:r>
        <w:rPr>
          <w:lang w:val="fr-FR"/>
        </w:rPr>
        <w:t>L’implantation et le traçage des cloisons;</w:t>
      </w:r>
    </w:p>
    <w:p>
      <w:pPr>
        <w:pStyle w:val="P1"/>
        <w:numPr>
          <w:ilvl w:val="0"/>
          <w:numId w:val="28"/>
        </w:numPr>
        <w:tabs>
          <w:tab w:val="clear" w:pos="8789"/>
        </w:tabs>
        <w:spacing w:before="0" w:after="120"/>
        <w:ind w:left="714" w:hanging="357"/>
        <w:rPr>
          <w:lang w:val="fr-FR"/>
        </w:rPr>
      </w:pPr>
      <w:r>
        <w:rPr>
          <w:lang w:val="fr-FR"/>
        </w:rPr>
        <w:t>La fourniture des cloisons, le transport sur le site, le déchargement, le stockage et la préservation sur site ;</w:t>
      </w:r>
    </w:p>
    <w:p>
      <w:pPr>
        <w:pStyle w:val="P1"/>
        <w:numPr>
          <w:ilvl w:val="0"/>
          <w:numId w:val="28"/>
        </w:numPr>
        <w:tabs>
          <w:tab w:val="clear" w:pos="8789"/>
        </w:tabs>
        <w:spacing w:before="0" w:after="120"/>
        <w:ind w:left="714" w:hanging="357"/>
        <w:rPr>
          <w:lang w:val="fr-FR"/>
        </w:rPr>
      </w:pPr>
      <w:r>
        <w:rPr>
          <w:lang w:val="fr-FR"/>
        </w:rPr>
        <w:t>La manutention, le montage et la mise en œuvre de toutes les cloisons y compris fixations, joints, étanchéités et tous accessoires nécessaires au bon fonctionnement de l'ouvrage ;</w:t>
      </w:r>
    </w:p>
    <w:p>
      <w:pPr>
        <w:pStyle w:val="P1"/>
        <w:numPr>
          <w:ilvl w:val="0"/>
          <w:numId w:val="28"/>
        </w:numPr>
        <w:tabs>
          <w:tab w:val="clear" w:pos="8789"/>
        </w:tabs>
        <w:spacing w:before="0" w:after="120"/>
        <w:ind w:left="714" w:hanging="357"/>
        <w:rPr>
          <w:lang w:val="fr-FR"/>
        </w:rPr>
      </w:pPr>
      <w:r>
        <w:rPr>
          <w:lang w:val="fr-FR"/>
        </w:rPr>
        <w:t>Les interventions sur le site en plusieurs fois, suivant les nécessités du planning ;</w:t>
      </w:r>
    </w:p>
    <w:p>
      <w:pPr>
        <w:pStyle w:val="P1"/>
        <w:numPr>
          <w:ilvl w:val="0"/>
          <w:numId w:val="28"/>
        </w:numPr>
        <w:tabs>
          <w:tab w:val="clear" w:pos="8789"/>
        </w:tabs>
        <w:spacing w:before="0" w:after="120"/>
        <w:ind w:left="714" w:hanging="357"/>
        <w:rPr>
          <w:lang w:val="fr-FR"/>
        </w:rPr>
      </w:pPr>
      <w:r>
        <w:rPr>
          <w:lang w:val="fr-FR"/>
        </w:rPr>
        <w:t>La protection nécessaire des ouvrages avant leur réception ;</w:t>
      </w:r>
    </w:p>
    <w:p>
      <w:pPr>
        <w:pStyle w:val="P1"/>
        <w:numPr>
          <w:ilvl w:val="0"/>
          <w:numId w:val="28"/>
        </w:numPr>
        <w:tabs>
          <w:tab w:val="clear" w:pos="8789"/>
        </w:tabs>
        <w:spacing w:before="0" w:after="120"/>
        <w:ind w:left="714" w:hanging="357"/>
        <w:rPr>
          <w:rFonts w:cs="Arial"/>
        </w:rPr>
      </w:pPr>
      <w:r>
        <w:rPr>
          <w:lang w:val="fr-FR"/>
        </w:rPr>
        <w:t xml:space="preserve">La remise en état ou le remplacement d'éléments défectueux ou détériorés </w:t>
      </w:r>
      <w:r>
        <w:rPr>
          <w:rFonts w:cs="Arial"/>
        </w:rPr>
        <w:t>(l'entreprise étant totalement responsable de ses ouvrages jusqu'à la réception des travaux) ;</w:t>
      </w:r>
    </w:p>
    <w:p>
      <w:pPr>
        <w:pStyle w:val="P1"/>
        <w:numPr>
          <w:ilvl w:val="0"/>
          <w:numId w:val="28"/>
        </w:numPr>
        <w:tabs>
          <w:tab w:val="clear" w:pos="8789"/>
        </w:tabs>
        <w:spacing w:before="0" w:after="120"/>
        <w:ind w:left="714" w:hanging="357"/>
        <w:rPr>
          <w:lang w:val="fr-FR"/>
        </w:rPr>
      </w:pPr>
      <w:r>
        <w:rPr>
          <w:lang w:val="fr-FR"/>
        </w:rPr>
        <w:t>Les retouches de finition ;</w:t>
      </w:r>
    </w:p>
    <w:p>
      <w:pPr>
        <w:pStyle w:val="P1"/>
        <w:numPr>
          <w:ilvl w:val="0"/>
          <w:numId w:val="28"/>
        </w:numPr>
        <w:tabs>
          <w:tab w:val="clear" w:pos="8789"/>
        </w:tabs>
        <w:spacing w:before="0" w:after="120"/>
        <w:ind w:left="714" w:hanging="357"/>
        <w:rPr>
          <w:rFonts w:cs="Arial"/>
        </w:rPr>
      </w:pPr>
      <w:r>
        <w:rPr>
          <w:lang w:val="fr-FR"/>
        </w:rPr>
        <w:t xml:space="preserve">Les sujétions de découpes de cloisons au droit des émergences : plinthes, poteaux, pièces d'appuis, </w:t>
      </w:r>
      <w:r>
        <w:rPr>
          <w:rFonts w:cs="Arial"/>
        </w:rPr>
        <w:t>châssis, etc… ;</w:t>
      </w:r>
    </w:p>
    <w:p>
      <w:pPr>
        <w:pStyle w:val="P1"/>
        <w:numPr>
          <w:ilvl w:val="0"/>
          <w:numId w:val="28"/>
        </w:numPr>
        <w:tabs>
          <w:tab w:val="clear" w:pos="8789"/>
        </w:tabs>
        <w:spacing w:before="0" w:after="120"/>
        <w:ind w:left="714" w:hanging="357"/>
        <w:rPr>
          <w:lang w:val="fr-FR"/>
        </w:rPr>
      </w:pPr>
      <w:bookmarkStart w:id="341" w:name="_Toc373832489"/>
      <w:bookmarkStart w:id="342" w:name="_Toc376789019"/>
      <w:bookmarkStart w:id="343" w:name="_Toc376783199"/>
      <w:bookmarkStart w:id="344" w:name="_Toc376781744"/>
      <w:bookmarkEnd w:id="342"/>
      <w:bookmarkEnd w:id="343"/>
      <w:bookmarkEnd w:id="344"/>
      <w:r>
        <w:rPr/>
        <w:t>L’enlèvement des protections, le nettoyage en phase finale de tous les ouvrages mis en place ou environnants</w:t>
      </w:r>
      <w:r>
        <w:rPr>
          <w:rFonts w:cs="Arial"/>
        </w:rPr>
        <w:t>.</w:t>
      </w:r>
    </w:p>
    <w:p>
      <w:pPr>
        <w:pStyle w:val="Titre2"/>
        <w:tabs>
          <w:tab w:val="clear" w:pos="0"/>
          <w:tab w:val="clear" w:pos="8789"/>
          <w:tab w:val="left" w:pos="426" w:leader="none"/>
        </w:tabs>
        <w:ind w:left="0" w:hanging="0"/>
        <w:rPr/>
      </w:pPr>
      <w:bookmarkStart w:id="345" w:name="_Toc373832489"/>
      <w:bookmarkStart w:id="346" w:name="_Toc32334641"/>
      <w:r>
        <w:rPr/>
        <w:t>Menuiserie</w:t>
      </w:r>
      <w:bookmarkEnd w:id="345"/>
      <w:bookmarkEnd w:id="346"/>
    </w:p>
    <w:p>
      <w:pPr>
        <w:pStyle w:val="Titre3"/>
        <w:rPr/>
      </w:pPr>
      <w:bookmarkStart w:id="347" w:name="_Toc32334642"/>
      <w:r>
        <w:rPr/>
        <w:t>Dispositions projetées</w:t>
      </w:r>
      <w:bookmarkEnd w:id="347"/>
    </w:p>
    <w:p>
      <w:pPr>
        <w:pStyle w:val="TEXTE"/>
        <w:rPr/>
      </w:pPr>
      <w:r>
        <w:rPr/>
        <w:t>Suivant le nouveau cloisonnement, il sera mis en œuvre de nouvelles portes sur la zone de la salle d’exploitation.</w:t>
      </w:r>
    </w:p>
    <w:p>
      <w:pPr>
        <w:pStyle w:val="TEXTE"/>
        <w:rPr/>
      </w:pPr>
      <w:r>
        <w:rPr/>
        <w:t>Sauf indications contraires, les hauteurs de portes sont à considérer comme standards, soit 0.90 m x 2.04 m.</w:t>
      </w:r>
    </w:p>
    <w:p>
      <w:pPr>
        <w:pStyle w:val="TEXTE"/>
        <w:rPr/>
      </w:pPr>
      <w:r>
        <w:rPr/>
        <w:t>Il sera installé 2 nouvelles portes à l’issue des travaux :</w:t>
      </w:r>
    </w:p>
    <w:p>
      <w:pPr>
        <w:pStyle w:val="P1"/>
        <w:numPr>
          <w:ilvl w:val="0"/>
          <w:numId w:val="20"/>
        </w:numPr>
        <w:rPr/>
      </w:pPr>
      <w:r>
        <w:rPr/>
        <w:t>1 dans la locale reproduction (porte pleine)</w:t>
      </w:r>
    </w:p>
    <w:p>
      <w:pPr>
        <w:pStyle w:val="P1"/>
        <w:numPr>
          <w:ilvl w:val="0"/>
          <w:numId w:val="20"/>
        </w:numPr>
        <w:rPr/>
      </w:pPr>
      <w:r>
        <w:rPr/>
        <w:t>1 dans la salle de crise (porte vitrée)</w:t>
      </w:r>
    </w:p>
    <w:p>
      <w:pPr>
        <w:pStyle w:val="TEXTE"/>
        <w:rPr/>
      </w:pPr>
      <w:r>
        <w:rPr/>
        <w:t>Les portes équipées d’un dispositif de contrôle d’accès seront en plus munies d’un dispositif de ventouses électromagnétique permettant la gestion de l’ouverture de la porte soit :</w:t>
      </w:r>
    </w:p>
    <w:p>
      <w:pPr>
        <w:pStyle w:val="P1"/>
        <w:numPr>
          <w:ilvl w:val="0"/>
          <w:numId w:val="116"/>
        </w:numPr>
        <w:rPr/>
      </w:pPr>
      <w:r>
        <w:rPr/>
        <w:t>La porte donnant sur la salle de supervision (coté DiRIF);</w:t>
      </w:r>
    </w:p>
    <w:p>
      <w:pPr>
        <w:pStyle w:val="TEXTE"/>
        <w:numPr>
          <w:ilvl w:val="0"/>
          <w:numId w:val="116"/>
        </w:numPr>
        <w:rPr/>
      </w:pPr>
      <w:r>
        <w:rPr/>
        <w:t>La porte donnant sur la salle de supervision (coté CRS);</w:t>
      </w:r>
    </w:p>
    <w:p>
      <w:pPr>
        <w:pStyle w:val="Titre4"/>
        <w:rPr/>
      </w:pPr>
      <w:bookmarkStart w:id="348" w:name="_Toc32334643"/>
      <w:r>
        <w:rPr/>
        <w:t>Consistance des travaux</w:t>
      </w:r>
      <w:bookmarkEnd w:id="348"/>
    </w:p>
    <w:p>
      <w:pPr>
        <w:pStyle w:val="TEXTE"/>
        <w:spacing w:before="200" w:after="120"/>
        <w:rPr/>
      </w:pPr>
      <w:r>
        <w:rPr/>
        <w:t>Les principales prestations à réaliser au titre du projet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 ;</w:t>
      </w:r>
    </w:p>
    <w:p>
      <w:pPr>
        <w:pStyle w:val="P1"/>
        <w:numPr>
          <w:ilvl w:val="0"/>
          <w:numId w:val="28"/>
        </w:numPr>
        <w:tabs>
          <w:tab w:val="clear" w:pos="8789"/>
        </w:tabs>
        <w:spacing w:before="0" w:after="120"/>
        <w:ind w:left="714" w:hanging="357"/>
        <w:rPr>
          <w:lang w:val="fr-FR"/>
        </w:rPr>
      </w:pPr>
      <w:r>
        <w:rPr>
          <w:lang w:val="fr-FR"/>
        </w:rPr>
        <w:t>La dépose des menuiseries existantes, l’évacuation des matériaux et la mise en décharge ;</w:t>
      </w:r>
    </w:p>
    <w:p>
      <w:pPr>
        <w:pStyle w:val="P1"/>
        <w:numPr>
          <w:ilvl w:val="0"/>
          <w:numId w:val="28"/>
        </w:numPr>
        <w:tabs>
          <w:tab w:val="clear" w:pos="8789"/>
        </w:tabs>
        <w:spacing w:before="0" w:after="120"/>
        <w:ind w:left="714" w:hanging="357"/>
        <w:rPr>
          <w:lang w:val="fr-FR"/>
        </w:rPr>
      </w:pPr>
      <w:r>
        <w:rPr>
          <w:lang w:val="fr-FR"/>
        </w:rPr>
        <w:t>L’implantation et le traçage des menuiseries ;</w:t>
      </w:r>
    </w:p>
    <w:p>
      <w:pPr>
        <w:pStyle w:val="P1"/>
        <w:numPr>
          <w:ilvl w:val="0"/>
          <w:numId w:val="28"/>
        </w:numPr>
        <w:tabs>
          <w:tab w:val="clear" w:pos="8789"/>
        </w:tabs>
        <w:spacing w:before="0" w:after="120"/>
        <w:ind w:left="714" w:hanging="357"/>
        <w:rPr>
          <w:lang w:val="fr-FR"/>
        </w:rPr>
      </w:pPr>
      <w:r>
        <w:rPr>
          <w:lang w:val="fr-FR"/>
        </w:rPr>
        <w:t>La fourniture des menuiseries, le transport sur le site, le déchargement, le stockage et la préservation sur site ;</w:t>
      </w:r>
    </w:p>
    <w:p>
      <w:pPr>
        <w:pStyle w:val="P1"/>
        <w:numPr>
          <w:ilvl w:val="0"/>
          <w:numId w:val="28"/>
        </w:numPr>
        <w:tabs>
          <w:tab w:val="clear" w:pos="8789"/>
        </w:tabs>
        <w:spacing w:before="0" w:after="120"/>
        <w:ind w:left="714" w:hanging="357"/>
        <w:rPr>
          <w:lang w:val="fr-FR"/>
        </w:rPr>
      </w:pPr>
      <w:r>
        <w:rPr>
          <w:lang w:val="fr-FR"/>
        </w:rPr>
        <w:t>La manutention, le montage et la mise en œuvre de toutes les menuiseries y compris fixations, huisseries, serrures et tous accessoires nécessaires au montage de l'ouvrage ;</w:t>
      </w:r>
    </w:p>
    <w:p>
      <w:pPr>
        <w:pStyle w:val="P1"/>
        <w:numPr>
          <w:ilvl w:val="0"/>
          <w:numId w:val="28"/>
        </w:numPr>
        <w:tabs>
          <w:tab w:val="clear" w:pos="8789"/>
        </w:tabs>
        <w:spacing w:before="0" w:after="120"/>
        <w:ind w:left="714" w:hanging="357"/>
        <w:rPr>
          <w:lang w:val="fr-FR"/>
        </w:rPr>
      </w:pPr>
      <w:r>
        <w:rPr>
          <w:lang w:val="fr-FR"/>
        </w:rPr>
        <w:t>La remise des jeux de clés ;</w:t>
      </w:r>
    </w:p>
    <w:p>
      <w:pPr>
        <w:pStyle w:val="P1"/>
        <w:numPr>
          <w:ilvl w:val="0"/>
          <w:numId w:val="28"/>
        </w:numPr>
        <w:tabs>
          <w:tab w:val="clear" w:pos="8789"/>
        </w:tabs>
        <w:spacing w:before="0" w:after="120"/>
        <w:ind w:left="714" w:hanging="357"/>
        <w:rPr>
          <w:lang w:val="fr-FR"/>
        </w:rPr>
      </w:pPr>
      <w:r>
        <w:rPr>
          <w:lang w:val="fr-FR"/>
        </w:rPr>
        <w:t>Les interventions sur le site en plusieurs fois, suivant les nécessités du planning ;</w:t>
      </w:r>
    </w:p>
    <w:p>
      <w:pPr>
        <w:pStyle w:val="P1"/>
        <w:numPr>
          <w:ilvl w:val="0"/>
          <w:numId w:val="28"/>
        </w:numPr>
        <w:tabs>
          <w:tab w:val="clear" w:pos="8789"/>
        </w:tabs>
        <w:spacing w:before="0" w:after="120"/>
        <w:ind w:left="714" w:hanging="357"/>
        <w:rPr>
          <w:lang w:val="fr-FR"/>
        </w:rPr>
      </w:pPr>
      <w:r>
        <w:rPr>
          <w:lang w:val="fr-FR"/>
        </w:rPr>
        <w:t>La protection nécessaire des ouvrages avant leur réception ;</w:t>
      </w:r>
    </w:p>
    <w:p>
      <w:pPr>
        <w:pStyle w:val="P1"/>
        <w:numPr>
          <w:ilvl w:val="0"/>
          <w:numId w:val="28"/>
        </w:numPr>
        <w:tabs>
          <w:tab w:val="clear" w:pos="8789"/>
        </w:tabs>
        <w:spacing w:before="0" w:after="120"/>
        <w:ind w:left="714" w:hanging="357"/>
        <w:rPr>
          <w:rFonts w:cs="Arial"/>
        </w:rPr>
      </w:pPr>
      <w:r>
        <w:rPr>
          <w:lang w:val="fr-FR"/>
        </w:rPr>
        <w:t xml:space="preserve">La remise en état ou le remplacement d'éléments défectueux ou détériorés </w:t>
      </w:r>
      <w:r>
        <w:rPr>
          <w:rFonts w:cs="Arial"/>
        </w:rPr>
        <w:t>(l'entreprise étant totalement responsable de ses ouvrages jusqu'à la réception des travaux) ;</w:t>
      </w:r>
    </w:p>
    <w:p>
      <w:pPr>
        <w:pStyle w:val="P1"/>
        <w:numPr>
          <w:ilvl w:val="0"/>
          <w:numId w:val="28"/>
        </w:numPr>
        <w:tabs>
          <w:tab w:val="clear" w:pos="8789"/>
        </w:tabs>
        <w:spacing w:before="0" w:after="120"/>
        <w:ind w:left="714" w:hanging="357"/>
        <w:rPr>
          <w:lang w:val="fr-FR"/>
        </w:rPr>
      </w:pPr>
      <w:r>
        <w:rPr>
          <w:lang w:val="fr-FR"/>
        </w:rPr>
        <w:t>Les retouches de finition ;</w:t>
      </w:r>
    </w:p>
    <w:p>
      <w:pPr>
        <w:pStyle w:val="P1"/>
        <w:numPr>
          <w:ilvl w:val="0"/>
          <w:numId w:val="28"/>
        </w:numPr>
        <w:tabs>
          <w:tab w:val="clear" w:pos="8789"/>
        </w:tabs>
        <w:spacing w:before="0" w:after="120"/>
        <w:ind w:left="714" w:hanging="357"/>
        <w:rPr>
          <w:lang w:val="fr-FR"/>
        </w:rPr>
      </w:pPr>
      <w:r>
        <w:rPr/>
        <w:t>L’enlèvement des protections, le nettoyage en phase finale de tous les ouvrages mis en place ou environnants</w:t>
      </w:r>
      <w:r>
        <w:rPr>
          <w:rFonts w:cs="Arial"/>
        </w:rPr>
        <w:t>.</w:t>
      </w:r>
    </w:p>
    <w:p>
      <w:pPr>
        <w:pStyle w:val="Titre2"/>
        <w:tabs>
          <w:tab w:val="clear" w:pos="0"/>
          <w:tab w:val="clear" w:pos="8789"/>
          <w:tab w:val="left" w:pos="426" w:leader="none"/>
        </w:tabs>
        <w:ind w:left="0" w:hanging="0"/>
        <w:rPr/>
      </w:pPr>
      <w:bookmarkStart w:id="349" w:name="_Toc32334644"/>
      <w:bookmarkStart w:id="350" w:name="_Ref374006292"/>
      <w:bookmarkStart w:id="351" w:name="_Toc373832490"/>
      <w:bookmarkStart w:id="352" w:name="_Toc63226881"/>
      <w:bookmarkStart w:id="353" w:name="_Toc418564456"/>
      <w:r>
        <w:rPr/>
        <w:t>Faux-planchers</w:t>
      </w:r>
      <w:bookmarkEnd w:id="349"/>
      <w:bookmarkEnd w:id="350"/>
      <w:bookmarkEnd w:id="351"/>
      <w:bookmarkEnd w:id="352"/>
      <w:bookmarkEnd w:id="353"/>
    </w:p>
    <w:p>
      <w:pPr>
        <w:pStyle w:val="Titre3"/>
        <w:rPr/>
      </w:pPr>
      <w:bookmarkStart w:id="354" w:name="_Toc32334645"/>
      <w:r>
        <w:rPr/>
        <w:t>Dispositions projetées</w:t>
      </w:r>
      <w:bookmarkEnd w:id="354"/>
    </w:p>
    <w:p>
      <w:pPr>
        <w:pStyle w:val="Corpsdetexte"/>
        <w:rPr/>
      </w:pPr>
      <w:r>
        <w:rPr/>
        <w:t>L’état général du faux plancher du PCTT de Nanterre est usagé. À la demande de l’exploitant certaines dalles de faux planchers seront remplacées dans le lieu de vie sur une faible surface (environ 10 dalles sont à rénovées).</w:t>
      </w:r>
    </w:p>
    <w:p>
      <w:pPr>
        <w:pStyle w:val="Titre4"/>
        <w:rPr/>
      </w:pPr>
      <w:bookmarkStart w:id="355" w:name="_Toc32334646"/>
      <w:r>
        <w:rPr/>
        <w:t>Consistance des travaux</w:t>
      </w:r>
      <w:bookmarkEnd w:id="355"/>
    </w:p>
    <w:p>
      <w:pPr>
        <w:pStyle w:val="TEXTE"/>
        <w:spacing w:before="200" w:after="120"/>
        <w:rPr/>
      </w:pPr>
      <w:r>
        <w:rPr/>
        <w:t>Les principales prestations à réaliser au titre du projet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 </w:t>
      </w:r>
    </w:p>
    <w:p>
      <w:pPr>
        <w:pStyle w:val="P1"/>
        <w:numPr>
          <w:ilvl w:val="0"/>
          <w:numId w:val="28"/>
        </w:numPr>
        <w:tabs>
          <w:tab w:val="clear" w:pos="8789"/>
        </w:tabs>
        <w:spacing w:before="0" w:after="120"/>
        <w:ind w:left="714" w:hanging="357"/>
        <w:rPr>
          <w:lang w:val="fr-FR"/>
        </w:rPr>
      </w:pPr>
      <w:r>
        <w:rPr>
          <w:lang w:val="fr-FR"/>
        </w:rPr>
        <w:t>La dépose des faux-planchers existants (uniquement les dalles la structure restant en place), l’évacuation des matériaux et la mise en décharge ;</w:t>
      </w:r>
    </w:p>
    <w:p>
      <w:pPr>
        <w:pStyle w:val="P1"/>
        <w:numPr>
          <w:ilvl w:val="0"/>
          <w:numId w:val="28"/>
        </w:numPr>
        <w:tabs>
          <w:tab w:val="clear" w:pos="8789"/>
        </w:tabs>
        <w:spacing w:before="0" w:after="120"/>
        <w:ind w:left="714" w:hanging="357"/>
        <w:rPr>
          <w:lang w:val="fr-FR"/>
        </w:rPr>
      </w:pPr>
      <w:r>
        <w:rPr>
          <w:lang w:val="fr-FR"/>
        </w:rPr>
        <w:t>L’implantation et le calepinage des faux-planchers si nécessaire ;</w:t>
      </w:r>
    </w:p>
    <w:p>
      <w:pPr>
        <w:pStyle w:val="P1"/>
        <w:numPr>
          <w:ilvl w:val="0"/>
          <w:numId w:val="28"/>
        </w:numPr>
        <w:tabs>
          <w:tab w:val="clear" w:pos="8789"/>
        </w:tabs>
        <w:spacing w:before="0" w:after="120"/>
        <w:ind w:left="714" w:hanging="357"/>
        <w:rPr>
          <w:lang w:val="fr-FR"/>
        </w:rPr>
      </w:pPr>
      <w:r>
        <w:rPr>
          <w:lang w:val="fr-FR"/>
        </w:rPr>
        <w:t>La fourniture des faux-planchers, le transport sur le site, le déchargement, le stockage et la préservation sur site ;</w:t>
      </w:r>
    </w:p>
    <w:p>
      <w:pPr>
        <w:pStyle w:val="P1"/>
        <w:numPr>
          <w:ilvl w:val="0"/>
          <w:numId w:val="28"/>
        </w:numPr>
        <w:tabs>
          <w:tab w:val="clear" w:pos="8789"/>
        </w:tabs>
        <w:spacing w:before="0" w:after="120"/>
        <w:ind w:left="714" w:hanging="357"/>
        <w:rPr>
          <w:lang w:val="fr-FR"/>
        </w:rPr>
      </w:pPr>
      <w:r>
        <w:rPr>
          <w:lang w:val="fr-FR"/>
        </w:rPr>
        <w:t>La manutention, le montage et la mise en œuvre de tous les ouvrages y compris la fourniture des fixations, les mises à la terre des ossatures métalliques et tous les accessoires nécessaires au bon fonctionnement de l'ouvrage ;</w:t>
      </w:r>
    </w:p>
    <w:p>
      <w:pPr>
        <w:pStyle w:val="P1"/>
        <w:numPr>
          <w:ilvl w:val="0"/>
          <w:numId w:val="28"/>
        </w:numPr>
        <w:tabs>
          <w:tab w:val="clear" w:pos="8789"/>
        </w:tabs>
        <w:spacing w:before="0" w:after="120"/>
        <w:ind w:left="714" w:hanging="357"/>
        <w:rPr>
          <w:lang w:val="fr-FR"/>
        </w:rPr>
      </w:pPr>
      <w:r>
        <w:rPr>
          <w:lang w:val="fr-FR"/>
        </w:rPr>
        <w:t>Les interventions sur le site en plusieurs fois, suivant les nécessités du planning ;</w:t>
      </w:r>
    </w:p>
    <w:p>
      <w:pPr>
        <w:pStyle w:val="P1"/>
        <w:numPr>
          <w:ilvl w:val="0"/>
          <w:numId w:val="28"/>
        </w:numPr>
        <w:tabs>
          <w:tab w:val="clear" w:pos="8789"/>
        </w:tabs>
        <w:spacing w:before="0" w:after="120"/>
        <w:ind w:left="714" w:hanging="357"/>
        <w:jc w:val="left"/>
        <w:rPr>
          <w:rFonts w:cs="Arial"/>
        </w:rPr>
      </w:pPr>
      <w:r>
        <w:rPr>
          <w:lang w:val="fr-FR"/>
        </w:rPr>
        <w:t xml:space="preserve">La remise en état ou le remplacement d'éléments défectueux ou détériorés </w:t>
      </w:r>
      <w:r>
        <w:rPr>
          <w:rFonts w:cs="Arial"/>
        </w:rPr>
        <w:t>(l'entreprise étant totalement responsable de ses ouvrages jusqu'à la réception des travaux) ;</w:t>
      </w:r>
    </w:p>
    <w:p>
      <w:pPr>
        <w:pStyle w:val="P1"/>
        <w:numPr>
          <w:ilvl w:val="0"/>
          <w:numId w:val="28"/>
        </w:numPr>
        <w:tabs>
          <w:tab w:val="clear" w:pos="8789"/>
        </w:tabs>
        <w:spacing w:before="0" w:after="120"/>
        <w:ind w:left="714" w:hanging="357"/>
        <w:jc w:val="left"/>
        <w:rPr>
          <w:lang w:val="fr-FR"/>
        </w:rPr>
      </w:pPr>
      <w:r>
        <w:rPr>
          <w:lang w:val="fr-FR"/>
        </w:rPr>
        <w:t>Les retouches de finition ;</w:t>
      </w:r>
    </w:p>
    <w:p>
      <w:pPr>
        <w:pStyle w:val="P1"/>
        <w:numPr>
          <w:ilvl w:val="0"/>
          <w:numId w:val="28"/>
        </w:numPr>
        <w:tabs>
          <w:tab w:val="clear" w:pos="8789"/>
        </w:tabs>
        <w:spacing w:before="0" w:after="120"/>
        <w:ind w:left="714" w:hanging="357"/>
        <w:rPr>
          <w:rFonts w:cs="Arial"/>
        </w:rPr>
      </w:pPr>
      <w:r>
        <w:rPr>
          <w:lang w:val="fr-FR"/>
        </w:rPr>
        <w:t xml:space="preserve">Les sujétions de découpes des faux-planchers </w:t>
      </w:r>
      <w:r>
        <w:rPr/>
        <w:t xml:space="preserve">pour le passage des câbles et pour leur pose </w:t>
      </w:r>
      <w:r>
        <w:rPr>
          <w:rFonts w:cs="Arial"/>
        </w:rPr>
        <w:t>;</w:t>
      </w:r>
    </w:p>
    <w:p>
      <w:pPr>
        <w:pStyle w:val="P1"/>
        <w:numPr>
          <w:ilvl w:val="0"/>
          <w:numId w:val="28"/>
        </w:numPr>
        <w:tabs>
          <w:tab w:val="clear" w:pos="8789"/>
        </w:tabs>
        <w:spacing w:before="0" w:after="120"/>
        <w:ind w:left="714" w:hanging="357"/>
        <w:rPr>
          <w:lang w:val="fr-FR"/>
        </w:rPr>
      </w:pPr>
      <w:r>
        <w:rPr/>
        <w:t>La fourniture et pose des collerettes d’obturation ou couvre-joints aux percements des faux planchers ;</w:t>
      </w:r>
    </w:p>
    <w:p>
      <w:pPr>
        <w:pStyle w:val="P1"/>
        <w:numPr>
          <w:ilvl w:val="0"/>
          <w:numId w:val="28"/>
        </w:numPr>
        <w:tabs>
          <w:tab w:val="clear" w:pos="8789"/>
        </w:tabs>
        <w:spacing w:before="0" w:after="120"/>
        <w:ind w:left="714" w:hanging="357"/>
        <w:rPr>
          <w:lang w:val="fr-FR"/>
        </w:rPr>
      </w:pPr>
      <w:r>
        <w:rPr>
          <w:lang w:val="fr-FR"/>
        </w:rPr>
        <w:t>La protection nécessaire des ouvrages avant leur réception ;</w:t>
      </w:r>
    </w:p>
    <w:p>
      <w:pPr>
        <w:pStyle w:val="P1"/>
        <w:numPr>
          <w:ilvl w:val="0"/>
          <w:numId w:val="28"/>
        </w:numPr>
        <w:tabs>
          <w:tab w:val="clear" w:pos="8789"/>
        </w:tabs>
        <w:spacing w:before="0" w:after="120"/>
        <w:ind w:left="714" w:hanging="357"/>
        <w:rPr>
          <w:lang w:val="fr-FR"/>
        </w:rPr>
      </w:pPr>
      <w:r>
        <w:rPr/>
        <w:t>L’enlèvement des protections, le nettoyage en phase finale de tous les ouvrages mis en place ou environnants</w:t>
      </w:r>
      <w:r>
        <w:rPr>
          <w:rFonts w:cs="Arial"/>
        </w:rPr>
        <w:t>.</w:t>
      </w:r>
    </w:p>
    <w:p>
      <w:pPr>
        <w:pStyle w:val="Titre2"/>
        <w:tabs>
          <w:tab w:val="clear" w:pos="0"/>
          <w:tab w:val="clear" w:pos="8789"/>
          <w:tab w:val="left" w:pos="426" w:leader="none"/>
        </w:tabs>
        <w:ind w:left="0" w:hanging="0"/>
        <w:rPr/>
      </w:pPr>
      <w:bookmarkStart w:id="356" w:name="_Toc32334647"/>
      <w:bookmarkStart w:id="357" w:name="_Toc373832491"/>
      <w:r>
        <w:rPr/>
        <w:t>Faux-plafond</w:t>
      </w:r>
      <w:bookmarkEnd w:id="357"/>
      <w:r>
        <w:rPr/>
        <w:t>s</w:t>
      </w:r>
      <w:bookmarkEnd w:id="356"/>
    </w:p>
    <w:p>
      <w:pPr>
        <w:pStyle w:val="Titre3"/>
        <w:rPr/>
      </w:pPr>
      <w:bookmarkStart w:id="358" w:name="_Toc32334648"/>
      <w:r>
        <w:rPr/>
        <w:t>Dispositions projetées</w:t>
      </w:r>
      <w:bookmarkEnd w:id="358"/>
    </w:p>
    <w:p>
      <w:pPr>
        <w:pStyle w:val="TEXTE"/>
        <w:rPr/>
      </w:pPr>
      <w:r>
        <w:rPr/>
        <w:t xml:space="preserve">Le faux plafond existant sur la zone la salle d’exploitation est en mauvais état. Il sera déposé et remplacé par un plafond suspendu acoustique formé de panneaux de laine de verre de forte densité. </w:t>
      </w:r>
    </w:p>
    <w:p>
      <w:pPr>
        <w:pStyle w:val="TEXTE"/>
        <w:rPr/>
      </w:pPr>
      <w:r>
        <w:rPr/>
        <w:t>La pose respectera les réglementations et normes en vigueur et au DTU 58.1 (mise en œuvre des plafonds suspendus).</w:t>
      </w:r>
    </w:p>
    <w:p>
      <w:pPr>
        <w:pStyle w:val="TEXTE"/>
        <w:rPr/>
      </w:pPr>
      <w:r>
        <w:rPr/>
        <w:t>La pose respectera les réglementations et normes en vigueur et sera conforme au DTU 58.1 (mise en œuvre des plafonds suspendus).</w:t>
      </w:r>
    </w:p>
    <w:p>
      <w:pPr>
        <w:pStyle w:val="TEXTE"/>
        <w:rPr/>
      </w:pPr>
      <w:r>
        <w:rPr/>
        <w:t>Une isolation acoustique sera réalisée en plenum, au droit des cloisons amovibles.</w:t>
      </w:r>
    </w:p>
    <w:p>
      <w:pPr>
        <w:pStyle w:val="Titre3"/>
        <w:rPr/>
      </w:pPr>
      <w:bookmarkStart w:id="359" w:name="_Toc32334649"/>
      <w:r>
        <w:rPr/>
        <w:t>Consistance des travaux</w:t>
      </w:r>
      <w:bookmarkEnd w:id="359"/>
    </w:p>
    <w:p>
      <w:pPr>
        <w:pStyle w:val="TEXTE"/>
        <w:spacing w:before="200" w:after="120"/>
        <w:rPr/>
      </w:pPr>
      <w:r>
        <w:rPr/>
        <w:t>Les principales prestations à réaliser au titre du projet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 ; </w:t>
      </w:r>
    </w:p>
    <w:p>
      <w:pPr>
        <w:pStyle w:val="P1"/>
        <w:numPr>
          <w:ilvl w:val="0"/>
          <w:numId w:val="28"/>
        </w:numPr>
        <w:tabs>
          <w:tab w:val="clear" w:pos="8789"/>
        </w:tabs>
        <w:spacing w:before="0" w:after="120"/>
        <w:ind w:left="714" w:hanging="357"/>
        <w:rPr>
          <w:lang w:val="fr-FR"/>
        </w:rPr>
      </w:pPr>
      <w:r>
        <w:rPr>
          <w:lang w:val="fr-FR"/>
        </w:rPr>
        <w:t>La dépose des faux-plafonds existants, l’évacuation des matériaux et la mise en décharge ;</w:t>
      </w:r>
    </w:p>
    <w:p>
      <w:pPr>
        <w:pStyle w:val="P1"/>
        <w:numPr>
          <w:ilvl w:val="0"/>
          <w:numId w:val="28"/>
        </w:numPr>
        <w:tabs>
          <w:tab w:val="clear" w:pos="8789"/>
        </w:tabs>
        <w:spacing w:before="0" w:after="120"/>
        <w:ind w:left="714" w:hanging="357"/>
        <w:rPr>
          <w:lang w:val="fr-FR"/>
        </w:rPr>
      </w:pPr>
      <w:r>
        <w:rPr>
          <w:lang w:val="fr-FR"/>
        </w:rPr>
        <w:t xml:space="preserve">La dépose soignée et le stockage de </w:t>
      </w:r>
      <w:r>
        <w:rPr/>
        <w:t>l’isolation thermique existante en plenum, qui sera reposée dans les mêmes conditions</w:t>
      </w:r>
      <w:r>
        <w:rPr>
          <w:lang w:val="fr-FR"/>
        </w:rPr>
        <w:t> ;</w:t>
      </w:r>
    </w:p>
    <w:p>
      <w:pPr>
        <w:pStyle w:val="P1"/>
        <w:numPr>
          <w:ilvl w:val="0"/>
          <w:numId w:val="28"/>
        </w:numPr>
        <w:tabs>
          <w:tab w:val="clear" w:pos="8789"/>
        </w:tabs>
        <w:spacing w:before="0" w:after="120"/>
        <w:ind w:left="714" w:hanging="357"/>
        <w:rPr>
          <w:lang w:val="fr-FR"/>
        </w:rPr>
      </w:pPr>
      <w:r>
        <w:rPr>
          <w:lang w:val="fr-FR"/>
        </w:rPr>
        <w:t>L’implantation et le calepinage des faux-plafonds ;</w:t>
      </w:r>
    </w:p>
    <w:p>
      <w:pPr>
        <w:pStyle w:val="P1"/>
        <w:numPr>
          <w:ilvl w:val="0"/>
          <w:numId w:val="28"/>
        </w:numPr>
        <w:tabs>
          <w:tab w:val="clear" w:pos="8789"/>
        </w:tabs>
        <w:spacing w:before="0" w:after="120"/>
        <w:ind w:left="714" w:hanging="357"/>
        <w:rPr>
          <w:lang w:val="fr-FR"/>
        </w:rPr>
      </w:pPr>
      <w:r>
        <w:rPr>
          <w:lang w:val="fr-FR"/>
        </w:rPr>
        <w:t>La fourniture des faux-plafonds, le transport sur le site, le déchargement, le stockage et la préservation sur site ;</w:t>
      </w:r>
    </w:p>
    <w:p>
      <w:pPr>
        <w:pStyle w:val="P1"/>
        <w:numPr>
          <w:ilvl w:val="0"/>
          <w:numId w:val="28"/>
        </w:numPr>
        <w:tabs>
          <w:tab w:val="clear" w:pos="8789"/>
        </w:tabs>
        <w:spacing w:before="0" w:after="120"/>
        <w:ind w:left="714" w:hanging="357"/>
        <w:rPr>
          <w:lang w:val="fr-FR"/>
        </w:rPr>
      </w:pPr>
      <w:r>
        <w:rPr>
          <w:lang w:val="fr-FR"/>
        </w:rPr>
        <w:t>La manutention, le montage et la mise en œuvre de tous les ouvrages y compris la fourniture des fixations, joints, étanchéités et tous accessoires nécessaires au bon fonctionnement de l'ouvrage ;</w:t>
      </w:r>
    </w:p>
    <w:p>
      <w:pPr>
        <w:pStyle w:val="P1"/>
        <w:numPr>
          <w:ilvl w:val="0"/>
          <w:numId w:val="28"/>
        </w:numPr>
        <w:tabs>
          <w:tab w:val="clear" w:pos="8789"/>
        </w:tabs>
        <w:spacing w:before="0" w:after="120"/>
        <w:ind w:left="714" w:hanging="357"/>
        <w:rPr>
          <w:lang w:val="fr-FR"/>
        </w:rPr>
      </w:pPr>
      <w:r>
        <w:rPr>
          <w:lang w:val="fr-FR"/>
        </w:rPr>
        <w:t>Les interventions sur le site en plusieurs fois, suivant les nécessités du planning ;</w:t>
      </w:r>
    </w:p>
    <w:p>
      <w:pPr>
        <w:pStyle w:val="P1"/>
        <w:numPr>
          <w:ilvl w:val="0"/>
          <w:numId w:val="28"/>
        </w:numPr>
        <w:tabs>
          <w:tab w:val="clear" w:pos="8789"/>
        </w:tabs>
        <w:spacing w:before="0" w:after="120"/>
        <w:ind w:left="714" w:hanging="357"/>
        <w:rPr>
          <w:lang w:val="fr-FR"/>
        </w:rPr>
      </w:pPr>
      <w:r>
        <w:rPr>
          <w:lang w:val="fr-FR"/>
        </w:rPr>
        <w:t>La dépose des faux-plafonds existants y compris L’évacuation des matériaux ;</w:t>
      </w:r>
    </w:p>
    <w:p>
      <w:pPr>
        <w:pStyle w:val="P1"/>
        <w:numPr>
          <w:ilvl w:val="0"/>
          <w:numId w:val="28"/>
        </w:numPr>
        <w:tabs>
          <w:tab w:val="clear" w:pos="8789"/>
        </w:tabs>
        <w:spacing w:before="0" w:after="120"/>
        <w:ind w:left="714" w:hanging="357"/>
        <w:jc w:val="left"/>
        <w:rPr>
          <w:rFonts w:cs="Arial"/>
        </w:rPr>
      </w:pPr>
      <w:r>
        <w:rPr>
          <w:lang w:val="fr-FR"/>
        </w:rPr>
        <w:t xml:space="preserve">La remise en état ou le remplacement d'éléments défectueux ou détériorés </w:t>
      </w:r>
      <w:r>
        <w:rPr>
          <w:rFonts w:cs="Arial"/>
        </w:rPr>
        <w:t>(l'entreprise étant totalement responsable de ses ouvrages jusqu'à la réception des travaux) ;</w:t>
      </w:r>
    </w:p>
    <w:p>
      <w:pPr>
        <w:pStyle w:val="P1"/>
        <w:numPr>
          <w:ilvl w:val="0"/>
          <w:numId w:val="28"/>
        </w:numPr>
        <w:tabs>
          <w:tab w:val="clear" w:pos="8789"/>
        </w:tabs>
        <w:spacing w:before="0" w:after="120"/>
        <w:ind w:left="714" w:hanging="357"/>
        <w:jc w:val="left"/>
        <w:rPr>
          <w:lang w:val="fr-FR"/>
        </w:rPr>
      </w:pPr>
      <w:r>
        <w:rPr>
          <w:lang w:val="fr-FR"/>
        </w:rPr>
        <w:t>Les retouches de finition ;</w:t>
      </w:r>
    </w:p>
    <w:p>
      <w:pPr>
        <w:pStyle w:val="P1"/>
        <w:numPr>
          <w:ilvl w:val="0"/>
          <w:numId w:val="28"/>
        </w:numPr>
        <w:tabs>
          <w:tab w:val="clear" w:pos="8789"/>
        </w:tabs>
        <w:spacing w:before="0" w:after="120"/>
        <w:ind w:left="714" w:hanging="357"/>
        <w:rPr>
          <w:rFonts w:cs="Arial"/>
        </w:rPr>
      </w:pPr>
      <w:r>
        <w:rPr>
          <w:lang w:val="fr-FR"/>
        </w:rPr>
        <w:t xml:space="preserve">Les sujétions de découpes des faux-plafonds </w:t>
      </w:r>
      <w:r>
        <w:rPr/>
        <w:t>pour la pose des appareils de détections, les traversées des canalisations et des équipements encastrés ou en applique, les grilles d’aérations ou de ventilation,</w:t>
      </w:r>
      <w:r>
        <w:rPr>
          <w:rFonts w:cs="Arial"/>
        </w:rPr>
        <w:t xml:space="preserve"> etc… ;</w:t>
      </w:r>
    </w:p>
    <w:p>
      <w:pPr>
        <w:pStyle w:val="P1"/>
        <w:numPr>
          <w:ilvl w:val="0"/>
          <w:numId w:val="28"/>
        </w:numPr>
        <w:tabs>
          <w:tab w:val="clear" w:pos="8789"/>
        </w:tabs>
        <w:spacing w:before="0" w:after="120"/>
        <w:ind w:left="714" w:hanging="357"/>
        <w:rPr>
          <w:lang w:val="fr-FR"/>
        </w:rPr>
      </w:pPr>
      <w:r>
        <w:rPr/>
        <w:t>La fourniture et pose des collerettes d’obturation ou couvre-joints aux percements des plafonds suspendus ;</w:t>
      </w:r>
    </w:p>
    <w:p>
      <w:pPr>
        <w:pStyle w:val="P1"/>
        <w:numPr>
          <w:ilvl w:val="0"/>
          <w:numId w:val="28"/>
        </w:numPr>
        <w:tabs>
          <w:tab w:val="clear" w:pos="8789"/>
        </w:tabs>
        <w:spacing w:before="0" w:after="120"/>
        <w:ind w:left="714" w:hanging="357"/>
        <w:rPr>
          <w:lang w:val="fr-FR"/>
        </w:rPr>
      </w:pPr>
      <w:r>
        <w:rPr/>
        <w:t>La mise à la terre des ossatures métalliques ;</w:t>
      </w:r>
    </w:p>
    <w:p>
      <w:pPr>
        <w:pStyle w:val="P1"/>
        <w:numPr>
          <w:ilvl w:val="0"/>
          <w:numId w:val="28"/>
        </w:numPr>
        <w:tabs>
          <w:tab w:val="clear" w:pos="8789"/>
        </w:tabs>
        <w:spacing w:before="0" w:after="120"/>
        <w:ind w:left="714" w:hanging="357"/>
        <w:rPr>
          <w:lang w:val="fr-FR"/>
        </w:rPr>
      </w:pPr>
      <w:r>
        <w:rPr>
          <w:lang w:val="fr-FR"/>
        </w:rPr>
        <w:t>La protection nécessaire des ouvrages avant leur réception ;</w:t>
      </w:r>
    </w:p>
    <w:p>
      <w:pPr>
        <w:pStyle w:val="P1"/>
        <w:numPr>
          <w:ilvl w:val="0"/>
          <w:numId w:val="28"/>
        </w:numPr>
        <w:tabs>
          <w:tab w:val="clear" w:pos="8789"/>
        </w:tabs>
        <w:spacing w:before="0" w:after="120"/>
        <w:ind w:left="714" w:hanging="357"/>
        <w:rPr>
          <w:lang w:val="fr-FR"/>
        </w:rPr>
      </w:pPr>
      <w:r>
        <w:rPr/>
        <w:t>L’enlèvement des protections, le nettoyage en phase finale de tous les ouvrages mis en place ou environnants</w:t>
      </w:r>
      <w:r>
        <w:rPr>
          <w:rFonts w:cs="Arial"/>
        </w:rPr>
        <w:t>;</w:t>
      </w:r>
    </w:p>
    <w:p>
      <w:pPr>
        <w:pStyle w:val="TEXTE"/>
        <w:numPr>
          <w:ilvl w:val="0"/>
          <w:numId w:val="28"/>
        </w:numPr>
        <w:spacing w:before="0" w:after="240"/>
        <w:ind w:left="714" w:hanging="357"/>
        <w:rPr/>
      </w:pPr>
      <w:r>
        <w:rPr/>
        <w:t>L’isolation acoustique en plenum, au droit des cloisons amovibles.</w:t>
      </w:r>
    </w:p>
    <w:p>
      <w:pPr>
        <w:pStyle w:val="Titre2"/>
        <w:tabs>
          <w:tab w:val="clear" w:pos="0"/>
          <w:tab w:val="clear" w:pos="8789"/>
          <w:tab w:val="left" w:pos="426" w:leader="none"/>
        </w:tabs>
        <w:ind w:left="0" w:hanging="0"/>
        <w:rPr/>
      </w:pPr>
      <w:bookmarkStart w:id="360" w:name="_Toc32334650"/>
      <w:r>
        <w:rPr/>
        <w:t>Revêtement de sol</w:t>
      </w:r>
      <w:bookmarkEnd w:id="360"/>
    </w:p>
    <w:p>
      <w:pPr>
        <w:pStyle w:val="Titre3"/>
        <w:rPr/>
      </w:pPr>
      <w:bookmarkStart w:id="361" w:name="_Toc373832492"/>
      <w:bookmarkStart w:id="362" w:name="_Toc84047556"/>
      <w:bookmarkStart w:id="363" w:name="_Toc27192330"/>
      <w:bookmarkStart w:id="364" w:name="_Toc26005031"/>
      <w:bookmarkStart w:id="365" w:name="_Toc26001204"/>
      <w:bookmarkStart w:id="366" w:name="_Toc32334651"/>
      <w:r>
        <w:rPr/>
        <w:t>Moquette</w:t>
      </w:r>
      <w:bookmarkEnd w:id="366"/>
    </w:p>
    <w:p>
      <w:pPr>
        <w:pStyle w:val="TEXTE"/>
        <w:rPr/>
      </w:pPr>
      <w:r>
        <w:rPr/>
        <w:t>Des dalles plombantes seront utilisées en pose libre sur des dalles de faux-plancher existantes.</w:t>
      </w:r>
    </w:p>
    <w:p>
      <w:pPr>
        <w:pStyle w:val="TEXTE"/>
        <w:rPr/>
      </w:pPr>
      <w:r>
        <w:rPr/>
        <w:t>Elles sont fixées à l'aide d'une colle poisseuse.</w:t>
      </w:r>
    </w:p>
    <w:p>
      <w:pPr>
        <w:pStyle w:val="TEXTE"/>
        <w:rPr/>
      </w:pPr>
      <w:r>
        <w:rPr/>
        <w:t>Les locaux suivants seront dotés de ces revêtements :</w:t>
      </w:r>
    </w:p>
    <w:p>
      <w:pPr>
        <w:pStyle w:val="TEXTE"/>
        <w:numPr>
          <w:ilvl w:val="0"/>
          <w:numId w:val="28"/>
        </w:numPr>
        <w:spacing w:before="0" w:after="240"/>
        <w:ind w:left="714" w:hanging="357"/>
        <w:rPr/>
      </w:pPr>
      <w:r>
        <w:rPr/>
        <w:t>Salle de crise,</w:t>
      </w:r>
    </w:p>
    <w:p>
      <w:pPr>
        <w:pStyle w:val="TEXTE"/>
        <w:numPr>
          <w:ilvl w:val="0"/>
          <w:numId w:val="28"/>
        </w:numPr>
        <w:spacing w:before="0" w:after="240"/>
        <w:ind w:left="714" w:hanging="357"/>
        <w:rPr/>
      </w:pPr>
      <w:r>
        <w:rPr/>
        <w:t>Local technique,</w:t>
      </w:r>
    </w:p>
    <w:p>
      <w:pPr>
        <w:pStyle w:val="TEXTE"/>
        <w:numPr>
          <w:ilvl w:val="0"/>
          <w:numId w:val="28"/>
        </w:numPr>
        <w:spacing w:before="0" w:after="240"/>
        <w:ind w:left="714" w:hanging="357"/>
        <w:rPr/>
      </w:pPr>
      <w:r>
        <w:rPr/>
        <w:t>Local reproduction,</w:t>
      </w:r>
    </w:p>
    <w:p>
      <w:pPr>
        <w:pStyle w:val="TEXTE"/>
        <w:numPr>
          <w:ilvl w:val="0"/>
          <w:numId w:val="28"/>
        </w:numPr>
        <w:spacing w:before="0" w:after="240"/>
        <w:ind w:left="714" w:hanging="357"/>
        <w:rPr/>
      </w:pPr>
      <w:r>
        <w:rPr/>
        <w:t>Salle d’exploitation</w:t>
      </w:r>
    </w:p>
    <w:p>
      <w:pPr>
        <w:pStyle w:val="Titre2"/>
        <w:tabs>
          <w:tab w:val="clear" w:pos="0"/>
          <w:tab w:val="clear" w:pos="8789"/>
          <w:tab w:val="left" w:pos="426" w:leader="none"/>
        </w:tabs>
        <w:ind w:left="0" w:hanging="0"/>
        <w:rPr/>
      </w:pPr>
      <w:bookmarkStart w:id="367" w:name="_Toc373832492"/>
      <w:bookmarkStart w:id="368" w:name="_Toc84047556"/>
      <w:bookmarkStart w:id="369" w:name="_Toc27192330"/>
      <w:bookmarkStart w:id="370" w:name="_Toc26005031"/>
      <w:bookmarkStart w:id="371" w:name="_Toc26001204"/>
      <w:bookmarkStart w:id="372" w:name="_Toc32334652"/>
      <w:r>
        <w:rPr/>
        <w:t>Plomberie sanitaire</w:t>
      </w:r>
      <w:bookmarkEnd w:id="367"/>
      <w:bookmarkEnd w:id="368"/>
      <w:bookmarkEnd w:id="369"/>
      <w:bookmarkEnd w:id="370"/>
      <w:bookmarkEnd w:id="371"/>
      <w:bookmarkEnd w:id="372"/>
    </w:p>
    <w:p>
      <w:pPr>
        <w:pStyle w:val="TEXTE"/>
        <w:rPr/>
      </w:pPr>
      <w:bookmarkStart w:id="373" w:name="_Toc373832493"/>
      <w:r>
        <w:rPr/>
        <w:t>Sans objet.</w:t>
      </w:r>
    </w:p>
    <w:p>
      <w:pPr>
        <w:pStyle w:val="Titre2"/>
        <w:tabs>
          <w:tab w:val="clear" w:pos="0"/>
          <w:tab w:val="clear" w:pos="8789"/>
          <w:tab w:val="left" w:pos="426" w:leader="none"/>
        </w:tabs>
        <w:ind w:left="0" w:hanging="0"/>
        <w:rPr/>
      </w:pPr>
      <w:bookmarkStart w:id="374" w:name="_Toc373832493"/>
      <w:bookmarkStart w:id="375" w:name="_Toc32334653"/>
      <w:r>
        <w:rPr/>
        <w:t>Peintures</w:t>
      </w:r>
      <w:bookmarkEnd w:id="374"/>
      <w:bookmarkEnd w:id="375"/>
    </w:p>
    <w:p>
      <w:pPr>
        <w:pStyle w:val="Titre3"/>
        <w:rPr/>
      </w:pPr>
      <w:bookmarkStart w:id="376" w:name="_Toc373832494"/>
      <w:bookmarkStart w:id="377" w:name="_Toc32334654"/>
      <w:r>
        <w:rPr/>
        <w:t>Dispositions projetées</w:t>
      </w:r>
      <w:bookmarkEnd w:id="377"/>
    </w:p>
    <w:p>
      <w:pPr>
        <w:pStyle w:val="Titre4"/>
        <w:rPr/>
      </w:pPr>
      <w:bookmarkStart w:id="378" w:name="_Toc373832494"/>
      <w:bookmarkStart w:id="379" w:name="_Toc32334655"/>
      <w:r>
        <w:rPr/>
        <w:t>Peinture intérieure satinée dans pièces humides</w:t>
      </w:r>
      <w:bookmarkEnd w:id="378"/>
      <w:bookmarkEnd w:id="379"/>
    </w:p>
    <w:p>
      <w:pPr>
        <w:pStyle w:val="TEXTE"/>
        <w:rPr/>
      </w:pPr>
      <w:r>
        <w:rPr/>
        <w:t xml:space="preserve">La peinture proposée dans les sanitaires et le lieu de vie sera de type satinée aux résines alkydes. Cette peinture, très robuste et lessivable résiste aux ambiances humides de ces locaux, elle sera appliquée sur supports horizontaux ou verticaux. </w:t>
      </w:r>
    </w:p>
    <w:p>
      <w:pPr>
        <w:pStyle w:val="TEXTE"/>
        <w:rPr/>
      </w:pPr>
      <w:r>
        <w:rPr/>
        <w:t>Une préparation du support sera réalisée avant application de la peinture (égrenage, époussetage, rebouchage, enduit dégrossissage, révision des joints, enduits lissage ponçage…)</w:t>
      </w:r>
    </w:p>
    <w:p>
      <w:pPr>
        <w:pStyle w:val="TEXTE"/>
        <w:rPr/>
      </w:pPr>
      <w:r>
        <w:rPr/>
        <w:t>Plusieurs teintes (RAL) seront proposées à l’exploitant pour validation de la couleur de l’espace de vie.</w:t>
      </w:r>
    </w:p>
    <w:p>
      <w:pPr>
        <w:pStyle w:val="TEXTE"/>
        <w:rPr/>
      </w:pPr>
      <w:r>
        <w:rPr/>
        <w:t xml:space="preserve">Le RAL 9010 (Blanc) sera appliqué dans les sanitaires sur les murs et au plafond. </w:t>
      </w:r>
    </w:p>
    <w:p>
      <w:pPr>
        <w:pStyle w:val="Titre4"/>
        <w:rPr/>
      </w:pPr>
      <w:bookmarkStart w:id="380" w:name="_Toc32334656"/>
      <w:bookmarkStart w:id="381" w:name="_Toc373832495"/>
      <w:r>
        <w:rPr/>
        <w:t>Peinture intérieure satinée dans pièces les autres locaux</w:t>
      </w:r>
      <w:bookmarkEnd w:id="380"/>
      <w:bookmarkEnd w:id="381"/>
    </w:p>
    <w:p>
      <w:pPr>
        <w:pStyle w:val="TEXTE"/>
        <w:rPr/>
      </w:pPr>
      <w:r>
        <w:rPr/>
        <w:t xml:space="preserve">La peinture proposée dans la salle d’exploitation et la salle de crise sera de type satinée aux résines alkydes. Cette peinture, très robuste et lessivable sera appliquée sur supports horizontaux ou verticaux. </w:t>
      </w:r>
    </w:p>
    <w:p>
      <w:pPr>
        <w:pStyle w:val="TEXTE"/>
        <w:rPr/>
      </w:pPr>
      <w:r>
        <w:rPr/>
        <w:t>Une préparation du support sera réalisée avant application de la peinture (égrenage, époussetage, rebouchage, enduit dégrossissage, révision des joints, enduits lissage ponçage…)</w:t>
      </w:r>
    </w:p>
    <w:p>
      <w:pPr>
        <w:pStyle w:val="TEXTE"/>
        <w:rPr/>
      </w:pPr>
      <w:bookmarkStart w:id="382" w:name="_Toc373832496"/>
      <w:r>
        <w:rPr/>
        <w:t>Plusieurs teintes (RAL) seront proposées par l’ergonome pour la salle d’exploitation et seront soumis à l’exploitant pour validation.</w:t>
      </w:r>
    </w:p>
    <w:p>
      <w:pPr>
        <w:pStyle w:val="Titre4"/>
        <w:rPr/>
      </w:pPr>
      <w:bookmarkStart w:id="383" w:name="_Toc32334657"/>
      <w:r>
        <w:rPr/>
        <w:t>Consistance des travaux</w:t>
      </w:r>
      <w:bookmarkEnd w:id="383"/>
    </w:p>
    <w:p>
      <w:pPr>
        <w:pStyle w:val="TEXTE"/>
        <w:spacing w:before="200" w:after="120"/>
        <w:rPr/>
      </w:pPr>
      <w:r>
        <w:rPr/>
        <w:t>Les principales prestations à réaliser au titre du projet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 ;</w:t>
      </w:r>
    </w:p>
    <w:p>
      <w:pPr>
        <w:pStyle w:val="P1"/>
        <w:numPr>
          <w:ilvl w:val="0"/>
          <w:numId w:val="28"/>
        </w:numPr>
        <w:tabs>
          <w:tab w:val="clear" w:pos="8789"/>
        </w:tabs>
        <w:spacing w:before="0" w:after="120"/>
        <w:ind w:left="714" w:hanging="357"/>
        <w:rPr>
          <w:lang w:val="fr-FR"/>
        </w:rPr>
      </w:pPr>
      <w:r>
        <w:rPr>
          <w:lang w:val="fr-FR"/>
        </w:rPr>
        <w:t>Les échafaudages, constitués et placés de telle sorte que les différentes parties du chantier soient toujours facilement accessibles. Toutes les précautions devront être prises pour éviter la chute des matériaux et gravois ;</w:t>
      </w:r>
    </w:p>
    <w:p>
      <w:pPr>
        <w:pStyle w:val="P1"/>
        <w:numPr>
          <w:ilvl w:val="0"/>
          <w:numId w:val="28"/>
        </w:numPr>
        <w:tabs>
          <w:tab w:val="clear" w:pos="8789"/>
        </w:tabs>
        <w:spacing w:before="0" w:after="120"/>
        <w:ind w:left="714" w:hanging="357"/>
        <w:rPr>
          <w:lang w:val="fr-FR"/>
        </w:rPr>
      </w:pPr>
      <w:r>
        <w:rPr>
          <w:lang w:val="fr-FR"/>
        </w:rPr>
        <w:t>les opérations préparatoires telles que : dépose d'anciens revêtements, égrenage, brossage, ponçage, rebouchage, masticage, époussetage, lavage, lessivage, dégraissage, dérouillage, etc. qui sont nécessaires à la bonne présentation de l'ouvrage. L’évacuation et la mise en décharge des matériaux ;</w:t>
      </w:r>
    </w:p>
    <w:p>
      <w:pPr>
        <w:pStyle w:val="P1"/>
        <w:numPr>
          <w:ilvl w:val="0"/>
          <w:numId w:val="28"/>
        </w:numPr>
        <w:tabs>
          <w:tab w:val="clear" w:pos="8789"/>
        </w:tabs>
        <w:spacing w:before="0" w:after="120"/>
        <w:ind w:left="714" w:hanging="357"/>
        <w:rPr>
          <w:lang w:val="fr-FR"/>
        </w:rPr>
      </w:pPr>
      <w:r>
        <w:rPr>
          <w:lang w:val="fr-FR"/>
        </w:rPr>
        <w:t>Tous les apprêts nécessaires à une parfaite exécution, ainsi que ceux nécessités pour une parfaite adhérence des peintures ou lasure.</w:t>
      </w:r>
    </w:p>
    <w:p>
      <w:pPr>
        <w:pStyle w:val="P1"/>
        <w:numPr>
          <w:ilvl w:val="0"/>
          <w:numId w:val="28"/>
        </w:numPr>
        <w:tabs>
          <w:tab w:val="clear" w:pos="8789"/>
        </w:tabs>
        <w:spacing w:before="0" w:after="120"/>
        <w:ind w:left="714" w:hanging="357"/>
        <w:rPr>
          <w:lang w:val="fr-FR"/>
        </w:rPr>
      </w:pPr>
      <w:r>
        <w:rPr>
          <w:lang w:val="fr-FR"/>
        </w:rPr>
        <w:t>La fourniture des peintures, le transport sur le site, le déchargement, le stockage et la préservation sur site ;</w:t>
      </w:r>
    </w:p>
    <w:p>
      <w:pPr>
        <w:pStyle w:val="P1"/>
        <w:numPr>
          <w:ilvl w:val="0"/>
          <w:numId w:val="28"/>
        </w:numPr>
        <w:tabs>
          <w:tab w:val="clear" w:pos="8789"/>
        </w:tabs>
        <w:spacing w:before="0" w:after="120"/>
        <w:ind w:left="714" w:hanging="357"/>
        <w:rPr>
          <w:lang w:val="fr-FR"/>
        </w:rPr>
      </w:pPr>
      <w:r>
        <w:rPr>
          <w:lang w:val="fr-FR"/>
        </w:rPr>
        <w:t>La manutention et la mise en œuvre de toutes les peintures ;</w:t>
      </w:r>
    </w:p>
    <w:p>
      <w:pPr>
        <w:pStyle w:val="P1"/>
        <w:numPr>
          <w:ilvl w:val="0"/>
          <w:numId w:val="28"/>
        </w:numPr>
        <w:tabs>
          <w:tab w:val="clear" w:pos="8789"/>
        </w:tabs>
        <w:spacing w:before="0" w:after="120"/>
        <w:ind w:left="714" w:hanging="357"/>
        <w:rPr>
          <w:lang w:val="fr-FR"/>
        </w:rPr>
      </w:pPr>
      <w:r>
        <w:rPr>
          <w:lang w:val="fr-FR"/>
        </w:rPr>
        <w:t>Les interventions sur le site en plusieurs fois, suivant les nécessités du planning ;</w:t>
      </w:r>
    </w:p>
    <w:p>
      <w:pPr>
        <w:pStyle w:val="P1"/>
        <w:numPr>
          <w:ilvl w:val="0"/>
          <w:numId w:val="28"/>
        </w:numPr>
        <w:tabs>
          <w:tab w:val="clear" w:pos="8789"/>
        </w:tabs>
        <w:spacing w:before="0" w:after="120"/>
        <w:ind w:left="714" w:hanging="357"/>
        <w:rPr>
          <w:lang w:val="fr-FR"/>
        </w:rPr>
      </w:pPr>
      <w:r>
        <w:rPr>
          <w:lang w:val="fr-FR"/>
        </w:rPr>
        <w:t>Les retouches de finition ;</w:t>
      </w:r>
    </w:p>
    <w:p>
      <w:pPr>
        <w:pStyle w:val="P1"/>
        <w:numPr>
          <w:ilvl w:val="0"/>
          <w:numId w:val="28"/>
        </w:numPr>
        <w:tabs>
          <w:tab w:val="clear" w:pos="8789"/>
        </w:tabs>
        <w:spacing w:before="0" w:after="120"/>
        <w:ind w:left="714" w:hanging="357"/>
        <w:rPr>
          <w:lang w:val="fr-FR"/>
        </w:rPr>
      </w:pPr>
      <w:r>
        <w:rPr>
          <w:lang w:val="fr-FR"/>
        </w:rPr>
        <w:t>La protection nécessaire des peintures avant leur réception ;</w:t>
      </w:r>
    </w:p>
    <w:p>
      <w:pPr>
        <w:pStyle w:val="P1"/>
        <w:numPr>
          <w:ilvl w:val="0"/>
          <w:numId w:val="28"/>
        </w:numPr>
        <w:tabs>
          <w:tab w:val="clear" w:pos="8789"/>
        </w:tabs>
        <w:spacing w:before="0" w:after="120"/>
        <w:ind w:left="714" w:hanging="357"/>
        <w:rPr>
          <w:lang w:val="fr-FR"/>
        </w:rPr>
      </w:pPr>
      <w:r>
        <w:rPr>
          <w:lang w:val="fr-FR"/>
        </w:rPr>
        <w:t>L’enlèvement des protections, le nettoyage en phase finale de tous les ouvrages mis en place ou environnants;</w:t>
      </w:r>
    </w:p>
    <w:p>
      <w:pPr>
        <w:pStyle w:val="Titre2"/>
        <w:tabs>
          <w:tab w:val="clear" w:pos="0"/>
          <w:tab w:val="clear" w:pos="8789"/>
          <w:tab w:val="left" w:pos="426" w:leader="none"/>
        </w:tabs>
        <w:ind w:left="0" w:hanging="0"/>
        <w:rPr/>
      </w:pPr>
      <w:bookmarkStart w:id="384" w:name="_Toc373832496"/>
      <w:bookmarkStart w:id="385" w:name="_Toc32334658"/>
      <w:r>
        <w:rPr/>
        <w:t>Cheminements de câbles</w:t>
      </w:r>
      <w:bookmarkEnd w:id="384"/>
      <w:bookmarkEnd w:id="385"/>
    </w:p>
    <w:p>
      <w:pPr>
        <w:pStyle w:val="Titre3"/>
        <w:rPr/>
      </w:pPr>
      <w:bookmarkStart w:id="386" w:name="_Toc32334659"/>
      <w:r>
        <w:rPr/>
        <w:t>Dispositions projetées</w:t>
      </w:r>
      <w:bookmarkEnd w:id="386"/>
    </w:p>
    <w:p>
      <w:pPr>
        <w:pStyle w:val="Corpsdetexte"/>
        <w:rPr>
          <w:rFonts w:cs="Arial"/>
        </w:rPr>
      </w:pPr>
      <w:r>
        <w:rPr>
          <w:rFonts w:cs="Arial"/>
        </w:rPr>
        <w:t>De nombreux chemins de câbles ont permis la pose des différents câbles interconnectant les systèmes et les équipements. Comme pour les équipements, ils ont été posés au fil du temps en fonction des besoins. Les principaux cheminements (chemins de câbles) sont listés sont listés ci-après :</w:t>
      </w:r>
    </w:p>
    <w:p>
      <w:pPr>
        <w:pStyle w:val="Corpsdetexte"/>
        <w:numPr>
          <w:ilvl w:val="0"/>
          <w:numId w:val="23"/>
        </w:numPr>
        <w:rPr>
          <w:rFonts w:cs="Arial"/>
        </w:rPr>
      </w:pPr>
      <w:r>
        <w:rPr>
          <w:rFonts w:cs="Arial"/>
        </w:rPr>
        <w:t>Remontées verticales qui permettent de faire cheminer les câbles entre la salle technique SIRIUS du sous-sol et l’étage, ils aboutissent en faux–plancher devant le mur d’images (protection coupe-feu existantes à la traversée de la dalle par l’intermédiaire de cadres MCT : en fait il s’agit de bague qui se resserrent autour du câble lorsque l’on serre les 2 plaques métalliques insérant la bague).</w:t>
      </w:r>
    </w:p>
    <w:p>
      <w:pPr>
        <w:pStyle w:val="Corpsdetexte"/>
        <w:numPr>
          <w:ilvl w:val="0"/>
          <w:numId w:val="23"/>
        </w:numPr>
        <w:rPr>
          <w:rFonts w:cs="Arial"/>
        </w:rPr>
      </w:pPr>
      <w:r>
        <w:rPr>
          <w:rFonts w:cs="Arial"/>
        </w:rPr>
        <w:t>Cheminements (courants forts/faibles) dans la salle technique SIRIUS jusqu’aux remontées vers la salle d’exploitation au premier étage.</w:t>
      </w:r>
    </w:p>
    <w:p>
      <w:pPr>
        <w:pStyle w:val="Corpsdetexte"/>
        <w:numPr>
          <w:ilvl w:val="0"/>
          <w:numId w:val="23"/>
        </w:numPr>
        <w:rPr>
          <w:rFonts w:cs="Arial"/>
        </w:rPr>
      </w:pPr>
      <w:r>
        <w:rPr>
          <w:rFonts w:cs="Arial"/>
        </w:rPr>
        <w:t>Cheminements (courants forts/faibles) dans la salle d’exploitation distribuant les câbles vers les pupitres OST et CRS, vers le mur d’images, et vers le local technique mur d’images.</w:t>
      </w:r>
    </w:p>
    <w:p>
      <w:pPr>
        <w:pStyle w:val="Corpsdetexte"/>
        <w:numPr>
          <w:ilvl w:val="0"/>
          <w:numId w:val="23"/>
        </w:numPr>
        <w:rPr>
          <w:rFonts w:cs="Arial"/>
        </w:rPr>
      </w:pPr>
      <w:r>
        <w:rPr>
          <w:rFonts w:cs="Arial"/>
        </w:rPr>
        <w:t>Cheminements en faux-plafonds dans les couloirs (vers la salle de réunion)</w:t>
      </w:r>
    </w:p>
    <w:p>
      <w:pPr>
        <w:pStyle w:val="Corpsdetexte"/>
        <w:rPr>
          <w:rFonts w:cs="Arial"/>
        </w:rPr>
      </w:pPr>
      <w:r>
        <w:rPr>
          <w:rFonts w:cs="Arial"/>
        </w:rPr>
        <w:t>Les cheminements sont suffisamment dimensionnés, et disposent d’espace libre suffisant pour l’accueil des nouveaux câbles à poser au titre du projet.</w:t>
      </w:r>
    </w:p>
    <w:p>
      <w:pPr>
        <w:pStyle w:val="Corpsdetexte"/>
        <w:rPr>
          <w:rFonts w:cs="Arial"/>
        </w:rPr>
      </w:pPr>
      <w:r>
        <w:rPr>
          <w:rFonts w:cs="Arial"/>
        </w:rPr>
        <w:t>il est prévu dans le cadre du projet, d’identifier de déposer et d’évacuer les nombreux câbles qui n’ont plus d’utilité. Par exemple, tous les câbles coaxiaux (verts) qui permettaient l’affichage des images sur l’ancien mur d’images, seront déposés.</w:t>
      </w:r>
    </w:p>
    <w:p>
      <w:pPr>
        <w:pStyle w:val="Corpsdetexte"/>
        <w:rPr>
          <w:rFonts w:cs="Arial"/>
        </w:rPr>
      </w:pPr>
      <w:r>
        <w:rPr>
          <w:rFonts w:cs="Arial"/>
        </w:rPr>
        <w:t>Des compléments de cheminements ponctuels seront à réaliser, pour desservir les nouveaux mobiliers standards et sur mesure.</w:t>
      </w:r>
    </w:p>
    <w:p>
      <w:pPr>
        <w:pStyle w:val="Titre4"/>
        <w:rPr/>
      </w:pPr>
      <w:bookmarkStart w:id="387" w:name="_Toc32334660"/>
      <w:r>
        <w:rPr/>
        <w:t>Consistance des travaux</w:t>
      </w:r>
      <w:bookmarkEnd w:id="387"/>
    </w:p>
    <w:p>
      <w:pPr>
        <w:pStyle w:val="TEXTE"/>
        <w:spacing w:before="200" w:after="120"/>
        <w:rPr/>
      </w:pPr>
      <w:r>
        <w:rPr/>
        <w:t>Les principales prestations à réaliser au titre du projet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w:t>
      </w:r>
    </w:p>
    <w:p>
      <w:pPr>
        <w:pStyle w:val="P1"/>
        <w:numPr>
          <w:ilvl w:val="0"/>
          <w:numId w:val="28"/>
        </w:numPr>
        <w:tabs>
          <w:tab w:val="clear" w:pos="8789"/>
        </w:tabs>
        <w:spacing w:before="0" w:after="120"/>
        <w:ind w:left="714" w:hanging="357"/>
        <w:rPr>
          <w:lang w:val="fr-FR"/>
        </w:rPr>
      </w:pPr>
      <w:r>
        <w:rPr>
          <w:lang w:val="fr-FR"/>
        </w:rPr>
        <w:t>La dépose soignée/stockage/repose des faux planchers afin de permettre l’accès aux chemins de câbles existants ;</w:t>
      </w:r>
    </w:p>
    <w:p>
      <w:pPr>
        <w:pStyle w:val="P1"/>
        <w:numPr>
          <w:ilvl w:val="0"/>
          <w:numId w:val="28"/>
        </w:numPr>
        <w:tabs>
          <w:tab w:val="clear" w:pos="8789"/>
        </w:tabs>
        <w:spacing w:before="0" w:after="120"/>
        <w:ind w:left="714" w:hanging="357"/>
        <w:rPr>
          <w:lang w:val="fr-FR"/>
        </w:rPr>
      </w:pPr>
      <w:r>
        <w:rPr>
          <w:lang w:val="fr-FR"/>
        </w:rPr>
        <w:t>L’identification des cheminements existants et à créer et le report sur plan ; </w:t>
      </w:r>
    </w:p>
    <w:p>
      <w:pPr>
        <w:pStyle w:val="P1"/>
        <w:numPr>
          <w:ilvl w:val="0"/>
          <w:numId w:val="28"/>
        </w:numPr>
        <w:tabs>
          <w:tab w:val="clear" w:pos="8789"/>
        </w:tabs>
        <w:spacing w:before="0" w:after="120"/>
        <w:ind w:left="714" w:hanging="357"/>
        <w:rPr>
          <w:lang w:val="fr-FR"/>
        </w:rPr>
      </w:pPr>
      <w:r>
        <w:rPr>
          <w:lang w:val="fr-FR"/>
        </w:rPr>
        <w:t>La dépose des câbles existants abandonnés, l’évacuation et la mise en décharge ;</w:t>
      </w:r>
    </w:p>
    <w:p>
      <w:pPr>
        <w:pStyle w:val="P1"/>
        <w:numPr>
          <w:ilvl w:val="0"/>
          <w:numId w:val="28"/>
        </w:numPr>
        <w:tabs>
          <w:tab w:val="clear" w:pos="8789"/>
        </w:tabs>
        <w:spacing w:before="0" w:after="120"/>
        <w:ind w:left="714" w:hanging="357"/>
        <w:rPr>
          <w:lang w:val="fr-FR"/>
        </w:rPr>
      </w:pPr>
      <w:r>
        <w:rPr>
          <w:lang w:val="fr-FR"/>
        </w:rPr>
        <w:t>La fourniture des chemins de câbles et leur support, le transport sur le site, le déchargement, le stockage et la préservation sur site ;</w:t>
      </w:r>
    </w:p>
    <w:p>
      <w:pPr>
        <w:pStyle w:val="P1"/>
        <w:numPr>
          <w:ilvl w:val="0"/>
          <w:numId w:val="28"/>
        </w:numPr>
        <w:tabs>
          <w:tab w:val="clear" w:pos="8789"/>
        </w:tabs>
        <w:spacing w:before="0" w:after="120"/>
        <w:ind w:left="714" w:hanging="357"/>
        <w:rPr>
          <w:lang w:val="fr-FR"/>
        </w:rPr>
      </w:pPr>
      <w:r>
        <w:rPr>
          <w:lang w:val="fr-FR"/>
        </w:rPr>
        <w:t>La manutention et la mise en œuvre des chemins de câbles y compris les mises à la terre ;</w:t>
      </w:r>
    </w:p>
    <w:p>
      <w:pPr>
        <w:pStyle w:val="P1"/>
        <w:numPr>
          <w:ilvl w:val="0"/>
          <w:numId w:val="28"/>
        </w:numPr>
        <w:tabs>
          <w:tab w:val="clear" w:pos="8789"/>
        </w:tabs>
        <w:spacing w:before="0" w:after="120"/>
        <w:ind w:left="714" w:hanging="357"/>
        <w:rPr>
          <w:lang w:val="fr-FR"/>
        </w:rPr>
      </w:pPr>
      <w:r>
        <w:rPr>
          <w:lang w:val="fr-FR"/>
        </w:rPr>
        <w:t>Les interventions sur le site en plusieurs fois, suivant les nécessités du planning.</w:t>
      </w:r>
    </w:p>
    <w:p>
      <w:pPr>
        <w:pStyle w:val="Titre2"/>
        <w:tabs>
          <w:tab w:val="clear" w:pos="0"/>
          <w:tab w:val="clear" w:pos="8789"/>
          <w:tab w:val="left" w:pos="426" w:leader="none"/>
        </w:tabs>
        <w:ind w:left="0" w:hanging="0"/>
        <w:rPr/>
      </w:pPr>
      <w:bookmarkStart w:id="388" w:name="_Toc32334661"/>
      <w:r>
        <w:rPr/>
        <w:t>Protection acoustique</w:t>
      </w:r>
      <w:bookmarkEnd w:id="388"/>
    </w:p>
    <w:p>
      <w:pPr>
        <w:pStyle w:val="Titre3"/>
        <w:rPr/>
      </w:pPr>
      <w:bookmarkStart w:id="389" w:name="_Toc32334662"/>
      <w:r>
        <w:rPr/>
        <w:t>Dispositions projetées</w:t>
      </w:r>
      <w:bookmarkEnd w:id="389"/>
    </w:p>
    <w:p>
      <w:pPr>
        <w:pStyle w:val="Titre4"/>
        <w:rPr/>
      </w:pPr>
      <w:bookmarkStart w:id="390" w:name="_Toc32334663"/>
      <w:r>
        <w:rPr/>
        <w:t>Contexte</w:t>
      </w:r>
      <w:bookmarkEnd w:id="390"/>
    </w:p>
    <w:p>
      <w:pPr>
        <w:pStyle w:val="Corpsdetexte"/>
        <w:rPr/>
      </w:pPr>
      <w:r>
        <w:rPr/>
        <w:t>Dans le cadre du projet, le traitement des nuisances phonique doit permettre d’obtenir des conditions de travail et de concentration optimum sur les zones comprise dans le périmètre des travaux.</w:t>
      </w:r>
    </w:p>
    <w:p>
      <w:pPr>
        <w:pStyle w:val="Corpsdetexte"/>
        <w:rPr/>
      </w:pPr>
      <w:r>
        <w:rPr/>
        <w:t>Les objectifs acoustiques retenus permettent de répondre d'une part au programme et d'autre part aux aspects réglementaires acoustiques.</w:t>
      </w:r>
    </w:p>
    <w:p>
      <w:pPr>
        <w:pStyle w:val="Corpsdetexte"/>
        <w:spacing w:before="200" w:after="120"/>
        <w:rPr/>
      </w:pPr>
      <w:r>
        <w:rPr/>
        <w:t>Les paramètres suivant ont également été pris en compte :</w:t>
      </w:r>
    </w:p>
    <w:p>
      <w:pPr>
        <w:pStyle w:val="Corpsdetexte"/>
        <w:numPr>
          <w:ilvl w:val="0"/>
          <w:numId w:val="23"/>
        </w:numPr>
        <w:spacing w:before="120" w:after="120"/>
        <w:ind w:left="714" w:hanging="357"/>
        <w:rPr>
          <w:rFonts w:cs="Arial"/>
        </w:rPr>
      </w:pPr>
      <w:r>
        <w:rPr>
          <w:rFonts w:cs="Arial"/>
        </w:rPr>
        <w:t>La diversité des usages ;</w:t>
      </w:r>
    </w:p>
    <w:p>
      <w:pPr>
        <w:pStyle w:val="Corpsdetexte"/>
        <w:numPr>
          <w:ilvl w:val="0"/>
          <w:numId w:val="23"/>
        </w:numPr>
        <w:spacing w:before="120" w:after="120"/>
        <w:ind w:left="714" w:hanging="357"/>
        <w:rPr>
          <w:rFonts w:cs="Arial"/>
        </w:rPr>
      </w:pPr>
      <w:r>
        <w:rPr>
          <w:rFonts w:cs="Arial"/>
        </w:rPr>
        <w:t>Le confort des utilisateurs ;</w:t>
      </w:r>
    </w:p>
    <w:p>
      <w:pPr>
        <w:pStyle w:val="Corpsdetexte"/>
        <w:numPr>
          <w:ilvl w:val="0"/>
          <w:numId w:val="23"/>
        </w:numPr>
        <w:spacing w:before="120" w:after="120"/>
        <w:ind w:left="714" w:hanging="357"/>
        <w:rPr>
          <w:rFonts w:cs="Arial"/>
        </w:rPr>
      </w:pPr>
      <w:r>
        <w:rPr>
          <w:rFonts w:cs="Arial"/>
        </w:rPr>
        <w:t>Les contraintes d’exploitation ;</w:t>
      </w:r>
    </w:p>
    <w:p>
      <w:pPr>
        <w:pStyle w:val="Corpsdetexte"/>
        <w:numPr>
          <w:ilvl w:val="0"/>
          <w:numId w:val="23"/>
        </w:numPr>
        <w:spacing w:before="120" w:after="120"/>
        <w:ind w:left="714" w:hanging="357"/>
        <w:rPr>
          <w:rFonts w:cs="Arial"/>
        </w:rPr>
      </w:pPr>
      <w:r>
        <w:rPr>
          <w:rFonts w:cs="Arial"/>
        </w:rPr>
        <w:t>Le design et l’intégration des solutions.</w:t>
      </w:r>
    </w:p>
    <w:p>
      <w:pPr>
        <w:pStyle w:val="Corpsdetexte"/>
        <w:rPr/>
      </w:pPr>
      <w:r>
        <w:rPr/>
        <w:t>Les isolements acoustiques intérieurs permettent l'utilisation simultanée des locaux.</w:t>
      </w:r>
    </w:p>
    <w:p>
      <w:pPr>
        <w:pStyle w:val="Corpsdetexte"/>
        <w:rPr/>
      </w:pPr>
      <w:r>
        <w:rPr/>
        <w:t xml:space="preserve">Les corrections acoustiques internes garantissent le confort des usagers et permettront la gestion des ambiances propices à la réflexion. </w:t>
      </w:r>
    </w:p>
    <w:p>
      <w:pPr>
        <w:pStyle w:val="Corpsdetexte"/>
        <w:rPr/>
      </w:pPr>
      <w:r>
        <w:rPr/>
        <w:t>Elles concernent essentiellement la réverbération.</w:t>
      </w:r>
    </w:p>
    <w:p>
      <w:pPr>
        <w:pStyle w:val="Titre4"/>
        <w:rPr/>
      </w:pPr>
      <w:bookmarkStart w:id="391" w:name="_Toc32334664"/>
      <w:r>
        <w:rPr/>
        <w:t>Principes retenus</w:t>
      </w:r>
      <w:bookmarkEnd w:id="391"/>
    </w:p>
    <w:p>
      <w:pPr>
        <w:pStyle w:val="Corpsdetexte"/>
        <w:rPr/>
      </w:pPr>
      <w:r>
        <w:rPr/>
        <w:t>L’activité de cet espace dédié à la communication visuelle et orale (directe et téléphonique) nécessite une bonne intelligibilité. Elle est correcte dans l’état actuel, il convient de la préserver :</w:t>
      </w:r>
    </w:p>
    <w:p>
      <w:pPr>
        <w:pStyle w:val="Corpsdetexte"/>
        <w:numPr>
          <w:ilvl w:val="0"/>
          <w:numId w:val="117"/>
        </w:numPr>
        <w:rPr/>
      </w:pPr>
      <w:r>
        <w:rPr/>
        <w:t>En conservant les traitements du plafond et du sol, ou en le remplaçant par un traitement équivalent (dalles de plafond acoustiques de coefficient d’absorption Cw = 1.0 et moquette au sol)</w:t>
      </w:r>
    </w:p>
    <w:p>
      <w:pPr>
        <w:pStyle w:val="Corpsdetexte"/>
        <w:numPr>
          <w:ilvl w:val="0"/>
          <w:numId w:val="117"/>
        </w:numPr>
        <w:rPr/>
      </w:pPr>
      <w:r>
        <w:rPr/>
        <w:t>En conservant le local dédié au brasseur informatique.</w:t>
      </w:r>
    </w:p>
    <w:p>
      <w:pPr>
        <w:pStyle w:val="Titre3"/>
        <w:rPr/>
      </w:pPr>
      <w:bookmarkStart w:id="392" w:name="_Toc32334665"/>
      <w:r>
        <w:rPr/>
        <w:t>Contrôle des bruits d'équipements et des vibrations</w:t>
      </w:r>
      <w:bookmarkEnd w:id="392"/>
    </w:p>
    <w:p>
      <w:pPr>
        <w:pStyle w:val="Titre4"/>
        <w:rPr/>
      </w:pPr>
      <w:bookmarkStart w:id="393" w:name="_Toc32334666"/>
      <w:r>
        <w:rPr/>
        <w:t>Définition des critères acoustiques</w:t>
      </w:r>
      <w:bookmarkEnd w:id="393"/>
    </w:p>
    <w:p>
      <w:pPr>
        <w:pStyle w:val="Corpsdetexte"/>
        <w:rPr/>
      </w:pPr>
      <w:r>
        <w:rPr/>
        <w:t>Niveaux de bruit de fond limite :</w:t>
      </w:r>
    </w:p>
    <w:p>
      <w:pPr>
        <w:pStyle w:val="Corpsdetexte"/>
        <w:numPr>
          <w:ilvl w:val="0"/>
          <w:numId w:val="118"/>
        </w:numPr>
        <w:rPr/>
      </w:pPr>
      <w:r>
        <w:rPr/>
        <w:t>Il faut veiller à limiter la transmission des bruits aériens et des vibrations produites par les équipements du bâtiment afin de maintenir les niveaux de bruit de fond dans les différentes salles du projet dans des limites qui permettent de ne pas perturber la réflexion et la concentration des utilisateurs.</w:t>
      </w:r>
    </w:p>
    <w:p>
      <w:pPr>
        <w:pStyle w:val="Corpsdetexte"/>
        <w:numPr>
          <w:ilvl w:val="0"/>
          <w:numId w:val="118"/>
        </w:numPr>
        <w:rPr/>
      </w:pPr>
      <w:r>
        <w:rPr/>
        <w:t>Les seuils maximaux de niveaux de bruit de fond sont fixés soit par référence aux courbes NR NF S 30-010, soit en niveau global dB(A).</w:t>
      </w:r>
    </w:p>
    <w:p>
      <w:pPr>
        <w:pStyle w:val="Corpsdetexte"/>
        <w:rPr/>
      </w:pPr>
      <w:r>
        <w:rPr/>
        <w:t>Ces seuils définissent les niveaux maximum de bruit engendrés par l'ensemble des sources potentielles, intérieures ou extérieures au local considéré à l'exclusion des bruits d'impact : climatisation, éclairage, transports mécaniques, appareillages de détection, etc. Ces seuils s'entendent toutes sources confondues et sont contrôlés selon la norme NFS 31-057.</w:t>
      </w:r>
    </w:p>
    <w:p>
      <w:pPr>
        <w:pStyle w:val="Corpsdetexte"/>
        <w:rPr/>
      </w:pPr>
      <w:r>
        <w:rPr/>
        <w:t>Lorsque le critère est fixé par référence aux courbes NR, les niveaux de bruit de fond sont mesurés in situ par bandes d'octaves sur les fréquences médianes comprises entre 31,5 et 8000 Hz. Le spectre mesuré est superposé au réseau de courbes "gabarits". Le niveau NR correspondant au bruit mesuré est défini par la courbe supérieure non sécante la plus proche du spectre de bruit mesuré. Les mesures in-situ sont décrites ci-après.</w:t>
      </w:r>
    </w:p>
    <w:p>
      <w:pPr>
        <w:pStyle w:val="Corpsdetexte"/>
        <w:rPr/>
      </w:pPr>
      <w:r>
        <w:rPr/>
        <w:t>Les durées de réverbération exprimées en seconde par bande d'octave se définissent comme le temps nécessaire pour que le niveau de pression acoustique décroisse de 60 dB. Elles sont notées TR60 et sont exprimées en secondes.</w:t>
      </w:r>
    </w:p>
    <w:p>
      <w:pPr>
        <w:pStyle w:val="Corpsdetexte"/>
        <w:rPr/>
      </w:pPr>
      <w:r>
        <w:rPr/>
        <w:t>Les locaux sont réputés meublés et inoccupés.</w:t>
      </w:r>
    </w:p>
    <w:p>
      <w:pPr>
        <w:pStyle w:val="Corpsdetexte"/>
        <w:rPr/>
      </w:pPr>
      <w:r>
        <w:rPr/>
        <w:t>Ces valeurs sont fixées comme des maxima avec une tolérance de +1- 10 %.</w:t>
      </w:r>
    </w:p>
    <w:p>
      <w:pPr>
        <w:pStyle w:val="Corpsdetexte"/>
        <w:rPr/>
      </w:pPr>
      <w:r>
        <w:rPr/>
        <w:t>Les mesures in situ des durées de réverbération actuelle sont décrites dans le paragraphe ci-après. Elles se conforment à la Norme NF S 31-057.</w:t>
      </w:r>
    </w:p>
    <w:p>
      <w:pPr>
        <w:pStyle w:val="Titre3"/>
        <w:rPr/>
      </w:pPr>
      <w:bookmarkStart w:id="394" w:name="_Toc32334667"/>
      <w:r>
        <w:rPr/>
        <w:t>Mesures in-situ</w:t>
      </w:r>
      <w:bookmarkEnd w:id="394"/>
    </w:p>
    <w:p>
      <w:pPr>
        <w:pStyle w:val="Titre4"/>
        <w:rPr/>
      </w:pPr>
      <w:bookmarkStart w:id="395" w:name="_Toc32334668"/>
      <w:r>
        <w:rPr/>
        <w:t>Temps de réverbération</w:t>
      </w:r>
      <w:bookmarkEnd w:id="395"/>
    </w:p>
    <w:p>
      <w:pPr>
        <w:pStyle w:val="TEXTE"/>
        <w:rPr/>
      </w:pPr>
      <w:r>
        <w:rPr/>
        <w:t>Le temps de réverbération est particulièrement faible (0,35 seconde), ce qui inscrit le local dans la catégorie des espaces très performant de la norme NFS 31-080 des bureaux et espaces associés §5.3.2.</w:t>
      </w:r>
    </w:p>
    <w:p>
      <w:pPr>
        <w:pStyle w:val="TEXTE"/>
        <w:rPr/>
      </w:pPr>
      <w:r>
        <w:rPr/>
        <w:t>Cette valeur est principalement due à la présence du revêtement de plafond et à la moquette recouvrant le sol qu’il convient de conserver lors de la rénovation de la salle.</w:t>
      </w:r>
    </w:p>
    <w:p>
      <w:pPr>
        <w:pStyle w:val="TEXTE"/>
        <w:jc w:val="center"/>
        <w:rPr/>
      </w:pPr>
      <w:r>
        <w:rPr/>
        <w:drawing>
          <wp:inline distT="0" distB="0" distL="0" distR="0">
            <wp:extent cx="5305425" cy="2816860"/>
            <wp:effectExtent l="0" t="0" r="0" b="0"/>
            <wp:docPr id="15" name="Imag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6" descr=""/>
                    <pic:cNvPicPr>
                      <a:picLocks noChangeAspect="1" noChangeArrowheads="1"/>
                    </pic:cNvPicPr>
                  </pic:nvPicPr>
                  <pic:blipFill>
                    <a:blip r:embed="rId19"/>
                    <a:stretch>
                      <a:fillRect/>
                    </a:stretch>
                  </pic:blipFill>
                  <pic:spPr bwMode="auto">
                    <a:xfrm>
                      <a:off x="0" y="0"/>
                      <a:ext cx="5305425" cy="2816860"/>
                    </a:xfrm>
                    <a:prstGeom prst="rect">
                      <a:avLst/>
                    </a:prstGeom>
                  </pic:spPr>
                </pic:pic>
              </a:graphicData>
            </a:graphic>
          </wp:inline>
        </w:drawing>
      </w:r>
    </w:p>
    <w:p>
      <w:pPr>
        <w:pStyle w:val="Normal"/>
        <w:rPr>
          <w:rFonts w:cs="Arial"/>
        </w:rPr>
      </w:pPr>
      <w:r>
        <w:rPr>
          <w:rFonts w:cs="Arial"/>
        </w:rPr>
      </w:r>
    </w:p>
    <w:p>
      <w:pPr>
        <w:pStyle w:val="Titre4"/>
        <w:rPr/>
      </w:pPr>
      <w:bookmarkStart w:id="396" w:name="_Toc32334669"/>
      <w:r>
        <w:rPr/>
        <w:t>Bruit Ambiant</w:t>
      </w:r>
      <w:bookmarkEnd w:id="396"/>
    </w:p>
    <w:p>
      <w:pPr>
        <w:pStyle w:val="TEXTE"/>
        <w:rPr/>
      </w:pPr>
      <w:r>
        <w:rPr/>
        <w:t>Moyenné sur 15 minutes, le bruit ambiant pendant l’activité a été mesuré dans la salle de contrôle.</w:t>
      </w:r>
    </w:p>
    <w:p>
      <w:pPr>
        <w:pStyle w:val="TEXTE"/>
        <w:rPr/>
      </w:pPr>
      <w:r>
        <w:rPr/>
        <w:t>Il est de l’ordre de 54,5 dBA. Ce niveau est donc confortable et atteste l’absence de gêne des usagers sur le plan acoustique.</w:t>
      </w:r>
    </w:p>
    <w:p>
      <w:pPr>
        <w:pStyle w:val="TEXTE"/>
        <w:rPr/>
      </w:pPr>
      <w:r>
        <w:rPr/>
        <w:t>Le niveau sonore global, hors activité, est de 46 dBA et respecte donc les préconisations du Programme Technique Détaillé. La source de bruit apparente générant le bruit de fond (i.e. hors activité) est l’arrière du mur d’images.</w:t>
      </w:r>
    </w:p>
    <w:p>
      <w:pPr>
        <w:pStyle w:val="TEXTE"/>
        <w:jc w:val="center"/>
        <w:rPr/>
      </w:pPr>
      <w:r>
        <w:rPr/>
        <w:drawing>
          <wp:inline distT="0" distB="0" distL="0" distR="0">
            <wp:extent cx="4810125" cy="3190875"/>
            <wp:effectExtent l="0" t="0" r="0" b="0"/>
            <wp:docPr id="16" name="Image 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31" descr=""/>
                    <pic:cNvPicPr>
                      <a:picLocks noChangeAspect="1" noChangeArrowheads="1"/>
                    </pic:cNvPicPr>
                  </pic:nvPicPr>
                  <pic:blipFill>
                    <a:blip r:embed="rId20"/>
                    <a:stretch>
                      <a:fillRect/>
                    </a:stretch>
                  </pic:blipFill>
                  <pic:spPr bwMode="auto">
                    <a:xfrm>
                      <a:off x="0" y="0"/>
                      <a:ext cx="4810125" cy="3190875"/>
                    </a:xfrm>
                    <a:prstGeom prst="rect">
                      <a:avLst/>
                    </a:prstGeom>
                  </pic:spPr>
                </pic:pic>
              </a:graphicData>
            </a:graphic>
          </wp:inline>
        </w:drawing>
      </w:r>
    </w:p>
    <w:p>
      <w:pPr>
        <w:pStyle w:val="Titre4"/>
        <w:rPr/>
      </w:pPr>
      <w:bookmarkStart w:id="397" w:name="_Toc32334670"/>
      <w:r>
        <w:rPr/>
        <w:t>Sources de bruits</w:t>
      </w:r>
      <w:bookmarkEnd w:id="397"/>
    </w:p>
    <w:p>
      <w:pPr>
        <w:pStyle w:val="TEXTE"/>
        <w:rPr/>
      </w:pPr>
      <w:r>
        <w:rPr/>
        <w:t>Les niveaux mesurés à 1.0 m derrière la paroi des téléviseurs sont supérieurs aux préconisations du Programme Technique Détaillé (il s’agit d’une extrapolation par rétro-propagation de la mesure réalisée à 0.4 m, la distance au mur arrière ne permettant pas la mesure à 1.0 m).</w:t>
      </w:r>
    </w:p>
    <w:p>
      <w:pPr>
        <w:pStyle w:val="TEXTE"/>
        <w:rPr/>
      </w:pPr>
      <w:r>
        <w:rPr/>
        <w:t>Ils produisent un niveau de 45 dBA. Leur éloignement des postes de travail fait qu’ils ne constituent pas de gêne identifiée auprès des usagers.</w:t>
      </w:r>
    </w:p>
    <w:p>
      <w:pPr>
        <w:pStyle w:val="Corpsdetexte"/>
        <w:rPr/>
      </w:pPr>
      <w:r>
        <w:rPr/>
        <w:t>La climatisation ne créé aucune nuisance audible. Le brasseur informatique est confiné dans un local dédié et ne génère donc pas de nuisance. Il convient de conserver cet agencement</w:t>
      </w:r>
    </w:p>
    <w:p>
      <w:pPr>
        <w:pStyle w:val="Titre3"/>
        <w:rPr/>
      </w:pPr>
      <w:bookmarkStart w:id="398" w:name="_Toc32334671"/>
      <w:r>
        <w:rPr/>
        <w:t>Consistance des travaux</w:t>
      </w:r>
      <w:bookmarkEnd w:id="398"/>
    </w:p>
    <w:p>
      <w:pPr>
        <w:pStyle w:val="TEXTE"/>
        <w:spacing w:before="200" w:after="120"/>
        <w:rPr/>
      </w:pPr>
      <w:r>
        <w:rPr/>
        <w:t>Les principales prestations à réaliser au titre du projet comprennent :</w:t>
      </w:r>
    </w:p>
    <w:p>
      <w:pPr>
        <w:pStyle w:val="P1"/>
        <w:numPr>
          <w:ilvl w:val="0"/>
          <w:numId w:val="28"/>
        </w:numPr>
        <w:tabs>
          <w:tab w:val="clear" w:pos="8789"/>
        </w:tabs>
        <w:spacing w:before="0" w:after="120"/>
        <w:ind w:left="714" w:hanging="357"/>
        <w:rPr>
          <w:lang w:val="fr-FR"/>
        </w:rPr>
      </w:pPr>
      <w:r>
        <w:rPr>
          <w:lang w:val="fr-FR"/>
        </w:rPr>
        <w:t>La protection préalable des ouvrages en place avant intervention lorsque cela s’avère nécessaire et le nettoyage du site au fil de l’eau</w:t>
      </w:r>
    </w:p>
    <w:p>
      <w:pPr>
        <w:pStyle w:val="P1"/>
        <w:numPr>
          <w:ilvl w:val="0"/>
          <w:numId w:val="28"/>
        </w:numPr>
        <w:tabs>
          <w:tab w:val="clear" w:pos="8789"/>
        </w:tabs>
        <w:spacing w:before="0" w:after="120"/>
        <w:ind w:left="714" w:hanging="357"/>
        <w:rPr>
          <w:lang w:val="fr-FR"/>
        </w:rPr>
      </w:pPr>
      <w:r>
        <w:rPr>
          <w:lang w:val="fr-FR"/>
        </w:rPr>
        <w:t>La fourniture des panneaux de correction acoustique de divers formats, le transport sur le site, le déchargement, le stockage et la préservation sur site ;</w:t>
      </w:r>
    </w:p>
    <w:p>
      <w:pPr>
        <w:pStyle w:val="P1"/>
        <w:numPr>
          <w:ilvl w:val="0"/>
          <w:numId w:val="28"/>
        </w:numPr>
        <w:tabs>
          <w:tab w:val="clear" w:pos="8789"/>
        </w:tabs>
        <w:spacing w:before="0" w:after="120"/>
        <w:ind w:left="714" w:hanging="357"/>
        <w:rPr>
          <w:lang w:val="fr-FR"/>
        </w:rPr>
      </w:pPr>
      <w:r>
        <w:rPr>
          <w:lang w:val="fr-FR"/>
        </w:rPr>
        <w:t>La manutention et la mise en œuvre des panneaux de correction acoustique sur le mur (mur 1 selon l’étude ergonomique et acoustique jointe en annexe) de la façade Nord de la salle d’exploitation ;</w:t>
      </w:r>
    </w:p>
    <w:p>
      <w:pPr>
        <w:pStyle w:val="P1"/>
        <w:numPr>
          <w:ilvl w:val="0"/>
          <w:numId w:val="28"/>
        </w:numPr>
        <w:tabs>
          <w:tab w:val="clear" w:pos="8789"/>
        </w:tabs>
        <w:spacing w:before="0" w:after="120"/>
        <w:ind w:left="714" w:hanging="357"/>
        <w:rPr>
          <w:lang w:val="fr-FR"/>
        </w:rPr>
      </w:pPr>
      <w:r>
        <w:rPr>
          <w:lang w:val="fr-FR"/>
        </w:rPr>
        <w:t>La manutention et la mise en œuvre des panneaux de correction acoustique sur la cloison de séparation entre le couloir et la salle d’exploitation (mur 2 selon l’étude ergonomique et acoustique jointe en annexe) ;</w:t>
      </w:r>
    </w:p>
    <w:p>
      <w:pPr>
        <w:pStyle w:val="P1"/>
        <w:numPr>
          <w:ilvl w:val="0"/>
          <w:numId w:val="28"/>
        </w:numPr>
        <w:tabs>
          <w:tab w:val="clear" w:pos="8789"/>
        </w:tabs>
        <w:spacing w:before="0" w:after="120"/>
        <w:ind w:left="714" w:hanging="357"/>
        <w:rPr>
          <w:lang w:val="fr-FR"/>
        </w:rPr>
      </w:pPr>
      <w:r>
        <w:rPr>
          <w:lang w:val="fr-FR"/>
        </w:rPr>
        <w:t>La manutention et la mise en œuvre des panneaux de correction acoustique du mur d’images </w:t>
      </w:r>
    </w:p>
    <w:p>
      <w:pPr>
        <w:pStyle w:val="P1"/>
        <w:numPr>
          <w:ilvl w:val="0"/>
          <w:numId w:val="28"/>
        </w:numPr>
        <w:tabs>
          <w:tab w:val="clear" w:pos="8789"/>
        </w:tabs>
        <w:spacing w:before="0" w:after="120"/>
        <w:ind w:left="714" w:hanging="357"/>
        <w:rPr>
          <w:lang w:val="fr-FR"/>
        </w:rPr>
      </w:pPr>
      <w:r>
        <w:rPr>
          <w:lang w:val="fr-FR"/>
        </w:rPr>
        <w:t>La protection nécessaire des panneaux avant leur réception ;</w:t>
      </w:r>
    </w:p>
    <w:p>
      <w:pPr>
        <w:pStyle w:val="P1"/>
        <w:numPr>
          <w:ilvl w:val="0"/>
          <w:numId w:val="28"/>
        </w:numPr>
        <w:tabs>
          <w:tab w:val="clear" w:pos="8789"/>
        </w:tabs>
        <w:spacing w:before="0" w:after="120"/>
        <w:ind w:left="714" w:hanging="357"/>
        <w:rPr>
          <w:lang w:val="fr-FR"/>
        </w:rPr>
      </w:pPr>
      <w:r>
        <w:rPr>
          <w:lang w:val="fr-FR"/>
        </w:rPr>
        <w:t>L’enlèvement des protections, le nettoyage en phase finale de tous les ouvrages mis en place ou environnants ;</w:t>
      </w:r>
    </w:p>
    <w:p>
      <w:pPr>
        <w:pStyle w:val="P1"/>
        <w:numPr>
          <w:ilvl w:val="0"/>
          <w:numId w:val="28"/>
        </w:numPr>
        <w:tabs>
          <w:tab w:val="clear" w:pos="8789"/>
        </w:tabs>
        <w:spacing w:before="0" w:after="120"/>
        <w:ind w:left="714" w:hanging="357"/>
        <w:rPr>
          <w:lang w:val="fr-FR"/>
        </w:rPr>
      </w:pPr>
      <w:r>
        <w:rPr>
          <w:lang w:val="fr-FR"/>
        </w:rPr>
        <w:t>Les mesures acoustiques.</w:t>
      </w:r>
    </w:p>
    <w:p>
      <w:pPr>
        <w:pStyle w:val="Titre2"/>
        <w:tabs>
          <w:tab w:val="clear" w:pos="0"/>
          <w:tab w:val="clear" w:pos="8789"/>
          <w:tab w:val="left" w:pos="426" w:leader="none"/>
        </w:tabs>
        <w:ind w:left="0" w:hanging="0"/>
        <w:rPr/>
      </w:pPr>
      <w:bookmarkStart w:id="399" w:name="_Toc32334672"/>
      <w:r>
        <w:rPr/>
        <w:t>Dispositions ergonomiques</w:t>
      </w:r>
      <w:bookmarkEnd w:id="399"/>
    </w:p>
    <w:p>
      <w:pPr>
        <w:pStyle w:val="Corpsdetexte"/>
        <w:rPr/>
      </w:pPr>
      <w:r>
        <w:rPr/>
        <w:t>Les dispositions ergonomiques projetées sont jointes en annexe 2, elles ont pour objectif de :</w:t>
      </w:r>
    </w:p>
    <w:p>
      <w:pPr>
        <w:pStyle w:val="Corpsdetexte"/>
        <w:numPr>
          <w:ilvl w:val="0"/>
          <w:numId w:val="23"/>
        </w:numPr>
        <w:spacing w:before="120" w:after="120"/>
        <w:ind w:left="714" w:hanging="357"/>
        <w:rPr>
          <w:rFonts w:cs="Arial"/>
        </w:rPr>
      </w:pPr>
      <w:r>
        <w:rPr>
          <w:rFonts w:cs="Arial"/>
        </w:rPr>
        <w:t>Proposer une solution en termes d’aménagement et de volume de la salle d’exploitation définitive ;</w:t>
      </w:r>
    </w:p>
    <w:p>
      <w:pPr>
        <w:pStyle w:val="Corpsdetexte"/>
        <w:numPr>
          <w:ilvl w:val="0"/>
          <w:numId w:val="23"/>
        </w:numPr>
        <w:spacing w:before="120" w:after="120"/>
        <w:ind w:left="714" w:hanging="357"/>
        <w:rPr>
          <w:rFonts w:cs="Arial"/>
        </w:rPr>
      </w:pPr>
      <w:r>
        <w:rPr>
          <w:rFonts w:cs="Arial"/>
        </w:rPr>
        <w:t>Confirmer les liaisons visuelles entre la salle d’exploitation, l’espace de crise et le lieu de vie par l’intermédiaire de vues en perspectives ;</w:t>
      </w:r>
    </w:p>
    <w:p>
      <w:pPr>
        <w:pStyle w:val="Corpsdetexte"/>
        <w:numPr>
          <w:ilvl w:val="0"/>
          <w:numId w:val="23"/>
        </w:numPr>
        <w:spacing w:before="120" w:after="120"/>
        <w:ind w:left="714" w:hanging="357"/>
        <w:rPr>
          <w:rFonts w:cs="Arial"/>
        </w:rPr>
      </w:pPr>
      <w:r>
        <w:rPr>
          <w:rFonts w:cs="Arial"/>
        </w:rPr>
        <w:t>Définir les caractéristiques qualitatives des mobiliers sur mesures à installer (hors mobilier standards ;</w:t>
      </w:r>
    </w:p>
    <w:p>
      <w:pPr>
        <w:pStyle w:val="Corpsdetexte"/>
        <w:numPr>
          <w:ilvl w:val="0"/>
          <w:numId w:val="23"/>
        </w:numPr>
        <w:spacing w:before="120" w:after="120"/>
        <w:ind w:left="714" w:hanging="357"/>
        <w:rPr>
          <w:rFonts w:cs="Arial"/>
        </w:rPr>
      </w:pPr>
      <w:r>
        <w:rPr>
          <w:rFonts w:cs="Arial"/>
        </w:rPr>
        <w:t>Définir les caractéristiques de l’éclairage de la salle d’exploitation.</w:t>
      </w:r>
    </w:p>
    <w:p>
      <w:pPr>
        <w:pStyle w:val="Titre2"/>
        <w:tabs>
          <w:tab w:val="clear" w:pos="0"/>
          <w:tab w:val="clear" w:pos="8789"/>
          <w:tab w:val="left" w:pos="426" w:leader="none"/>
        </w:tabs>
        <w:ind w:left="0" w:hanging="0"/>
        <w:rPr/>
      </w:pPr>
      <w:bookmarkStart w:id="400" w:name="_Toc32334673"/>
      <w:r>
        <w:rPr/>
        <w:t>Phasage des travaux</w:t>
      </w:r>
      <w:bookmarkEnd w:id="400"/>
      <w:r>
        <w:rPr/>
        <w:t xml:space="preserve"> </w:t>
      </w:r>
    </w:p>
    <w:p>
      <w:pPr>
        <w:pStyle w:val="Titre3"/>
        <w:rPr/>
      </w:pPr>
      <w:bookmarkStart w:id="401" w:name="_Toc32334674"/>
      <w:r>
        <w:rPr/>
        <w:t>Impact sur l’exploitation</w:t>
      </w:r>
      <w:bookmarkEnd w:id="401"/>
    </w:p>
    <w:p>
      <w:pPr>
        <w:pStyle w:val="Titre4"/>
        <w:rPr/>
      </w:pPr>
      <w:bookmarkStart w:id="402" w:name="_Toc32334675"/>
      <w:r>
        <w:rPr/>
        <w:t>Généralités</w:t>
      </w:r>
      <w:bookmarkEnd w:id="402"/>
    </w:p>
    <w:p>
      <w:pPr>
        <w:pStyle w:val="Corpsdetexte"/>
        <w:rPr/>
      </w:pPr>
      <w:r>
        <w:rPr/>
        <w:t>Les travaux vont engendrer une gêne à l’exploitation, d’une part du fait de la présence de personnel de travaux et d’autre part du fait de multiples déplacements des personnels et des outils d’exploitation. Cependant le phasage envisagé permet aux exploitants de ne perdre à aucun moment ses outils maintenus dans des conditions relativement confortables, au regard des travaux à réaliser.</w:t>
      </w:r>
    </w:p>
    <w:p>
      <w:pPr>
        <w:pStyle w:val="P1"/>
        <w:spacing w:before="200" w:after="120"/>
        <w:rPr/>
      </w:pPr>
      <w:r>
        <w:rPr/>
        <w:t>Le PCTT fonctionne en permanence, la présence du personnel est la suivante :</w:t>
      </w:r>
    </w:p>
    <w:p>
      <w:pPr>
        <w:pStyle w:val="P2"/>
        <w:numPr>
          <w:ilvl w:val="0"/>
          <w:numId w:val="25"/>
        </w:numPr>
        <w:spacing w:before="120" w:after="120"/>
        <w:rPr>
          <w:rFonts w:eastAsia="Calibri" w:eastAsiaTheme="minorHAnsi"/>
          <w:lang w:eastAsia="en-US"/>
        </w:rPr>
      </w:pPr>
      <w:r>
        <w:rPr>
          <w:rFonts w:eastAsia="Calibri" w:eastAsiaTheme="minorHAnsi"/>
          <w:lang w:eastAsia="en-US"/>
        </w:rPr>
        <w:t>Un OST est présent en permanence en salle d’exploitation (24h/24h : 7j/7j). Les OST travaillent en 3x8 et sont au nombre de neuf ;</w:t>
      </w:r>
    </w:p>
    <w:p>
      <w:pPr>
        <w:pStyle w:val="P2"/>
        <w:numPr>
          <w:ilvl w:val="0"/>
          <w:numId w:val="25"/>
        </w:numPr>
        <w:spacing w:before="120" w:after="120"/>
        <w:rPr>
          <w:rFonts w:eastAsia="Calibri" w:eastAsiaTheme="minorHAnsi"/>
          <w:lang w:eastAsia="en-US"/>
        </w:rPr>
      </w:pPr>
      <w:r>
        <w:rPr>
          <w:rFonts w:eastAsia="Calibri" w:eastAsiaTheme="minorHAnsi"/>
          <w:lang w:eastAsia="en-US"/>
        </w:rPr>
        <w:t>Un TDM est présent ponctuellement en salle d’exploitation. Les TDM travaillent en 2x8 de 6h à 22h en semaine (dans les bureaux du PCTT et sur le terrain) ;</w:t>
      </w:r>
    </w:p>
    <w:p>
      <w:pPr>
        <w:pStyle w:val="P2"/>
        <w:numPr>
          <w:ilvl w:val="0"/>
          <w:numId w:val="25"/>
        </w:numPr>
        <w:spacing w:before="120" w:after="120"/>
        <w:rPr>
          <w:rFonts w:eastAsia="Calibri" w:eastAsiaTheme="minorHAnsi"/>
          <w:lang w:eastAsia="en-US"/>
        </w:rPr>
      </w:pPr>
      <w:r>
        <w:rPr>
          <w:rFonts w:eastAsia="Calibri" w:eastAsiaTheme="minorHAnsi"/>
          <w:lang w:eastAsia="en-US"/>
        </w:rPr>
        <w:t>Deux pupitreurs CRS sont présents en permanence en salle d’exploitation (24h/24h : 7j/7j).</w:t>
      </w:r>
    </w:p>
    <w:p>
      <w:pPr>
        <w:pStyle w:val="P1"/>
        <w:ind w:hanging="11"/>
        <w:rPr/>
      </w:pPr>
      <w:r>
        <w:rPr/>
        <w:t>L’aménagement de la salle d’exploitation doit permettre à chacun des pôles DiRIF et CRS d’effectuer leurs activités sans être une gêne pour l’autre pôle, tout en facilitant les échanges et la communication entre ces deux pôles.</w:t>
      </w:r>
    </w:p>
    <w:p>
      <w:pPr>
        <w:pStyle w:val="P1"/>
        <w:ind w:hanging="11"/>
        <w:rPr/>
      </w:pPr>
      <w:r>
        <w:rPr/>
        <w:t>L’aménagement des autres locaux doit également permettre au personnel des bureaux et aux éventuels intervenants extérieurs d’effectuer leurs missions dans des conditions de travail satisfaisantes.</w:t>
      </w:r>
    </w:p>
    <w:p>
      <w:pPr>
        <w:pStyle w:val="Titre4"/>
        <w:rPr/>
      </w:pPr>
      <w:bookmarkStart w:id="403" w:name="_Toc32334676"/>
      <w:r>
        <w:rPr/>
        <w:t>Précautions</w:t>
      </w:r>
      <w:bookmarkEnd w:id="403"/>
    </w:p>
    <w:p>
      <w:pPr>
        <w:pStyle w:val="P1"/>
        <w:spacing w:before="200" w:after="120"/>
        <w:ind w:hanging="11"/>
        <w:rPr/>
      </w:pPr>
      <w:r>
        <w:rPr/>
        <w:t>Les travaux seront réalisés en site occupé en tenant compte de toutes les contraintes relatives à la spécificité du site, de ses occupants et des travaux à réaliser, notamment :</w:t>
      </w:r>
    </w:p>
    <w:p>
      <w:pPr>
        <w:pStyle w:val="P2"/>
        <w:numPr>
          <w:ilvl w:val="0"/>
          <w:numId w:val="25"/>
        </w:numPr>
        <w:spacing w:before="120" w:after="120"/>
        <w:rPr>
          <w:rFonts w:eastAsia="Calibri" w:eastAsiaTheme="minorHAnsi"/>
          <w:lang w:eastAsia="en-US"/>
        </w:rPr>
      </w:pPr>
      <w:r>
        <w:rPr>
          <w:rFonts w:eastAsia="Calibri" w:eastAsiaTheme="minorHAnsi"/>
          <w:lang w:eastAsia="en-US"/>
        </w:rPr>
        <w:t>Les nuisances sonores ;</w:t>
      </w:r>
    </w:p>
    <w:p>
      <w:pPr>
        <w:pStyle w:val="P2"/>
        <w:numPr>
          <w:ilvl w:val="0"/>
          <w:numId w:val="25"/>
        </w:numPr>
        <w:spacing w:before="120" w:after="120"/>
        <w:rPr>
          <w:rFonts w:eastAsia="Calibri" w:eastAsiaTheme="minorHAnsi"/>
          <w:lang w:eastAsia="en-US"/>
        </w:rPr>
      </w:pPr>
      <w:r>
        <w:rPr>
          <w:rFonts w:eastAsia="Calibri" w:eastAsiaTheme="minorHAnsi"/>
          <w:lang w:eastAsia="en-US"/>
        </w:rPr>
        <w:t>L’indisponibilité de certains locaux et/ou certaines circulations pendant les différentes phases de chantier ;</w:t>
      </w:r>
    </w:p>
    <w:p>
      <w:pPr>
        <w:pStyle w:val="P2"/>
        <w:numPr>
          <w:ilvl w:val="0"/>
          <w:numId w:val="25"/>
        </w:numPr>
        <w:spacing w:before="120" w:after="120"/>
        <w:rPr>
          <w:rFonts w:eastAsia="Calibri" w:eastAsiaTheme="minorHAnsi"/>
          <w:lang w:eastAsia="en-US"/>
        </w:rPr>
      </w:pPr>
      <w:r>
        <w:rPr>
          <w:rFonts w:eastAsia="Calibri" w:eastAsiaTheme="minorHAnsi"/>
          <w:lang w:eastAsia="en-US"/>
        </w:rPr>
        <w:t xml:space="preserve">Les nuisances associées à la présence d’installations et de matériel de chantier. </w:t>
      </w:r>
    </w:p>
    <w:p>
      <w:pPr>
        <w:pStyle w:val="P1"/>
        <w:ind w:hanging="11"/>
        <w:rPr/>
      </w:pPr>
      <w:r>
        <w:rPr/>
        <w:t>Les normes de sécurité incendie en vigueur seront respectées pendant toute la durée des travaux.</w:t>
      </w:r>
    </w:p>
    <w:p>
      <w:pPr>
        <w:pStyle w:val="Titre3"/>
        <w:rPr/>
      </w:pPr>
      <w:bookmarkStart w:id="404" w:name="_Toc32334677"/>
      <w:r>
        <w:rPr/>
        <w:t>Fonctionnalité – phasage général</w:t>
      </w:r>
      <w:bookmarkEnd w:id="404"/>
    </w:p>
    <w:p>
      <w:pPr>
        <w:pStyle w:val="Normal"/>
        <w:tabs>
          <w:tab w:val="clear" w:pos="708"/>
          <w:tab w:val="right" w:pos="8789" w:leader="underscore"/>
        </w:tabs>
        <w:spacing w:before="200" w:after="120"/>
        <w:rPr/>
      </w:pPr>
      <w:r>
        <w:rPr/>
        <w:t>Le phasage général proposé est le suivant :</w:t>
      </w:r>
    </w:p>
    <w:p>
      <w:pPr>
        <w:pStyle w:val="P1"/>
        <w:numPr>
          <w:ilvl w:val="0"/>
          <w:numId w:val="25"/>
        </w:numPr>
        <w:rPr/>
      </w:pPr>
      <w:r>
        <w:rPr/>
        <w:t>Phase 1 : Cette phase consiste à créer une salle d’exploitation provisoire disposant de l’ensemble des infrastructures nécessaires à son fonctionnement (réseaux électriques et informatiques, mobiliers, liaisons par câbles, mise à disposition des images vidéo, etc.),</w:t>
      </w:r>
    </w:p>
    <w:p>
      <w:pPr>
        <w:pStyle w:val="P1"/>
        <w:numPr>
          <w:ilvl w:val="0"/>
          <w:numId w:val="25"/>
        </w:numPr>
        <w:rPr/>
      </w:pPr>
      <w:r>
        <w:rPr/>
        <w:t>Phase 2 : Après vérification du bon fonctionnement des infrastructures décrites dans la phase précédente, cette phase consiste à déménager chacun des systèmes selon les méthodes proposées ci-après,</w:t>
      </w:r>
    </w:p>
    <w:p>
      <w:pPr>
        <w:pStyle w:val="P1"/>
        <w:numPr>
          <w:ilvl w:val="0"/>
          <w:numId w:val="25"/>
        </w:numPr>
        <w:rPr/>
      </w:pPr>
      <w:r>
        <w:rPr/>
        <w:t>Phase 3 : Cette phase consiste à aménager la salle d’exploitation définitive (mobiliers, éclairage, infrastructures réseau, énergie, etc.) et une partie des locaux du 1er niveau du bâtiment, tout en conservant le fonctionnement optimum des sanitaires et de la cuisine,</w:t>
      </w:r>
    </w:p>
    <w:p>
      <w:pPr>
        <w:pStyle w:val="P1"/>
        <w:numPr>
          <w:ilvl w:val="0"/>
          <w:numId w:val="25"/>
        </w:numPr>
        <w:rPr/>
      </w:pPr>
      <w:r>
        <w:rPr/>
        <w:t>Phase 4 : Après achèvement des travaux de la salle d’exploitation définitive et vérification que l’ensemble des infrastructures est opérationnel, cette phase consiste à déménager les personnels et les systèmes selon une méthode identique à celle utilisée en phase 2.</w:t>
      </w:r>
    </w:p>
    <w:p>
      <w:pPr>
        <w:pStyle w:val="TEXTE"/>
        <w:rPr/>
      </w:pPr>
      <w:r>
        <w:rPr/>
        <w:t>Le phasage proposé a été étudié en tenant compte des éléments sensibles de l’opération :</w:t>
      </w:r>
    </w:p>
    <w:p>
      <w:pPr>
        <w:pStyle w:val="P1"/>
        <w:numPr>
          <w:ilvl w:val="0"/>
          <w:numId w:val="25"/>
        </w:numPr>
        <w:rPr/>
      </w:pPr>
      <w:r>
        <w:rPr/>
        <w:t>Transferts de fonctionnement entre les salles d’exploitation d’origine, temporaire et définitive,</w:t>
      </w:r>
    </w:p>
    <w:p>
      <w:pPr>
        <w:pStyle w:val="P1"/>
        <w:numPr>
          <w:ilvl w:val="0"/>
          <w:numId w:val="25"/>
        </w:numPr>
        <w:rPr/>
      </w:pPr>
      <w:r>
        <w:rPr/>
        <w:t>Délais de commande, de fabrication, de livraison, de montage et de réception des mobiliers sur mesures,</w:t>
      </w:r>
    </w:p>
    <w:p>
      <w:pPr>
        <w:pStyle w:val="P1"/>
        <w:numPr>
          <w:ilvl w:val="0"/>
          <w:numId w:val="25"/>
        </w:numPr>
        <w:rPr/>
      </w:pPr>
      <w:r>
        <w:rPr/>
        <w:t>Délais d’approvisionnement des mobiliers standards fournis directement par la DiRIF,</w:t>
      </w:r>
    </w:p>
    <w:p>
      <w:pPr>
        <w:pStyle w:val="P2"/>
        <w:numPr>
          <w:ilvl w:val="0"/>
          <w:numId w:val="25"/>
        </w:numPr>
        <w:spacing w:before="120" w:after="120"/>
        <w:rPr>
          <w:rFonts w:eastAsia="Calibri" w:eastAsiaTheme="minorHAnsi"/>
          <w:lang w:eastAsia="en-US"/>
        </w:rPr>
      </w:pPr>
      <w:r>
        <w:rPr/>
        <w:t>Durée optimisée des travaux.</w:t>
      </w:r>
    </w:p>
    <w:p>
      <w:pPr>
        <w:pStyle w:val="Titre3"/>
        <w:rPr/>
      </w:pPr>
      <w:bookmarkStart w:id="405" w:name="_Toc32334678"/>
      <w:r>
        <w:rPr/>
        <w:t>Phase 1 – salle d’exploitation provisoire</w:t>
      </w:r>
      <w:bookmarkEnd w:id="405"/>
    </w:p>
    <w:p>
      <w:pPr>
        <w:pStyle w:val="Titre4"/>
        <w:rPr/>
      </w:pPr>
      <w:bookmarkStart w:id="406" w:name="_Toc32334679"/>
      <w:r>
        <w:rPr/>
        <w:t>Consistance des travaux</w:t>
      </w:r>
      <w:bookmarkEnd w:id="406"/>
    </w:p>
    <w:p>
      <w:pPr>
        <w:pStyle w:val="Normal"/>
        <w:rPr/>
      </w:pPr>
      <w:r>
        <w:rPr/>
      </w:r>
    </w:p>
    <w:p>
      <w:pPr>
        <w:pStyle w:val="Normal"/>
        <w:rPr/>
      </w:pPr>
      <w:r>
        <w:rPr/>
        <w:t>La phase 1 consiste à créer la salle d’exploitation provisoire d’une surface de 47 m² et disposant de l’ensemble des infrastructures nécessaires à son fonctionnement (réseaux électriques et informatiques, mobiliers, liaisons par câbles, mise à disposition des images vidéo, etc.), dans le hall d’accueil. Elle sera créée par un cloisonnement provisoire. Ce cloisonnement sera conçu pour être démonté sans dégradation de la pièce (supports sur les murs qui seront rebouchés et repeints).</w:t>
      </w:r>
    </w:p>
    <w:p>
      <w:pPr>
        <w:pStyle w:val="Normal"/>
        <w:rPr/>
      </w:pPr>
      <w:r>
        <w:rPr/>
      </w:r>
    </w:p>
    <w:p>
      <w:pPr>
        <w:pStyle w:val="Normal"/>
        <w:rPr/>
      </w:pPr>
      <w:r>
        <w:rPr/>
        <w:t>Il est rappelé que la fourniture des mobiliers, du mur d’images, des équipements de chauffage/climatisation, du matériel d’éclairage et des accessoires (horloge, porte-manteaux, tableau magnétique, etc…) est hors marché. Les prestations prévues au projet consistent à installer et à déposer le matériel mis à disposition par la DiRIF.</w:t>
      </w:r>
    </w:p>
    <w:p>
      <w:pPr>
        <w:pStyle w:val="Normal"/>
        <w:rPr/>
      </w:pPr>
      <w:r>
        <w:rPr/>
      </w:r>
    </w:p>
    <w:p>
      <w:pPr>
        <w:pStyle w:val="Normal"/>
        <w:rPr/>
      </w:pPr>
      <w:r>
        <w:rPr/>
        <w:t>Les contraintes de continuité de fonctionnement pendant les travaux sont prises en compte, à savoir :</w:t>
      </w:r>
    </w:p>
    <w:p>
      <w:pPr>
        <w:pStyle w:val="P1"/>
        <w:numPr>
          <w:ilvl w:val="0"/>
          <w:numId w:val="25"/>
        </w:numPr>
        <w:rPr/>
      </w:pPr>
      <w:r>
        <w:rPr/>
        <w:t xml:space="preserve">Mise à disposition des outils et moyens de communication (moniteurs LCD en remplacement du mur d’images), </w:t>
      </w:r>
    </w:p>
    <w:p>
      <w:pPr>
        <w:pStyle w:val="P1"/>
        <w:numPr>
          <w:ilvl w:val="0"/>
          <w:numId w:val="25"/>
        </w:numPr>
        <w:rPr/>
      </w:pPr>
      <w:r>
        <w:rPr/>
        <w:t xml:space="preserve">Protection des ouvrages (en particulier cheminements de câbles), </w:t>
      </w:r>
    </w:p>
    <w:p>
      <w:pPr>
        <w:pStyle w:val="P1"/>
        <w:numPr>
          <w:ilvl w:val="0"/>
          <w:numId w:val="25"/>
        </w:numPr>
        <w:rPr/>
      </w:pPr>
      <w:r>
        <w:rPr/>
        <w:t xml:space="preserve">Limitation des nuisances (sonores, poussière, gravois, etc.), </w:t>
      </w:r>
    </w:p>
    <w:p>
      <w:pPr>
        <w:pStyle w:val="P1"/>
        <w:numPr>
          <w:ilvl w:val="0"/>
          <w:numId w:val="25"/>
        </w:numPr>
        <w:rPr/>
      </w:pPr>
      <w:r>
        <w:rPr/>
        <w:t xml:space="preserve">Isolation vis-à-vis des zones de travaux et des intervenants, </w:t>
      </w:r>
    </w:p>
    <w:p>
      <w:pPr>
        <w:pStyle w:val="Normal"/>
        <w:rPr/>
      </w:pPr>
      <w:r>
        <w:rPr/>
        <w:t>La nature et l’étendue des dispositions projetées concernent :</w:t>
      </w:r>
    </w:p>
    <w:p>
      <w:pPr>
        <w:pStyle w:val="P1"/>
        <w:numPr>
          <w:ilvl w:val="0"/>
          <w:numId w:val="25"/>
        </w:numPr>
        <w:rPr>
          <w:lang w:val="fr-FR"/>
        </w:rPr>
      </w:pPr>
      <w:r>
        <w:rPr>
          <w:lang w:val="fr-FR"/>
        </w:rPr>
        <w:t xml:space="preserve">L’aménagement de la salle d’exploitation provisoire : </w:t>
      </w:r>
    </w:p>
    <w:p>
      <w:pPr>
        <w:pStyle w:val="P2"/>
        <w:numPr>
          <w:ilvl w:val="1"/>
          <w:numId w:val="25"/>
        </w:numPr>
        <w:spacing w:before="120" w:after="120"/>
        <w:rPr/>
      </w:pPr>
      <w:bookmarkStart w:id="407" w:name="_Toc384826672"/>
      <w:r>
        <w:rPr/>
        <w:t>Les pupitres</w:t>
      </w:r>
      <w:bookmarkEnd w:id="407"/>
      <w:r>
        <w:rPr>
          <w:rFonts w:eastAsia="Calibri" w:eastAsiaTheme="minorHAnsi"/>
          <w:lang w:eastAsia="en-US"/>
        </w:rPr>
        <w:t>,</w:t>
      </w:r>
    </w:p>
    <w:p>
      <w:pPr>
        <w:pStyle w:val="P2"/>
        <w:numPr>
          <w:ilvl w:val="1"/>
          <w:numId w:val="25"/>
        </w:numPr>
        <w:spacing w:before="120" w:after="120"/>
        <w:rPr>
          <w:rFonts w:eastAsia="Calibri" w:eastAsiaTheme="minorHAnsi"/>
          <w:lang w:eastAsia="en-US"/>
        </w:rPr>
      </w:pPr>
      <w:r>
        <w:rPr>
          <w:rFonts w:eastAsia="Calibri" w:eastAsiaTheme="minorHAnsi"/>
          <w:lang w:eastAsia="en-US"/>
        </w:rPr>
        <w:t>Le mur d’image,</w:t>
      </w:r>
    </w:p>
    <w:p>
      <w:pPr>
        <w:pStyle w:val="P2"/>
        <w:numPr>
          <w:ilvl w:val="1"/>
          <w:numId w:val="25"/>
        </w:numPr>
        <w:spacing w:before="120" w:after="120"/>
        <w:rPr>
          <w:rFonts w:eastAsia="Calibri" w:eastAsiaTheme="minorHAnsi"/>
          <w:lang w:eastAsia="en-US"/>
        </w:rPr>
      </w:pPr>
      <w:r>
        <w:rPr>
          <w:rFonts w:eastAsia="Calibri" w:eastAsiaTheme="minorHAnsi"/>
          <w:lang w:eastAsia="en-US"/>
        </w:rPr>
        <w:t>La climatisation – chauffage,</w:t>
      </w:r>
    </w:p>
    <w:p>
      <w:pPr>
        <w:pStyle w:val="P2"/>
        <w:numPr>
          <w:ilvl w:val="1"/>
          <w:numId w:val="25"/>
        </w:numPr>
        <w:spacing w:before="120" w:after="120"/>
        <w:rPr>
          <w:rFonts w:eastAsia="Calibri" w:eastAsiaTheme="minorHAnsi"/>
          <w:lang w:eastAsia="en-US"/>
        </w:rPr>
      </w:pPr>
      <w:r>
        <w:rPr>
          <w:rFonts w:eastAsia="Calibri" w:eastAsiaTheme="minorHAnsi"/>
          <w:lang w:eastAsia="en-US"/>
        </w:rPr>
        <w:t>La distribution électrique,</w:t>
      </w:r>
    </w:p>
    <w:p>
      <w:pPr>
        <w:pStyle w:val="P2"/>
        <w:numPr>
          <w:ilvl w:val="1"/>
          <w:numId w:val="25"/>
        </w:numPr>
        <w:spacing w:before="120" w:after="120"/>
        <w:rPr>
          <w:rFonts w:eastAsia="Calibri" w:eastAsiaTheme="minorHAnsi"/>
          <w:lang w:eastAsia="en-US"/>
        </w:rPr>
      </w:pPr>
      <w:r>
        <w:rPr>
          <w:rFonts w:eastAsia="Calibri" w:eastAsiaTheme="minorHAnsi"/>
          <w:lang w:eastAsia="en-US"/>
        </w:rPr>
        <w:t>La sécurité incendie,</w:t>
      </w:r>
    </w:p>
    <w:p>
      <w:pPr>
        <w:pStyle w:val="P2"/>
        <w:numPr>
          <w:ilvl w:val="1"/>
          <w:numId w:val="25"/>
        </w:numPr>
        <w:spacing w:before="120" w:after="120"/>
        <w:rPr>
          <w:rFonts w:eastAsia="Calibri" w:eastAsiaTheme="minorHAnsi"/>
          <w:lang w:eastAsia="en-US"/>
        </w:rPr>
      </w:pPr>
      <w:r>
        <w:rPr>
          <w:rFonts w:eastAsia="Calibri" w:eastAsiaTheme="minorHAnsi"/>
          <w:lang w:eastAsia="en-US"/>
        </w:rPr>
        <w:t xml:space="preserve">Les </w:t>
      </w:r>
      <w:r>
        <w:rPr/>
        <w:t>liaisons câblées entre les bandeaux de brassage (DiRIF et CRS) et la salle d’exploitation provisoire</w:t>
      </w:r>
      <w:r>
        <w:rPr>
          <w:rFonts w:eastAsia="Calibri" w:eastAsiaTheme="minorHAnsi"/>
          <w:lang w:eastAsia="en-US"/>
        </w:rPr>
        <w:t>,</w:t>
      </w:r>
    </w:p>
    <w:p>
      <w:pPr>
        <w:pStyle w:val="P2"/>
        <w:numPr>
          <w:ilvl w:val="1"/>
          <w:numId w:val="25"/>
        </w:numPr>
        <w:spacing w:before="120" w:after="120"/>
        <w:rPr>
          <w:rFonts w:eastAsia="Calibri" w:eastAsiaTheme="minorHAnsi"/>
          <w:lang w:eastAsia="en-US"/>
        </w:rPr>
      </w:pPr>
      <w:r>
        <w:rPr>
          <w:rFonts w:eastAsia="Calibri" w:eastAsiaTheme="minorHAnsi"/>
          <w:lang w:eastAsia="en-US"/>
        </w:rPr>
        <w:t>Les installations spécifiques des CRS.</w:t>
      </w:r>
    </w:p>
    <w:p>
      <w:pPr>
        <w:pStyle w:val="P2"/>
        <w:numPr>
          <w:ilvl w:val="0"/>
          <w:numId w:val="25"/>
        </w:numPr>
        <w:spacing w:before="120" w:after="120"/>
        <w:rPr>
          <w:rFonts w:eastAsia="Calibri" w:eastAsiaTheme="minorHAnsi"/>
          <w:lang w:eastAsia="en-US"/>
        </w:rPr>
      </w:pPr>
      <w:r>
        <w:rPr>
          <w:rFonts w:eastAsia="Calibri" w:eastAsiaTheme="minorHAnsi"/>
          <w:lang w:eastAsia="en-US"/>
        </w:rPr>
        <w:t>La réfection légère d’un sanitaire (peinture).</w:t>
      </w:r>
    </w:p>
    <w:p>
      <w:pPr>
        <w:pStyle w:val="TEXTE"/>
        <w:rPr/>
      </w:pPr>
      <w:r>
        <w:rPr/>
        <w:t>La zone en travaux figure sur le plan de masse ci-dessous.</w:t>
      </w:r>
    </w:p>
    <w:p>
      <w:pPr>
        <w:pStyle w:val="P1"/>
        <w:spacing w:before="0" w:after="0"/>
        <w:rPr/>
      </w:pPr>
      <w:r>
        <w:rPr/>
        <w:drawing>
          <wp:inline distT="0" distB="0" distL="0" distR="0">
            <wp:extent cx="5580380" cy="3380740"/>
            <wp:effectExtent l="0" t="0" r="0" b="0"/>
            <wp:docPr id="17" name="Image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5" descr=""/>
                    <pic:cNvPicPr>
                      <a:picLocks noChangeAspect="1" noChangeArrowheads="1"/>
                    </pic:cNvPicPr>
                  </pic:nvPicPr>
                  <pic:blipFill>
                    <a:blip r:embed="rId21"/>
                    <a:stretch>
                      <a:fillRect/>
                    </a:stretch>
                  </pic:blipFill>
                  <pic:spPr bwMode="auto">
                    <a:xfrm>
                      <a:off x="0" y="0"/>
                      <a:ext cx="5580380" cy="3380740"/>
                    </a:xfrm>
                    <a:prstGeom prst="rect">
                      <a:avLst/>
                    </a:prstGeom>
                  </pic:spPr>
                </pic:pic>
              </a:graphicData>
            </a:graphic>
          </wp:inline>
        </w:drawing>
      </w:r>
    </w:p>
    <w:p>
      <w:pPr>
        <w:pStyle w:val="TFIG"/>
        <w:numPr>
          <w:ilvl w:val="0"/>
          <w:numId w:val="4"/>
        </w:numPr>
        <w:ind w:left="6096" w:hanging="6096"/>
        <w:rPr/>
      </w:pPr>
      <w:bookmarkStart w:id="408" w:name="_Toc32334970"/>
      <w:r>
        <w:rPr/>
        <w:t>Plan de masse des travaux en phase 1</w:t>
      </w:r>
      <w:bookmarkEnd w:id="408"/>
    </w:p>
    <w:p>
      <w:pPr>
        <w:pStyle w:val="Titre4"/>
        <w:rPr/>
      </w:pPr>
      <w:bookmarkStart w:id="409" w:name="_Toc32334680"/>
      <w:r>
        <w:rPr/>
        <w:t>Les pupitres provisoires</w:t>
      </w:r>
      <w:bookmarkEnd w:id="409"/>
    </w:p>
    <w:p>
      <w:pPr>
        <w:pStyle w:val="Corpsdetexte"/>
        <w:rPr/>
      </w:pPr>
      <w:r>
        <w:rPr/>
        <w:t>Afin d’accueillir l’exploitation, des pupitres provisoires (hors fourniture) seront mis en place avec des caissons permettant d’accueillir les unités centrales. Les câblages seront mis sous goulottes fixées au sol.</w:t>
      </w:r>
    </w:p>
    <w:p>
      <w:pPr>
        <w:pStyle w:val="Corpsdetexte"/>
        <w:spacing w:before="200" w:after="120"/>
        <w:rPr/>
      </w:pPr>
      <w:r>
        <w:rPr/>
        <w:t xml:space="preserve">Les principes ergonomiques seront respectés, dans la mesure du possible, sans pour autant installer de matériel important pour cette période transitoire : </w:t>
      </w:r>
    </w:p>
    <w:p>
      <w:pPr>
        <w:pStyle w:val="Corpsdetexte"/>
        <w:numPr>
          <w:ilvl w:val="0"/>
          <w:numId w:val="112"/>
        </w:numPr>
        <w:spacing w:before="200" w:after="120"/>
        <w:ind w:left="714" w:hanging="357"/>
        <w:rPr>
          <w:lang w:val="fr-CA"/>
        </w:rPr>
      </w:pPr>
      <w:r>
        <w:rPr>
          <w:lang w:val="fr-CA"/>
        </w:rPr>
        <w:t>Le plafond vitré sera équipé de stores (visibilité des écrans) qui permettront d’adapter la luminosité nécessaire.</w:t>
      </w:r>
    </w:p>
    <w:p>
      <w:pPr>
        <w:pStyle w:val="Corpsdetexte"/>
        <w:numPr>
          <w:ilvl w:val="0"/>
          <w:numId w:val="112"/>
        </w:numPr>
        <w:spacing w:before="200" w:after="120"/>
        <w:ind w:left="714" w:hanging="357"/>
        <w:rPr>
          <w:lang w:val="fr-CA"/>
        </w:rPr>
      </w:pPr>
      <w:r>
        <w:rPr>
          <w:lang w:val="fr-CA"/>
        </w:rPr>
        <w:t>Une moquette provisoire aura été mise en place préalablement à l’installation du mobilier (réduction des nuisances sonores).</w:t>
      </w:r>
    </w:p>
    <w:p>
      <w:pPr>
        <w:pStyle w:val="Corpsdetexte"/>
        <w:numPr>
          <w:ilvl w:val="0"/>
          <w:numId w:val="112"/>
        </w:numPr>
        <w:spacing w:before="200" w:after="120"/>
        <w:ind w:left="714" w:hanging="357"/>
        <w:rPr>
          <w:lang w:val="fr-CA"/>
        </w:rPr>
      </w:pPr>
      <w:r>
        <w:rPr>
          <w:lang w:val="fr-CA"/>
        </w:rPr>
        <w:t>Un éclairage provisoire sera mis en place au-dessus des pupitres (démontage ultérieur à prévoir).</w:t>
      </w:r>
    </w:p>
    <w:p>
      <w:pPr>
        <w:pStyle w:val="P1"/>
        <w:numPr>
          <w:ilvl w:val="0"/>
          <w:numId w:val="112"/>
        </w:numPr>
        <w:rPr/>
      </w:pPr>
      <w:r>
        <w:rPr/>
        <w:t>Une horloge neuve sera installée au-dessus du mur d’images provisoire.</w:t>
      </w:r>
    </w:p>
    <w:p>
      <w:pPr>
        <w:pStyle w:val="Corpsdetexte"/>
        <w:rPr/>
      </w:pPr>
      <w:r>
        <w:rPr/>
        <w:t>Les zones d’influence DIRIF/CRS seront reportées à l’image de la salle d’exploitation actuelle.</w:t>
      </w:r>
    </w:p>
    <w:p>
      <w:pPr>
        <w:pStyle w:val="Corpsdetexte"/>
        <w:spacing w:before="200" w:after="120"/>
        <w:rPr>
          <w:b/>
          <w:b/>
        </w:rPr>
      </w:pPr>
      <w:r>
        <w:rPr/>
        <w:t>La salle d’exploitation temporaire possèdera un pupitre commun OST, CRS équipé :</w:t>
      </w:r>
    </w:p>
    <w:p>
      <w:pPr>
        <w:pStyle w:val="Corpsdetexte"/>
        <w:numPr>
          <w:ilvl w:val="0"/>
          <w:numId w:val="25"/>
        </w:numPr>
        <w:spacing w:before="200" w:after="120"/>
        <w:ind w:left="714" w:hanging="357"/>
        <w:rPr>
          <w:lang w:val="fr-CA"/>
        </w:rPr>
      </w:pPr>
      <w:r>
        <w:rPr>
          <w:lang w:val="fr-CA"/>
        </w:rPr>
        <w:t>D’un pupitre en forme de « U » sur un linéaire de 10m avec profondeur 0,80m.</w:t>
      </w:r>
    </w:p>
    <w:p>
      <w:pPr>
        <w:pStyle w:val="Corpsdetexte"/>
        <w:numPr>
          <w:ilvl w:val="0"/>
          <w:numId w:val="25"/>
        </w:numPr>
        <w:spacing w:before="200" w:after="120"/>
        <w:ind w:left="714" w:hanging="357"/>
        <w:rPr>
          <w:lang w:val="fr-CA"/>
        </w:rPr>
      </w:pPr>
      <w:r>
        <w:rPr>
          <w:lang w:val="fr-CA"/>
        </w:rPr>
        <w:t>De l’ensemble des postes opérateurs utilisés par les opérateurs DiRIF et CRS.</w:t>
      </w:r>
    </w:p>
    <w:p>
      <w:pPr>
        <w:pStyle w:val="Corpsdetexte"/>
        <w:numPr>
          <w:ilvl w:val="0"/>
          <w:numId w:val="25"/>
        </w:numPr>
        <w:spacing w:before="200" w:after="120"/>
        <w:ind w:left="714" w:hanging="357"/>
        <w:rPr>
          <w:lang w:val="fr-CA"/>
        </w:rPr>
      </w:pPr>
      <w:r>
        <w:rPr>
          <w:lang w:val="fr-CA"/>
        </w:rPr>
        <w:t>Des platines de commande caméras vidéo, téléphones, radio et documentation papier.</w:t>
      </w:r>
    </w:p>
    <w:p>
      <w:pPr>
        <w:pStyle w:val="Corpsdetexte"/>
        <w:rPr/>
      </w:pPr>
      <w:r>
        <w:rPr/>
        <w:t>Les écrans des postes opérateurs seront montés sur des profilés en aluminium placés sur le linéaire du pupitre afin de fixer les supports des écrans. L’intérêt de ces profilés et de pouvoir déplacer les écrans et les ajuster en fonction de la topographie du site, permettant ainsi une plus grande souplesse de mise en œuvre.</w:t>
      </w:r>
    </w:p>
    <w:p>
      <w:pPr>
        <w:pStyle w:val="TEXTE"/>
        <w:rPr/>
      </w:pPr>
      <w:r>
        <w:rPr/>
        <w:t>Les supports des écrans seront articulés afin de rendre possible le réglage manuel de l’opérateur dans les trois axes.</w:t>
      </w:r>
    </w:p>
    <w:p>
      <w:pPr>
        <w:pStyle w:val="Titre3"/>
        <w:rPr/>
      </w:pPr>
      <w:bookmarkStart w:id="410" w:name="_Toc32334681"/>
      <w:r>
        <w:rPr/>
        <w:t>Phase 2 – transfert de fonctionnement provisoire</w:t>
      </w:r>
      <w:bookmarkEnd w:id="410"/>
    </w:p>
    <w:p>
      <w:pPr>
        <w:pStyle w:val="P1"/>
        <w:rPr/>
      </w:pPr>
      <w:r>
        <w:rPr/>
        <w:t>Après vérification minutieuse des infrastructures déployées provisoirement dans le cadre de la phase 1, cette phase consiste à assurer le transfert de fonctionnement des systèmes entre la salle d’exploitation d’origine et la salle d’exploitation provisoire.</w:t>
      </w:r>
    </w:p>
    <w:p>
      <w:pPr>
        <w:pStyle w:val="Titre3"/>
        <w:rPr/>
      </w:pPr>
      <w:bookmarkStart w:id="411" w:name="_Toc32334682"/>
      <w:r>
        <w:rPr/>
        <w:t>Phase 3 – Salle d’exploitation définitive</w:t>
      </w:r>
      <w:bookmarkEnd w:id="411"/>
    </w:p>
    <w:p>
      <w:pPr>
        <w:pStyle w:val="Corpsdetexte"/>
        <w:rPr/>
      </w:pPr>
      <w:r>
        <w:rPr/>
        <w:t xml:space="preserve">La phase 3 consiste à aménager la salle d’exploitation définitive (mobiliers, éclairage, infrastructures réseau, énergie, etc.) et une partie des locaux du 1er niveau du bâtiment, tout en conservant le fonctionnement optimum des sanitaires et de la cuisine. </w:t>
      </w:r>
    </w:p>
    <w:p>
      <w:pPr>
        <w:pStyle w:val="Corpsdetexte"/>
        <w:spacing w:before="200" w:after="120"/>
        <w:rPr/>
      </w:pPr>
      <w:r>
        <w:rPr/>
        <w:t>Les aménagements proposés ont pour objectif de libérer complètement l’emprise de la zone en travaux :</w:t>
      </w:r>
    </w:p>
    <w:p>
      <w:pPr>
        <w:pStyle w:val="P1"/>
        <w:numPr>
          <w:ilvl w:val="0"/>
          <w:numId w:val="113"/>
        </w:numPr>
        <w:spacing w:before="200" w:after="120"/>
        <w:ind w:left="714" w:hanging="357"/>
        <w:rPr/>
      </w:pPr>
      <w:r>
        <w:rPr/>
        <w:t>Maintien en service des toilettes pendant les travaux,</w:t>
      </w:r>
    </w:p>
    <w:p>
      <w:pPr>
        <w:pStyle w:val="P1"/>
        <w:numPr>
          <w:ilvl w:val="0"/>
          <w:numId w:val="113"/>
        </w:numPr>
        <w:spacing w:before="200" w:after="120"/>
        <w:ind w:left="714" w:hanging="357"/>
        <w:rPr/>
      </w:pPr>
      <w:r>
        <w:rPr/>
        <w:t>Maintien en service de l’espace cuisine existant à proximité de l’escalier pendant les travaux,</w:t>
      </w:r>
    </w:p>
    <w:p>
      <w:pPr>
        <w:pStyle w:val="P1"/>
        <w:numPr>
          <w:ilvl w:val="0"/>
          <w:numId w:val="20"/>
        </w:numPr>
        <w:spacing w:before="200" w:after="120"/>
        <w:ind w:left="714" w:hanging="357"/>
        <w:rPr/>
      </w:pPr>
      <w:r>
        <w:rPr/>
        <w:t>La zone en travaux figure sur le plan de masse ci-dessous.</w:t>
      </w:r>
    </w:p>
    <w:p>
      <w:pPr>
        <w:pStyle w:val="Corpsdetexte"/>
        <w:rPr>
          <w:lang w:val="fr-CA"/>
        </w:rPr>
      </w:pPr>
      <w:r>
        <w:rPr/>
        <w:drawing>
          <wp:inline distT="0" distB="0" distL="0" distR="0">
            <wp:extent cx="5393690" cy="3286125"/>
            <wp:effectExtent l="0" t="0" r="0" b="0"/>
            <wp:docPr id="18" name="Image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7" descr=""/>
                    <pic:cNvPicPr>
                      <a:picLocks noChangeAspect="1" noChangeArrowheads="1"/>
                    </pic:cNvPicPr>
                  </pic:nvPicPr>
                  <pic:blipFill>
                    <a:blip r:embed="rId22"/>
                    <a:stretch>
                      <a:fillRect/>
                    </a:stretch>
                  </pic:blipFill>
                  <pic:spPr bwMode="auto">
                    <a:xfrm>
                      <a:off x="0" y="0"/>
                      <a:ext cx="5393690" cy="3286125"/>
                    </a:xfrm>
                    <a:prstGeom prst="rect">
                      <a:avLst/>
                    </a:prstGeom>
                  </pic:spPr>
                </pic:pic>
              </a:graphicData>
            </a:graphic>
          </wp:inline>
        </w:drawing>
      </w:r>
    </w:p>
    <w:p>
      <w:pPr>
        <w:pStyle w:val="TFIG"/>
        <w:numPr>
          <w:ilvl w:val="0"/>
          <w:numId w:val="4"/>
        </w:numPr>
        <w:ind w:left="6096" w:hanging="6096"/>
        <w:rPr/>
      </w:pPr>
      <w:bookmarkStart w:id="412" w:name="_Toc32334971"/>
      <w:bookmarkStart w:id="413" w:name="_Toc396398432"/>
      <w:bookmarkStart w:id="414" w:name="_Toc394569126"/>
      <w:r>
        <w:rPr/>
        <w:t>Plan de masse des travaux en phase 3</w:t>
      </w:r>
      <w:bookmarkEnd w:id="412"/>
      <w:bookmarkEnd w:id="413"/>
      <w:bookmarkEnd w:id="414"/>
    </w:p>
    <w:p>
      <w:pPr>
        <w:pStyle w:val="P1"/>
        <w:numPr>
          <w:ilvl w:val="0"/>
          <w:numId w:val="20"/>
        </w:numPr>
        <w:rPr/>
      </w:pPr>
      <w:r>
        <w:rPr/>
        <w:t>Au terme de la phase 3, l’aménagement définitif comprend :</w:t>
      </w:r>
    </w:p>
    <w:p>
      <w:pPr>
        <w:pStyle w:val="P1"/>
        <w:numPr>
          <w:ilvl w:val="0"/>
          <w:numId w:val="113"/>
        </w:numPr>
        <w:rPr/>
      </w:pPr>
      <w:r>
        <w:rPr/>
        <w:t>La salle d’exploitation définitive,</w:t>
      </w:r>
    </w:p>
    <w:p>
      <w:pPr>
        <w:pStyle w:val="F1"/>
        <w:numPr>
          <w:ilvl w:val="0"/>
          <w:numId w:val="38"/>
        </w:numPr>
        <w:rPr/>
      </w:pPr>
      <w:r>
        <w:rPr/>
        <w:t>La salle de crise.</w:t>
      </w:r>
    </w:p>
    <w:p>
      <w:pPr>
        <w:pStyle w:val="Titre3"/>
        <w:rPr/>
      </w:pPr>
      <w:bookmarkStart w:id="415" w:name="_Toc32334683"/>
      <w:r>
        <w:rPr/>
        <w:t>Phase 4 - transfert de fonctionnement Définitif</w:t>
      </w:r>
      <w:bookmarkEnd w:id="415"/>
    </w:p>
    <w:p>
      <w:pPr>
        <w:pStyle w:val="TEXTE"/>
        <w:rPr/>
      </w:pPr>
      <w:r>
        <w:rPr/>
        <w:t>Après achèvement des travaux de la salle d’exploitation définitive et vérification que l’ensemble des infrastructures est opérationnel, La phase 4 consiste à déménager les personnels et les systèmes selon une méthode identique à celle utilisée en phase 2.</w:t>
      </w:r>
    </w:p>
    <w:p>
      <w:pPr>
        <w:pStyle w:val="TEXTE"/>
        <w:rPr/>
      </w:pPr>
      <w:r>
        <w:rPr/>
        <w:t>L’objectif étant d’assurer le transfert de fonctionnement des systèmes entre la salle d’exploitation d’origine et la salle d’exploitation provisoire. Au terme de cette phase, les travaux de rénovation du PCTT seront achevés.</w:t>
      </w:r>
    </w:p>
    <w:p>
      <w:pPr>
        <w:pStyle w:val="Titre4"/>
        <w:rPr/>
      </w:pPr>
      <w:bookmarkStart w:id="416" w:name="_Toc32334684"/>
      <w:r>
        <w:rPr/>
        <w:t>Impact sur l’exploitation</w:t>
      </w:r>
      <w:bookmarkEnd w:id="416"/>
    </w:p>
    <w:p>
      <w:pPr>
        <w:pStyle w:val="Corpsdetexte"/>
        <w:rPr/>
      </w:pPr>
      <w:r>
        <w:rPr/>
        <w:t>Notre phasage tel que défini précédemment permet aux exploitants de ne perdre à aucun moment ses outils maintenus dans des conditions relativement confortables au regard des travaux à réalisés.</w:t>
      </w:r>
    </w:p>
    <w:p>
      <w:pPr>
        <w:pStyle w:val="Corpsdetexte"/>
        <w:rPr/>
      </w:pPr>
      <w:r>
        <w:rPr/>
        <w:t>Le déménagement des opérateurs vers la salle d’exploitation réaménagée sera réalisé une fois l’ensemble des outils principaux déplacés au pupitre (un poste sur deux pour tous les outils redondants). Lorsque les opérateurs auront réinvesti la salle d’exploitation, les seconds postes relatifs à chacun des systèmes seront déplacés de la salle provisoire vers la salle d’exploitation.</w:t>
      </w:r>
    </w:p>
    <w:p>
      <w:pPr>
        <w:pStyle w:val="Titre4"/>
        <w:rPr/>
      </w:pPr>
      <w:bookmarkStart w:id="417" w:name="_Toc32334685"/>
      <w:bookmarkStart w:id="418" w:name="_Toc375493963"/>
      <w:r>
        <w:rPr/>
        <w:t>Mise en service des outils définitifs</w:t>
      </w:r>
      <w:bookmarkEnd w:id="417"/>
      <w:bookmarkEnd w:id="418"/>
      <w:r>
        <w:rPr/>
        <w:t xml:space="preserve"> </w:t>
      </w:r>
    </w:p>
    <w:p>
      <w:pPr>
        <w:pStyle w:val="Titre5"/>
        <w:rPr/>
      </w:pPr>
      <w:bookmarkStart w:id="419" w:name="_Toc375493964"/>
      <w:r>
        <w:rPr/>
        <w:t>Essais</w:t>
      </w:r>
      <w:bookmarkEnd w:id="419"/>
      <w:r>
        <w:rPr/>
        <w:t xml:space="preserve"> </w:t>
      </w:r>
    </w:p>
    <w:p>
      <w:pPr>
        <w:pStyle w:val="Corpsdetexte"/>
        <w:rPr/>
      </w:pPr>
      <w:r>
        <w:rPr/>
        <w:t>Après chaque déplacement d’outils de la salle provisoire au pupitre définitif il est prévu la réalisation de l’ensemble des tests liés aux différentes fonctionnalités intrinsèques de l’outil déplacé (contrôle des vues, lien réseau avec le terrain ou les serveurs…)</w:t>
      </w:r>
    </w:p>
    <w:p>
      <w:pPr>
        <w:pStyle w:val="Corpsdetexte"/>
        <w:rPr/>
      </w:pPr>
      <w:r>
        <w:rPr/>
        <w:t>Dans un second temps, l’ensemble des actions de l’outil seront testées par prélèvement.</w:t>
      </w:r>
    </w:p>
    <w:p>
      <w:pPr>
        <w:pStyle w:val="Titre5"/>
        <w:rPr/>
      </w:pPr>
      <w:bookmarkStart w:id="420" w:name="_Toc375493965"/>
      <w:r>
        <w:rPr/>
        <w:t>Validation</w:t>
      </w:r>
      <w:bookmarkEnd w:id="420"/>
      <w:r>
        <w:rPr/>
        <w:t xml:space="preserve"> des opérateurs (CRS et OST)</w:t>
      </w:r>
    </w:p>
    <w:p>
      <w:pPr>
        <w:pStyle w:val="Corpsdetexte"/>
        <w:rPr/>
      </w:pPr>
      <w:r>
        <w:rPr/>
        <w:t>Après déplacement des outils redondants (un seul poste), une phase de validation contradictoire sera réalisée avec les exploitants et les opérateurs. Si celle-ci est concluante, l’ensemble des outils sera déplacé (tous les seconds postes) et une nouvelle phase de qualification sera réalisée dans les mêmes conditions.</w:t>
      </w:r>
    </w:p>
    <w:p>
      <w:pPr>
        <w:pStyle w:val="Titre4"/>
        <w:rPr/>
      </w:pPr>
      <w:bookmarkStart w:id="421" w:name="_Toc32334686"/>
      <w:bookmarkStart w:id="422" w:name="_Toc375493966"/>
      <w:r>
        <w:rPr/>
        <w:t>Basculement de l’exploitation</w:t>
      </w:r>
      <w:bookmarkEnd w:id="421"/>
      <w:bookmarkEnd w:id="422"/>
    </w:p>
    <w:p>
      <w:pPr>
        <w:pStyle w:val="Titre5"/>
        <w:rPr/>
      </w:pPr>
      <w:bookmarkStart w:id="423" w:name="_Toc375493967"/>
      <w:r>
        <w:rPr/>
        <w:t>Retour arrière</w:t>
      </w:r>
      <w:bookmarkEnd w:id="423"/>
    </w:p>
    <w:p>
      <w:pPr>
        <w:pStyle w:val="Corpsdetexte"/>
        <w:rPr/>
      </w:pPr>
      <w:r>
        <w:rPr/>
        <w:t>Pour chaque transfert d’un outil d’exploitation, il sera établi une procédure détaillée de retour en arrière, décrivant les étapes à réaliser ainsi que le temps d’indisponibilité du système.</w:t>
      </w:r>
    </w:p>
    <w:p>
      <w:pPr>
        <w:pStyle w:val="Titre5"/>
        <w:rPr/>
      </w:pPr>
      <w:bookmarkStart w:id="424" w:name="_Toc375493968"/>
      <w:r>
        <w:rPr/>
        <w:t xml:space="preserve">Abandon et démontage de la zone </w:t>
      </w:r>
      <w:bookmarkEnd w:id="424"/>
      <w:r>
        <w:rPr/>
        <w:t>provisoire</w:t>
      </w:r>
    </w:p>
    <w:p>
      <w:pPr>
        <w:pStyle w:val="Corpsdetexte"/>
        <w:rPr/>
      </w:pPr>
      <w:r>
        <w:rPr/>
        <w:t>Une fois la totalité du déménagement réalisé, l’ensemble des installations électriques et de transmissions sera déposé.</w:t>
      </w:r>
    </w:p>
    <w:p>
      <w:pPr>
        <w:pStyle w:val="Corpsdetexte"/>
        <w:rPr/>
      </w:pPr>
      <w:r>
        <w:rPr/>
        <w:t xml:space="preserve">Les dégradations engendrées par le passage des câbles provisoires et les supports d’écrans seront rebouchés coupe-feu et les murs seront repeints. Les tables et chaises de la salle de réunion stockées, seront reposées dans la salle de réunion. </w:t>
      </w:r>
    </w:p>
    <w:p>
      <w:pPr>
        <w:pStyle w:val="Corpsdetexte"/>
        <w:rPr/>
      </w:pPr>
      <w:r>
        <w:rPr/>
        <w:t>L’armoire située dans le local technique servant à l’alimentation de la salle d’exploitation provisoire sera également déposée. Les installations de brassage provisoire seront également déposées.</w:t>
      </w:r>
    </w:p>
    <w:p>
      <w:pPr>
        <w:pStyle w:val="Corpsdetexte"/>
        <w:rPr/>
      </w:pPr>
      <w:r>
        <w:rPr/>
        <w:t>Tous les mobiliers et équipements provisoires seront déposés et stockés en prévision du réaménagement du PCTT suivant.</w:t>
      </w:r>
    </w:p>
    <w:p>
      <w:pPr>
        <w:pStyle w:val="Normal"/>
        <w:jc w:val="left"/>
        <w:rPr>
          <w:rFonts w:cs="Arial"/>
        </w:rPr>
      </w:pPr>
      <w:r>
        <w:rPr>
          <w:rFonts w:cs="Arial"/>
        </w:rPr>
      </w:r>
      <w:r>
        <w:br w:type="page"/>
      </w:r>
    </w:p>
    <w:p>
      <w:pPr>
        <w:pStyle w:val="Titre1"/>
        <w:rPr/>
      </w:pPr>
      <w:bookmarkStart w:id="425" w:name="_Toc32334687"/>
      <w:r>
        <w:rPr/>
        <w:t>Spécifications techniques générales – provenance des matériaux</w:t>
      </w:r>
      <w:bookmarkEnd w:id="425"/>
    </w:p>
    <w:p>
      <w:pPr>
        <w:pStyle w:val="Titre2"/>
        <w:tabs>
          <w:tab w:val="clear" w:pos="0"/>
          <w:tab w:val="clear" w:pos="8789"/>
          <w:tab w:val="left" w:pos="426" w:leader="none"/>
        </w:tabs>
        <w:ind w:left="0" w:hanging="0"/>
        <w:rPr/>
      </w:pPr>
      <w:bookmarkStart w:id="426" w:name="_Toc32334688"/>
      <w:bookmarkStart w:id="427" w:name="_Toc420929256"/>
      <w:r>
        <w:rPr/>
        <w:t>Présentation</w:t>
      </w:r>
      <w:bookmarkEnd w:id="426"/>
      <w:bookmarkEnd w:id="427"/>
    </w:p>
    <w:p>
      <w:pPr>
        <w:pStyle w:val="Corpsdetexte"/>
        <w:rPr/>
      </w:pPr>
      <w:r>
        <w:rPr/>
        <w:t>Cet article regroupe, pour chacun des thèmes techniques (énergie, réseau, vidéo, etc.), les spécifications techniques générales applicables pour la réalisation des travaux.</w:t>
      </w:r>
    </w:p>
    <w:p>
      <w:pPr>
        <w:pStyle w:val="Corpsdetexte"/>
        <w:rPr/>
      </w:pPr>
      <w:r>
        <w:rPr/>
        <w:t>Les spécifications particulières, les adaptations des spécifications générales, les éventuelles dérogations, etc. sont édictées dans les articles spécifiques relatifs à l’équipement d’une salle, d’un local technique, d’un TGBT, etc.</w:t>
      </w:r>
    </w:p>
    <w:p>
      <w:pPr>
        <w:pStyle w:val="Titre2"/>
        <w:tabs>
          <w:tab w:val="clear" w:pos="0"/>
          <w:tab w:val="clear" w:pos="8789"/>
          <w:tab w:val="left" w:pos="426" w:leader="none"/>
        </w:tabs>
        <w:ind w:left="0" w:hanging="0"/>
        <w:rPr/>
      </w:pPr>
      <w:bookmarkStart w:id="428" w:name="_Toc32334689"/>
      <w:r>
        <w:rPr/>
        <w:t>Normes et réglementations applicables</w:t>
      </w:r>
      <w:bookmarkEnd w:id="428"/>
    </w:p>
    <w:p>
      <w:pPr>
        <w:pStyle w:val="Titre3"/>
        <w:rPr/>
      </w:pPr>
      <w:bookmarkStart w:id="429" w:name="_Toc32334690"/>
      <w:r>
        <w:rPr/>
        <w:t>Généralités</w:t>
      </w:r>
      <w:bookmarkEnd w:id="429"/>
    </w:p>
    <w:p>
      <w:pPr>
        <w:pStyle w:val="Corpsdetexte"/>
        <w:rPr/>
      </w:pPr>
      <w:r>
        <w:rPr/>
        <w:t>Les travaux objet du présent projet devront être en tous points conformes aux textes réglementaires en vigueur les régissant, et notamment tous les textes mentionnés ci-après :</w:t>
      </w:r>
    </w:p>
    <w:p>
      <w:pPr>
        <w:pStyle w:val="TEXTE"/>
        <w:numPr>
          <w:ilvl w:val="0"/>
          <w:numId w:val="27"/>
        </w:numPr>
        <w:tabs>
          <w:tab w:val="clear" w:pos="8789"/>
        </w:tabs>
        <w:overflowPunct w:val="true"/>
        <w:spacing w:before="0" w:after="120"/>
        <w:textAlignment w:val="baseline"/>
        <w:rPr/>
      </w:pPr>
      <w:r>
        <w:rPr/>
        <w:t>Le Cahier des Clauses Techniques Générales aux marchés de travaux ;</w:t>
      </w:r>
    </w:p>
    <w:p>
      <w:pPr>
        <w:pStyle w:val="TEXTE"/>
        <w:numPr>
          <w:ilvl w:val="0"/>
          <w:numId w:val="27"/>
        </w:numPr>
        <w:spacing w:before="0" w:after="120"/>
        <w:ind w:left="714" w:hanging="357"/>
        <w:rPr/>
      </w:pPr>
      <w:r>
        <w:rPr/>
        <w:t>Le code de la construction et de l’habitation (C.C.H.) ;</w:t>
      </w:r>
    </w:p>
    <w:p>
      <w:pPr>
        <w:pStyle w:val="TEXTE"/>
        <w:numPr>
          <w:ilvl w:val="0"/>
          <w:numId w:val="27"/>
        </w:numPr>
        <w:spacing w:before="0" w:after="120"/>
        <w:ind w:left="714" w:hanging="357"/>
        <w:rPr/>
      </w:pPr>
      <w:r>
        <w:rPr/>
        <w:t xml:space="preserve">Les cahiers du </w:t>
      </w:r>
      <w:r>
        <w:rPr>
          <w:rFonts w:cs="ArialMT" w:ascii="ArialMT" w:hAnsi="ArialMT"/>
        </w:rPr>
        <w:t>Centre Scientifique et Technique du Bâtiment</w:t>
      </w:r>
      <w:r>
        <w:rPr/>
        <w:t xml:space="preserve"> (CSTB) ;</w:t>
      </w:r>
    </w:p>
    <w:p>
      <w:pPr>
        <w:pStyle w:val="TEXTE"/>
        <w:numPr>
          <w:ilvl w:val="0"/>
          <w:numId w:val="27"/>
        </w:numPr>
        <w:spacing w:before="0" w:after="120"/>
        <w:ind w:left="714" w:hanging="357"/>
        <w:rPr/>
      </w:pPr>
      <w:r>
        <w:rPr/>
        <w:t>Les Normes Françaises édictées par l'AFNOR et les Normes Européennes EN ;</w:t>
      </w:r>
    </w:p>
    <w:p>
      <w:pPr>
        <w:pStyle w:val="TEXTE"/>
        <w:numPr>
          <w:ilvl w:val="0"/>
          <w:numId w:val="27"/>
        </w:numPr>
        <w:spacing w:before="0" w:after="120"/>
        <w:ind w:left="714" w:hanging="357"/>
        <w:rPr/>
      </w:pPr>
      <w:r>
        <w:rPr/>
        <w:t xml:space="preserve">Les prescriptions des cahiers des clauses techniques des DTU </w:t>
      </w:r>
    </w:p>
    <w:p>
      <w:pPr>
        <w:pStyle w:val="TEXTE"/>
        <w:numPr>
          <w:ilvl w:val="0"/>
          <w:numId w:val="27"/>
        </w:numPr>
        <w:spacing w:before="0" w:after="120"/>
        <w:ind w:left="714" w:hanging="357"/>
        <w:rPr/>
      </w:pPr>
      <w:r>
        <w:rPr/>
        <w:t>Les prescriptions des fabricants ;</w:t>
      </w:r>
    </w:p>
    <w:p>
      <w:pPr>
        <w:pStyle w:val="TEXTE"/>
        <w:numPr>
          <w:ilvl w:val="0"/>
          <w:numId w:val="27"/>
        </w:numPr>
        <w:spacing w:before="0" w:after="120"/>
        <w:ind w:left="714" w:hanging="357"/>
        <w:rPr/>
      </w:pPr>
      <w:r>
        <w:rPr/>
        <w:t>Les règles professionnelles ;</w:t>
      </w:r>
    </w:p>
    <w:p>
      <w:pPr>
        <w:pStyle w:val="TEXTE"/>
        <w:numPr>
          <w:ilvl w:val="0"/>
          <w:numId w:val="27"/>
        </w:numPr>
        <w:tabs>
          <w:tab w:val="clear" w:pos="8789"/>
        </w:tabs>
        <w:overflowPunct w:val="true"/>
        <w:spacing w:before="0" w:after="120"/>
        <w:textAlignment w:val="baseline"/>
        <w:rPr/>
      </w:pPr>
      <w:r>
        <w:rPr/>
        <w:t>Les textes officiels (décrets, circulaires, arrêtés) des différents Ministères (Travail, Santé, Transports, Equipements) ;</w:t>
      </w:r>
    </w:p>
    <w:p>
      <w:pPr>
        <w:pStyle w:val="TEXTE"/>
        <w:numPr>
          <w:ilvl w:val="0"/>
          <w:numId w:val="27"/>
        </w:numPr>
        <w:spacing w:before="0" w:after="120"/>
        <w:ind w:left="714" w:hanging="357"/>
        <w:rPr/>
      </w:pPr>
      <w:r>
        <w:rPr/>
        <w:t>Les avis techniques ;</w:t>
      </w:r>
    </w:p>
    <w:p>
      <w:pPr>
        <w:pStyle w:val="TEXTE"/>
        <w:numPr>
          <w:ilvl w:val="0"/>
          <w:numId w:val="27"/>
        </w:numPr>
        <w:spacing w:before="0" w:after="120"/>
        <w:ind w:left="714" w:hanging="357"/>
        <w:rPr/>
      </w:pPr>
      <w:r>
        <w:rPr/>
        <w:t>Le classement UPEC.</w:t>
      </w:r>
    </w:p>
    <w:p>
      <w:pPr>
        <w:pStyle w:val="TEXTE"/>
        <w:numPr>
          <w:ilvl w:val="0"/>
          <w:numId w:val="27"/>
        </w:numPr>
        <w:spacing w:before="0" w:after="120"/>
        <w:ind w:left="714" w:hanging="357"/>
        <w:rPr/>
      </w:pPr>
      <w:r>
        <w:rPr/>
        <w:t>Les règles de sécurité éditées par le Ministère du Travail.</w:t>
      </w:r>
    </w:p>
    <w:p>
      <w:pPr>
        <w:pStyle w:val="TEXTE"/>
        <w:spacing w:before="0" w:after="120"/>
        <w:rPr/>
      </w:pPr>
      <w:r>
        <w:rPr/>
        <w:t>Les spécifications suivantes sont applicables, elles sont jointes en annexe :</w:t>
      </w:r>
    </w:p>
    <w:p>
      <w:pPr>
        <w:pStyle w:val="TEXTE"/>
        <w:numPr>
          <w:ilvl w:val="0"/>
          <w:numId w:val="22"/>
        </w:numPr>
        <w:tabs>
          <w:tab w:val="clear" w:pos="8789"/>
        </w:tabs>
        <w:overflowPunct w:val="true"/>
        <w:spacing w:before="0" w:after="120"/>
        <w:textAlignment w:val="baseline"/>
        <w:rPr/>
      </w:pPr>
      <w:r>
        <w:rPr/>
        <w:t>La spécification G1 de la DiRIF : relative aux conditions de service et de construction et aux essais pour l’ensemble des systèmes d’exploitation routière ;</w:t>
      </w:r>
    </w:p>
    <w:p>
      <w:pPr>
        <w:pStyle w:val="TEXTE"/>
        <w:numPr>
          <w:ilvl w:val="0"/>
          <w:numId w:val="22"/>
        </w:numPr>
        <w:tabs>
          <w:tab w:val="clear" w:pos="8789"/>
        </w:tabs>
        <w:overflowPunct w:val="true"/>
        <w:spacing w:before="0" w:after="120"/>
        <w:textAlignment w:val="baseline"/>
        <w:rPr/>
      </w:pPr>
      <w:r>
        <w:rPr/>
        <w:t>La spécification E1 de la DiRIF : relative aux équipements et installations utilisant l’énergie électrique basse tension et très basse tension ;</w:t>
      </w:r>
    </w:p>
    <w:p>
      <w:pPr>
        <w:pStyle w:val="TEXTE"/>
        <w:numPr>
          <w:ilvl w:val="0"/>
          <w:numId w:val="22"/>
        </w:numPr>
        <w:tabs>
          <w:tab w:val="clear" w:pos="8789"/>
        </w:tabs>
        <w:overflowPunct w:val="true"/>
        <w:spacing w:before="0" w:after="120"/>
        <w:textAlignment w:val="baseline"/>
        <w:rPr/>
      </w:pPr>
      <w:r>
        <w:rPr/>
        <w:t>Les spécifications techniques de câblage du ministère de l’intérieur ;</w:t>
      </w:r>
    </w:p>
    <w:p>
      <w:pPr>
        <w:pStyle w:val="Titre3"/>
        <w:rPr/>
      </w:pPr>
      <w:bookmarkStart w:id="430" w:name="_Toc32334691"/>
      <w:r>
        <w:rPr/>
        <w:t>Performances Réglementaires</w:t>
      </w:r>
      <w:bookmarkEnd w:id="430"/>
    </w:p>
    <w:p>
      <w:pPr>
        <w:pStyle w:val="Titre4"/>
        <w:rPr/>
      </w:pPr>
      <w:bookmarkStart w:id="431" w:name="_Toc32334692"/>
      <w:r>
        <w:rPr/>
        <w:t>Généralités</w:t>
      </w:r>
      <w:bookmarkEnd w:id="431"/>
    </w:p>
    <w:p>
      <w:pPr>
        <w:pStyle w:val="Corpsdetexte"/>
        <w:spacing w:before="200" w:after="120"/>
        <w:rPr>
          <w:rFonts w:cs="Arial"/>
        </w:rPr>
      </w:pPr>
      <w:r>
        <w:rPr>
          <w:rFonts w:cs="Arial"/>
        </w:rPr>
        <w:t>L’ensemble des locaux sera conçu et aménagé dans le respect des normes d’ergonomie, des règlements et codes applicables.</w:t>
      </w:r>
    </w:p>
    <w:p>
      <w:pPr>
        <w:pStyle w:val="Corpsdetexte"/>
        <w:spacing w:before="200" w:after="120"/>
        <w:rPr>
          <w:rFonts w:cs="Arial"/>
        </w:rPr>
      </w:pPr>
      <w:r>
        <w:rPr>
          <w:rFonts w:cs="Arial"/>
        </w:rPr>
        <w:t>Le projet fixe les performances auxquelles doivent satisfaire les installations à mettre en œuvre, elles concernent :</w:t>
      </w:r>
    </w:p>
    <w:p>
      <w:pPr>
        <w:pStyle w:val="Corpsdetexte"/>
        <w:numPr>
          <w:ilvl w:val="0"/>
          <w:numId w:val="23"/>
        </w:numPr>
        <w:spacing w:before="120" w:after="120"/>
        <w:ind w:left="714" w:hanging="357"/>
        <w:rPr>
          <w:rFonts w:cs="Arial"/>
        </w:rPr>
      </w:pPr>
      <w:r>
        <w:rPr>
          <w:rFonts w:cs="Arial"/>
        </w:rPr>
        <w:t>Les règles d’éclairage ;</w:t>
      </w:r>
    </w:p>
    <w:p>
      <w:pPr>
        <w:pStyle w:val="Corpsdetexte"/>
        <w:numPr>
          <w:ilvl w:val="0"/>
          <w:numId w:val="23"/>
        </w:numPr>
        <w:spacing w:before="120" w:after="120"/>
        <w:ind w:left="714" w:hanging="357"/>
        <w:rPr>
          <w:rFonts w:cs="Arial"/>
        </w:rPr>
      </w:pPr>
      <w:r>
        <w:rPr>
          <w:rFonts w:cs="Arial"/>
        </w:rPr>
        <w:t>Le choix des matériaux et des couleurs ;</w:t>
      </w:r>
    </w:p>
    <w:p>
      <w:pPr>
        <w:pStyle w:val="Corpsdetexte"/>
        <w:numPr>
          <w:ilvl w:val="0"/>
          <w:numId w:val="23"/>
        </w:numPr>
        <w:spacing w:before="120" w:after="120"/>
        <w:ind w:left="714" w:hanging="357"/>
        <w:rPr>
          <w:rFonts w:cs="Arial"/>
        </w:rPr>
      </w:pPr>
      <w:r>
        <w:rPr>
          <w:rFonts w:cs="Arial"/>
        </w:rPr>
        <w:t>Le traitement des nuisances phoniques ;</w:t>
      </w:r>
    </w:p>
    <w:p>
      <w:pPr>
        <w:pStyle w:val="Corpsdetexte"/>
        <w:numPr>
          <w:ilvl w:val="0"/>
          <w:numId w:val="23"/>
        </w:numPr>
        <w:spacing w:before="120" w:after="120"/>
        <w:ind w:left="714" w:hanging="357"/>
        <w:rPr>
          <w:rFonts w:cs="Arial"/>
        </w:rPr>
      </w:pPr>
      <w:r>
        <w:rPr>
          <w:rFonts w:cs="Arial"/>
        </w:rPr>
        <w:t>Le revêtement des sols ;</w:t>
      </w:r>
    </w:p>
    <w:p>
      <w:pPr>
        <w:pStyle w:val="Corpsdetexte"/>
        <w:numPr>
          <w:ilvl w:val="0"/>
          <w:numId w:val="23"/>
        </w:numPr>
        <w:spacing w:before="120" w:after="120"/>
        <w:ind w:left="714" w:hanging="357"/>
        <w:rPr>
          <w:rFonts w:cs="Arial"/>
        </w:rPr>
      </w:pPr>
      <w:r>
        <w:rPr>
          <w:rFonts w:cs="Arial"/>
        </w:rPr>
        <w:t>Les règles de position de travail.</w:t>
      </w:r>
    </w:p>
    <w:p>
      <w:pPr>
        <w:pStyle w:val="Titre3"/>
        <w:rPr/>
      </w:pPr>
      <w:bookmarkStart w:id="432" w:name="_Toc32334693"/>
      <w:r>
        <w:rPr/>
        <w:t>Choix des matériaux et des couleurs</w:t>
      </w:r>
      <w:bookmarkEnd w:id="432"/>
    </w:p>
    <w:p>
      <w:pPr>
        <w:pStyle w:val="Titre4"/>
        <w:rPr/>
      </w:pPr>
      <w:bookmarkStart w:id="433" w:name="_Toc32334694"/>
      <w:r>
        <w:rPr/>
        <w:t>Perception visuelle</w:t>
      </w:r>
      <w:bookmarkEnd w:id="433"/>
    </w:p>
    <w:p>
      <w:pPr>
        <w:pStyle w:val="Normal"/>
        <w:jc w:val="left"/>
        <w:rPr>
          <w:rFonts w:cs="Arial"/>
          <w:color w:val="000000"/>
        </w:rPr>
      </w:pPr>
      <w:r>
        <w:rPr>
          <w:rFonts w:cs="Arial"/>
          <w:color w:val="000000"/>
        </w:rPr>
      </w:r>
    </w:p>
    <w:p>
      <w:pPr>
        <w:pStyle w:val="Normal"/>
        <w:rPr>
          <w:rFonts w:cs="Arial"/>
          <w:color w:val="000000"/>
        </w:rPr>
      </w:pPr>
      <w:r>
        <w:rPr>
          <w:rFonts w:cs="Arial"/>
          <w:color w:val="000000"/>
        </w:rPr>
        <w:t xml:space="preserve">La perception visuelle des objets ou des surfaces de luminances différentes se traduit par des modifications transitoires d'adaptation de la sensibilité de l’oeil. Si ces transitions sont de courte durée, leur importance, et donc l'effort visuel fourni, dépendent de la répartition spatiale des niveaux de luminance auxquels les yeux doivent s'adapter. </w:t>
      </w:r>
    </w:p>
    <w:p>
      <w:pPr>
        <w:pStyle w:val="Corpsdetexte"/>
        <w:rPr>
          <w:rFonts w:cs="Arial"/>
          <w:color w:val="000000"/>
        </w:rPr>
      </w:pPr>
      <w:r>
        <w:rPr>
          <w:rFonts w:cs="Arial"/>
          <w:color w:val="000000"/>
        </w:rPr>
        <w:t>Des luminances trop importantes ou trop différentes, perçues dans le champ visuel, sont la source d'éblouissement, de facteurs de gênes et de fatigue visuelle. A noter que la luminance, à la différence de l'éclairement, fait intervenir le coefficient de réflexion des matériaux (état de surface et couleur).</w:t>
      </w:r>
    </w:p>
    <w:p>
      <w:pPr>
        <w:pStyle w:val="Titre4"/>
        <w:rPr/>
      </w:pPr>
      <w:bookmarkStart w:id="434" w:name="_Toc32334695"/>
      <w:r>
        <w:rPr/>
        <w:t>Normes d’ergonomie</w:t>
      </w:r>
      <w:bookmarkEnd w:id="434"/>
    </w:p>
    <w:p>
      <w:pPr>
        <w:pStyle w:val="Normal"/>
        <w:jc w:val="left"/>
        <w:rPr>
          <w:rFonts w:cs="Arial"/>
          <w:color w:val="000000"/>
        </w:rPr>
      </w:pPr>
      <w:r>
        <w:rPr>
          <w:rFonts w:cs="Arial"/>
          <w:color w:val="000000"/>
        </w:rPr>
      </w:r>
    </w:p>
    <w:p>
      <w:pPr>
        <w:pStyle w:val="Normal"/>
        <w:rPr>
          <w:rFonts w:cs="Arial"/>
          <w:color w:val="000000"/>
        </w:rPr>
      </w:pPr>
      <w:r>
        <w:rPr>
          <w:rFonts w:cs="Arial"/>
          <w:color w:val="000000"/>
        </w:rPr>
        <w:t xml:space="preserve">La norme AFNOR X 35-103 précise que la luminance est dépendante de l'éclairement et du </w:t>
      </w:r>
      <w:r>
        <w:rPr>
          <w:rFonts w:cs="Arial"/>
          <w:bCs/>
          <w:color w:val="000000"/>
        </w:rPr>
        <w:t>coefficient de réflexion</w:t>
      </w:r>
      <w:r>
        <w:rPr>
          <w:rFonts w:cs="Arial"/>
          <w:b/>
          <w:bCs/>
          <w:color w:val="000000"/>
        </w:rPr>
        <w:t xml:space="preserve"> </w:t>
      </w:r>
      <w:r>
        <w:rPr>
          <w:rFonts w:cs="Arial"/>
          <w:color w:val="000000"/>
        </w:rPr>
        <w:t>des matériaux.</w:t>
      </w:r>
    </w:p>
    <w:p>
      <w:pPr>
        <w:pStyle w:val="Normal"/>
        <w:rPr>
          <w:rFonts w:cs="Arial"/>
          <w:color w:val="000000"/>
        </w:rPr>
      </w:pPr>
      <w:r>
        <w:rPr>
          <w:rFonts w:cs="Arial"/>
          <w:color w:val="000000"/>
        </w:rPr>
        <w:t xml:space="preserve"> </w:t>
      </w:r>
    </w:p>
    <w:p>
      <w:pPr>
        <w:pStyle w:val="Normal"/>
        <w:rPr>
          <w:rFonts w:cs="Arial"/>
          <w:color w:val="000000"/>
        </w:rPr>
      </w:pPr>
      <w:r>
        <w:rPr>
          <w:rFonts w:cs="Arial"/>
          <w:color w:val="000000"/>
        </w:rPr>
        <w:t xml:space="preserve">Le coefficient de réflexion </w:t>
      </w:r>
      <w:r>
        <w:rPr>
          <w:rFonts w:cs="Arial"/>
          <w:b/>
          <w:bCs/>
          <w:color w:val="000000"/>
        </w:rPr>
        <w:t xml:space="preserve">"r" </w:t>
      </w:r>
      <w:r>
        <w:rPr>
          <w:rFonts w:cs="Arial"/>
          <w:color w:val="000000"/>
        </w:rPr>
        <w:t xml:space="preserve">(compris entre 0 et 1) est la proportion de flux lumineux (en Lux) renvoyée par la surface. Il est nul pour une surface parfaitement noire et de 1 pour un miroir idéal. </w:t>
      </w:r>
    </w:p>
    <w:p>
      <w:pPr>
        <w:pStyle w:val="Normal"/>
        <w:rPr>
          <w:rFonts w:cs="Arial"/>
          <w:color w:val="000000"/>
        </w:rPr>
      </w:pPr>
      <w:r>
        <w:rPr>
          <w:rFonts w:cs="Arial"/>
          <w:color w:val="000000"/>
        </w:rPr>
        <w:t xml:space="preserve">Le coefficient de réflexion dépend de la couleur et de l'état de la surface. </w:t>
      </w:r>
    </w:p>
    <w:p>
      <w:pPr>
        <w:pStyle w:val="Normal"/>
        <w:rPr>
          <w:rFonts w:cs="Arial"/>
          <w:color w:val="000000"/>
        </w:rPr>
      </w:pPr>
      <w:r>
        <w:rPr>
          <w:rFonts w:cs="Arial"/>
          <w:color w:val="000000"/>
        </w:rPr>
      </w:r>
    </w:p>
    <w:p>
      <w:pPr>
        <w:pStyle w:val="Normal"/>
        <w:rPr>
          <w:rFonts w:cs="Arial"/>
          <w:color w:val="000000"/>
        </w:rPr>
      </w:pPr>
      <w:r>
        <w:rPr>
          <w:rFonts w:cs="Arial"/>
          <w:color w:val="000000"/>
        </w:rPr>
        <w:t>Ainsi, soumises toutes les deux à un éclairement de 500 Lux, une feuille noire (r = 5%) et une feuille blanche (r = 80%) auront pour luminances respectives 8 cd/m</w:t>
      </w:r>
      <w:r>
        <w:rPr>
          <w:rFonts w:cs="Arial"/>
          <w:color w:val="000000"/>
          <w:sz w:val="13"/>
          <w:szCs w:val="13"/>
        </w:rPr>
        <w:t xml:space="preserve">2 </w:t>
      </w:r>
      <w:r>
        <w:rPr>
          <w:rFonts w:cs="Arial"/>
          <w:color w:val="000000"/>
        </w:rPr>
        <w:t>et 127 cd/m</w:t>
      </w:r>
      <w:r>
        <w:rPr>
          <w:rFonts w:cs="Arial"/>
          <w:color w:val="000000"/>
          <w:sz w:val="13"/>
          <w:szCs w:val="13"/>
        </w:rPr>
        <w:t>2</w:t>
      </w:r>
      <w:r>
        <w:rPr>
          <w:rFonts w:cs="Arial"/>
          <w:color w:val="000000"/>
        </w:rPr>
        <w:t xml:space="preserve">. </w:t>
      </w:r>
    </w:p>
    <w:p>
      <w:pPr>
        <w:pStyle w:val="Normal"/>
        <w:rPr>
          <w:rFonts w:cs="Arial"/>
          <w:color w:val="000000"/>
        </w:rPr>
      </w:pPr>
      <w:r>
        <w:rPr>
          <w:rFonts w:cs="Arial"/>
          <w:color w:val="000000"/>
        </w:rPr>
      </w:r>
    </w:p>
    <w:p>
      <w:pPr>
        <w:pStyle w:val="Normal"/>
        <w:rPr>
          <w:rFonts w:cs="Arial"/>
          <w:color w:val="000000"/>
        </w:rPr>
      </w:pPr>
      <w:r>
        <w:rPr>
          <w:rFonts w:cs="Arial"/>
          <w:color w:val="000000"/>
        </w:rPr>
        <w:t xml:space="preserve">Autre exemple : les coefficients de réflexion de </w:t>
      </w:r>
      <w:r>
        <w:rPr>
          <w:rFonts w:cs="Arial"/>
          <w:bCs/>
          <w:color w:val="000000"/>
        </w:rPr>
        <w:t>trois matériaux de couleur blanche</w:t>
      </w:r>
      <w:r>
        <w:rPr>
          <w:rFonts w:cs="Arial"/>
          <w:b/>
          <w:bCs/>
          <w:color w:val="000000"/>
        </w:rPr>
        <w:t xml:space="preserve"> </w:t>
      </w:r>
      <w:r>
        <w:rPr>
          <w:rFonts w:cs="Arial"/>
          <w:color w:val="000000"/>
        </w:rPr>
        <w:t xml:space="preserve">sont : </w:t>
      </w:r>
    </w:p>
    <w:p>
      <w:pPr>
        <w:pStyle w:val="Corpsdetexte"/>
        <w:numPr>
          <w:ilvl w:val="0"/>
          <w:numId w:val="23"/>
        </w:numPr>
        <w:spacing w:before="120" w:after="120"/>
        <w:ind w:left="714" w:hanging="357"/>
        <w:rPr>
          <w:rFonts w:cs="Arial"/>
        </w:rPr>
      </w:pPr>
      <w:r>
        <w:rPr>
          <w:rFonts w:cs="Arial"/>
        </w:rPr>
        <w:t xml:space="preserve">Pour une moquette blanche = 30% ; </w:t>
      </w:r>
    </w:p>
    <w:p>
      <w:pPr>
        <w:pStyle w:val="Corpsdetexte"/>
        <w:numPr>
          <w:ilvl w:val="0"/>
          <w:numId w:val="23"/>
        </w:numPr>
        <w:spacing w:before="120" w:after="120"/>
        <w:ind w:left="714" w:hanging="357"/>
        <w:rPr>
          <w:rFonts w:cs="Arial"/>
        </w:rPr>
      </w:pPr>
      <w:r>
        <w:rPr>
          <w:rFonts w:cs="Arial"/>
        </w:rPr>
        <w:t>Pour une peinture blanche = 75% ;</w:t>
      </w:r>
    </w:p>
    <w:p>
      <w:pPr>
        <w:pStyle w:val="Corpsdetexte"/>
        <w:numPr>
          <w:ilvl w:val="0"/>
          <w:numId w:val="23"/>
        </w:numPr>
        <w:spacing w:before="120" w:after="120"/>
        <w:ind w:left="714" w:hanging="357"/>
        <w:rPr>
          <w:rFonts w:cs="Arial"/>
        </w:rPr>
      </w:pPr>
      <w:r>
        <w:rPr>
          <w:rFonts w:cs="Arial"/>
        </w:rPr>
        <w:t xml:space="preserve">Pour un papier blanc = 84%. </w:t>
      </w:r>
    </w:p>
    <w:p>
      <w:pPr>
        <w:pStyle w:val="Normal"/>
        <w:jc w:val="left"/>
        <w:rPr>
          <w:rFonts w:cs="Arial"/>
          <w:color w:val="000000"/>
        </w:rPr>
      </w:pPr>
      <w:r>
        <w:rPr>
          <w:rFonts w:cs="Arial"/>
          <w:color w:val="000000"/>
        </w:rPr>
        <w:t xml:space="preserve">On préconise généralement les valeurs suivantes (INRS, AFNOR, Code du Travail) : </w:t>
      </w:r>
    </w:p>
    <w:p>
      <w:pPr>
        <w:pStyle w:val="Corpsdetexte"/>
        <w:numPr>
          <w:ilvl w:val="0"/>
          <w:numId w:val="23"/>
        </w:numPr>
        <w:spacing w:before="120" w:after="120"/>
        <w:ind w:left="714" w:hanging="357"/>
        <w:rPr>
          <w:rFonts w:cs="Arial"/>
        </w:rPr>
      </w:pPr>
      <w:r>
        <w:rPr>
          <w:rFonts w:cs="Arial"/>
        </w:rPr>
        <w:t xml:space="preserve">Luminance des sources perçues dans le champ visuel : de 1000 à 2000 cd/m2 ; </w:t>
      </w:r>
    </w:p>
    <w:p>
      <w:pPr>
        <w:pStyle w:val="Corpsdetexte"/>
        <w:numPr>
          <w:ilvl w:val="0"/>
          <w:numId w:val="23"/>
        </w:numPr>
        <w:spacing w:before="120" w:after="120"/>
        <w:ind w:left="714" w:hanging="357"/>
        <w:rPr>
          <w:rFonts w:cs="Arial"/>
        </w:rPr>
      </w:pPr>
      <w:r>
        <w:rPr>
          <w:rFonts w:cs="Arial"/>
        </w:rPr>
        <w:t xml:space="preserve">Luminance des parois perçues dans le champ visuel : de 500 à 600 (maxi) cd/m2. </w:t>
      </w:r>
    </w:p>
    <w:p>
      <w:pPr>
        <w:pStyle w:val="Titre4"/>
        <w:rPr/>
      </w:pPr>
      <w:bookmarkStart w:id="435" w:name="_Toc32334696"/>
      <w:r>
        <w:rPr/>
        <w:t>Écrans informatiques et vidéo</w:t>
      </w:r>
      <w:bookmarkEnd w:id="435"/>
    </w:p>
    <w:p>
      <w:pPr>
        <w:pStyle w:val="Corpsdetexte"/>
        <w:rPr/>
      </w:pPr>
      <w:r>
        <w:rPr/>
        <w:t xml:space="preserve">L’utilisation de terminaux à </w:t>
      </w:r>
      <w:r>
        <w:rPr>
          <w:bCs/>
        </w:rPr>
        <w:t xml:space="preserve">écrans à contraste négatif </w:t>
      </w:r>
      <w:r>
        <w:rPr/>
        <w:t xml:space="preserve">(caractères lumineux sur fond noir) pose un problème particulier. En effet, les yeux fixés sur l'écran se règlent pour de bas niveaux de luminances et sont facilement éblouis par toute zone lumineuse voisine (fenêtre, document éclairé, surface claire). Le problème ne se pose pas de la même façon lorsque les </w:t>
      </w:r>
      <w:r>
        <w:rPr>
          <w:bCs/>
        </w:rPr>
        <w:t xml:space="preserve">écrans sont à contraste positif </w:t>
      </w:r>
      <w:r>
        <w:rPr/>
        <w:t>(caractères sombres sur fond lumineux).</w:t>
      </w:r>
    </w:p>
    <w:p>
      <w:pPr>
        <w:pStyle w:val="Titre4"/>
        <w:rPr/>
      </w:pPr>
      <w:bookmarkStart w:id="436" w:name="_Toc32334697"/>
      <w:r>
        <w:rPr/>
        <w:t>Écarts de luminance</w:t>
      </w:r>
      <w:bookmarkEnd w:id="436"/>
    </w:p>
    <w:p>
      <w:pPr>
        <w:pStyle w:val="Corpsdetexte"/>
        <w:rPr/>
      </w:pPr>
      <w:r>
        <w:rPr/>
        <w:t>Le rapport des luminances entre des zones voisines balayées par les yeux au cours du travail ne doit pas excéder un facteur 3. Le rapport des luminances entre une zone de travail et son environnement vu en vision périphérique doit rester dans un intervalle de 1 à 10. Les normes AFNOR précisent que le rapport des luminances entre le luminaire et le plafond ne doit pas être supérieur à 20 (AFNOR).</w:t>
      </w:r>
    </w:p>
    <w:p>
      <w:pPr>
        <w:pStyle w:val="Titre4"/>
        <w:rPr/>
      </w:pPr>
      <w:bookmarkStart w:id="437" w:name="_Toc32334698"/>
      <w:r>
        <w:rPr/>
        <w:t>Choix des matériaux et finitions</w:t>
      </w:r>
      <w:bookmarkEnd w:id="437"/>
      <w:r>
        <w:rPr/>
        <w:t xml:space="preserve"> </w:t>
      </w:r>
    </w:p>
    <w:p>
      <w:pPr>
        <w:pStyle w:val="Normal"/>
        <w:jc w:val="left"/>
        <w:rPr>
          <w:rFonts w:cs="Arial"/>
          <w:color w:val="000000"/>
        </w:rPr>
      </w:pPr>
      <w:r>
        <w:rPr>
          <w:rFonts w:cs="Arial"/>
          <w:color w:val="000000"/>
        </w:rPr>
      </w:r>
    </w:p>
    <w:p>
      <w:pPr>
        <w:pStyle w:val="Normal"/>
        <w:rPr>
          <w:rFonts w:cs="Arial"/>
          <w:color w:val="000000"/>
        </w:rPr>
      </w:pPr>
      <w:r>
        <w:rPr>
          <w:rFonts w:cs="Arial"/>
          <w:color w:val="000000"/>
        </w:rPr>
        <w:t xml:space="preserve">Le choix des matériaux mis en œuvre doit tenir compte de leurs coefficients de réflexion pour éviter l'éblouissement. </w:t>
      </w:r>
    </w:p>
    <w:p>
      <w:pPr>
        <w:pStyle w:val="Normal"/>
        <w:rPr>
          <w:rFonts w:cs="Arial"/>
          <w:color w:val="000000"/>
        </w:rPr>
      </w:pPr>
      <w:r>
        <w:rPr>
          <w:rFonts w:cs="Arial"/>
          <w:color w:val="000000"/>
        </w:rPr>
      </w:r>
    </w:p>
    <w:p>
      <w:pPr>
        <w:pStyle w:val="Normal"/>
        <w:rPr>
          <w:rFonts w:cs="Arial"/>
          <w:color w:val="000000"/>
        </w:rPr>
      </w:pPr>
      <w:r>
        <w:rPr>
          <w:rFonts w:cs="Arial"/>
          <w:color w:val="000000"/>
        </w:rPr>
        <w:t xml:space="preserve">Cela concerne tous les matériaux visibles dans la salle de contrôle : revêtements de sol, revêtements muraux, faux plafonds, mobiliers, etc… Le projet de décoration de la salle de contrôle, à la charge de l'architecte – maître d'œuvre, doit rechercher la variété lumineuse tout en intégrant des choix de couleurs et de texture conformes à la norme AFNOR X 35-103. </w:t>
      </w:r>
    </w:p>
    <w:p>
      <w:pPr>
        <w:pStyle w:val="Normal"/>
        <w:rPr>
          <w:rFonts w:cs="Arial"/>
          <w:color w:val="000000"/>
        </w:rPr>
      </w:pPr>
      <w:r>
        <w:rPr>
          <w:rFonts w:cs="Arial"/>
          <w:color w:val="000000"/>
        </w:rPr>
      </w:r>
    </w:p>
    <w:p>
      <w:pPr>
        <w:pStyle w:val="Normal"/>
        <w:rPr>
          <w:rFonts w:cs="Arial"/>
          <w:color w:val="000000"/>
        </w:rPr>
      </w:pPr>
      <w:r>
        <w:rPr>
          <w:rFonts w:cs="Arial"/>
          <w:color w:val="000000"/>
        </w:rPr>
        <w:t xml:space="preserve">Le respect de ces préconisations se traduit donc par un soin particulier qui doit être apporté à la conception des éclairages et l’adoption, pour les différentes surfaces, des </w:t>
      </w:r>
      <w:r>
        <w:rPr>
          <w:rFonts w:cs="Arial"/>
          <w:bCs/>
          <w:color w:val="000000"/>
        </w:rPr>
        <w:t xml:space="preserve">couleurs </w:t>
      </w:r>
      <w:r>
        <w:rPr>
          <w:rFonts w:cs="Arial"/>
          <w:color w:val="000000"/>
        </w:rPr>
        <w:t xml:space="preserve">et des </w:t>
      </w:r>
      <w:r>
        <w:rPr>
          <w:rFonts w:cs="Arial"/>
          <w:bCs/>
          <w:color w:val="000000"/>
        </w:rPr>
        <w:t xml:space="preserve">matériaux </w:t>
      </w:r>
      <w:r>
        <w:rPr>
          <w:rFonts w:cs="Arial"/>
          <w:color w:val="000000"/>
        </w:rPr>
        <w:t xml:space="preserve">permettant d'obtenir les coefficients de réflexion suivants : </w:t>
      </w:r>
    </w:p>
    <w:p>
      <w:pPr>
        <w:pStyle w:val="Corpsdetexte"/>
        <w:numPr>
          <w:ilvl w:val="0"/>
          <w:numId w:val="23"/>
        </w:numPr>
        <w:spacing w:before="120" w:after="120"/>
        <w:ind w:left="714" w:hanging="357"/>
        <w:rPr>
          <w:rFonts w:cs="Arial"/>
        </w:rPr>
      </w:pPr>
      <w:r>
        <w:rPr>
          <w:rFonts w:cs="Arial"/>
        </w:rPr>
        <w:t xml:space="preserve">Plafond : 80% ; </w:t>
      </w:r>
    </w:p>
    <w:p>
      <w:pPr>
        <w:pStyle w:val="Corpsdetexte"/>
        <w:numPr>
          <w:ilvl w:val="0"/>
          <w:numId w:val="23"/>
        </w:numPr>
        <w:spacing w:before="120" w:after="120"/>
        <w:ind w:left="714" w:hanging="357"/>
        <w:rPr>
          <w:rFonts w:cs="Arial"/>
        </w:rPr>
      </w:pPr>
      <w:r>
        <w:rPr>
          <w:rFonts w:cs="Arial"/>
        </w:rPr>
        <w:t xml:space="preserve">Murs, partie haute : 60 % ; </w:t>
      </w:r>
    </w:p>
    <w:p>
      <w:pPr>
        <w:pStyle w:val="Corpsdetexte"/>
        <w:numPr>
          <w:ilvl w:val="0"/>
          <w:numId w:val="23"/>
        </w:numPr>
        <w:spacing w:before="120" w:after="120"/>
        <w:ind w:left="714" w:hanging="357"/>
        <w:rPr>
          <w:rFonts w:cs="Arial"/>
        </w:rPr>
      </w:pPr>
      <w:r>
        <w:rPr>
          <w:rFonts w:cs="Arial"/>
        </w:rPr>
        <w:t xml:space="preserve">Murs, partie basse : 40 % ; </w:t>
      </w:r>
    </w:p>
    <w:p>
      <w:pPr>
        <w:pStyle w:val="Corpsdetexte"/>
        <w:numPr>
          <w:ilvl w:val="0"/>
          <w:numId w:val="23"/>
        </w:numPr>
        <w:spacing w:before="120" w:after="120"/>
        <w:ind w:left="714" w:hanging="357"/>
        <w:rPr>
          <w:rFonts w:cs="Arial"/>
        </w:rPr>
      </w:pPr>
      <w:r>
        <w:rPr>
          <w:rFonts w:cs="Arial"/>
        </w:rPr>
        <w:t xml:space="preserve">Murs situés derrière des écrans à contraste négatif : 25 % ; </w:t>
      </w:r>
    </w:p>
    <w:p>
      <w:pPr>
        <w:pStyle w:val="Corpsdetexte"/>
        <w:numPr>
          <w:ilvl w:val="0"/>
          <w:numId w:val="23"/>
        </w:numPr>
        <w:spacing w:before="120" w:after="120"/>
        <w:ind w:left="714" w:hanging="357"/>
        <w:rPr>
          <w:rFonts w:cs="Arial"/>
        </w:rPr>
      </w:pPr>
      <w:r>
        <w:rPr>
          <w:rFonts w:cs="Arial"/>
        </w:rPr>
        <w:t xml:space="preserve">Tableau d'enregistreurs classiques : 70 % ; </w:t>
      </w:r>
    </w:p>
    <w:p>
      <w:pPr>
        <w:pStyle w:val="Corpsdetexte"/>
        <w:numPr>
          <w:ilvl w:val="0"/>
          <w:numId w:val="23"/>
        </w:numPr>
        <w:spacing w:before="120" w:after="120"/>
        <w:ind w:left="714" w:hanging="357"/>
        <w:rPr>
          <w:rFonts w:cs="Arial"/>
        </w:rPr>
      </w:pPr>
      <w:r>
        <w:rPr>
          <w:rFonts w:cs="Arial"/>
        </w:rPr>
        <w:t xml:space="preserve">Mobilier situé à proximité immédiate d'écrans à contraste négatif : 25 % ; </w:t>
      </w:r>
    </w:p>
    <w:p>
      <w:pPr>
        <w:pStyle w:val="Corpsdetexte"/>
        <w:numPr>
          <w:ilvl w:val="0"/>
          <w:numId w:val="23"/>
        </w:numPr>
        <w:spacing w:before="120" w:after="120"/>
        <w:ind w:left="714" w:hanging="357"/>
        <w:rPr>
          <w:rFonts w:cs="Arial"/>
        </w:rPr>
      </w:pPr>
      <w:r>
        <w:rPr>
          <w:rFonts w:cs="Arial"/>
        </w:rPr>
        <w:t xml:space="preserve">Mobilier non situé à proximité immédiate d'écrans à contraste négatif : 40 % ; </w:t>
      </w:r>
    </w:p>
    <w:p>
      <w:pPr>
        <w:pStyle w:val="Corpsdetexte"/>
        <w:numPr>
          <w:ilvl w:val="0"/>
          <w:numId w:val="23"/>
        </w:numPr>
        <w:spacing w:before="120" w:after="120"/>
        <w:ind w:left="714" w:hanging="357"/>
        <w:rPr>
          <w:rFonts w:cs="Arial"/>
        </w:rPr>
      </w:pPr>
      <w:r>
        <w:rPr>
          <w:rFonts w:cs="Arial"/>
        </w:rPr>
        <w:t xml:space="preserve">Sol (sans écrans à contraste négatif) : 30 % ; </w:t>
      </w:r>
    </w:p>
    <w:p>
      <w:pPr>
        <w:pStyle w:val="Corpsdetexte"/>
        <w:numPr>
          <w:ilvl w:val="0"/>
          <w:numId w:val="23"/>
        </w:numPr>
        <w:spacing w:before="120" w:after="120"/>
        <w:ind w:left="714" w:hanging="357"/>
        <w:rPr>
          <w:rFonts w:cs="Arial"/>
        </w:rPr>
      </w:pPr>
      <w:r>
        <w:rPr>
          <w:rFonts w:cs="Arial"/>
        </w:rPr>
        <w:t xml:space="preserve">Sol (avec écrans à contraste négatif) : 15 à 20 % ; </w:t>
      </w:r>
    </w:p>
    <w:p>
      <w:pPr>
        <w:pStyle w:val="Corpsdetexte"/>
        <w:rPr>
          <w:rFonts w:cs="Arial"/>
          <w:color w:val="000000"/>
        </w:rPr>
      </w:pPr>
      <w:r>
        <w:rPr>
          <w:rFonts w:cs="Arial"/>
          <w:color w:val="000000"/>
        </w:rPr>
        <w:t>Toutes les surfaces peintes auront une finition mate pour éviter les reflets.</w:t>
      </w:r>
    </w:p>
    <w:p>
      <w:pPr>
        <w:pStyle w:val="Titre3"/>
        <w:rPr/>
      </w:pPr>
      <w:bookmarkStart w:id="438" w:name="_Toc32334699"/>
      <w:r>
        <w:rPr/>
        <w:t>Position de travail</w:t>
      </w:r>
      <w:bookmarkEnd w:id="438"/>
    </w:p>
    <w:p>
      <w:pPr>
        <w:pStyle w:val="Titre4"/>
        <w:rPr/>
      </w:pPr>
      <w:bookmarkStart w:id="439" w:name="_Toc32334700"/>
      <w:r>
        <w:rPr/>
        <w:t>Pupitres</w:t>
      </w:r>
      <w:bookmarkEnd w:id="439"/>
    </w:p>
    <w:p>
      <w:pPr>
        <w:pStyle w:val="Normal"/>
        <w:jc w:val="left"/>
        <w:rPr>
          <w:rFonts w:cs="Arial"/>
          <w:color w:val="000000"/>
        </w:rPr>
      </w:pPr>
      <w:r>
        <w:rPr>
          <w:rFonts w:cs="Arial"/>
          <w:color w:val="000000"/>
        </w:rPr>
      </w:r>
    </w:p>
    <w:p>
      <w:pPr>
        <w:pStyle w:val="Normal"/>
        <w:rPr>
          <w:rFonts w:cs="Arial"/>
          <w:color w:val="000000"/>
        </w:rPr>
      </w:pPr>
      <w:r>
        <w:rPr>
          <w:rFonts w:cs="Arial"/>
          <w:color w:val="000000"/>
        </w:rPr>
        <w:t xml:space="preserve">Dans la mesure du possible, les postes de travail de la Salle de Supervision seront constitués d'éléments modulaires du commerce. Toutefois les pupitres de travail devront respecter les spécifications (AFNOR) ci-après : </w:t>
      </w:r>
    </w:p>
    <w:p>
      <w:pPr>
        <w:pStyle w:val="Corpsdetexte"/>
        <w:numPr>
          <w:ilvl w:val="0"/>
          <w:numId w:val="23"/>
        </w:numPr>
        <w:spacing w:before="120" w:after="120"/>
        <w:ind w:left="714" w:hanging="357"/>
        <w:rPr>
          <w:rFonts w:cs="Arial"/>
        </w:rPr>
      </w:pPr>
      <w:r>
        <w:rPr>
          <w:rFonts w:cs="Arial"/>
        </w:rPr>
        <w:t xml:space="preserve">La hauteur du plan de travail doit être de 730 mm ± 10 mm si elle n'est pas réglable. Elle doit de préférence pouvoir varier entre 650 et 740 mm ; </w:t>
      </w:r>
    </w:p>
    <w:p>
      <w:pPr>
        <w:pStyle w:val="Corpsdetexte"/>
        <w:numPr>
          <w:ilvl w:val="0"/>
          <w:numId w:val="23"/>
        </w:numPr>
        <w:spacing w:before="120" w:after="120"/>
        <w:ind w:left="714" w:hanging="357"/>
        <w:rPr>
          <w:rFonts w:cs="Arial"/>
        </w:rPr>
      </w:pPr>
      <w:r>
        <w:rPr>
          <w:rFonts w:cs="Arial"/>
        </w:rPr>
        <w:t>La profondeur de l’ensemble plan de travail et support de l’écran doit être au moins égale à 800 mm (900 mm est recommandée), pour pouvoir ajuster au mieux la distance oeil – écran. La longueur et la forme dépendent de la tâche à effectuer. Avec des écrans cathodiques de 21 pouces, la profondeur totale doit être de 1,20 m, soit 0,60 m pour le plan de travail et 0,60 m pour poser l’écran ;</w:t>
      </w:r>
    </w:p>
    <w:p>
      <w:pPr>
        <w:pStyle w:val="Corpsdetexte"/>
        <w:numPr>
          <w:ilvl w:val="0"/>
          <w:numId w:val="23"/>
        </w:numPr>
        <w:spacing w:before="120" w:after="120"/>
        <w:ind w:left="714" w:hanging="357"/>
        <w:rPr>
          <w:rFonts w:cs="Arial"/>
        </w:rPr>
      </w:pPr>
      <w:r>
        <w:rPr>
          <w:rFonts w:cs="Arial"/>
        </w:rPr>
        <w:t>Le dessus du plan de travail doit être mat et avoir un coefficient de réflexion compris entre 0,3 et 0,5 ;</w:t>
      </w:r>
    </w:p>
    <w:p>
      <w:pPr>
        <w:pStyle w:val="Corpsdetexte"/>
        <w:numPr>
          <w:ilvl w:val="0"/>
          <w:numId w:val="23"/>
        </w:numPr>
        <w:spacing w:before="120" w:after="240"/>
        <w:rPr>
          <w:rFonts w:cs="Arial"/>
        </w:rPr>
      </w:pPr>
      <w:r>
        <w:rPr>
          <w:rFonts w:cs="Arial"/>
        </w:rPr>
        <w:t xml:space="preserve">L'espace libre disponible au-dessous du plan de travail doit être d'au moins 550 mm de profondeur au niveau des genoux, 700 mm au niveau des pieds et 580 mm de largeur. </w:t>
      </w:r>
    </w:p>
    <w:p>
      <w:pPr>
        <w:pStyle w:val="Normal"/>
        <w:jc w:val="left"/>
        <w:rPr>
          <w:rFonts w:cs="Arial"/>
          <w:color w:val="000000"/>
        </w:rPr>
      </w:pPr>
      <w:r>
        <w:rPr>
          <w:rFonts w:cs="Arial"/>
          <w:color w:val="000000"/>
        </w:rPr>
        <w:t xml:space="preserve">L'épaisseur du plan de travail, support compris, au-dessus de cet espace libre, ne doit pas excéder 50 mm. </w:t>
      </w:r>
    </w:p>
    <w:p>
      <w:pPr>
        <w:pStyle w:val="Corpsdetexte"/>
        <w:rPr>
          <w:rFonts w:cs="Arial"/>
        </w:rPr>
      </w:pPr>
      <w:r>
        <w:rPr>
          <w:rFonts w:cs="Arial"/>
          <w:color w:val="000000"/>
        </w:rPr>
        <w:t>De plus, il est préférable que les pupitres disposent de rangements pour les équipements (type UC) afin que ceux-ci ne soient pas positionnés à même le sol ou sur le plan de travail. Ces rangements doivent permettre une bonne ventilation de ces équipements.</w:t>
      </w:r>
    </w:p>
    <w:p>
      <w:pPr>
        <w:pStyle w:val="Titre4"/>
        <w:rPr/>
      </w:pPr>
      <w:bookmarkStart w:id="440" w:name="_Toc32334701"/>
      <w:r>
        <w:rPr/>
        <w:t>Fauteuils</w:t>
      </w:r>
      <w:bookmarkEnd w:id="440"/>
    </w:p>
    <w:p>
      <w:pPr>
        <w:pStyle w:val="Normal"/>
        <w:jc w:val="left"/>
        <w:rPr>
          <w:rFonts w:cs="Arial"/>
          <w:color w:val="000000"/>
        </w:rPr>
      </w:pPr>
      <w:r>
        <w:rPr>
          <w:rFonts w:cs="Arial"/>
          <w:color w:val="000000"/>
        </w:rPr>
      </w:r>
    </w:p>
    <w:p>
      <w:pPr>
        <w:pStyle w:val="Normal"/>
        <w:rPr>
          <w:rFonts w:cs="Arial"/>
          <w:color w:val="000000"/>
        </w:rPr>
      </w:pPr>
      <w:r>
        <w:rPr>
          <w:rFonts w:cs="Arial"/>
          <w:color w:val="000000"/>
        </w:rPr>
        <w:t xml:space="preserve">Les dimensions et caractéristiques des fauteuils recommandées pour l’ensemble des postes de travail font l’objet de l’annexe Mobilier 3. </w:t>
      </w:r>
    </w:p>
    <w:p>
      <w:pPr>
        <w:pStyle w:val="Normal"/>
        <w:jc w:val="left"/>
        <w:rPr>
          <w:rFonts w:cs="Arial"/>
          <w:color w:val="000000"/>
        </w:rPr>
      </w:pPr>
      <w:r>
        <w:rPr>
          <w:rFonts w:cs="Arial"/>
          <w:color w:val="000000"/>
        </w:rPr>
      </w:r>
    </w:p>
    <w:p>
      <w:pPr>
        <w:pStyle w:val="Normal"/>
        <w:rPr/>
      </w:pPr>
      <w:r>
        <w:rPr/>
        <w:t xml:space="preserve">Les fauteuils des postes de travail opérationnels 24h/24h devront résister à une utilisation 24h/24, ils seront agréés par la Médecine du travail, leurs caractéristiques sont détaillées dans l’annexe « MOBILIER 3 ». </w:t>
      </w:r>
    </w:p>
    <w:p>
      <w:pPr>
        <w:pStyle w:val="Titre4"/>
        <w:rPr/>
      </w:pPr>
      <w:bookmarkStart w:id="441" w:name="_Toc32334702"/>
      <w:r>
        <w:rPr/>
        <w:t>Le plan de travail</w:t>
      </w:r>
      <w:bookmarkEnd w:id="441"/>
    </w:p>
    <w:p>
      <w:pPr>
        <w:pStyle w:val="Corpsdetexte"/>
        <w:rPr/>
      </w:pPr>
      <w:r>
        <w:rPr/>
        <w:t>Le plan de travail doit avoir une profondeur minimum de 800 mm, pouvant aller jusqu’à 1000. Il doit permettre une disposition flexible de l’écran, du clavier, des documents et autres matériels et notamment garantir que l’unité centrale et les câbles ne gêneront pas les travailleurs. L’écran doit être placé perpendiculairement à la source de lumière du jour et à plus d’1,5 m de cette source, pour éviter les reflets et maintenir un contraste suffisant. La différence de distance œil-écran et oeil-clavier ne devra pas être supérieure à 20 cm. Les avant-bras auront une position horizontale et parallèle au plan de travail.</w:t>
      </w:r>
    </w:p>
    <w:p>
      <w:pPr>
        <w:pStyle w:val="Titre4"/>
        <w:rPr/>
      </w:pPr>
      <w:bookmarkStart w:id="442" w:name="_Toc32334703"/>
      <w:r>
        <w:rPr/>
        <w:t>Claviers</w:t>
      </w:r>
      <w:bookmarkEnd w:id="442"/>
    </w:p>
    <w:p>
      <w:pPr>
        <w:pStyle w:val="Corpsdetexte"/>
        <w:rPr/>
      </w:pPr>
      <w:r>
        <w:rPr/>
        <w:t>Les claviers doivent être mobiles et placés dans la zone de confort des mains à une hauteur telle que les avants bras soient approximativement horizontaux et les bras verticaux.</w:t>
      </w:r>
    </w:p>
    <w:p>
      <w:pPr>
        <w:pStyle w:val="Titre4"/>
        <w:rPr/>
      </w:pPr>
      <w:bookmarkStart w:id="443" w:name="_Toc32334704"/>
      <w:r>
        <w:rPr/>
        <w:t>Ecrans</w:t>
      </w:r>
      <w:bookmarkEnd w:id="443"/>
    </w:p>
    <w:p>
      <w:pPr>
        <w:pStyle w:val="Normal"/>
        <w:jc w:val="left"/>
        <w:rPr>
          <w:rFonts w:cs="Arial"/>
          <w:color w:val="000000"/>
        </w:rPr>
      </w:pPr>
      <w:r>
        <w:rPr>
          <w:rFonts w:cs="Arial"/>
          <w:color w:val="000000"/>
        </w:rPr>
      </w:r>
    </w:p>
    <w:p>
      <w:pPr>
        <w:pStyle w:val="Normal"/>
        <w:rPr>
          <w:rFonts w:cs="Arial"/>
          <w:color w:val="000000"/>
        </w:rPr>
      </w:pPr>
      <w:r>
        <w:rPr>
          <w:rFonts w:cs="Arial"/>
          <w:color w:val="000000"/>
        </w:rPr>
        <w:t xml:space="preserve">Les écrans doivent se situer à une distance de 400 à 600 mm du bord du plan de travail pour atteindre une distance oeil – écran comprise entre 450 et 750 mm. </w:t>
      </w:r>
    </w:p>
    <w:p>
      <w:pPr>
        <w:pStyle w:val="Normal"/>
        <w:rPr>
          <w:rFonts w:cs="Arial"/>
          <w:color w:val="000000"/>
        </w:rPr>
      </w:pPr>
      <w:r>
        <w:rPr>
          <w:rFonts w:cs="Arial"/>
          <w:color w:val="000000"/>
        </w:rPr>
      </w:r>
    </w:p>
    <w:p>
      <w:pPr>
        <w:pStyle w:val="Normal"/>
        <w:rPr>
          <w:rFonts w:cs="Arial"/>
          <w:color w:val="000000"/>
        </w:rPr>
      </w:pPr>
      <w:r>
        <w:rPr>
          <w:rFonts w:cs="Arial"/>
          <w:color w:val="000000"/>
        </w:rPr>
        <w:t xml:space="preserve">Le haut du cadre de l’écran doit se situer juste en dessous de la ligne de vision horizontale. </w:t>
      </w:r>
    </w:p>
    <w:p>
      <w:pPr>
        <w:pStyle w:val="Corpsdetexte"/>
        <w:rPr/>
      </w:pPr>
      <w:r>
        <w:rPr>
          <w:rFonts w:cs="Arial"/>
          <w:color w:val="000000"/>
        </w:rPr>
        <w:t>L’angle de vision formé par la ligne de vision horizontale et la ligne allant de l’œil au centre de l’écran de travail doit être compris entre 20 à 35° avec un optimal à 30°. En aucun cas il ne doit dépasser 35°.</w:t>
      </w:r>
    </w:p>
    <w:p>
      <w:pPr>
        <w:pStyle w:val="Titre4"/>
        <w:rPr/>
      </w:pPr>
      <w:bookmarkStart w:id="444" w:name="_Toc32334705"/>
      <w:r>
        <w:rPr/>
        <w:t>Zones d’atteintes</w:t>
      </w:r>
      <w:bookmarkEnd w:id="444"/>
    </w:p>
    <w:p>
      <w:pPr>
        <w:pStyle w:val="Corpsdetexte"/>
        <w:rPr/>
      </w:pPr>
      <w:r>
        <w:rPr/>
        <w:t>Les différents équipements sont implantés dans les zones d’atteinte définies par le schéma ci-dessous. L’agencement respectera un ordonnancement des équipements correspondant à leur fréquence d’utilisation, au mode d’accès aux organes de commande et privilégiant le confort de l’opérateur.</w:t>
      </w:r>
    </w:p>
    <w:p>
      <w:pPr>
        <w:pStyle w:val="Corpsdetexte"/>
        <w:rPr/>
      </w:pPr>
      <w:r>
        <w:rPr/>
        <w:drawing>
          <wp:inline distT="0" distB="0" distL="0" distR="0">
            <wp:extent cx="4953000" cy="2257425"/>
            <wp:effectExtent l="0" t="0" r="0" b="0"/>
            <wp:docPr id="19" name="Image7" descr="C:\Users\jean-francois.gilard\Documents\ARTELIA AFFAIRES\PCTT DiRIF\APD\APD Saint-Denis\Capture zone d'atteinte pour mémoi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7" descr="C:\Users\jean-francois.gilard\Documents\ARTELIA AFFAIRES\PCTT DiRIF\APD\APD Saint-Denis\Capture zone d'atteinte pour mémoire.PNG"/>
                    <pic:cNvPicPr>
                      <a:picLocks noChangeAspect="1" noChangeArrowheads="1"/>
                    </pic:cNvPicPr>
                  </pic:nvPicPr>
                  <pic:blipFill>
                    <a:blip r:embed="rId23"/>
                    <a:stretch>
                      <a:fillRect/>
                    </a:stretch>
                  </pic:blipFill>
                  <pic:spPr bwMode="auto">
                    <a:xfrm>
                      <a:off x="0" y="0"/>
                      <a:ext cx="4953000" cy="2257425"/>
                    </a:xfrm>
                    <a:prstGeom prst="rect">
                      <a:avLst/>
                    </a:prstGeom>
                  </pic:spPr>
                </pic:pic>
              </a:graphicData>
            </a:graphic>
          </wp:inline>
        </w:drawing>
      </w:r>
    </w:p>
    <w:p>
      <w:pPr>
        <w:pStyle w:val="Corpsdetexte"/>
        <w:jc w:val="center"/>
        <w:rPr>
          <w:b/>
          <w:b/>
        </w:rPr>
      </w:pPr>
      <w:r>
        <w:rPr>
          <w:b/>
        </w:rPr>
        <w:t>Schémas zones d’atteinte</w:t>
      </w:r>
    </w:p>
    <w:p>
      <w:pPr>
        <w:pStyle w:val="Titre2"/>
        <w:tabs>
          <w:tab w:val="clear" w:pos="0"/>
          <w:tab w:val="clear" w:pos="8789"/>
          <w:tab w:val="left" w:pos="426" w:leader="none"/>
        </w:tabs>
        <w:ind w:left="0" w:hanging="0"/>
        <w:rPr/>
      </w:pPr>
      <w:r>
        <w:rPr/>
        <w:t> </w:t>
      </w:r>
      <w:bookmarkStart w:id="445" w:name="_Toc32334706"/>
      <w:r>
        <w:rPr/>
        <w:t>Identification des liaisons existantes</w:t>
      </w:r>
      <w:bookmarkEnd w:id="445"/>
    </w:p>
    <w:p>
      <w:pPr>
        <w:pStyle w:val="TEXTE"/>
        <w:rPr>
          <w:rFonts w:eastAsia="Calibri" w:eastAsiaTheme="minorHAnsi"/>
        </w:rPr>
      </w:pPr>
      <w:r>
        <w:rPr/>
        <w:t>Le câblage du bâtiment a été réalisé en plusieurs phases, étalées dans le temps et par des entreprises différentes. Ces câblages ne sont pas documentés ou très partiellement.</w:t>
      </w:r>
    </w:p>
    <w:p>
      <w:pPr>
        <w:pStyle w:val="TEXTE"/>
        <w:rPr/>
      </w:pPr>
      <w:r>
        <w:rPr/>
        <w:t>Au titre du présent projet, et ce avant le début des travaux proprement dits, toutes les liaisons existantes (réseau et téléphonique) devront être identifiées et repérées à chaque extrémité par un étiquetage conforme à la spécification G1. Les câbles qui ne sont plus utilisés ou qui seront abandonnés suite aux réaménagements prévus dans le cadre du projet, devront être déposés (jusqu'aux deux extrémités) et évacués en décharge.</w:t>
      </w:r>
    </w:p>
    <w:p>
      <w:pPr>
        <w:pStyle w:val="TEXTE"/>
        <w:rPr/>
      </w:pPr>
      <w:r>
        <w:rPr/>
        <w:t>Sur la base des relevés qu'il aura réalisé, l’Entrepreneur devra proposer au Maître d'œuvre, un tableau récapitulatif des liaisons (origine et extrémité) et une liste de câbles qui peuvent être déposés, soit parce qu'ils ne sont plus utilisés, soit parce qu'ils seront abandonnés au titre des réaménagements prévus.</w:t>
      </w:r>
    </w:p>
    <w:p>
      <w:pPr>
        <w:pStyle w:val="Normal"/>
        <w:jc w:val="left"/>
        <w:rPr/>
      </w:pPr>
      <w:r>
        <w:rPr/>
      </w:r>
      <w:r>
        <w:br w:type="page"/>
      </w:r>
    </w:p>
    <w:p>
      <w:pPr>
        <w:pStyle w:val="Titre2"/>
        <w:tabs>
          <w:tab w:val="clear" w:pos="0"/>
          <w:tab w:val="clear" w:pos="8789"/>
          <w:tab w:val="left" w:pos="426" w:leader="none"/>
        </w:tabs>
        <w:ind w:left="0" w:hanging="0"/>
        <w:rPr/>
      </w:pPr>
      <w:bookmarkStart w:id="446" w:name="_Toc32334707"/>
      <w:r>
        <w:rPr/>
        <w:t>Distribution électrique</w:t>
      </w:r>
      <w:bookmarkEnd w:id="446"/>
    </w:p>
    <w:p>
      <w:pPr>
        <w:pStyle w:val="Normal"/>
        <w:rPr/>
      </w:pPr>
      <w:r>
        <w:rPr/>
      </w:r>
    </w:p>
    <w:p>
      <w:pPr>
        <w:pStyle w:val="Normal"/>
        <w:rPr/>
      </w:pPr>
      <w:r>
        <w:rPr/>
        <w:t xml:space="preserve">Le présent paragraphe a pour objet de définir les spécifications techniques générales des TGBT et des armoires de distribution des PCTT. </w:t>
      </w:r>
    </w:p>
    <w:p>
      <w:pPr>
        <w:pStyle w:val="Titre3"/>
        <w:rPr/>
      </w:pPr>
      <w:bookmarkStart w:id="447" w:name="_Toc32334708"/>
      <w:bookmarkStart w:id="448" w:name="_Toc420660135"/>
      <w:bookmarkStart w:id="449" w:name="_Toc255216095"/>
      <w:bookmarkStart w:id="450" w:name="_Toc234741998"/>
      <w:bookmarkStart w:id="451" w:name="_Toc231613683"/>
      <w:bookmarkStart w:id="452" w:name="_Toc231213222"/>
      <w:r>
        <w:rPr/>
        <w:t>Spécifications techniques des TGBT</w:t>
      </w:r>
      <w:bookmarkEnd w:id="447"/>
      <w:bookmarkEnd w:id="448"/>
      <w:bookmarkEnd w:id="449"/>
      <w:bookmarkEnd w:id="450"/>
      <w:bookmarkEnd w:id="451"/>
      <w:bookmarkEnd w:id="452"/>
    </w:p>
    <w:p>
      <w:pPr>
        <w:pStyle w:val="Titre4"/>
        <w:rPr/>
      </w:pPr>
      <w:bookmarkStart w:id="453" w:name="_Toc32334709"/>
      <w:bookmarkStart w:id="454" w:name="_Toc420660136"/>
      <w:bookmarkStart w:id="455" w:name="_Toc255216096"/>
      <w:bookmarkStart w:id="456" w:name="_Toc234741999"/>
      <w:r>
        <w:rPr/>
        <w:t>Dispositions générales</w:t>
      </w:r>
      <w:bookmarkEnd w:id="453"/>
      <w:bookmarkEnd w:id="454"/>
      <w:bookmarkEnd w:id="455"/>
      <w:bookmarkEnd w:id="456"/>
    </w:p>
    <w:p>
      <w:pPr>
        <w:pStyle w:val="Normal"/>
        <w:rPr/>
      </w:pPr>
      <w:r>
        <w:rPr/>
      </w:r>
    </w:p>
    <w:p>
      <w:pPr>
        <w:pStyle w:val="Normal"/>
        <w:rPr/>
      </w:pPr>
      <w:r>
        <w:rPr/>
        <w:t>Les TGBT seront constitués d’ensembles clos, préfabriqués (cellules) réalisés conformément aux règles de l’UTE C 63.410 et à la norme NF C 15.100.</w:t>
      </w:r>
    </w:p>
    <w:p>
      <w:pPr>
        <w:pStyle w:val="Normal"/>
        <w:rPr/>
      </w:pPr>
      <w:r>
        <w:rPr/>
      </w:r>
    </w:p>
    <w:p>
      <w:pPr>
        <w:pStyle w:val="Normal"/>
        <w:rPr/>
      </w:pPr>
      <w:r>
        <w:rPr/>
        <w:t>L'enveloppe des tableaux généraux basse tension correspondra au degré de protection défini dans la norme NF C 20.010 ou son équivalence européenne (le degré de protection minimum sera égal à IP 43 et leur résistance aux chocs IK08).</w:t>
      </w:r>
    </w:p>
    <w:p>
      <w:pPr>
        <w:pStyle w:val="Normal"/>
        <w:rPr/>
      </w:pPr>
      <w:r>
        <w:rPr/>
      </w:r>
    </w:p>
    <w:p>
      <w:pPr>
        <w:pStyle w:val="Normal"/>
        <w:rPr/>
      </w:pPr>
      <w:r>
        <w:rPr/>
        <w:t>L'enveloppe sera munie de joints d'étanchéité.</w:t>
      </w:r>
    </w:p>
    <w:p>
      <w:pPr>
        <w:pStyle w:val="Normal"/>
        <w:rPr/>
      </w:pPr>
      <w:r>
        <w:rPr/>
        <w:t>Ils seront décomposés en cellules. Ces cellules regroupent les circuits, les équipements de même nature.</w:t>
      </w:r>
    </w:p>
    <w:p>
      <w:pPr>
        <w:pStyle w:val="Normal"/>
        <w:rPr/>
      </w:pPr>
      <w:r>
        <w:rPr/>
      </w:r>
    </w:p>
    <w:p>
      <w:pPr>
        <w:pStyle w:val="Normal"/>
        <w:rPr/>
      </w:pPr>
      <w:r>
        <w:rPr/>
        <w:t>Le régime de neutre entre les transformateurs et les TGBT est identique à l’existant (TT ou TN).</w:t>
      </w:r>
    </w:p>
    <w:p>
      <w:pPr>
        <w:pStyle w:val="Normal"/>
        <w:rPr/>
      </w:pPr>
      <w:r>
        <w:rPr/>
      </w:r>
    </w:p>
    <w:p>
      <w:pPr>
        <w:pStyle w:val="Normal"/>
        <w:rPr/>
      </w:pPr>
      <w:r>
        <w:rPr/>
        <w:t xml:space="preserve">Le régime du neutre en sortie des TGBT est le régime TT ou TN. </w:t>
      </w:r>
    </w:p>
    <w:p>
      <w:pPr>
        <w:pStyle w:val="Normal"/>
        <w:rPr/>
      </w:pPr>
      <w:r>
        <w:rPr/>
      </w:r>
    </w:p>
    <w:p>
      <w:pPr>
        <w:pStyle w:val="Normal"/>
        <w:rPr/>
      </w:pPr>
      <w:r>
        <w:rPr/>
        <w:t xml:space="preserve">Tension assignée d’isolement : 1.000 V. </w:t>
      </w:r>
    </w:p>
    <w:p>
      <w:pPr>
        <w:pStyle w:val="Titre4"/>
        <w:rPr/>
      </w:pPr>
      <w:bookmarkStart w:id="457" w:name="_Toc32334710"/>
      <w:bookmarkStart w:id="458" w:name="_Toc420660137"/>
      <w:bookmarkStart w:id="459" w:name="_Toc255216123"/>
      <w:bookmarkStart w:id="460" w:name="_Toc234742026"/>
      <w:bookmarkStart w:id="461" w:name="_Toc106512416"/>
      <w:r>
        <w:rPr/>
        <w:t>Appareils et appareillages</w:t>
      </w:r>
      <w:bookmarkEnd w:id="457"/>
      <w:bookmarkEnd w:id="458"/>
      <w:bookmarkEnd w:id="459"/>
      <w:bookmarkEnd w:id="460"/>
      <w:bookmarkEnd w:id="461"/>
    </w:p>
    <w:p>
      <w:pPr>
        <w:pStyle w:val="Normal"/>
        <w:rPr/>
      </w:pPr>
      <w:r>
        <w:rPr/>
      </w:r>
    </w:p>
    <w:p>
      <w:pPr>
        <w:pStyle w:val="Normal"/>
        <w:rPr/>
      </w:pPr>
      <w:r>
        <w:rPr/>
        <w:t>Afin de minimiser les contraintes d’exploitation, de maintenance, et d’évolution, tous les appareillages de protection générale et de protection des équipements alimentés depuis les TGBT seront "débrochables " sous tension.</w:t>
      </w:r>
    </w:p>
    <w:p>
      <w:pPr>
        <w:pStyle w:val="Normal"/>
        <w:rPr/>
      </w:pPr>
      <w:r>
        <w:rPr/>
      </w:r>
    </w:p>
    <w:p>
      <w:pPr>
        <w:pStyle w:val="Normal"/>
        <w:rPr/>
      </w:pPr>
      <w:r>
        <w:rPr/>
        <w:t>Les disjoncteurs sont de type débrochable sur châssis avec commandes motorisées, verrouillage électriques (et mécanique en cas de maintenance) et tores permettant l’interdiction de commande en cas de défaut ou court-circuit.</w:t>
      </w:r>
    </w:p>
    <w:p>
      <w:pPr>
        <w:pStyle w:val="Titre3"/>
        <w:rPr/>
      </w:pPr>
      <w:bookmarkStart w:id="462" w:name="_Toc32334711"/>
      <w:bookmarkStart w:id="463" w:name="_Toc420660138"/>
      <w:r>
        <w:rPr/>
        <w:t>Indice de service</w:t>
      </w:r>
      <w:bookmarkEnd w:id="462"/>
      <w:bookmarkEnd w:id="463"/>
    </w:p>
    <w:p>
      <w:pPr>
        <w:pStyle w:val="Normal"/>
        <w:rPr/>
      </w:pPr>
      <w:r>
        <w:rPr/>
      </w:r>
    </w:p>
    <w:p>
      <w:pPr>
        <w:pStyle w:val="Normal"/>
        <w:rPr/>
      </w:pPr>
      <w:r>
        <w:rPr/>
        <w:t>L'indice de service (IS) est un code à trois chiffres défini par le guide UTE C 63- 429. Il permet de caractériser un tableau BT en fonction des besoins de l'utilisateur en terme d'exploitation, de maintenance, et d'évolution.</w:t>
      </w:r>
    </w:p>
    <w:p>
      <w:pPr>
        <w:pStyle w:val="Normal"/>
        <w:rPr/>
      </w:pPr>
      <w:r>
        <w:rPr/>
      </w:r>
    </w:p>
    <w:tbl>
      <w:tblPr>
        <w:tblW w:w="9005"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2129"/>
        <w:gridCol w:w="2302"/>
        <w:gridCol w:w="2298"/>
        <w:gridCol w:w="2275"/>
      </w:tblGrid>
      <w:tr>
        <w:trPr/>
        <w:tc>
          <w:tcPr>
            <w:tcW w:w="21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pPr>
            <w:r>
              <w:rPr/>
            </w:r>
          </w:p>
        </w:tc>
        <w:tc>
          <w:tcPr>
            <w:tcW w:w="23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b/>
                <w:b/>
              </w:rPr>
            </w:pPr>
            <w:r>
              <w:rPr>
                <w:b/>
              </w:rPr>
              <w:t>Exploitation (1er chiffre)</w:t>
            </w:r>
          </w:p>
        </w:tc>
        <w:tc>
          <w:tcPr>
            <w:tcW w:w="229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b/>
                <w:b/>
              </w:rPr>
            </w:pPr>
            <w:r>
              <w:rPr>
                <w:b/>
              </w:rPr>
              <w:t>Maintenance (2ème chiffre)</w:t>
            </w:r>
          </w:p>
        </w:tc>
        <w:tc>
          <w:tcPr>
            <w:tcW w:w="227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b/>
                <w:b/>
              </w:rPr>
            </w:pPr>
            <w:r>
              <w:rPr>
                <w:b/>
              </w:rPr>
              <w:t>Evolution (3ème chiffre)</w:t>
            </w:r>
          </w:p>
        </w:tc>
      </w:tr>
      <w:tr>
        <w:trPr/>
        <w:tc>
          <w:tcPr>
            <w:tcW w:w="21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b/>
                <w:b/>
              </w:rPr>
            </w:pPr>
            <w:r>
              <w:rPr>
                <w:b/>
              </w:rPr>
              <w:t>Niveau 1</w:t>
            </w:r>
          </w:p>
        </w:tc>
        <w:tc>
          <w:tcPr>
            <w:tcW w:w="23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pPr>
            <w:r>
              <w:rPr/>
              <w:t>IS = 1 • •</w:t>
            </w:r>
          </w:p>
          <w:p>
            <w:pPr>
              <w:pStyle w:val="Normal"/>
              <w:widowControl w:val="false"/>
              <w:rPr/>
            </w:pPr>
            <w:r>
              <w:rPr/>
              <w:t>L'opération entraîne l'arrêt</w:t>
            </w:r>
          </w:p>
          <w:p>
            <w:pPr>
              <w:pStyle w:val="Normal"/>
              <w:widowControl w:val="false"/>
              <w:rPr/>
            </w:pPr>
            <w:r>
              <w:rPr/>
              <w:t>complet du tableau.</w:t>
            </w:r>
          </w:p>
        </w:tc>
        <w:tc>
          <w:tcPr>
            <w:tcW w:w="229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pPr>
            <w:r>
              <w:rPr/>
              <w:t>IS = • 1 •</w:t>
            </w:r>
          </w:p>
          <w:p>
            <w:pPr>
              <w:pStyle w:val="Normal"/>
              <w:widowControl w:val="false"/>
              <w:rPr/>
            </w:pPr>
            <w:r>
              <w:rPr/>
              <w:t>L'opération entraîne l'arrêt</w:t>
            </w:r>
          </w:p>
          <w:p>
            <w:pPr>
              <w:pStyle w:val="Normal"/>
              <w:widowControl w:val="false"/>
              <w:rPr/>
            </w:pPr>
            <w:r>
              <w:rPr/>
              <w:t>complet du tableau.</w:t>
            </w:r>
          </w:p>
        </w:tc>
        <w:tc>
          <w:tcPr>
            <w:tcW w:w="227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pPr>
            <w:r>
              <w:rPr/>
              <w:t>IS = • • 1</w:t>
            </w:r>
          </w:p>
          <w:p>
            <w:pPr>
              <w:pStyle w:val="Normal"/>
              <w:widowControl w:val="false"/>
              <w:rPr/>
            </w:pPr>
            <w:r>
              <w:rPr/>
              <w:t>L'opération entraîne l'arrêt</w:t>
            </w:r>
          </w:p>
          <w:p>
            <w:pPr>
              <w:pStyle w:val="Normal"/>
              <w:widowControl w:val="false"/>
              <w:rPr/>
            </w:pPr>
            <w:r>
              <w:rPr/>
              <w:t>complet du tableau.</w:t>
            </w:r>
          </w:p>
        </w:tc>
      </w:tr>
      <w:tr>
        <w:trPr/>
        <w:tc>
          <w:tcPr>
            <w:tcW w:w="21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b/>
                <w:b/>
              </w:rPr>
            </w:pPr>
            <w:r>
              <w:rPr>
                <w:b/>
              </w:rPr>
              <w:t>Niveau 2</w:t>
            </w:r>
          </w:p>
        </w:tc>
        <w:tc>
          <w:tcPr>
            <w:tcW w:w="23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pPr>
            <w:r>
              <w:rPr/>
              <w:t>IS = 2 • •</w:t>
            </w:r>
          </w:p>
          <w:p>
            <w:pPr>
              <w:pStyle w:val="Normal"/>
              <w:widowControl w:val="false"/>
              <w:rPr/>
            </w:pPr>
            <w:r>
              <w:rPr/>
              <w:t>L'opération entraîne l'arrêt de la seule</w:t>
            </w:r>
          </w:p>
          <w:p>
            <w:pPr>
              <w:pStyle w:val="Normal"/>
              <w:widowControl w:val="false"/>
              <w:rPr/>
            </w:pPr>
            <w:r>
              <w:rPr/>
              <w:t>unité fonctionnelle concernée.</w:t>
            </w:r>
          </w:p>
        </w:tc>
        <w:tc>
          <w:tcPr>
            <w:tcW w:w="229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pPr>
            <w:r>
              <w:rPr/>
              <w:t>IS = • 2 •</w:t>
            </w:r>
          </w:p>
          <w:p>
            <w:pPr>
              <w:pStyle w:val="Normal"/>
              <w:widowControl w:val="false"/>
              <w:rPr/>
            </w:pPr>
            <w:r>
              <w:rPr/>
              <w:t>L'opération entraîne l'arrêt limité à la</w:t>
            </w:r>
          </w:p>
          <w:p>
            <w:pPr>
              <w:pStyle w:val="Normal"/>
              <w:widowControl w:val="false"/>
              <w:rPr/>
            </w:pPr>
            <w:r>
              <w:rPr/>
              <w:t>seule unité fonctionnelle concernée,</w:t>
            </w:r>
          </w:p>
          <w:p>
            <w:pPr>
              <w:pStyle w:val="Normal"/>
              <w:widowControl w:val="false"/>
              <w:rPr/>
            </w:pPr>
            <w:r>
              <w:rPr/>
              <w:t>avec intervention possible sur les</w:t>
            </w:r>
          </w:p>
          <w:p>
            <w:pPr>
              <w:pStyle w:val="Normal"/>
              <w:widowControl w:val="false"/>
              <w:rPr/>
            </w:pPr>
            <w:r>
              <w:rPr/>
              <w:t>raccordements</w:t>
            </w:r>
          </w:p>
        </w:tc>
        <w:tc>
          <w:tcPr>
            <w:tcW w:w="227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pPr>
            <w:r>
              <w:rPr/>
              <w:t>IS = • • 2</w:t>
            </w:r>
          </w:p>
          <w:p>
            <w:pPr>
              <w:pStyle w:val="Normal"/>
              <w:widowControl w:val="false"/>
              <w:rPr/>
            </w:pPr>
            <w:r>
              <w:rPr/>
              <w:t>L'opération entraîne l'arrêt limité à la</w:t>
            </w:r>
          </w:p>
          <w:p>
            <w:pPr>
              <w:pStyle w:val="Normal"/>
              <w:widowControl w:val="false"/>
              <w:rPr/>
            </w:pPr>
            <w:r>
              <w:rPr/>
              <w:t>seule unité fonctionnelle concernée.</w:t>
            </w:r>
          </w:p>
          <w:p>
            <w:pPr>
              <w:pStyle w:val="Normal"/>
              <w:widowControl w:val="false"/>
              <w:rPr/>
            </w:pPr>
            <w:r>
              <w:rPr/>
              <w:t>Des réserves d'unités fonctionnelles,</w:t>
            </w:r>
          </w:p>
          <w:p>
            <w:pPr>
              <w:pStyle w:val="Normal"/>
              <w:widowControl w:val="false"/>
              <w:rPr/>
            </w:pPr>
            <w:r>
              <w:rPr/>
              <w:t>définies en nombre et en taille, sont</w:t>
            </w:r>
          </w:p>
          <w:p>
            <w:pPr>
              <w:pStyle w:val="Normal"/>
              <w:widowControl w:val="false"/>
              <w:rPr/>
            </w:pPr>
            <w:r>
              <w:rPr/>
              <w:t>prévues.</w:t>
            </w:r>
          </w:p>
        </w:tc>
      </w:tr>
      <w:tr>
        <w:trPr/>
        <w:tc>
          <w:tcPr>
            <w:tcW w:w="21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b/>
                <w:b/>
              </w:rPr>
            </w:pPr>
            <w:r>
              <w:rPr>
                <w:b/>
              </w:rPr>
              <w:t>Niveau 3</w:t>
            </w:r>
          </w:p>
        </w:tc>
        <w:tc>
          <w:tcPr>
            <w:tcW w:w="23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pPr>
            <w:r>
              <w:rPr/>
              <w:t>IS = 3 • •</w:t>
            </w:r>
          </w:p>
          <w:p>
            <w:pPr>
              <w:pStyle w:val="Normal"/>
              <w:widowControl w:val="false"/>
              <w:rPr/>
            </w:pPr>
            <w:r>
              <w:rPr/>
              <w:t>L'opération entraîne seulement</w:t>
            </w:r>
          </w:p>
          <w:p>
            <w:pPr>
              <w:pStyle w:val="Normal"/>
              <w:widowControl w:val="false"/>
              <w:rPr/>
            </w:pPr>
            <w:r>
              <w:rPr/>
              <w:t>l'arrêt de la puissance de l'unité</w:t>
            </w:r>
          </w:p>
          <w:p>
            <w:pPr>
              <w:pStyle w:val="Normal"/>
              <w:widowControl w:val="false"/>
              <w:rPr/>
            </w:pPr>
            <w:r>
              <w:rPr/>
              <w:t>fonctionnelle concernée. Mais</w:t>
            </w:r>
          </w:p>
          <w:p>
            <w:pPr>
              <w:pStyle w:val="Normal"/>
              <w:widowControl w:val="false"/>
              <w:rPr/>
            </w:pPr>
            <w:r>
              <w:rPr/>
              <w:t>autorise des essais d'automatismes</w:t>
            </w:r>
          </w:p>
          <w:p>
            <w:pPr>
              <w:pStyle w:val="Normal"/>
              <w:widowControl w:val="false"/>
              <w:rPr/>
            </w:pPr>
            <w:r>
              <w:rPr/>
              <w:t>afin de tester l'installation en</w:t>
            </w:r>
          </w:p>
          <w:p>
            <w:pPr>
              <w:pStyle w:val="Normal"/>
              <w:widowControl w:val="false"/>
              <w:rPr/>
            </w:pPr>
            <w:r>
              <w:rPr/>
              <w:t>« grandeur réelle » avant sa remise</w:t>
            </w:r>
          </w:p>
          <w:p>
            <w:pPr>
              <w:pStyle w:val="Normal"/>
              <w:widowControl w:val="false"/>
              <w:rPr/>
            </w:pPr>
            <w:r>
              <w:rPr/>
              <w:t>en route.</w:t>
            </w:r>
          </w:p>
        </w:tc>
        <w:tc>
          <w:tcPr>
            <w:tcW w:w="229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pPr>
            <w:r>
              <w:rPr/>
              <w:t>IS = • 3 •</w:t>
            </w:r>
          </w:p>
          <w:p>
            <w:pPr>
              <w:pStyle w:val="Normal"/>
              <w:widowControl w:val="false"/>
              <w:rPr/>
            </w:pPr>
            <w:r>
              <w:rPr/>
              <w:t>L'opération entraîne l'arrêt limité</w:t>
            </w:r>
          </w:p>
          <w:p>
            <w:pPr>
              <w:pStyle w:val="Normal"/>
              <w:widowControl w:val="false"/>
              <w:rPr/>
            </w:pPr>
            <w:r>
              <w:rPr/>
              <w:t>à la seule unité fonctionnelle</w:t>
            </w:r>
          </w:p>
          <w:p>
            <w:pPr>
              <w:pStyle w:val="Normal"/>
              <w:widowControl w:val="false"/>
              <w:rPr/>
            </w:pPr>
            <w:r>
              <w:rPr/>
              <w:t>concernée, sans intervention sur les</w:t>
            </w:r>
          </w:p>
          <w:p>
            <w:pPr>
              <w:pStyle w:val="Normal"/>
              <w:widowControl w:val="false"/>
              <w:rPr/>
            </w:pPr>
            <w:r>
              <w:rPr/>
              <w:t>raccordements.</w:t>
            </w:r>
          </w:p>
        </w:tc>
        <w:tc>
          <w:tcPr>
            <w:tcW w:w="227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rPr/>
            </w:pPr>
            <w:r>
              <w:rPr/>
              <w:t>IS = • • 3</w:t>
            </w:r>
          </w:p>
          <w:p>
            <w:pPr>
              <w:pStyle w:val="Normal"/>
              <w:widowControl w:val="false"/>
              <w:rPr/>
            </w:pPr>
            <w:r>
              <w:rPr/>
              <w:t>Adjonction possible de tout type</w:t>
            </w:r>
          </w:p>
          <w:p>
            <w:pPr>
              <w:pStyle w:val="Normal"/>
              <w:widowControl w:val="false"/>
              <w:rPr/>
            </w:pPr>
            <w:r>
              <w:rPr/>
              <w:t>d'unité fonctionnelle (protection ou</w:t>
            </w:r>
          </w:p>
          <w:p>
            <w:pPr>
              <w:pStyle w:val="Normal"/>
              <w:widowControl w:val="false"/>
              <w:rPr/>
            </w:pPr>
            <w:r>
              <w:rPr/>
              <w:t>commande moteur) sans mise hors</w:t>
            </w:r>
          </w:p>
          <w:p>
            <w:pPr>
              <w:pStyle w:val="Normal"/>
              <w:widowControl w:val="false"/>
              <w:rPr/>
            </w:pPr>
            <w:r>
              <w:rPr/>
              <w:t>tension du tableau. Cette intervention</w:t>
            </w:r>
          </w:p>
          <w:p>
            <w:pPr>
              <w:pStyle w:val="Normal"/>
              <w:widowControl w:val="false"/>
              <w:rPr/>
            </w:pPr>
            <w:r>
              <w:rPr/>
              <w:t>se fait dans un emplacement non</w:t>
            </w:r>
          </w:p>
          <w:p>
            <w:pPr>
              <w:pStyle w:val="Normal"/>
              <w:widowControl w:val="false"/>
              <w:rPr/>
            </w:pPr>
            <w:r>
              <w:rPr/>
              <w:t>équipé dans des limites imposées</w:t>
            </w:r>
          </w:p>
          <w:p>
            <w:pPr>
              <w:pStyle w:val="Normal"/>
              <w:widowControl w:val="false"/>
              <w:rPr/>
            </w:pPr>
            <w:r>
              <w:rPr/>
              <w:t>par le constructeur.</w:t>
            </w:r>
          </w:p>
        </w:tc>
      </w:tr>
    </w:tbl>
    <w:p>
      <w:pPr>
        <w:pStyle w:val="Normal"/>
        <w:rPr/>
      </w:pPr>
      <w:r>
        <w:rPr/>
      </w:r>
    </w:p>
    <w:p>
      <w:pPr>
        <w:pStyle w:val="Titre4"/>
        <w:rPr/>
      </w:pPr>
      <w:bookmarkStart w:id="464" w:name="_Toc32334712"/>
      <w:bookmarkStart w:id="465" w:name="_Toc420660139"/>
      <w:r>
        <w:rPr/>
        <w:t>Indice de service retenu</w:t>
      </w:r>
      <w:bookmarkEnd w:id="464"/>
      <w:bookmarkEnd w:id="465"/>
    </w:p>
    <w:p>
      <w:pPr>
        <w:pStyle w:val="Normal"/>
        <w:rPr/>
      </w:pPr>
      <w:r>
        <w:rPr/>
      </w:r>
    </w:p>
    <w:p>
      <w:pPr>
        <w:pStyle w:val="Normal"/>
        <w:spacing w:before="0" w:after="120"/>
        <w:rPr/>
      </w:pPr>
      <w:r>
        <w:rPr/>
        <w:t>L’indice de service retenu pour les nouveaux TGBT des PCTT sera 3.3.3 ce qui offre de nombreux avantages à l’exploitant des PCTT :</w:t>
      </w:r>
    </w:p>
    <w:p>
      <w:pPr>
        <w:pStyle w:val="Corpsdetexte"/>
        <w:numPr>
          <w:ilvl w:val="0"/>
          <w:numId w:val="23"/>
        </w:numPr>
        <w:spacing w:before="0" w:after="120"/>
        <w:ind w:left="714" w:hanging="357"/>
        <w:rPr/>
      </w:pPr>
      <w:r>
        <w:rPr>
          <w:rFonts w:cs="Arial"/>
        </w:rPr>
        <w:t xml:space="preserve">En terme d’exploitation : </w:t>
      </w:r>
      <w:r>
        <w:rPr/>
        <w:t>condamnation individuelle de l'unité fonctionnelle avec possibilité de test de sa commande et de son automatisme ;</w:t>
      </w:r>
    </w:p>
    <w:p>
      <w:pPr>
        <w:pStyle w:val="Corpsdetexte"/>
        <w:numPr>
          <w:ilvl w:val="0"/>
          <w:numId w:val="23"/>
        </w:numPr>
        <w:spacing w:before="0" w:after="120"/>
        <w:ind w:left="714" w:hanging="357"/>
        <w:rPr/>
      </w:pPr>
      <w:r>
        <w:rPr>
          <w:rFonts w:cs="Arial"/>
        </w:rPr>
        <w:t xml:space="preserve">En terme de maintenance : </w:t>
      </w:r>
      <w:r>
        <w:rPr/>
        <w:t>temps d'intervention inférieur à 1/4 h, sans intervention sur les raccordements ;</w:t>
      </w:r>
    </w:p>
    <w:p>
      <w:pPr>
        <w:pStyle w:val="Corpsdetexte"/>
        <w:numPr>
          <w:ilvl w:val="0"/>
          <w:numId w:val="23"/>
        </w:numPr>
        <w:spacing w:before="0" w:after="120"/>
        <w:ind w:left="714" w:hanging="357"/>
        <w:rPr/>
      </w:pPr>
      <w:r>
        <w:rPr>
          <w:rFonts w:cs="Arial"/>
        </w:rPr>
        <w:t xml:space="preserve">En terme d’évolution : </w:t>
      </w:r>
      <w:r>
        <w:rPr/>
        <w:t>ajout possible d'unités fonctionnelles dans des réserves non équipées sans arrêt du tableau.</w:t>
      </w:r>
    </w:p>
    <w:p>
      <w:pPr>
        <w:pStyle w:val="Titre3"/>
        <w:rPr/>
      </w:pPr>
      <w:bookmarkStart w:id="466" w:name="_Toc32334713"/>
      <w:bookmarkStart w:id="467" w:name="_Toc420660140"/>
      <w:bookmarkStart w:id="468" w:name="_Toc255216099"/>
      <w:bookmarkStart w:id="469" w:name="_Toc234742002"/>
      <w:r>
        <w:rPr/>
        <w:t>Forme</w:t>
      </w:r>
      <w:bookmarkEnd w:id="466"/>
      <w:bookmarkEnd w:id="467"/>
      <w:bookmarkEnd w:id="468"/>
      <w:bookmarkEnd w:id="469"/>
    </w:p>
    <w:p>
      <w:pPr>
        <w:pStyle w:val="Normal"/>
        <w:rPr/>
      </w:pPr>
      <w:r>
        <w:rPr/>
      </w:r>
    </w:p>
    <w:p>
      <w:pPr>
        <w:pStyle w:val="Normal"/>
        <w:rPr/>
      </w:pPr>
      <w:r>
        <w:rPr/>
        <w:t xml:space="preserve">Les cellules des TGBT recevront tous les appareillages basse tension rendant les installations électriques conformes aux normes NF C 12.100, NF C 13.200 et NF C 15.100. </w:t>
      </w:r>
    </w:p>
    <w:p>
      <w:pPr>
        <w:pStyle w:val="Normal"/>
        <w:rPr/>
      </w:pPr>
      <w:r>
        <w:rPr/>
        <w:t>Ces tableaux disposeront d'une séparation physique entre leurs jeux de barres et équipements électriques ainsi qu’entre les différentes unités fonctionnelles y compris les bornes de raccordement (Forme 4b ci-dessous).</w:t>
      </w:r>
    </w:p>
    <w:p>
      <w:pPr>
        <w:pStyle w:val="Normal"/>
        <w:rPr/>
      </w:pPr>
      <w:r>
        <w:rPr/>
      </w:r>
    </w:p>
    <w:p>
      <w:pPr>
        <w:pStyle w:val="Normal"/>
        <w:jc w:val="center"/>
        <w:rPr/>
      </w:pPr>
      <w:r>
        <w:rPr/>
        <w:drawing>
          <wp:inline distT="0" distB="0" distL="0" distR="0">
            <wp:extent cx="1057275" cy="1285875"/>
            <wp:effectExtent l="0" t="0" r="0" b="0"/>
            <wp:docPr id="20" name="Image 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45" descr=""/>
                    <pic:cNvPicPr>
                      <a:picLocks noChangeAspect="1" noChangeArrowheads="1"/>
                    </pic:cNvPicPr>
                  </pic:nvPicPr>
                  <pic:blipFill>
                    <a:blip r:embed="rId24"/>
                    <a:stretch>
                      <a:fillRect/>
                    </a:stretch>
                  </pic:blipFill>
                  <pic:spPr bwMode="auto">
                    <a:xfrm>
                      <a:off x="0" y="0"/>
                      <a:ext cx="1057275" cy="1285875"/>
                    </a:xfrm>
                    <a:prstGeom prst="rect">
                      <a:avLst/>
                    </a:prstGeom>
                  </pic:spPr>
                </pic:pic>
              </a:graphicData>
            </a:graphic>
          </wp:inline>
        </w:drawing>
      </w:r>
    </w:p>
    <w:p>
      <w:pPr>
        <w:pStyle w:val="Normal"/>
        <w:rPr/>
      </w:pPr>
      <w:r>
        <w:rPr/>
      </w:r>
    </w:p>
    <w:p>
      <w:pPr>
        <w:pStyle w:val="Normal"/>
        <w:rPr/>
      </w:pPr>
      <w:r>
        <w:rPr/>
        <w:t>La forme 4b est généralement utilisée pour des applications sans possibilité de coupure de courant.</w:t>
      </w:r>
    </w:p>
    <w:p>
      <w:pPr>
        <w:pStyle w:val="Titre3"/>
        <w:rPr/>
      </w:pPr>
      <w:bookmarkStart w:id="470" w:name="_Toc32334714"/>
      <w:bookmarkStart w:id="471" w:name="_Toc420660141"/>
      <w:bookmarkStart w:id="472" w:name="_Toc255216100"/>
      <w:bookmarkStart w:id="473" w:name="_Toc234742003"/>
      <w:bookmarkStart w:id="474" w:name="_Toc106512409"/>
      <w:r>
        <w:rPr/>
        <w:t>Dispositif de fermeture, contrôle d'accès</w:t>
      </w:r>
      <w:bookmarkEnd w:id="470"/>
      <w:bookmarkEnd w:id="471"/>
      <w:bookmarkEnd w:id="472"/>
      <w:bookmarkEnd w:id="473"/>
      <w:bookmarkEnd w:id="474"/>
    </w:p>
    <w:p>
      <w:pPr>
        <w:pStyle w:val="Normal"/>
        <w:rPr/>
      </w:pPr>
      <w:r>
        <w:rPr/>
      </w:r>
    </w:p>
    <w:p>
      <w:pPr>
        <w:pStyle w:val="Normal"/>
        <w:rPr/>
      </w:pPr>
      <w:r>
        <w:rPr/>
        <w:t>Les fermetures des portes des armoires implantées dans des locaux techniques sécurisés (au minimum fermé à clef) ne sont pas munies de serrure à clef. Dans les autres cas, une seule et unique clef est appliquée pour la fermeture des portes des armoires électriques (clef 455).</w:t>
      </w:r>
    </w:p>
    <w:p>
      <w:pPr>
        <w:pStyle w:val="Titre3"/>
        <w:rPr/>
      </w:pPr>
      <w:bookmarkStart w:id="475" w:name="_Toc32334715"/>
      <w:bookmarkStart w:id="476" w:name="_Toc420660142"/>
      <w:bookmarkStart w:id="477" w:name="_Toc255216101"/>
      <w:bookmarkStart w:id="478" w:name="_Toc234742004"/>
      <w:r>
        <w:rPr/>
        <w:t>Caractéristiques des enveloppes</w:t>
      </w:r>
      <w:bookmarkEnd w:id="475"/>
      <w:bookmarkEnd w:id="476"/>
      <w:bookmarkEnd w:id="477"/>
      <w:bookmarkEnd w:id="478"/>
    </w:p>
    <w:p>
      <w:pPr>
        <w:pStyle w:val="Normal"/>
        <w:rPr/>
      </w:pPr>
      <w:r>
        <w:rPr/>
      </w:r>
    </w:p>
    <w:p>
      <w:pPr>
        <w:pStyle w:val="Normal"/>
        <w:rPr/>
      </w:pPr>
      <w:r>
        <w:rPr/>
        <w:t xml:space="preserve">Cellules juxtaposées en tôle d'acier électro-zinguée, épaisseur 15/10ème de mm, peintes au moyen d’une peinture époxy polyester. </w:t>
      </w:r>
    </w:p>
    <w:p>
      <w:pPr>
        <w:pStyle w:val="Normal"/>
        <w:rPr/>
      </w:pPr>
      <w:r>
        <w:rPr/>
      </w:r>
    </w:p>
    <w:p>
      <w:pPr>
        <w:pStyle w:val="Normal"/>
        <w:rPr/>
      </w:pPr>
      <w:r>
        <w:rPr/>
        <w:t>Porte avant conforme aux indices de protection nécessaires.</w:t>
      </w:r>
    </w:p>
    <w:p>
      <w:pPr>
        <w:pStyle w:val="Normal"/>
        <w:rPr/>
      </w:pPr>
      <w:r>
        <w:rPr/>
      </w:r>
    </w:p>
    <w:p>
      <w:pPr>
        <w:pStyle w:val="Normal"/>
        <w:rPr/>
      </w:pPr>
      <w:r>
        <w:rPr/>
        <w:t>Partie inférieure fermée par une tôle munie de presse-étoupe IP 66 ou de plaques passe-câbles.</w:t>
      </w:r>
    </w:p>
    <w:p>
      <w:pPr>
        <w:pStyle w:val="Normal"/>
        <w:rPr/>
      </w:pPr>
      <w:r>
        <w:rPr/>
      </w:r>
    </w:p>
    <w:p>
      <w:pPr>
        <w:pStyle w:val="Normal"/>
        <w:rPr/>
      </w:pPr>
      <w:r>
        <w:rPr/>
        <w:t>Le fond est vissé et démontable et ils comprennent des panneaux latéraux et plaques passe-câbles. Les séparations sont en tôle laquée.</w:t>
      </w:r>
    </w:p>
    <w:p>
      <w:pPr>
        <w:pStyle w:val="Normal"/>
        <w:rPr/>
      </w:pPr>
      <w:r>
        <w:rPr/>
      </w:r>
    </w:p>
    <w:p>
      <w:pPr>
        <w:pStyle w:val="Normal"/>
        <w:rPr/>
      </w:pPr>
      <w:r>
        <w:rPr/>
        <w:t>Châssis pour pose sur faux-plancher, anneaux de levage</w:t>
      </w:r>
    </w:p>
    <w:p>
      <w:pPr>
        <w:pStyle w:val="Titre3"/>
        <w:rPr/>
      </w:pPr>
      <w:bookmarkStart w:id="479" w:name="_Toc32334716"/>
      <w:bookmarkStart w:id="480" w:name="_Toc420660143"/>
      <w:bookmarkStart w:id="481" w:name="_Toc255216103"/>
      <w:bookmarkStart w:id="482" w:name="_Toc234742006"/>
      <w:r>
        <w:rPr/>
        <w:t>Equipements des cellules TGBT</w:t>
      </w:r>
      <w:bookmarkEnd w:id="479"/>
      <w:bookmarkEnd w:id="480"/>
      <w:bookmarkEnd w:id="481"/>
      <w:bookmarkEnd w:id="482"/>
    </w:p>
    <w:p>
      <w:pPr>
        <w:pStyle w:val="Titre4"/>
        <w:rPr/>
      </w:pPr>
      <w:bookmarkStart w:id="483" w:name="_Toc32334717"/>
      <w:bookmarkStart w:id="484" w:name="_Toc420660144"/>
      <w:bookmarkStart w:id="485" w:name="_Toc255216104"/>
      <w:bookmarkStart w:id="486" w:name="_Toc234742007"/>
      <w:r>
        <w:rPr/>
        <w:t>Description</w:t>
      </w:r>
      <w:bookmarkEnd w:id="483"/>
      <w:bookmarkEnd w:id="484"/>
      <w:bookmarkEnd w:id="485"/>
      <w:bookmarkEnd w:id="486"/>
    </w:p>
    <w:p>
      <w:pPr>
        <w:pStyle w:val="Normal"/>
        <w:rPr/>
      </w:pPr>
      <w:r>
        <w:rPr/>
      </w:r>
    </w:p>
    <w:p>
      <w:pPr>
        <w:pStyle w:val="Normal"/>
        <w:spacing w:before="0" w:after="120"/>
        <w:rPr/>
      </w:pPr>
      <w:r>
        <w:rPr/>
        <w:t>Chaque TGBT comportera les compartiments suivants conformément à la forme définie (4b) :</w:t>
      </w:r>
    </w:p>
    <w:p>
      <w:pPr>
        <w:pStyle w:val="Corpsdetexte"/>
        <w:numPr>
          <w:ilvl w:val="0"/>
          <w:numId w:val="23"/>
        </w:numPr>
        <w:spacing w:before="0" w:after="120"/>
        <w:ind w:left="714" w:hanging="357"/>
        <w:rPr>
          <w:rFonts w:cs="Arial"/>
        </w:rPr>
      </w:pPr>
      <w:r>
        <w:rPr>
          <w:rFonts w:cs="Arial"/>
        </w:rPr>
        <w:t>Des compartiments pour les jeux de barres ;</w:t>
      </w:r>
    </w:p>
    <w:p>
      <w:pPr>
        <w:pStyle w:val="Corpsdetexte"/>
        <w:numPr>
          <w:ilvl w:val="0"/>
          <w:numId w:val="23"/>
        </w:numPr>
        <w:spacing w:before="0" w:after="120"/>
        <w:ind w:left="714" w:hanging="357"/>
        <w:rPr>
          <w:rFonts w:cs="Arial"/>
        </w:rPr>
      </w:pPr>
      <w:r>
        <w:rPr>
          <w:rFonts w:cs="Arial"/>
        </w:rPr>
        <w:t>Des compartiments appareillage ;</w:t>
      </w:r>
    </w:p>
    <w:p>
      <w:pPr>
        <w:pStyle w:val="Corpsdetexte"/>
        <w:numPr>
          <w:ilvl w:val="0"/>
          <w:numId w:val="23"/>
        </w:numPr>
        <w:spacing w:before="0" w:after="120"/>
        <w:ind w:left="714" w:hanging="357"/>
        <w:rPr>
          <w:rFonts w:cs="Arial"/>
        </w:rPr>
      </w:pPr>
      <w:r>
        <w:rPr>
          <w:rFonts w:cs="Arial"/>
        </w:rPr>
        <w:t>Des compartiments borniers et câbles</w:t>
      </w:r>
    </w:p>
    <w:p>
      <w:pPr>
        <w:pStyle w:val="Titre4"/>
        <w:rPr/>
      </w:pPr>
      <w:bookmarkStart w:id="487" w:name="_Toc32334718"/>
      <w:bookmarkStart w:id="488" w:name="_Toc420660145"/>
      <w:bookmarkStart w:id="489" w:name="_Toc255216126"/>
      <w:bookmarkStart w:id="490" w:name="_Toc160272097"/>
      <w:bookmarkStart w:id="491" w:name="_Toc61858957"/>
      <w:r>
        <w:rPr/>
        <w:t>Equipement électrique</w:t>
      </w:r>
      <w:bookmarkEnd w:id="487"/>
      <w:bookmarkEnd w:id="488"/>
      <w:bookmarkEnd w:id="489"/>
      <w:bookmarkEnd w:id="490"/>
      <w:bookmarkEnd w:id="491"/>
    </w:p>
    <w:p>
      <w:pPr>
        <w:pStyle w:val="Normal"/>
        <w:rPr/>
      </w:pPr>
      <w:r>
        <w:rPr/>
      </w:r>
    </w:p>
    <w:p>
      <w:pPr>
        <w:pStyle w:val="Normal"/>
        <w:rPr/>
      </w:pPr>
      <w:r>
        <w:rPr/>
        <w:t>L'appareillage de protection des circuits est uniquement constitué de disjoncteurs.</w:t>
      </w:r>
    </w:p>
    <w:p>
      <w:pPr>
        <w:pStyle w:val="Normal"/>
        <w:rPr/>
      </w:pPr>
      <w:r>
        <w:rPr/>
      </w:r>
    </w:p>
    <w:p>
      <w:pPr>
        <w:pStyle w:val="Normal"/>
        <w:rPr/>
      </w:pPr>
      <w:r>
        <w:rPr/>
        <w:t>L'ensemble de l'appareillage doit supporter les courants de court-circuit pendant le temps nécessaire au fonctionnement des protections.</w:t>
      </w:r>
    </w:p>
    <w:p>
      <w:pPr>
        <w:pStyle w:val="Normal"/>
        <w:rPr/>
      </w:pPr>
      <w:r>
        <w:rPr/>
      </w:r>
    </w:p>
    <w:p>
      <w:pPr>
        <w:pStyle w:val="Normal"/>
        <w:rPr/>
      </w:pPr>
      <w:r>
        <w:rPr/>
        <w:t>Une sélectivité totale doit être assurée entre la protection des sources et celles des départs.</w:t>
      </w:r>
    </w:p>
    <w:p>
      <w:pPr>
        <w:pStyle w:val="Normal"/>
        <w:rPr/>
      </w:pPr>
      <w:r>
        <w:rPr/>
      </w:r>
    </w:p>
    <w:p>
      <w:pPr>
        <w:pStyle w:val="Normal"/>
        <w:spacing w:before="0" w:after="120"/>
        <w:rPr/>
      </w:pPr>
      <w:r>
        <w:rPr/>
        <w:t>Sur chaque TGBT, il est prévu :</w:t>
      </w:r>
    </w:p>
    <w:p>
      <w:pPr>
        <w:pStyle w:val="Corpsdetexte"/>
        <w:numPr>
          <w:ilvl w:val="0"/>
          <w:numId w:val="23"/>
        </w:numPr>
        <w:spacing w:before="0" w:after="120"/>
        <w:ind w:left="714" w:hanging="357"/>
        <w:rPr>
          <w:rFonts w:cs="Arial"/>
        </w:rPr>
      </w:pPr>
      <w:r>
        <w:rPr>
          <w:rFonts w:cs="Arial"/>
        </w:rPr>
        <w:t>Un bornier spécifique affecté exclusivement à la GTC, ce bornier est réalisé par bornes sectionnables ;</w:t>
      </w:r>
    </w:p>
    <w:p>
      <w:pPr>
        <w:pStyle w:val="Corpsdetexte"/>
        <w:numPr>
          <w:ilvl w:val="0"/>
          <w:numId w:val="23"/>
        </w:numPr>
        <w:spacing w:before="0" w:after="120"/>
        <w:ind w:left="714" w:hanging="357"/>
        <w:rPr>
          <w:rFonts w:cs="Arial"/>
        </w:rPr>
      </w:pPr>
      <w:r>
        <w:rPr>
          <w:rFonts w:cs="Arial"/>
        </w:rPr>
        <w:t>Une source d'alimentation auxiliaire (48 V CC) pour l'alimentation des télécommandes et signalisations ;</w:t>
      </w:r>
    </w:p>
    <w:p>
      <w:pPr>
        <w:pStyle w:val="Corpsdetexte"/>
        <w:numPr>
          <w:ilvl w:val="0"/>
          <w:numId w:val="23"/>
        </w:numPr>
        <w:spacing w:before="0" w:after="120"/>
        <w:ind w:left="714" w:hanging="357"/>
        <w:rPr>
          <w:rFonts w:cs="Arial"/>
        </w:rPr>
      </w:pPr>
      <w:r>
        <w:rPr>
          <w:rFonts w:cs="Arial"/>
        </w:rPr>
        <w:t>Une prise de courant "Technique" 230 V - 2 x 10/16A + T.</w:t>
      </w:r>
    </w:p>
    <w:p>
      <w:pPr>
        <w:pStyle w:val="Titre4"/>
        <w:rPr/>
      </w:pPr>
      <w:bookmarkStart w:id="492" w:name="_Toc32334719"/>
      <w:bookmarkStart w:id="493" w:name="_Toc420660146"/>
      <w:r>
        <w:rPr/>
        <w:t>Disjoncteur général</w:t>
      </w:r>
      <w:bookmarkEnd w:id="492"/>
      <w:bookmarkEnd w:id="493"/>
      <w:r>
        <w:rPr/>
        <w:t xml:space="preserve"> </w:t>
      </w:r>
    </w:p>
    <w:p>
      <w:pPr>
        <w:pStyle w:val="Normal"/>
        <w:rPr/>
      </w:pPr>
      <w:r>
        <w:rPr/>
      </w:r>
    </w:p>
    <w:p>
      <w:pPr>
        <w:pStyle w:val="Normal"/>
        <w:spacing w:before="0" w:after="120"/>
        <w:rPr/>
      </w:pPr>
      <w:r>
        <w:rPr/>
        <w:t>Tripolaire, débrochable sur chariot (arrivée TRI + PEN) ou TETRA selon l’existant.</w:t>
      </w:r>
    </w:p>
    <w:p>
      <w:pPr>
        <w:pStyle w:val="Normal"/>
        <w:spacing w:before="0" w:after="120"/>
        <w:rPr/>
      </w:pPr>
      <w:r>
        <w:rPr/>
        <w:t>3 pôles protégés Ou 4.</w:t>
      </w:r>
    </w:p>
    <w:p>
      <w:pPr>
        <w:pStyle w:val="Normal"/>
        <w:spacing w:before="0" w:after="120"/>
        <w:rPr/>
      </w:pPr>
      <w:r>
        <w:rPr/>
        <w:t>1 commande manuelle.</w:t>
      </w:r>
    </w:p>
    <w:p>
      <w:pPr>
        <w:pStyle w:val="Normal"/>
        <w:spacing w:before="0" w:after="120"/>
        <w:rPr/>
      </w:pPr>
      <w:r>
        <w:rPr/>
        <w:t>1 bobine de déclenchement à émission 48 V continu attaquée par :</w:t>
      </w:r>
    </w:p>
    <w:p>
      <w:pPr>
        <w:pStyle w:val="Corpsdetexte"/>
        <w:numPr>
          <w:ilvl w:val="0"/>
          <w:numId w:val="23"/>
        </w:numPr>
        <w:spacing w:before="0" w:after="120"/>
        <w:ind w:left="714" w:hanging="357"/>
        <w:rPr>
          <w:rFonts w:cs="Arial"/>
        </w:rPr>
      </w:pPr>
      <w:r>
        <w:rPr>
          <w:rFonts w:cs="Arial"/>
        </w:rPr>
        <w:t>L'ouverture de l'interrupteur HT correspondant ;</w:t>
      </w:r>
    </w:p>
    <w:p>
      <w:pPr>
        <w:pStyle w:val="Corpsdetexte"/>
        <w:numPr>
          <w:ilvl w:val="0"/>
          <w:numId w:val="23"/>
        </w:numPr>
        <w:spacing w:before="0" w:after="120"/>
        <w:ind w:left="714" w:hanging="357"/>
        <w:rPr>
          <w:rFonts w:cs="Arial"/>
        </w:rPr>
      </w:pPr>
      <w:r>
        <w:rPr>
          <w:rFonts w:cs="Arial"/>
        </w:rPr>
        <w:t>Le dispositif de protection du transformateur (thermostat 2ème seuil) ;</w:t>
      </w:r>
    </w:p>
    <w:p>
      <w:pPr>
        <w:pStyle w:val="Corpsdetexte"/>
        <w:numPr>
          <w:ilvl w:val="0"/>
          <w:numId w:val="23"/>
        </w:numPr>
        <w:spacing w:before="0" w:after="120"/>
        <w:ind w:left="714" w:hanging="357"/>
        <w:rPr>
          <w:rFonts w:cs="Arial"/>
        </w:rPr>
      </w:pPr>
      <w:r>
        <w:rPr>
          <w:rFonts w:cs="Arial"/>
        </w:rPr>
        <w:t xml:space="preserve">L'action sur le coup de poing arrêt d'urgence ; </w:t>
      </w:r>
    </w:p>
    <w:p>
      <w:pPr>
        <w:pStyle w:val="Normal"/>
        <w:spacing w:before="0" w:after="120"/>
        <w:rPr/>
      </w:pPr>
      <w:r>
        <w:rPr/>
        <w:t>1 voyant de signalisation ouvert.</w:t>
      </w:r>
    </w:p>
    <w:p>
      <w:pPr>
        <w:pStyle w:val="Normal"/>
        <w:spacing w:before="0" w:after="120"/>
        <w:rPr/>
      </w:pPr>
      <w:r>
        <w:rPr/>
        <w:t>1 voyant de signalisation fermé.</w:t>
      </w:r>
    </w:p>
    <w:p>
      <w:pPr>
        <w:pStyle w:val="Normal"/>
        <w:spacing w:before="0" w:after="120"/>
        <w:rPr/>
      </w:pPr>
      <w:r>
        <w:rPr/>
        <w:t>1 voyant de signalisation défaut déclenchement.</w:t>
      </w:r>
    </w:p>
    <w:p>
      <w:pPr>
        <w:pStyle w:val="Normal"/>
        <w:spacing w:before="0" w:after="120"/>
        <w:rPr/>
      </w:pPr>
      <w:r>
        <w:rPr/>
        <w:t>Contacts auxiliaires de signalisation de position et de déclenchement nécessaires aux signalisations lumineuses, aux automatismes et aux reports d’informations à la GTC.</w:t>
      </w:r>
    </w:p>
    <w:p>
      <w:pPr>
        <w:pStyle w:val="Normal"/>
        <w:spacing w:before="0" w:after="120"/>
        <w:rPr/>
      </w:pPr>
      <w:r>
        <w:rPr/>
        <w:t>Protection long retard.</w:t>
      </w:r>
    </w:p>
    <w:p>
      <w:pPr>
        <w:pStyle w:val="Normal"/>
        <w:spacing w:before="0" w:after="120"/>
        <w:rPr/>
      </w:pPr>
      <w:r>
        <w:rPr/>
        <w:t>Protection court retard.</w:t>
      </w:r>
    </w:p>
    <w:p>
      <w:pPr>
        <w:pStyle w:val="Normal"/>
        <w:spacing w:before="0" w:after="120"/>
        <w:rPr/>
      </w:pPr>
      <w:r>
        <w:rPr/>
        <w:t>Protection instantanée.</w:t>
      </w:r>
    </w:p>
    <w:p>
      <w:pPr>
        <w:pStyle w:val="Normal"/>
        <w:spacing w:before="0" w:after="120"/>
        <w:rPr/>
      </w:pPr>
      <w:r>
        <w:rPr/>
        <w:t>Verrouillage de consignation + verrouillages spécifiques.</w:t>
      </w:r>
    </w:p>
    <w:p>
      <w:pPr>
        <w:pStyle w:val="Titre4"/>
        <w:rPr/>
      </w:pPr>
      <w:bookmarkStart w:id="494" w:name="_Toc32334720"/>
      <w:bookmarkStart w:id="495" w:name="_Toc420660147"/>
      <w:r>
        <w:rPr/>
        <w:t>Inverseur de source des TGBTS et des Tableaux Généraux</w:t>
      </w:r>
      <w:bookmarkEnd w:id="494"/>
      <w:bookmarkEnd w:id="495"/>
      <w:r>
        <w:rPr/>
        <w:t xml:space="preserve"> </w:t>
      </w:r>
    </w:p>
    <w:p>
      <w:pPr>
        <w:pStyle w:val="Normal"/>
        <w:rPr/>
      </w:pPr>
      <w:r>
        <w:rPr/>
      </w:r>
    </w:p>
    <w:p>
      <w:pPr>
        <w:pStyle w:val="Normal"/>
        <w:spacing w:before="0" w:after="120"/>
        <w:rPr/>
      </w:pPr>
      <w:r>
        <w:rPr/>
        <w:t>L’inverseur automatique de source est composé de :</w:t>
      </w:r>
    </w:p>
    <w:p>
      <w:pPr>
        <w:pStyle w:val="Corpsdetexte"/>
        <w:numPr>
          <w:ilvl w:val="0"/>
          <w:numId w:val="23"/>
        </w:numPr>
        <w:spacing w:before="0" w:after="120"/>
        <w:ind w:left="714" w:hanging="357"/>
        <w:rPr>
          <w:rFonts w:cs="Arial"/>
        </w:rPr>
      </w:pPr>
      <w:r>
        <w:rPr>
          <w:rFonts w:cs="Arial"/>
        </w:rPr>
        <w:t>2 interrupteurs à commande électrique verrouillés mécaniquement et électriquement ;</w:t>
      </w:r>
    </w:p>
    <w:p>
      <w:pPr>
        <w:pStyle w:val="Corpsdetexte"/>
        <w:numPr>
          <w:ilvl w:val="0"/>
          <w:numId w:val="23"/>
        </w:numPr>
        <w:spacing w:before="0" w:after="120"/>
        <w:ind w:left="714" w:hanging="357"/>
        <w:rPr>
          <w:rFonts w:cs="Arial"/>
        </w:rPr>
      </w:pPr>
      <w:r>
        <w:rPr>
          <w:rFonts w:cs="Arial"/>
        </w:rPr>
        <w:t>1 commutateur à clé en face avant du TGBT «auto-manuel» avec report de position à la GTC ;</w:t>
      </w:r>
    </w:p>
    <w:p>
      <w:pPr>
        <w:pStyle w:val="Corpsdetexte"/>
        <w:numPr>
          <w:ilvl w:val="0"/>
          <w:numId w:val="23"/>
        </w:numPr>
        <w:spacing w:before="0" w:after="120"/>
        <w:ind w:left="714" w:hanging="357"/>
        <w:rPr>
          <w:rFonts w:cs="Arial"/>
        </w:rPr>
      </w:pPr>
      <w:r>
        <w:rPr>
          <w:rFonts w:cs="Arial"/>
        </w:rPr>
        <w:t>1 relais de présence de tension sur chaque arrivée en amont de chaque interrupteur ;</w:t>
      </w:r>
    </w:p>
    <w:p>
      <w:pPr>
        <w:pStyle w:val="Corpsdetexte"/>
        <w:numPr>
          <w:ilvl w:val="0"/>
          <w:numId w:val="23"/>
        </w:numPr>
        <w:spacing w:before="0" w:after="120"/>
        <w:ind w:left="714" w:hanging="357"/>
        <w:rPr>
          <w:rFonts w:cs="Arial"/>
        </w:rPr>
      </w:pPr>
      <w:r>
        <w:rPr>
          <w:rFonts w:cs="Arial"/>
        </w:rPr>
        <w:t>L’automatisme d’inversion à relais, tension d’alimentation 48 VCC ;</w:t>
      </w:r>
    </w:p>
    <w:p>
      <w:pPr>
        <w:pStyle w:val="Corpsdetexte"/>
        <w:numPr>
          <w:ilvl w:val="0"/>
          <w:numId w:val="23"/>
        </w:numPr>
        <w:spacing w:before="0" w:after="120"/>
        <w:ind w:left="714" w:hanging="357"/>
        <w:rPr>
          <w:rFonts w:cs="Arial"/>
        </w:rPr>
      </w:pPr>
      <w:r>
        <w:rPr>
          <w:rFonts w:cs="Arial"/>
        </w:rPr>
        <w:t>Les contacts auxiliaires permettant la signalisation de position et les verrouillages électriques entre les 2 appareils ;</w:t>
      </w:r>
    </w:p>
    <w:p>
      <w:pPr>
        <w:pStyle w:val="Corpsdetexte"/>
        <w:numPr>
          <w:ilvl w:val="0"/>
          <w:numId w:val="23"/>
        </w:numPr>
        <w:spacing w:before="0" w:after="120"/>
        <w:ind w:left="714" w:hanging="357"/>
        <w:rPr>
          <w:rFonts w:cs="Arial"/>
        </w:rPr>
      </w:pPr>
      <w:r>
        <w:rPr>
          <w:rFonts w:cs="Arial"/>
        </w:rPr>
        <w:t>Les contacts auxiliaires de signalisation de position ;</w:t>
      </w:r>
    </w:p>
    <w:p>
      <w:pPr>
        <w:pStyle w:val="Corpsdetexte"/>
        <w:numPr>
          <w:ilvl w:val="0"/>
          <w:numId w:val="23"/>
        </w:numPr>
        <w:spacing w:before="0" w:after="120"/>
        <w:ind w:left="714" w:hanging="357"/>
        <w:rPr>
          <w:rFonts w:cs="Arial"/>
        </w:rPr>
      </w:pPr>
      <w:r>
        <w:rPr>
          <w:rFonts w:cs="Arial"/>
        </w:rPr>
        <w:t>Verrouillages de consignation + verrouillages spécifiques ;</w:t>
      </w:r>
    </w:p>
    <w:p>
      <w:pPr>
        <w:pStyle w:val="Normal"/>
        <w:spacing w:before="0" w:after="120"/>
        <w:rPr/>
      </w:pPr>
      <w:r>
        <w:rPr/>
        <w:t>Caractéristiques d’un interrupteur :</w:t>
      </w:r>
    </w:p>
    <w:p>
      <w:pPr>
        <w:pStyle w:val="Corpsdetexte"/>
        <w:numPr>
          <w:ilvl w:val="0"/>
          <w:numId w:val="23"/>
        </w:numPr>
        <w:spacing w:before="0" w:after="120"/>
        <w:ind w:left="714" w:hanging="357"/>
        <w:rPr>
          <w:rFonts w:cs="Arial"/>
        </w:rPr>
      </w:pPr>
      <w:r>
        <w:rPr>
          <w:rFonts w:cs="Arial"/>
        </w:rPr>
        <w:t xml:space="preserve">Tripolaire (TGBT normal) ou tétra polaire (TGBT secouru) ; </w:t>
      </w:r>
    </w:p>
    <w:p>
      <w:pPr>
        <w:pStyle w:val="Corpsdetexte"/>
        <w:numPr>
          <w:ilvl w:val="0"/>
          <w:numId w:val="23"/>
        </w:numPr>
        <w:spacing w:before="0" w:after="120"/>
        <w:ind w:left="714" w:hanging="357"/>
        <w:rPr>
          <w:rFonts w:cs="Arial"/>
        </w:rPr>
      </w:pPr>
      <w:r>
        <w:rPr>
          <w:rFonts w:cs="Arial"/>
        </w:rPr>
        <w:t>1 commande manuelle ;</w:t>
      </w:r>
    </w:p>
    <w:p>
      <w:pPr>
        <w:pStyle w:val="Corpsdetexte"/>
        <w:numPr>
          <w:ilvl w:val="0"/>
          <w:numId w:val="23"/>
        </w:numPr>
        <w:spacing w:before="0" w:after="120"/>
        <w:ind w:left="714" w:hanging="357"/>
        <w:rPr>
          <w:rFonts w:cs="Arial"/>
        </w:rPr>
      </w:pPr>
      <w:r>
        <w:rPr>
          <w:rFonts w:cs="Arial"/>
        </w:rPr>
        <w:t>1 commande électrique équipée de :</w:t>
      </w:r>
    </w:p>
    <w:p>
      <w:pPr>
        <w:pStyle w:val="Normal"/>
        <w:numPr>
          <w:ilvl w:val="1"/>
          <w:numId w:val="79"/>
        </w:numPr>
        <w:spacing w:before="0" w:after="120"/>
        <w:ind w:left="1786" w:hanging="357"/>
        <w:rPr/>
      </w:pPr>
      <w:r>
        <w:rPr/>
        <w:t>1 bobine d’enclenchement à émission 48V continu ;</w:t>
      </w:r>
    </w:p>
    <w:p>
      <w:pPr>
        <w:pStyle w:val="Normal"/>
        <w:numPr>
          <w:ilvl w:val="1"/>
          <w:numId w:val="79"/>
        </w:numPr>
        <w:spacing w:before="0" w:after="120"/>
        <w:ind w:left="1786" w:hanging="357"/>
        <w:rPr/>
      </w:pPr>
      <w:r>
        <w:rPr/>
        <w:t>1 bobine de déclenchement à émission 48V continu ;</w:t>
      </w:r>
    </w:p>
    <w:p>
      <w:pPr>
        <w:pStyle w:val="Normal"/>
        <w:numPr>
          <w:ilvl w:val="1"/>
          <w:numId w:val="79"/>
        </w:numPr>
        <w:spacing w:before="0" w:after="120"/>
        <w:ind w:left="1786" w:hanging="357"/>
        <w:rPr/>
      </w:pPr>
      <w:r>
        <w:rPr/>
        <w:t>1 moteur de réarmement 48 VCC ;</w:t>
      </w:r>
    </w:p>
    <w:p>
      <w:pPr>
        <w:pStyle w:val="Corpsdetexte"/>
        <w:numPr>
          <w:ilvl w:val="0"/>
          <w:numId w:val="23"/>
        </w:numPr>
        <w:spacing w:before="0" w:after="120"/>
        <w:ind w:left="714" w:hanging="357"/>
        <w:rPr>
          <w:rFonts w:cs="Arial"/>
        </w:rPr>
      </w:pPr>
      <w:r>
        <w:rPr>
          <w:rFonts w:cs="Arial"/>
        </w:rPr>
        <w:t>1 voyant de signalisation ouvert ;</w:t>
      </w:r>
    </w:p>
    <w:p>
      <w:pPr>
        <w:pStyle w:val="Corpsdetexte"/>
        <w:numPr>
          <w:ilvl w:val="0"/>
          <w:numId w:val="23"/>
        </w:numPr>
        <w:spacing w:before="0" w:after="120"/>
        <w:ind w:left="714" w:hanging="357"/>
        <w:rPr>
          <w:rFonts w:cs="Arial"/>
        </w:rPr>
      </w:pPr>
      <w:r>
        <w:rPr>
          <w:rFonts w:cs="Arial"/>
        </w:rPr>
        <w:t>1 voyant de signalisation fermé.</w:t>
      </w:r>
    </w:p>
    <w:p>
      <w:pPr>
        <w:pStyle w:val="Corpsdetexte"/>
        <w:spacing w:before="0" w:after="120"/>
        <w:rPr>
          <w:rFonts w:cs="Arial"/>
        </w:rPr>
      </w:pPr>
      <w:r>
        <w:rPr>
          <w:rFonts w:cs="Arial"/>
        </w:rPr>
      </w:r>
    </w:p>
    <w:p>
      <w:pPr>
        <w:pStyle w:val="Titre4"/>
        <w:rPr/>
      </w:pPr>
      <w:bookmarkStart w:id="496" w:name="_Toc32334721"/>
      <w:bookmarkStart w:id="497" w:name="_Toc420660148"/>
      <w:r>
        <w:rPr/>
        <w:t>Disjoncteurs de protection des auxiliaires de commande et de signalisation</w:t>
      </w:r>
      <w:bookmarkEnd w:id="496"/>
      <w:bookmarkEnd w:id="497"/>
    </w:p>
    <w:p>
      <w:pPr>
        <w:pStyle w:val="Normal"/>
        <w:rPr/>
      </w:pPr>
      <w:r>
        <w:rPr/>
      </w:r>
    </w:p>
    <w:p>
      <w:pPr>
        <w:pStyle w:val="Normal"/>
        <w:spacing w:before="0" w:after="120"/>
        <w:rPr/>
      </w:pPr>
      <w:r>
        <w:rPr/>
        <w:t>Disjoncteurs fixes du type modulaire avec raccordements sur répartiteurs MULTICLIP équipés de contacts auxiliaires de signalisations de position.</w:t>
      </w:r>
    </w:p>
    <w:p>
      <w:pPr>
        <w:pStyle w:val="Titre4"/>
        <w:rPr/>
      </w:pPr>
      <w:bookmarkStart w:id="498" w:name="_Toc32334722"/>
      <w:bookmarkStart w:id="499" w:name="_Toc420660149"/>
      <w:bookmarkStart w:id="500" w:name="_Toc255216128"/>
      <w:bookmarkStart w:id="501" w:name="_Toc234742030"/>
      <w:r>
        <w:rPr/>
        <w:t>Centrales de Mesures</w:t>
      </w:r>
      <w:bookmarkEnd w:id="498"/>
      <w:bookmarkEnd w:id="499"/>
      <w:bookmarkEnd w:id="500"/>
      <w:bookmarkEnd w:id="501"/>
    </w:p>
    <w:p>
      <w:pPr>
        <w:pStyle w:val="Normal"/>
        <w:rPr/>
      </w:pPr>
      <w:r>
        <w:rPr/>
      </w:r>
    </w:p>
    <w:p>
      <w:pPr>
        <w:pStyle w:val="Normal"/>
        <w:spacing w:before="0" w:after="120"/>
        <w:rPr/>
      </w:pPr>
      <w:r>
        <w:rPr/>
        <w:t xml:space="preserve">Situées en amont de chaque jeu de barres BT, une centrale de mesures affichera en face avant, et délivrera sur une liaison de données, l’ensemble des informations suivantes : </w:t>
      </w:r>
    </w:p>
    <w:p>
      <w:pPr>
        <w:pStyle w:val="Corpsdetexte"/>
        <w:numPr>
          <w:ilvl w:val="0"/>
          <w:numId w:val="23"/>
        </w:numPr>
        <w:spacing w:before="0" w:after="120"/>
        <w:ind w:left="714" w:hanging="357"/>
        <w:rPr>
          <w:rFonts w:cs="Arial"/>
        </w:rPr>
      </w:pPr>
      <w:r>
        <w:rPr>
          <w:rFonts w:cs="Arial"/>
        </w:rPr>
        <w:t>Tension, Courant, Imax (/ phase) ;</w:t>
      </w:r>
    </w:p>
    <w:p>
      <w:pPr>
        <w:pStyle w:val="Corpsdetexte"/>
        <w:numPr>
          <w:ilvl w:val="0"/>
          <w:numId w:val="23"/>
        </w:numPr>
        <w:spacing w:before="0" w:after="120"/>
        <w:ind w:left="714" w:hanging="357"/>
        <w:rPr>
          <w:rFonts w:cs="Arial"/>
        </w:rPr>
      </w:pPr>
      <w:r>
        <w:rPr>
          <w:rFonts w:cs="Arial"/>
        </w:rPr>
        <w:t>Cos phi ; Fréquence ;</w:t>
      </w:r>
    </w:p>
    <w:p>
      <w:pPr>
        <w:pStyle w:val="Corpsdetexte"/>
        <w:numPr>
          <w:ilvl w:val="0"/>
          <w:numId w:val="23"/>
        </w:numPr>
        <w:spacing w:before="0" w:after="120"/>
        <w:ind w:left="714" w:hanging="357"/>
        <w:rPr>
          <w:rFonts w:cs="Arial"/>
        </w:rPr>
      </w:pPr>
      <w:r>
        <w:rPr>
          <w:rFonts w:cs="Arial"/>
        </w:rPr>
        <w:t>Puissance active, réactive ;</w:t>
      </w:r>
    </w:p>
    <w:p>
      <w:pPr>
        <w:pStyle w:val="Corpsdetexte"/>
        <w:numPr>
          <w:ilvl w:val="0"/>
          <w:numId w:val="23"/>
        </w:numPr>
        <w:spacing w:before="0" w:after="120"/>
        <w:ind w:left="714" w:hanging="357"/>
        <w:rPr>
          <w:rFonts w:cs="Arial"/>
        </w:rPr>
      </w:pPr>
      <w:r>
        <w:rPr>
          <w:rFonts w:cs="Arial"/>
        </w:rPr>
        <w:t>Puissance active maxi intégrée, réactive maxi intégrée ;</w:t>
      </w:r>
    </w:p>
    <w:p>
      <w:pPr>
        <w:pStyle w:val="Corpsdetexte"/>
        <w:numPr>
          <w:ilvl w:val="0"/>
          <w:numId w:val="23"/>
        </w:numPr>
        <w:spacing w:before="0" w:after="120"/>
        <w:ind w:left="714" w:hanging="357"/>
        <w:rPr>
          <w:rFonts w:cs="Arial"/>
        </w:rPr>
      </w:pPr>
      <w:r>
        <w:rPr>
          <w:rFonts w:cs="Arial"/>
        </w:rPr>
        <w:t>Energie active, réactive.</w:t>
      </w:r>
    </w:p>
    <w:p>
      <w:pPr>
        <w:pStyle w:val="Normal"/>
        <w:spacing w:before="0" w:after="120"/>
        <w:rPr/>
      </w:pPr>
      <w:r>
        <w:rPr/>
        <w:t>Les consommations, les puissances de la ventilation, des installations d’éclairage et des besoins divers seront déduites des informations issues des centrales.</w:t>
      </w:r>
    </w:p>
    <w:p>
      <w:pPr>
        <w:pStyle w:val="Titre4"/>
        <w:rPr/>
      </w:pPr>
      <w:bookmarkStart w:id="502" w:name="_Toc32334723"/>
      <w:bookmarkStart w:id="503" w:name="_Toc420660150"/>
      <w:bookmarkStart w:id="504" w:name="_Toc255216106"/>
      <w:bookmarkStart w:id="505" w:name="_Toc234742009"/>
      <w:r>
        <w:rPr/>
        <w:t>Réserve</w:t>
      </w:r>
      <w:bookmarkEnd w:id="502"/>
      <w:bookmarkEnd w:id="503"/>
      <w:bookmarkEnd w:id="504"/>
      <w:bookmarkEnd w:id="505"/>
    </w:p>
    <w:p>
      <w:pPr>
        <w:pStyle w:val="Normal"/>
        <w:rPr/>
      </w:pPr>
      <w:r>
        <w:rPr/>
      </w:r>
    </w:p>
    <w:p>
      <w:pPr>
        <w:pStyle w:val="Normal"/>
        <w:spacing w:before="0" w:after="120"/>
        <w:rPr/>
      </w:pPr>
      <w:r>
        <w:rPr/>
        <w:t>Réserve en occupation : 30%.</w:t>
      </w:r>
    </w:p>
    <w:p>
      <w:pPr>
        <w:pStyle w:val="Normal"/>
        <w:spacing w:before="0" w:after="120"/>
        <w:rPr/>
      </w:pPr>
      <w:r>
        <w:rPr/>
        <w:t>Réserve en puissance : 30%</w:t>
      </w:r>
    </w:p>
    <w:p>
      <w:pPr>
        <w:pStyle w:val="Titre4"/>
        <w:rPr/>
      </w:pPr>
      <w:bookmarkStart w:id="506" w:name="_Toc32334724"/>
      <w:r>
        <w:rPr/>
        <w:t>Jeux de barres des TGBT</w:t>
      </w:r>
      <w:bookmarkEnd w:id="506"/>
    </w:p>
    <w:p>
      <w:pPr>
        <w:pStyle w:val="Corpsdetexte"/>
        <w:spacing w:before="0" w:after="0"/>
        <w:rPr/>
      </w:pPr>
      <w:r>
        <w:rPr/>
      </w:r>
    </w:p>
    <w:p>
      <w:pPr>
        <w:pStyle w:val="Normal"/>
        <w:spacing w:before="0" w:after="120"/>
        <w:rPr/>
      </w:pPr>
      <w:r>
        <w:rPr/>
        <w:t>En cuivre, repérés par les couleurs conventionnelles, montés sur supports isolants.</w:t>
      </w:r>
    </w:p>
    <w:p>
      <w:pPr>
        <w:pStyle w:val="Normal"/>
        <w:spacing w:before="0" w:after="120"/>
        <w:rPr/>
      </w:pPr>
      <w:r>
        <w:rPr/>
        <w:t xml:space="preserve">Conforme à la norme NF C 31.510. </w:t>
      </w:r>
    </w:p>
    <w:p>
      <w:pPr>
        <w:pStyle w:val="Normal"/>
        <w:spacing w:before="0" w:after="120"/>
        <w:rPr/>
      </w:pPr>
      <w:r>
        <w:rPr/>
        <w:t>Conçus pour résister aux efforts électrodynamiques dus à un court-circuit.</w:t>
      </w:r>
    </w:p>
    <w:p>
      <w:pPr>
        <w:pStyle w:val="Normal"/>
        <w:spacing w:before="0" w:after="120"/>
        <w:rPr/>
      </w:pPr>
      <w:r>
        <w:rPr/>
        <w:t>Décalés et inclinés pour faciliter l'accès aux fixations lors des serrages périodiques des connexions.</w:t>
      </w:r>
    </w:p>
    <w:p>
      <w:pPr>
        <w:pStyle w:val="Titre4"/>
        <w:rPr/>
      </w:pPr>
      <w:bookmarkStart w:id="507" w:name="_Toc32334725"/>
      <w:r>
        <w:rPr/>
        <w:t>Circuits auxiliaires</w:t>
      </w:r>
      <w:bookmarkEnd w:id="507"/>
    </w:p>
    <w:p>
      <w:pPr>
        <w:pStyle w:val="Titre5"/>
        <w:rPr/>
      </w:pPr>
      <w:bookmarkStart w:id="508" w:name="_Toc420660153"/>
      <w:bookmarkStart w:id="509" w:name="_Toc255216112"/>
      <w:bookmarkStart w:id="510" w:name="_Toc234742015"/>
      <w:r>
        <w:rPr/>
        <w:t>Description</w:t>
      </w:r>
      <w:bookmarkEnd w:id="508"/>
      <w:bookmarkEnd w:id="509"/>
      <w:bookmarkEnd w:id="510"/>
    </w:p>
    <w:p>
      <w:pPr>
        <w:pStyle w:val="Normal"/>
        <w:rPr/>
      </w:pPr>
      <w:r>
        <w:rPr/>
      </w:r>
    </w:p>
    <w:p>
      <w:pPr>
        <w:pStyle w:val="Normal"/>
        <w:spacing w:before="0" w:after="120"/>
        <w:rPr/>
      </w:pPr>
      <w:r>
        <w:rPr/>
        <w:t>En câbles HO 7V-U (pour les circuits auxiliaires et le câblage interne des TGBT).</w:t>
      </w:r>
    </w:p>
    <w:p>
      <w:pPr>
        <w:pStyle w:val="Normal"/>
        <w:spacing w:before="0" w:after="120"/>
        <w:rPr/>
      </w:pPr>
      <w:r>
        <w:rPr/>
        <w:t>En câbles HO 7 V-R ou équivalent, pour les autres circuits.</w:t>
      </w:r>
    </w:p>
    <w:p>
      <w:pPr>
        <w:pStyle w:val="Titre5"/>
        <w:rPr/>
      </w:pPr>
      <w:bookmarkStart w:id="511" w:name="_Toc420660154"/>
      <w:bookmarkStart w:id="512" w:name="_Toc255216113"/>
      <w:bookmarkStart w:id="513" w:name="_Toc234742016"/>
      <w:r>
        <w:rPr/>
        <w:t>Circuits de tension</w:t>
      </w:r>
      <w:bookmarkEnd w:id="511"/>
      <w:bookmarkEnd w:id="512"/>
      <w:bookmarkEnd w:id="513"/>
    </w:p>
    <w:p>
      <w:pPr>
        <w:pStyle w:val="Normal"/>
        <w:rPr/>
      </w:pPr>
      <w:r>
        <w:rPr/>
      </w:r>
    </w:p>
    <w:p>
      <w:pPr>
        <w:pStyle w:val="Normal"/>
        <w:spacing w:before="0" w:after="120"/>
        <w:rPr/>
      </w:pPr>
      <w:r>
        <w:rPr/>
        <w:t>1,5 mm², pour les circuits tension</w:t>
      </w:r>
    </w:p>
    <w:p>
      <w:pPr>
        <w:pStyle w:val="Titre5"/>
        <w:rPr/>
      </w:pPr>
      <w:bookmarkStart w:id="514" w:name="_Toc420660155"/>
      <w:bookmarkStart w:id="515" w:name="_Toc255216114"/>
      <w:bookmarkStart w:id="516" w:name="_Toc234742017"/>
      <w:r>
        <w:rPr/>
        <w:t>Circuits d’intensité</w:t>
      </w:r>
      <w:bookmarkEnd w:id="514"/>
      <w:bookmarkEnd w:id="515"/>
      <w:bookmarkEnd w:id="516"/>
    </w:p>
    <w:p>
      <w:pPr>
        <w:pStyle w:val="Normal"/>
        <w:rPr/>
      </w:pPr>
      <w:r>
        <w:rPr/>
      </w:r>
    </w:p>
    <w:p>
      <w:pPr>
        <w:pStyle w:val="Normal"/>
        <w:spacing w:before="0" w:after="120"/>
        <w:rPr/>
      </w:pPr>
      <w:r>
        <w:rPr/>
        <w:t>2,5 mm², pour les circuits intensité</w:t>
      </w:r>
    </w:p>
    <w:p>
      <w:pPr>
        <w:pStyle w:val="Normal"/>
        <w:spacing w:before="0" w:after="120"/>
        <w:rPr/>
      </w:pPr>
      <w:r>
        <w:rPr/>
      </w:r>
    </w:p>
    <w:p>
      <w:pPr>
        <w:pStyle w:val="Normal"/>
        <w:spacing w:before="0" w:after="120"/>
        <w:rPr/>
      </w:pPr>
      <w:r>
        <w:rPr/>
      </w:r>
    </w:p>
    <w:p>
      <w:pPr>
        <w:pStyle w:val="Titre4"/>
        <w:rPr/>
      </w:pPr>
      <w:bookmarkStart w:id="517" w:name="_Toc32334726"/>
      <w:r>
        <w:rPr/>
        <w:t>Raccordements</w:t>
      </w:r>
      <w:bookmarkEnd w:id="517"/>
    </w:p>
    <w:p>
      <w:pPr>
        <w:pStyle w:val="Corpsdetexte"/>
        <w:spacing w:before="0" w:after="0"/>
        <w:rPr/>
      </w:pPr>
      <w:r>
        <w:rPr/>
      </w:r>
    </w:p>
    <w:p>
      <w:pPr>
        <w:pStyle w:val="Normal"/>
        <w:spacing w:before="0" w:after="120"/>
        <w:rPr/>
      </w:pPr>
      <w:r>
        <w:rPr/>
        <w:t>Le raccordement entre les tableaux et les transformateurs se feront via des câbles ou des gaines de barres.</w:t>
      </w:r>
    </w:p>
    <w:p>
      <w:pPr>
        <w:pStyle w:val="Normal"/>
        <w:spacing w:before="0" w:after="120"/>
        <w:rPr/>
      </w:pPr>
      <w:r>
        <w:rPr/>
        <w:t>Les câbles des départs seront raccordés par le bas, sous le faux plancher des locaux techniques ou sous des chemins de câbles fixés au sol pour les locaux techniques sans faux plancher.</w:t>
      </w:r>
    </w:p>
    <w:p>
      <w:pPr>
        <w:pStyle w:val="Normal"/>
        <w:spacing w:before="0" w:after="120"/>
        <w:rPr/>
      </w:pPr>
      <w:r>
        <w:rPr/>
        <w:t xml:space="preserve">Le passage des câbles s’effectuera par les plaques passe-câbles. </w:t>
      </w:r>
    </w:p>
    <w:p>
      <w:pPr>
        <w:pStyle w:val="Titre4"/>
        <w:rPr/>
      </w:pPr>
      <w:bookmarkStart w:id="518" w:name="_Toc32334727"/>
      <w:r>
        <w:rPr/>
        <w:t>Repérage</w:t>
      </w:r>
      <w:bookmarkEnd w:id="518"/>
    </w:p>
    <w:p>
      <w:pPr>
        <w:pStyle w:val="Corpsdetexte"/>
        <w:spacing w:before="0" w:after="0"/>
        <w:rPr/>
      </w:pPr>
      <w:r>
        <w:rPr/>
      </w:r>
    </w:p>
    <w:p>
      <w:pPr>
        <w:pStyle w:val="Corpsdetexte"/>
        <w:spacing w:before="0" w:after="0"/>
        <w:rPr/>
      </w:pPr>
      <w:r>
        <w:rPr/>
        <w:t>Identification, sans ambiguïté des circuits principaux, des appareils de protection et de sectionnement correspondants, lorsque les plastrons seront en place ou démontés (double repérage des différents équipements).</w:t>
      </w:r>
    </w:p>
    <w:p>
      <w:pPr>
        <w:pStyle w:val="Normal"/>
        <w:rPr/>
      </w:pPr>
      <w:r>
        <w:rPr/>
      </w:r>
    </w:p>
    <w:p>
      <w:pPr>
        <w:pStyle w:val="Normal"/>
        <w:spacing w:before="0" w:after="120"/>
        <w:rPr/>
      </w:pPr>
      <w:r>
        <w:rPr/>
        <w:t>Equipements débrochables : le repérage sera placé sur le support fixe.</w:t>
      </w:r>
    </w:p>
    <w:p>
      <w:pPr>
        <w:pStyle w:val="Titre4"/>
        <w:rPr/>
      </w:pPr>
      <w:bookmarkStart w:id="519" w:name="_Toc32334728"/>
      <w:bookmarkStart w:id="520" w:name="_Toc420660158"/>
      <w:bookmarkStart w:id="521" w:name="_Toc255216120"/>
      <w:bookmarkStart w:id="522" w:name="_Toc234742023"/>
      <w:r>
        <w:rPr/>
        <w:t>Schémas unifilaires des TGBT</w:t>
      </w:r>
      <w:bookmarkEnd w:id="519"/>
      <w:bookmarkEnd w:id="520"/>
      <w:bookmarkEnd w:id="521"/>
      <w:bookmarkEnd w:id="522"/>
    </w:p>
    <w:p>
      <w:pPr>
        <w:pStyle w:val="Corpsdetexte"/>
        <w:spacing w:before="0" w:after="0"/>
        <w:rPr/>
      </w:pPr>
      <w:r>
        <w:rPr/>
      </w:r>
    </w:p>
    <w:p>
      <w:pPr>
        <w:pStyle w:val="Corpsdetexte"/>
        <w:spacing w:before="0" w:after="0"/>
        <w:rPr/>
      </w:pPr>
      <w:r>
        <w:rPr/>
        <w:t>Fixés par des rivets en nylon et collage au Néoprène.</w:t>
      </w:r>
    </w:p>
    <w:p>
      <w:pPr>
        <w:pStyle w:val="Corpsdetexte"/>
        <w:spacing w:before="0" w:after="0"/>
        <w:rPr/>
      </w:pPr>
      <w:r>
        <w:rPr/>
      </w:r>
    </w:p>
    <w:p>
      <w:pPr>
        <w:pStyle w:val="Corpsdetexte"/>
        <w:spacing w:before="0" w:after="0"/>
        <w:rPr/>
      </w:pPr>
      <w:r>
        <w:rPr/>
        <w:t>Feuille de nomenclature plastifiée avec la légende de rappel des symboles utilisés conformément aux normes françaises et européennes en vigueur, placée à l'intérieur des cellules dans une pochette porte-documents fixée au verso des portes.</w:t>
      </w:r>
    </w:p>
    <w:p>
      <w:pPr>
        <w:pStyle w:val="Titre4"/>
        <w:rPr/>
      </w:pPr>
      <w:bookmarkStart w:id="523" w:name="_Toc32334729"/>
      <w:bookmarkStart w:id="524" w:name="_Toc420660159"/>
      <w:bookmarkStart w:id="525" w:name="_Toc255216121"/>
      <w:bookmarkStart w:id="526" w:name="_Toc234742024"/>
      <w:r>
        <w:rPr/>
        <w:t>Jeux de barres et câbles</w:t>
      </w:r>
      <w:bookmarkEnd w:id="523"/>
      <w:bookmarkEnd w:id="524"/>
      <w:bookmarkEnd w:id="525"/>
      <w:bookmarkEnd w:id="526"/>
    </w:p>
    <w:p>
      <w:pPr>
        <w:pStyle w:val="Corpsdetexte"/>
        <w:spacing w:before="0" w:after="0"/>
        <w:rPr/>
      </w:pPr>
      <w:r>
        <w:rPr/>
      </w:r>
    </w:p>
    <w:p>
      <w:pPr>
        <w:pStyle w:val="Corpsdetexte"/>
        <w:spacing w:before="0" w:after="0"/>
        <w:rPr/>
      </w:pPr>
      <w:r>
        <w:rPr/>
        <w:t>Phases des câbles et jeux de barres identifiées par des repères "Ph1, Ph2 et Ph3". Neutre par une bague de couleur bleu ou par un repère "N".</w:t>
      </w:r>
    </w:p>
    <w:p>
      <w:pPr>
        <w:pStyle w:val="Corpsdetexte"/>
        <w:spacing w:before="0" w:after="0"/>
        <w:rPr/>
      </w:pPr>
      <w:r>
        <w:rPr/>
      </w:r>
    </w:p>
    <w:p>
      <w:pPr>
        <w:pStyle w:val="Corpsdetexte"/>
        <w:spacing w:before="0" w:after="0"/>
        <w:rPr/>
      </w:pPr>
      <w:r>
        <w:rPr/>
        <w:t>Repérage des câbles de type "directionnel", avec indication des tenants et aboutissants. Des embouts d'extrémités normalisés seront prévus sur chaque câble, donnant la correspondance des conducteurs avec les schémas.</w:t>
      </w:r>
    </w:p>
    <w:p>
      <w:pPr>
        <w:pStyle w:val="Corpsdetexte"/>
        <w:spacing w:before="0" w:after="0"/>
        <w:rPr/>
      </w:pPr>
      <w:r>
        <w:rPr/>
      </w:r>
    </w:p>
    <w:p>
      <w:pPr>
        <w:pStyle w:val="Corpsdetexte"/>
        <w:spacing w:before="0" w:after="0"/>
        <w:rPr/>
      </w:pPr>
      <w:r>
        <w:rPr/>
        <w:t>Dans le cas de courant continu pour les circuits et appareillages auxiliaires, ou circuits puissances, des embouts repérés par les couleurs conventionnelles seront prévus sur les câbles.</w:t>
      </w:r>
    </w:p>
    <w:p>
      <w:pPr>
        <w:pStyle w:val="Corpsdetexte"/>
        <w:spacing w:before="0" w:after="0"/>
        <w:rPr/>
      </w:pPr>
      <w:r>
        <w:rPr/>
      </w:r>
    </w:p>
    <w:p>
      <w:pPr>
        <w:pStyle w:val="Corpsdetexte"/>
        <w:spacing w:before="0" w:after="0"/>
        <w:rPr/>
      </w:pPr>
      <w:r>
        <w:rPr/>
        <w:t>Les câblages séparés des conducteurs des circuits auxiliaires, de tension alternative ou continue, seront séparés physiquement.</w:t>
      </w:r>
    </w:p>
    <w:p>
      <w:pPr>
        <w:pStyle w:val="Titre4"/>
        <w:rPr/>
      </w:pPr>
      <w:bookmarkStart w:id="527" w:name="_Toc32334730"/>
      <w:bookmarkStart w:id="528" w:name="_Toc420660160"/>
      <w:bookmarkStart w:id="529" w:name="_Toc255216122"/>
      <w:bookmarkStart w:id="530" w:name="_Toc234742025"/>
      <w:r>
        <w:rPr/>
        <w:t>Diversité d’alimentation des armoires (ASI)</w:t>
      </w:r>
      <w:bookmarkEnd w:id="527"/>
      <w:bookmarkEnd w:id="528"/>
      <w:bookmarkEnd w:id="529"/>
      <w:bookmarkEnd w:id="530"/>
    </w:p>
    <w:p>
      <w:pPr>
        <w:pStyle w:val="Corpsdetexte"/>
        <w:spacing w:before="0" w:after="0"/>
        <w:rPr/>
      </w:pPr>
      <w:r>
        <w:rPr/>
      </w:r>
    </w:p>
    <w:p>
      <w:pPr>
        <w:pStyle w:val="Corpsdetexte"/>
        <w:spacing w:before="0" w:after="120"/>
        <w:rPr/>
      </w:pPr>
      <w:r>
        <w:rPr/>
        <w:t>Chaque armoire (ou coffret) alimentée par plusieurs sources d’alimentations devra être clairement identifiée grâce à une étiquette à fond rouge fixée sur la porte extérieure, avec la mention :</w:t>
      </w:r>
    </w:p>
    <w:p>
      <w:pPr>
        <w:pStyle w:val="Corpsdetexte"/>
        <w:numPr>
          <w:ilvl w:val="0"/>
          <w:numId w:val="23"/>
        </w:numPr>
        <w:spacing w:before="0" w:after="120"/>
        <w:ind w:left="714" w:hanging="357"/>
        <w:rPr>
          <w:rFonts w:cs="Arial"/>
        </w:rPr>
      </w:pPr>
      <w:r>
        <w:rPr>
          <w:rFonts w:cs="Arial"/>
        </w:rPr>
        <w:t>"ATTENTION PLUSIEURS SOURCES D'ALIMENTATION DISTINCTES"</w:t>
      </w:r>
    </w:p>
    <w:p>
      <w:pPr>
        <w:pStyle w:val="Titre4"/>
        <w:rPr/>
      </w:pPr>
      <w:bookmarkStart w:id="531" w:name="_Toc32334731"/>
      <w:r>
        <w:rPr/>
        <w:t>LED de contrôles</w:t>
      </w:r>
      <w:bookmarkEnd w:id="531"/>
    </w:p>
    <w:p>
      <w:pPr>
        <w:pStyle w:val="Corpsdetexte"/>
        <w:spacing w:before="0" w:after="0"/>
        <w:rPr/>
      </w:pPr>
      <w:r>
        <w:rPr/>
      </w:r>
    </w:p>
    <w:p>
      <w:pPr>
        <w:pStyle w:val="Corpsdetexte"/>
        <w:spacing w:before="0" w:after="0"/>
        <w:rPr/>
      </w:pPr>
      <w:r>
        <w:rPr/>
        <w:t>Voyants à LED en face avant : présence tension sur chacune des alimentations du tableau.</w:t>
      </w:r>
    </w:p>
    <w:p>
      <w:pPr>
        <w:pStyle w:val="Corpsdetexte"/>
        <w:spacing w:before="0" w:after="0"/>
        <w:rPr/>
      </w:pPr>
      <w:r>
        <w:rPr/>
      </w:r>
    </w:p>
    <w:p>
      <w:pPr>
        <w:pStyle w:val="Corpsdetexte"/>
        <w:spacing w:before="0" w:after="0"/>
        <w:rPr/>
      </w:pPr>
      <w:r>
        <w:rPr/>
      </w:r>
    </w:p>
    <w:p>
      <w:pPr>
        <w:pStyle w:val="Titre3"/>
        <w:rPr/>
      </w:pPr>
      <w:bookmarkStart w:id="532" w:name="_Toc32334732"/>
      <w:bookmarkStart w:id="533" w:name="_Toc420660162"/>
      <w:r>
        <w:rPr/>
        <w:t>Spécifications techniques des armoires et des coffrets</w:t>
      </w:r>
      <w:bookmarkEnd w:id="532"/>
      <w:bookmarkEnd w:id="533"/>
    </w:p>
    <w:p>
      <w:pPr>
        <w:pStyle w:val="Corpsdetexte"/>
        <w:spacing w:before="0" w:after="0"/>
        <w:rPr/>
      </w:pPr>
      <w:r>
        <w:rPr/>
      </w:r>
    </w:p>
    <w:p>
      <w:pPr>
        <w:pStyle w:val="Corpsdetexte"/>
        <w:spacing w:before="0" w:after="0"/>
        <w:rPr/>
      </w:pPr>
      <w:r>
        <w:rPr/>
        <w:t>Les caractéristiques des enveloppes et des éléments constitutifs seront strictement identiques au tableau TGBT.</w:t>
      </w:r>
    </w:p>
    <w:p>
      <w:pPr>
        <w:pStyle w:val="Corpsdetexte"/>
        <w:spacing w:before="0" w:after="0"/>
        <w:rPr/>
      </w:pPr>
      <w:r>
        <w:rPr/>
      </w:r>
    </w:p>
    <w:p>
      <w:pPr>
        <w:pStyle w:val="Corpsdetexte"/>
        <w:spacing w:before="0" w:after="0"/>
        <w:rPr/>
      </w:pPr>
      <w:r>
        <w:rPr/>
        <w:t xml:space="preserve">Les armoires divisionnaires (provisoires et définitives) auront des dimensions variables en fonction du nombre d’équipements à y intégrer. </w:t>
      </w:r>
    </w:p>
    <w:p>
      <w:pPr>
        <w:pStyle w:val="Corpsdetexte"/>
        <w:spacing w:before="0" w:after="0"/>
        <w:rPr/>
      </w:pPr>
      <w:r>
        <w:rPr/>
      </w:r>
    </w:p>
    <w:p>
      <w:pPr>
        <w:pStyle w:val="Corpsdetexte"/>
        <w:spacing w:before="0" w:after="120"/>
        <w:rPr/>
      </w:pPr>
      <w:r>
        <w:rPr/>
        <w:t>Chaque armoire sera composée des équipements suivants :</w:t>
      </w:r>
    </w:p>
    <w:p>
      <w:pPr>
        <w:pStyle w:val="Corpsdetexte"/>
        <w:numPr>
          <w:ilvl w:val="0"/>
          <w:numId w:val="23"/>
        </w:numPr>
        <w:spacing w:before="0" w:after="120"/>
        <w:ind w:left="714" w:hanging="357"/>
        <w:rPr>
          <w:rFonts w:cs="Arial"/>
        </w:rPr>
      </w:pPr>
      <w:r>
        <w:rPr>
          <w:rFonts w:cs="Arial"/>
        </w:rPr>
        <w:t>Le jeu de barres d’arrivée ;</w:t>
      </w:r>
    </w:p>
    <w:p>
      <w:pPr>
        <w:pStyle w:val="Corpsdetexte"/>
        <w:numPr>
          <w:ilvl w:val="0"/>
          <w:numId w:val="23"/>
        </w:numPr>
        <w:spacing w:before="0" w:after="120"/>
        <w:ind w:left="714" w:hanging="357"/>
        <w:rPr>
          <w:rFonts w:cs="Arial"/>
        </w:rPr>
      </w:pPr>
      <w:r>
        <w:rPr>
          <w:rFonts w:cs="Arial"/>
        </w:rPr>
        <w:t>Le sectionneur de coupure générale tétrapolaire ;</w:t>
      </w:r>
    </w:p>
    <w:p>
      <w:pPr>
        <w:pStyle w:val="Corpsdetexte"/>
        <w:numPr>
          <w:ilvl w:val="0"/>
          <w:numId w:val="23"/>
        </w:numPr>
        <w:spacing w:before="0" w:after="120"/>
        <w:ind w:left="714" w:hanging="357"/>
        <w:rPr>
          <w:rFonts w:cs="Arial"/>
        </w:rPr>
      </w:pPr>
      <w:r>
        <w:rPr>
          <w:rFonts w:cs="Arial"/>
        </w:rPr>
        <w:t>Un voyant présence tension en façade protégé par fusible ;</w:t>
      </w:r>
    </w:p>
    <w:p>
      <w:pPr>
        <w:pStyle w:val="Corpsdetexte"/>
        <w:numPr>
          <w:ilvl w:val="0"/>
          <w:numId w:val="23"/>
        </w:numPr>
        <w:spacing w:before="0" w:after="120"/>
        <w:ind w:left="714" w:hanging="357"/>
        <w:rPr>
          <w:rFonts w:cs="Arial"/>
        </w:rPr>
      </w:pPr>
      <w:r>
        <w:rPr>
          <w:rFonts w:cs="Arial"/>
        </w:rPr>
        <w:t>Les disjoncteurs de protection de tous les départs ;</w:t>
      </w:r>
    </w:p>
    <w:p>
      <w:pPr>
        <w:pStyle w:val="Corpsdetexte"/>
        <w:numPr>
          <w:ilvl w:val="0"/>
          <w:numId w:val="23"/>
        </w:numPr>
        <w:spacing w:before="0" w:after="120"/>
        <w:ind w:left="714" w:hanging="357"/>
        <w:rPr>
          <w:rFonts w:cs="Arial"/>
        </w:rPr>
      </w:pPr>
      <w:r>
        <w:rPr>
          <w:rFonts w:cs="Arial"/>
        </w:rPr>
        <w:t>Un disjoncteur différentiel de protection de la prise de courant monophasée intérieure ;</w:t>
      </w:r>
    </w:p>
    <w:p>
      <w:pPr>
        <w:pStyle w:val="Corpsdetexte"/>
        <w:numPr>
          <w:ilvl w:val="0"/>
          <w:numId w:val="23"/>
        </w:numPr>
        <w:spacing w:before="0" w:after="120"/>
        <w:ind w:left="714" w:hanging="357"/>
        <w:rPr>
          <w:rFonts w:cs="Arial"/>
        </w:rPr>
      </w:pPr>
      <w:r>
        <w:rPr>
          <w:rFonts w:cs="Arial"/>
        </w:rPr>
        <w:t>Un bornier GTC pour les armoires définitives ;</w:t>
      </w:r>
    </w:p>
    <w:p>
      <w:pPr>
        <w:pStyle w:val="Corpsdetexte"/>
        <w:numPr>
          <w:ilvl w:val="0"/>
          <w:numId w:val="23"/>
        </w:numPr>
        <w:spacing w:before="0" w:after="120"/>
        <w:ind w:left="714" w:hanging="357"/>
        <w:rPr>
          <w:rFonts w:cs="Arial"/>
        </w:rPr>
      </w:pPr>
      <w:r>
        <w:rPr>
          <w:rFonts w:cs="Arial"/>
        </w:rPr>
        <w:t>Le collecteur de terre en barre cuivre pré-percée.</w:t>
      </w:r>
    </w:p>
    <w:p>
      <w:pPr>
        <w:pStyle w:val="Normal"/>
        <w:spacing w:before="0" w:after="120"/>
        <w:rPr>
          <w:rFonts w:cs="Arial"/>
        </w:rPr>
      </w:pPr>
      <w:r>
        <w:rPr>
          <w:rFonts w:cs="Arial"/>
        </w:rPr>
        <w:t>Les enveloppes sont en acier galvanisé à chaud (80 microns) avec partie inférieure ouverte. La partie inférieure est fermée par une plaque passe-câbles. Les enveloppes respectent les contraintes d’indices de protection suivants :</w:t>
      </w:r>
    </w:p>
    <w:p>
      <w:pPr>
        <w:pStyle w:val="Corpsdetexte"/>
        <w:numPr>
          <w:ilvl w:val="0"/>
          <w:numId w:val="23"/>
        </w:numPr>
        <w:spacing w:before="0" w:after="120"/>
        <w:ind w:left="714" w:hanging="357"/>
        <w:rPr>
          <w:rFonts w:cs="Arial"/>
        </w:rPr>
      </w:pPr>
      <w:r>
        <w:rPr>
          <w:rFonts w:cs="Arial"/>
        </w:rPr>
        <w:t>IP 54 (protégé contre les poussières et protégé contre les projections d’eau) ;</w:t>
      </w:r>
    </w:p>
    <w:p>
      <w:pPr>
        <w:pStyle w:val="Corpsdetexte"/>
        <w:numPr>
          <w:ilvl w:val="0"/>
          <w:numId w:val="23"/>
        </w:numPr>
        <w:spacing w:before="0" w:after="120"/>
        <w:ind w:left="714" w:hanging="357"/>
        <w:rPr>
          <w:rFonts w:cs="Arial"/>
        </w:rPr>
      </w:pPr>
      <w:r>
        <w:rPr>
          <w:rFonts w:cs="Arial"/>
        </w:rPr>
        <w:t>IK 20.</w:t>
      </w:r>
    </w:p>
    <w:p>
      <w:pPr>
        <w:pStyle w:val="Titre3"/>
        <w:rPr/>
      </w:pPr>
      <w:bookmarkStart w:id="534" w:name="_Toc32334733"/>
      <w:r>
        <w:rPr/>
        <w:t>Câbles BT</w:t>
      </w:r>
      <w:bookmarkEnd w:id="534"/>
    </w:p>
    <w:p>
      <w:pPr>
        <w:pStyle w:val="Titre4"/>
        <w:rPr/>
      </w:pPr>
      <w:bookmarkStart w:id="535" w:name="_Toc32334734"/>
      <w:r>
        <w:rPr/>
        <w:t>Câble résistant au feu CR1-C1 1000V</w:t>
      </w:r>
      <w:bookmarkEnd w:id="535"/>
    </w:p>
    <w:p>
      <w:pPr>
        <w:pStyle w:val="TEXTE"/>
        <w:spacing w:before="200" w:after="120"/>
        <w:rPr/>
      </w:pPr>
      <w:r>
        <w:rPr/>
        <w:t>Les câbles résistant au feu type CR1-C1 sont conformes à la norme NF C 32-310 et sont constitués :</w:t>
      </w:r>
    </w:p>
    <w:p>
      <w:pPr>
        <w:pStyle w:val="Corpsdetexte"/>
        <w:numPr>
          <w:ilvl w:val="0"/>
          <w:numId w:val="23"/>
        </w:numPr>
        <w:spacing w:before="0" w:after="120"/>
        <w:ind w:left="714" w:hanging="357"/>
        <w:rPr>
          <w:rFonts w:cs="Arial"/>
        </w:rPr>
      </w:pPr>
      <w:r>
        <w:rPr>
          <w:rFonts w:cs="Arial"/>
        </w:rPr>
        <w:t>De conducteurs cuivre à enveloppe isolante en caoutchouc de silicone ;</w:t>
      </w:r>
    </w:p>
    <w:p>
      <w:pPr>
        <w:pStyle w:val="Corpsdetexte"/>
        <w:numPr>
          <w:ilvl w:val="0"/>
          <w:numId w:val="23"/>
        </w:numPr>
        <w:spacing w:before="0" w:after="120"/>
        <w:ind w:left="714" w:hanging="357"/>
        <w:rPr>
          <w:rFonts w:cs="Arial"/>
        </w:rPr>
      </w:pPr>
      <w:r>
        <w:rPr>
          <w:rFonts w:cs="Arial"/>
        </w:rPr>
        <w:t>D’une gaine extérieure en matériau ignifuge sans halogène et à émission de fumés non toxiques et non corrosives ;</w:t>
      </w:r>
    </w:p>
    <w:p>
      <w:pPr>
        <w:pStyle w:val="Corpsdetexte"/>
        <w:numPr>
          <w:ilvl w:val="0"/>
          <w:numId w:val="23"/>
        </w:numPr>
        <w:spacing w:before="0" w:after="120"/>
        <w:ind w:left="714" w:hanging="357"/>
        <w:rPr>
          <w:rFonts w:cs="Arial"/>
        </w:rPr>
      </w:pPr>
      <w:r>
        <w:rPr>
          <w:rFonts w:cs="Arial"/>
        </w:rPr>
        <w:t>Repérage des conducteurs conforme à la norme NF C 32-081.</w:t>
      </w:r>
    </w:p>
    <w:p>
      <w:pPr>
        <w:pStyle w:val="Corpsdetexte"/>
        <w:numPr>
          <w:ilvl w:val="0"/>
          <w:numId w:val="23"/>
        </w:numPr>
        <w:spacing w:before="0" w:after="120"/>
        <w:ind w:left="714" w:hanging="357"/>
        <w:rPr>
          <w:rFonts w:cs="Arial"/>
        </w:rPr>
      </w:pPr>
      <w:r>
        <w:rPr>
          <w:rFonts w:cs="Arial"/>
        </w:rPr>
        <w:t>Ces câbles seront utilisés pour les équipements de sécurité (détection incendie).</w:t>
      </w:r>
    </w:p>
    <w:p>
      <w:pPr>
        <w:pStyle w:val="Titre4"/>
        <w:rPr/>
      </w:pPr>
      <w:bookmarkStart w:id="536" w:name="_Toc32334735"/>
      <w:r>
        <w:rPr/>
        <w:t>Câble rigide basse tension</w:t>
      </w:r>
      <w:bookmarkEnd w:id="536"/>
    </w:p>
    <w:p>
      <w:pPr>
        <w:pStyle w:val="TEXTE"/>
        <w:spacing w:before="200" w:after="120"/>
        <w:rPr/>
      </w:pPr>
      <w:r>
        <w:rPr/>
        <w:t>Les câbles rigides industriels employés pour la distribution BT seront conformes à la norme NF C 32-321 et sont composés :</w:t>
      </w:r>
    </w:p>
    <w:p>
      <w:pPr>
        <w:pStyle w:val="Corpsdetexte"/>
        <w:numPr>
          <w:ilvl w:val="0"/>
          <w:numId w:val="23"/>
        </w:numPr>
        <w:spacing w:before="0" w:after="120"/>
        <w:ind w:left="714" w:hanging="357"/>
        <w:rPr>
          <w:rFonts w:cs="Arial"/>
        </w:rPr>
      </w:pPr>
      <w:r>
        <w:rPr>
          <w:rFonts w:cs="Arial"/>
        </w:rPr>
        <w:t>De conducteurs à âme en cuivre ou en aluminium à enveloppe isolante en polyéthylène réticulé ;</w:t>
      </w:r>
    </w:p>
    <w:p>
      <w:pPr>
        <w:pStyle w:val="Corpsdetexte"/>
        <w:numPr>
          <w:ilvl w:val="0"/>
          <w:numId w:val="23"/>
        </w:numPr>
        <w:spacing w:before="0" w:after="120"/>
        <w:ind w:left="714" w:hanging="357"/>
        <w:rPr>
          <w:rFonts w:cs="Arial"/>
        </w:rPr>
      </w:pPr>
      <w:r>
        <w:rPr>
          <w:rFonts w:cs="Arial"/>
        </w:rPr>
        <w:t>D’une gaine extérieure en matériau PVC de couleur noire.</w:t>
      </w:r>
    </w:p>
    <w:p>
      <w:pPr>
        <w:pStyle w:val="Normal"/>
        <w:jc w:val="left"/>
        <w:rPr/>
      </w:pPr>
      <w:r>
        <w:rPr/>
      </w:r>
      <w:r>
        <w:br w:type="page"/>
      </w:r>
    </w:p>
    <w:p>
      <w:pPr>
        <w:pStyle w:val="Titre2"/>
        <w:tabs>
          <w:tab w:val="clear" w:pos="0"/>
          <w:tab w:val="clear" w:pos="8789"/>
          <w:tab w:val="left" w:pos="426" w:leader="none"/>
        </w:tabs>
        <w:ind w:left="0" w:hanging="0"/>
        <w:rPr/>
      </w:pPr>
      <w:bookmarkStart w:id="537" w:name="_Toc32334736"/>
      <w:r>
        <w:rPr/>
        <w:t>Réseaux téléphoniques et informatiques</w:t>
      </w:r>
      <w:bookmarkEnd w:id="537"/>
    </w:p>
    <w:p>
      <w:pPr>
        <w:pStyle w:val="Titre3"/>
        <w:rPr/>
      </w:pPr>
      <w:bookmarkStart w:id="538" w:name="_Toc32334737"/>
      <w:bookmarkStart w:id="539" w:name="_Toc420929320"/>
      <w:bookmarkStart w:id="540" w:name="_Toc420597975"/>
      <w:r>
        <w:rPr/>
        <w:t>Objectifs</w:t>
      </w:r>
      <w:bookmarkEnd w:id="538"/>
      <w:bookmarkEnd w:id="539"/>
      <w:bookmarkEnd w:id="540"/>
    </w:p>
    <w:p>
      <w:pPr>
        <w:pStyle w:val="TEXTE"/>
        <w:rPr/>
      </w:pPr>
      <w:r>
        <w:rPr/>
        <w:t xml:space="preserve">L’objectif de la DiRIF est de doter les salles réaménagées au titre du projet, d’un câblage banalisé « voix/données/images. » </w:t>
      </w:r>
    </w:p>
    <w:p>
      <w:pPr>
        <w:pStyle w:val="TEXTE"/>
        <w:rPr/>
      </w:pPr>
      <w:r>
        <w:rPr/>
        <w:t>Ce câblage devra répondre fonctionnellement aux besoins actuels et futurs de la DiRIF.</w:t>
      </w:r>
    </w:p>
    <w:p>
      <w:pPr>
        <w:pStyle w:val="TEXTE"/>
        <w:rPr/>
      </w:pPr>
      <w:r>
        <w:rPr/>
        <w:t>L’installation sera dimensionnée pour être adaptée au nombre de connexions à satisfaire. Par ailleurs, les prises devront être disposées de manière à permettre une bonne flexibilité de l’espace de travail.</w:t>
      </w:r>
    </w:p>
    <w:p>
      <w:pPr>
        <w:pStyle w:val="Titre3"/>
        <w:rPr/>
      </w:pPr>
      <w:bookmarkStart w:id="541" w:name="_Toc32334738"/>
      <w:bookmarkStart w:id="542" w:name="_Toc420929321"/>
      <w:bookmarkStart w:id="543" w:name="_Toc420597976"/>
      <w:bookmarkStart w:id="544" w:name="_Toc124654743"/>
      <w:bookmarkStart w:id="545" w:name="_Toc61148771"/>
      <w:bookmarkStart w:id="546" w:name="_Toc399733652"/>
      <w:bookmarkStart w:id="547" w:name="_Toc399583650"/>
      <w:bookmarkStart w:id="548" w:name="_Toc382898893"/>
      <w:bookmarkStart w:id="549" w:name="_Toc382819569"/>
      <w:bookmarkStart w:id="550" w:name="_Toc382539165"/>
      <w:bookmarkStart w:id="551" w:name="_Toc382491261"/>
      <w:bookmarkStart w:id="552" w:name="_Toc382491108"/>
      <w:bookmarkStart w:id="553" w:name="_Toc382129358"/>
      <w:bookmarkStart w:id="554" w:name="_Toc382106979"/>
      <w:r>
        <w:rPr/>
        <w:t xml:space="preserve">Objet </w:t>
      </w:r>
      <w:bookmarkEnd w:id="544"/>
      <w:bookmarkEnd w:id="545"/>
      <w:bookmarkEnd w:id="546"/>
      <w:bookmarkEnd w:id="547"/>
      <w:bookmarkEnd w:id="548"/>
      <w:bookmarkEnd w:id="549"/>
      <w:bookmarkEnd w:id="550"/>
      <w:bookmarkEnd w:id="551"/>
      <w:bookmarkEnd w:id="552"/>
      <w:bookmarkEnd w:id="553"/>
      <w:bookmarkEnd w:id="554"/>
      <w:r>
        <w:rPr/>
        <w:t>des spécifications</w:t>
      </w:r>
      <w:bookmarkEnd w:id="541"/>
      <w:bookmarkEnd w:id="542"/>
      <w:bookmarkEnd w:id="543"/>
    </w:p>
    <w:p>
      <w:pPr>
        <w:pStyle w:val="TEXTE"/>
        <w:rPr/>
      </w:pPr>
      <w:r>
        <w:rPr/>
        <w:t>Les spécifications des articles ci-après définissent les prestations à effectuer par le Titulaire pour d’une part, réaliser la distribution interne des réseaux informatiques et téléphoniques des pièces réaménagées ou créées au titre du présent projet.</w:t>
      </w:r>
    </w:p>
    <w:p>
      <w:pPr>
        <w:pStyle w:val="TEXTE"/>
        <w:rPr/>
      </w:pPr>
      <w:r>
        <w:rPr/>
        <w:t>Ces spécifications sont applicables à tous les travaux de câblage banalisé (réseau, téléphonie, vidéo). Si des dérogations à ces spécifications s’avèrent nécessaires, elles devront être validées préalablement par le maître d’œuvre et limitées à des modifications de raccordement sur de l’existant, aucune dérogation ne sera autorisée sur les installations neuves.</w:t>
      </w:r>
    </w:p>
    <w:p>
      <w:pPr>
        <w:pStyle w:val="TEXTE"/>
        <w:rPr/>
      </w:pPr>
      <w:r>
        <w:rPr/>
        <w:t>Ces spécifications ne sont applicables qu’aux installations à réaliser pour la DiRIF. Les infrastructures de câblage à réaliser pour les forces de police, font l’objet de spécifications particulières éditées par les services du ministère de l’intérieur ; ce sont ces spécifications qui seront applicables pour les installations de police, principalement celles des CRS.</w:t>
      </w:r>
    </w:p>
    <w:p>
      <w:pPr>
        <w:pStyle w:val="Titre3"/>
        <w:rPr/>
      </w:pPr>
      <w:bookmarkStart w:id="555" w:name="_Toc32334739"/>
      <w:bookmarkStart w:id="556" w:name="_Toc420929322"/>
      <w:bookmarkStart w:id="557" w:name="_Toc420597977"/>
      <w:r>
        <w:rPr/>
        <w:t>Performances générales attendues</w:t>
      </w:r>
      <w:bookmarkEnd w:id="555"/>
      <w:bookmarkEnd w:id="556"/>
      <w:bookmarkEnd w:id="557"/>
    </w:p>
    <w:p>
      <w:pPr>
        <w:pStyle w:val="TEXTE"/>
        <w:rPr/>
      </w:pPr>
      <w:r>
        <w:rPr/>
        <w:t>L’installation réalisée devra permettre de supporter tous les systèmes de communication en usage à la Dirif.</w:t>
      </w:r>
    </w:p>
    <w:p>
      <w:pPr>
        <w:pStyle w:val="TEXTE"/>
        <w:rPr/>
      </w:pPr>
      <w:r>
        <w:rPr/>
        <w:t>Tous les liens de l’infrastructure à réaliser respecteront notamment les spécifications de la classe Ea définies par la norme NF EN 50173-1 (équivalent catégorie 7 selon la norme ANSI/TIA-568-C.2), et seront de type S/FTP.</w:t>
      </w:r>
    </w:p>
    <w:p>
      <w:pPr>
        <w:pStyle w:val="TEXTE"/>
        <w:rPr/>
      </w:pPr>
      <w:r>
        <w:rPr/>
        <w:t>En fin de travaux, le titulaire devra réaliser des essais de qualification de l’infrastructure de câblage réalisée, pour chacun des 4 sites, qui permettront de valider qu'elle est conforme en tout point, notamment au niveau de sa constitution physique et de ses performances, aux prescriptions du cahier des charges et aux règles d’ingénierie régissant ce domaine.</w:t>
      </w:r>
    </w:p>
    <w:p>
      <w:pPr>
        <w:pStyle w:val="Titre3"/>
        <w:rPr/>
      </w:pPr>
      <w:bookmarkStart w:id="558" w:name="_Toc32334740"/>
      <w:bookmarkStart w:id="559" w:name="_Toc420929323"/>
      <w:r>
        <w:rPr/>
        <w:t>Description générale des prestations</w:t>
      </w:r>
      <w:bookmarkEnd w:id="558"/>
      <w:bookmarkEnd w:id="559"/>
    </w:p>
    <w:p>
      <w:pPr>
        <w:pStyle w:val="TEXTE"/>
        <w:spacing w:before="200" w:after="120"/>
        <w:rPr/>
      </w:pPr>
      <w:r>
        <w:rPr/>
        <w:t>Les prestations à la charge du Titulaire comportent la réalisation :</w:t>
      </w:r>
    </w:p>
    <w:p>
      <w:pPr>
        <w:pStyle w:val="TEXTE"/>
        <w:numPr>
          <w:ilvl w:val="0"/>
          <w:numId w:val="68"/>
        </w:numPr>
        <w:tabs>
          <w:tab w:val="clear" w:pos="8789"/>
        </w:tabs>
        <w:overflowPunct w:val="true"/>
        <w:spacing w:before="0" w:after="120"/>
        <w:ind w:left="714" w:hanging="357"/>
        <w:textAlignment w:val="baseline"/>
        <w:rPr/>
      </w:pPr>
      <w:r>
        <w:rPr/>
        <w:t>De l’étude d’intégration du système de câblage dans les bâtiments réaménagés au titre du projet. Cette étude définit, en fonction des objectifs de la Dirif, la configuration du système requise et les solutions techniques à mettre en oeuvre pour câbler les bâtiments ;</w:t>
      </w:r>
    </w:p>
    <w:p>
      <w:pPr>
        <w:pStyle w:val="TEXTE"/>
        <w:numPr>
          <w:ilvl w:val="0"/>
          <w:numId w:val="68"/>
        </w:numPr>
        <w:tabs>
          <w:tab w:val="clear" w:pos="8789"/>
        </w:tabs>
        <w:overflowPunct w:val="true"/>
        <w:spacing w:before="0" w:after="120"/>
        <w:ind w:left="714" w:hanging="357"/>
        <w:textAlignment w:val="baseline"/>
        <w:rPr/>
      </w:pPr>
      <w:r>
        <w:rPr/>
        <w:t>Du câblage du bâtiment qui intègre l’ensemble des travaux, y compris de génie civil (percements, rebouchages, remise en place d’une barrière coupe-feu, etc.), et la fourniture des matériels, accessoires et matériaux nécessaires à la parfaite réalisation et au bon fonctionnement de l’installation ;</w:t>
      </w:r>
    </w:p>
    <w:p>
      <w:pPr>
        <w:pStyle w:val="TEXTE"/>
        <w:numPr>
          <w:ilvl w:val="0"/>
          <w:numId w:val="68"/>
        </w:numPr>
        <w:tabs>
          <w:tab w:val="clear" w:pos="8789"/>
        </w:tabs>
        <w:overflowPunct w:val="true"/>
        <w:spacing w:before="0" w:after="240"/>
        <w:textAlignment w:val="baseline"/>
        <w:rPr/>
      </w:pPr>
      <w:r>
        <w:rPr/>
        <w:t>Les compléments sur les systèmes existants (équipements du réseau informatique, panneaux de brassages, têtes de câbles, etc.).</w:t>
      </w:r>
    </w:p>
    <w:p>
      <w:pPr>
        <w:pStyle w:val="TEXTE"/>
        <w:rPr/>
      </w:pPr>
      <w:r>
        <w:rPr/>
        <w:t>Les prestations dues devront tenir compte de toutes les sujétions inhérentes aux prestations demandées ainsi qu'à la qualité et aux performances requises.</w:t>
      </w:r>
    </w:p>
    <w:p>
      <w:pPr>
        <w:pStyle w:val="Titre3"/>
        <w:rPr/>
      </w:pPr>
      <w:bookmarkStart w:id="560" w:name="_Toc32334741"/>
      <w:bookmarkStart w:id="561" w:name="_Toc420929324"/>
      <w:bookmarkStart w:id="562" w:name="_Toc420597979"/>
      <w:r>
        <w:rPr/>
        <w:t>Contraintes générales</w:t>
      </w:r>
      <w:bookmarkEnd w:id="560"/>
      <w:bookmarkEnd w:id="561"/>
      <w:bookmarkEnd w:id="562"/>
    </w:p>
    <w:p>
      <w:pPr>
        <w:pStyle w:val="Titre4"/>
        <w:rPr/>
      </w:pPr>
      <w:bookmarkStart w:id="563" w:name="_Toc32334742"/>
      <w:bookmarkStart w:id="564" w:name="_Toc420929325"/>
      <w:bookmarkStart w:id="565" w:name="_Toc420597980"/>
      <w:r>
        <w:rPr/>
        <w:t>Normes et règlements applicables au projet</w:t>
      </w:r>
      <w:bookmarkEnd w:id="563"/>
      <w:bookmarkEnd w:id="564"/>
      <w:bookmarkEnd w:id="565"/>
    </w:p>
    <w:p>
      <w:pPr>
        <w:pStyle w:val="TEXTE"/>
        <w:rPr/>
      </w:pPr>
      <w:r>
        <w:rPr/>
        <w:t>L’installation devra impérativement satisfaire aux prescriptions de tous les textes légaux, réglementaires et normatifs en vigueur au moment de l'exécution des travaux et du présent cahier des charges. Elle respectera, pour ce qui concerne la conception des câblages banalisés, les prescriptions contenues dans des documents précis ou les règles de l’art énumérés ci-dessous selon l’ordre de priorité décroissante.</w:t>
      </w:r>
    </w:p>
    <w:p>
      <w:pPr>
        <w:pStyle w:val="TEXTE"/>
        <w:rPr/>
      </w:pPr>
      <w:r>
        <w:rPr/>
        <w:t>(1) Le présent cahier des charges de câblage.</w:t>
      </w:r>
    </w:p>
    <w:p>
      <w:pPr>
        <w:pStyle w:val="TEXTE"/>
        <w:spacing w:before="200" w:after="120"/>
        <w:rPr/>
      </w:pPr>
      <w:r>
        <w:rPr/>
        <w:t>(2) Les textes normatifs et réglementaires :</w:t>
      </w:r>
    </w:p>
    <w:p>
      <w:pPr>
        <w:pStyle w:val="TEXTE"/>
        <w:numPr>
          <w:ilvl w:val="0"/>
          <w:numId w:val="65"/>
        </w:numPr>
        <w:tabs>
          <w:tab w:val="clear" w:pos="8789"/>
        </w:tabs>
        <w:overflowPunct w:val="true"/>
        <w:spacing w:before="0" w:after="120"/>
        <w:ind w:left="714" w:hanging="357"/>
        <w:textAlignment w:val="baseline"/>
        <w:rPr/>
      </w:pPr>
      <w:r>
        <w:rPr/>
        <w:t>Les normes :</w:t>
      </w:r>
    </w:p>
    <w:p>
      <w:pPr>
        <w:pStyle w:val="TEXTE"/>
        <w:numPr>
          <w:ilvl w:val="0"/>
          <w:numId w:val="66"/>
        </w:numPr>
        <w:tabs>
          <w:tab w:val="clear" w:pos="8789"/>
        </w:tabs>
        <w:overflowPunct w:val="true"/>
        <w:spacing w:before="0" w:after="120"/>
        <w:ind w:left="891" w:hanging="40"/>
        <w:textAlignment w:val="baseline"/>
        <w:rPr/>
      </w:pPr>
      <w:r>
        <w:rPr/>
        <w:t>NF EN 50173-1, ainsi que celles qui y sont référencées ;</w:t>
      </w:r>
    </w:p>
    <w:p>
      <w:pPr>
        <w:pStyle w:val="TEXTE"/>
        <w:numPr>
          <w:ilvl w:val="0"/>
          <w:numId w:val="66"/>
        </w:numPr>
        <w:tabs>
          <w:tab w:val="clear" w:pos="8789"/>
        </w:tabs>
        <w:overflowPunct w:val="true"/>
        <w:spacing w:before="0" w:after="120"/>
        <w:ind w:left="891" w:hanging="40"/>
        <w:textAlignment w:val="baseline"/>
        <w:rPr/>
      </w:pPr>
      <w:r>
        <w:rPr/>
        <w:t>NF EN 50174-1, NF EN 50174-2, NF EN 50174-3, ainsi que celles qui y sont référencées ;</w:t>
      </w:r>
    </w:p>
    <w:p>
      <w:pPr>
        <w:pStyle w:val="TEXTE"/>
        <w:numPr>
          <w:ilvl w:val="0"/>
          <w:numId w:val="66"/>
        </w:numPr>
        <w:tabs>
          <w:tab w:val="clear" w:pos="8789"/>
        </w:tabs>
        <w:overflowPunct w:val="true"/>
        <w:spacing w:before="0" w:after="120"/>
        <w:ind w:left="891" w:hanging="40"/>
        <w:textAlignment w:val="baseline"/>
        <w:rPr/>
      </w:pPr>
      <w:r>
        <w:rPr/>
        <w:t>NF C15-100 ;</w:t>
      </w:r>
    </w:p>
    <w:p>
      <w:pPr>
        <w:pStyle w:val="TEXTE"/>
        <w:numPr>
          <w:ilvl w:val="0"/>
          <w:numId w:val="65"/>
        </w:numPr>
        <w:tabs>
          <w:tab w:val="clear" w:pos="8789"/>
        </w:tabs>
        <w:overflowPunct w:val="true"/>
        <w:spacing w:before="0" w:after="120"/>
        <w:textAlignment w:val="baseline"/>
        <w:rPr/>
      </w:pPr>
      <w:r>
        <w:rPr/>
        <w:t>Les textes officiels relatifs à la protection des travailleurs et à la sécurité contre l’incendie ;</w:t>
      </w:r>
    </w:p>
    <w:p>
      <w:pPr>
        <w:pStyle w:val="TEXTE"/>
        <w:numPr>
          <w:ilvl w:val="0"/>
          <w:numId w:val="65"/>
        </w:numPr>
        <w:tabs>
          <w:tab w:val="clear" w:pos="8789"/>
        </w:tabs>
        <w:overflowPunct w:val="true"/>
        <w:spacing w:before="0" w:after="120"/>
        <w:textAlignment w:val="baseline"/>
        <w:rPr/>
      </w:pPr>
      <w:r>
        <w:rPr/>
        <w:t>Les règles et normes UTE ;</w:t>
      </w:r>
    </w:p>
    <w:p>
      <w:pPr>
        <w:pStyle w:val="TEXTE"/>
        <w:numPr>
          <w:ilvl w:val="0"/>
          <w:numId w:val="65"/>
        </w:numPr>
        <w:tabs>
          <w:tab w:val="clear" w:pos="8789"/>
        </w:tabs>
        <w:overflowPunct w:val="true"/>
        <w:spacing w:before="0" w:after="240"/>
        <w:textAlignment w:val="baseline"/>
        <w:rPr/>
      </w:pPr>
      <w:r>
        <w:rPr/>
        <w:t>La spécification G1 de la DiRIF.</w:t>
      </w:r>
    </w:p>
    <w:p>
      <w:pPr>
        <w:pStyle w:val="Titre4"/>
        <w:rPr/>
      </w:pPr>
      <w:bookmarkStart w:id="566" w:name="_Toc32334743"/>
      <w:bookmarkStart w:id="567" w:name="_Toc420929326"/>
      <w:bookmarkStart w:id="568" w:name="_Toc420597981"/>
      <w:r>
        <w:rPr/>
        <w:t>Conditions d'exécution</w:t>
      </w:r>
      <w:bookmarkEnd w:id="566"/>
      <w:bookmarkEnd w:id="567"/>
      <w:bookmarkEnd w:id="568"/>
    </w:p>
    <w:p>
      <w:pPr>
        <w:pStyle w:val="TEXTE"/>
        <w:rPr/>
      </w:pPr>
      <w:r>
        <w:rPr/>
        <w:t>L'attention du Titulaire est attirée sur le fait que les travaux seront à réaliser dans certains locaux occupés par du personnel et que certaines zones sont susceptibles de recevoir du public.</w:t>
      </w:r>
    </w:p>
    <w:p>
      <w:pPr>
        <w:pStyle w:val="TEXTE"/>
        <w:rPr/>
      </w:pPr>
      <w:r>
        <w:rPr/>
        <w:t>En conséquence, pendant la réalisation des installations, il sera veillé tout particulièrement à la sécurité des personnes et à limiter les nuisances. Un plan de prévention sera obligatoirement proposé et validé avant le début des travaux.</w:t>
      </w:r>
    </w:p>
    <w:p>
      <w:pPr>
        <w:pStyle w:val="TEXTE"/>
        <w:spacing w:before="200" w:after="120"/>
        <w:rPr/>
      </w:pPr>
      <w:r>
        <w:rPr/>
        <w:t>A cette fin, seront prises toutes les précautions concernant, de façon non limitative :</w:t>
      </w:r>
    </w:p>
    <w:p>
      <w:pPr>
        <w:pStyle w:val="TEXTE"/>
        <w:numPr>
          <w:ilvl w:val="0"/>
          <w:numId w:val="67"/>
        </w:numPr>
        <w:tabs>
          <w:tab w:val="clear" w:pos="8789"/>
        </w:tabs>
        <w:overflowPunct w:val="true"/>
        <w:spacing w:before="0" w:after="120"/>
        <w:ind w:left="714" w:hanging="357"/>
        <w:textAlignment w:val="baseline"/>
        <w:rPr/>
      </w:pPr>
      <w:r>
        <w:rPr/>
        <w:t>La signalisation des ouvrages en cours, les protections ;</w:t>
      </w:r>
    </w:p>
    <w:p>
      <w:pPr>
        <w:pStyle w:val="TEXTE"/>
        <w:numPr>
          <w:ilvl w:val="0"/>
          <w:numId w:val="67"/>
        </w:numPr>
        <w:tabs>
          <w:tab w:val="clear" w:pos="8789"/>
        </w:tabs>
        <w:overflowPunct w:val="true"/>
        <w:spacing w:before="0" w:after="120"/>
        <w:ind w:left="714" w:hanging="357"/>
        <w:textAlignment w:val="baseline"/>
        <w:rPr/>
      </w:pPr>
      <w:r>
        <w:rPr/>
        <w:t>La protection anti-chutes dans les zones sur la dépose d'éléments de faux plafond ;</w:t>
      </w:r>
    </w:p>
    <w:p>
      <w:pPr>
        <w:pStyle w:val="TEXTE"/>
        <w:numPr>
          <w:ilvl w:val="0"/>
          <w:numId w:val="67"/>
        </w:numPr>
        <w:tabs>
          <w:tab w:val="clear" w:pos="8789"/>
        </w:tabs>
        <w:overflowPunct w:val="true"/>
        <w:spacing w:before="0" w:after="240"/>
        <w:textAlignment w:val="baseline"/>
        <w:rPr/>
      </w:pPr>
      <w:r>
        <w:rPr/>
        <w:t>Le rangement soigné des éléments et matériaux susceptibles de présenter un danger.</w:t>
      </w:r>
    </w:p>
    <w:p>
      <w:pPr>
        <w:pStyle w:val="TEXTE"/>
        <w:rPr/>
      </w:pPr>
      <w:r>
        <w:rPr/>
        <w:t>Le Titulaire procédera au nettoyage des locaux (bureaux, couloirs, escaliers, ...) au fur et à mesure de l'avancement des travaux ainsi qu'au ramassage immédiat et systématique des chutes de câbles, goulottes, moulures, gravois.</w:t>
      </w:r>
    </w:p>
    <w:p>
      <w:pPr>
        <w:pStyle w:val="TEXTE"/>
        <w:rPr/>
      </w:pPr>
      <w:r>
        <w:rPr/>
        <w:t>D'une manière générale, les locaux devront être, en fin des travaux, dans le même état de propreté qu'avant travaux.</w:t>
      </w:r>
    </w:p>
    <w:p>
      <w:pPr>
        <w:pStyle w:val="TEXTE"/>
        <w:rPr/>
      </w:pPr>
      <w:r>
        <w:rPr/>
        <w:t>De même, il est demandé, à chaque fois que cela est possible et en accord avec l’exploitant, de procéder aux travaux bruyants et polluants (percements de cloisons, …) en dehors des heures d'occupation des locaux (le problème ne se pose pas pour les salles d’exploitation).</w:t>
      </w:r>
    </w:p>
    <w:p>
      <w:pPr>
        <w:pStyle w:val="Titre3"/>
        <w:rPr/>
      </w:pPr>
      <w:bookmarkStart w:id="569" w:name="_Toc32334744"/>
      <w:bookmarkStart w:id="570" w:name="_Toc420929327"/>
      <w:bookmarkStart w:id="571" w:name="_Toc420597982"/>
      <w:r>
        <w:rPr/>
        <w:t>Prestations à réaliser</w:t>
      </w:r>
      <w:bookmarkEnd w:id="569"/>
      <w:bookmarkEnd w:id="570"/>
      <w:bookmarkEnd w:id="571"/>
    </w:p>
    <w:p>
      <w:pPr>
        <w:pStyle w:val="Titre4"/>
        <w:rPr/>
      </w:pPr>
      <w:bookmarkStart w:id="572" w:name="_Toc32334745"/>
      <w:bookmarkStart w:id="573" w:name="_Toc420929328"/>
      <w:bookmarkStart w:id="574" w:name="_Toc420597983"/>
      <w:r>
        <w:rPr/>
        <w:t>Généralités</w:t>
      </w:r>
      <w:bookmarkEnd w:id="572"/>
      <w:bookmarkEnd w:id="573"/>
      <w:bookmarkEnd w:id="574"/>
    </w:p>
    <w:p>
      <w:pPr>
        <w:pStyle w:val="TEXTE"/>
        <w:rPr/>
      </w:pPr>
      <w:r>
        <w:rPr/>
        <w:t>Au titre de ce marché, le titulaire devra réaliser l'ensemble des travaux nécessaires à la réalisation des installations décrites dans ce chapitre qui précise également l’usage de l’installation ainsi que les règles de conception et de mise en œuvre à respecter.</w:t>
      </w:r>
    </w:p>
    <w:p>
      <w:pPr>
        <w:pStyle w:val="Titre4"/>
        <w:rPr/>
      </w:pPr>
      <w:bookmarkStart w:id="575" w:name="_Toc32334746"/>
      <w:bookmarkStart w:id="576" w:name="_Toc420929329"/>
      <w:bookmarkStart w:id="577" w:name="_Toc420597984"/>
      <w:bookmarkStart w:id="578" w:name="_Toc124654750"/>
      <w:bookmarkStart w:id="579" w:name="_Toc61148778"/>
      <w:bookmarkStart w:id="580" w:name="_Toc399733659"/>
      <w:bookmarkStart w:id="581" w:name="_Toc399583657"/>
      <w:bookmarkStart w:id="582" w:name="_Toc382898900"/>
      <w:bookmarkStart w:id="583" w:name="_Toc382819576"/>
      <w:bookmarkStart w:id="584" w:name="_Toc382539172"/>
      <w:bookmarkStart w:id="585" w:name="_Toc382491268"/>
      <w:bookmarkStart w:id="586" w:name="_Toc382491115"/>
      <w:bookmarkStart w:id="587" w:name="_Toc382129365"/>
      <w:bookmarkStart w:id="588" w:name="_Toc382106986"/>
      <w:r>
        <w:rPr/>
        <w:t>Destination du câblage</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p>
    <w:p>
      <w:pPr>
        <w:pStyle w:val="TEXTE"/>
        <w:spacing w:before="200" w:after="120"/>
        <w:rPr/>
      </w:pPr>
      <w:bookmarkStart w:id="589" w:name="_Toc61148779"/>
      <w:bookmarkStart w:id="590" w:name="_Toc399733660"/>
      <w:bookmarkStart w:id="591" w:name="_Toc399583658"/>
      <w:bookmarkStart w:id="592" w:name="_Toc382898901"/>
      <w:bookmarkStart w:id="593" w:name="_Toc382819577"/>
      <w:bookmarkStart w:id="594" w:name="_Toc382539173"/>
      <w:bookmarkStart w:id="595" w:name="_Toc382491269"/>
      <w:bookmarkStart w:id="596" w:name="_Toc382491116"/>
      <w:bookmarkStart w:id="597" w:name="_Toc382129366"/>
      <w:bookmarkStart w:id="598" w:name="_Toc382106987"/>
      <w:bookmarkEnd w:id="589"/>
      <w:bookmarkEnd w:id="590"/>
      <w:bookmarkEnd w:id="591"/>
      <w:bookmarkEnd w:id="592"/>
      <w:bookmarkEnd w:id="593"/>
      <w:bookmarkEnd w:id="594"/>
      <w:bookmarkEnd w:id="595"/>
      <w:bookmarkEnd w:id="596"/>
      <w:bookmarkEnd w:id="597"/>
      <w:bookmarkEnd w:id="598"/>
      <w:r>
        <w:rPr/>
        <w:t>Le câblage sera utilisé pour effectuer la transmission de la voix, des données informatiques et des images sous forme numérique. Il servira notamment pour le raccordement aux réseaux et la distribution des services suivants :</w:t>
      </w:r>
    </w:p>
    <w:p>
      <w:pPr>
        <w:pStyle w:val="TEXTE"/>
        <w:numPr>
          <w:ilvl w:val="0"/>
          <w:numId w:val="69"/>
        </w:numPr>
        <w:tabs>
          <w:tab w:val="clear" w:pos="8789"/>
        </w:tabs>
        <w:overflowPunct w:val="true"/>
        <w:spacing w:before="0" w:after="120"/>
        <w:ind w:left="714" w:hanging="357"/>
        <w:textAlignment w:val="baseline"/>
        <w:rPr/>
      </w:pPr>
      <w:r>
        <w:rPr/>
        <w:t>Services de télécommunications derrière un autocommutateur téléphonique ;</w:t>
      </w:r>
    </w:p>
    <w:p>
      <w:pPr>
        <w:pStyle w:val="TEXTE"/>
        <w:numPr>
          <w:ilvl w:val="0"/>
          <w:numId w:val="69"/>
        </w:numPr>
        <w:tabs>
          <w:tab w:val="clear" w:pos="8789"/>
        </w:tabs>
        <w:overflowPunct w:val="true"/>
        <w:spacing w:before="0" w:after="120"/>
        <w:ind w:left="714" w:hanging="357"/>
        <w:textAlignment w:val="baseline"/>
        <w:rPr/>
      </w:pPr>
      <w:r>
        <w:rPr/>
        <w:t>Téléphonie analogique ;</w:t>
      </w:r>
    </w:p>
    <w:p>
      <w:pPr>
        <w:pStyle w:val="TEXTE"/>
        <w:numPr>
          <w:ilvl w:val="0"/>
          <w:numId w:val="69"/>
        </w:numPr>
        <w:tabs>
          <w:tab w:val="clear" w:pos="8789"/>
        </w:tabs>
        <w:overflowPunct w:val="true"/>
        <w:spacing w:before="0" w:after="120"/>
        <w:ind w:left="714" w:hanging="357"/>
        <w:textAlignment w:val="baseline"/>
        <w:rPr/>
      </w:pPr>
      <w:r>
        <w:rPr/>
        <w:t>Téléphonie numérique au sens propriétaire ;</w:t>
      </w:r>
    </w:p>
    <w:p>
      <w:pPr>
        <w:pStyle w:val="TEXTE"/>
        <w:numPr>
          <w:ilvl w:val="0"/>
          <w:numId w:val="69"/>
        </w:numPr>
        <w:tabs>
          <w:tab w:val="clear" w:pos="8789"/>
        </w:tabs>
        <w:overflowPunct w:val="true"/>
        <w:spacing w:before="0" w:after="120"/>
        <w:ind w:left="714" w:hanging="357"/>
        <w:textAlignment w:val="baseline"/>
        <w:rPr/>
      </w:pPr>
      <w:r>
        <w:rPr/>
        <w:t>Téléphonie RNIS ;</w:t>
      </w:r>
    </w:p>
    <w:p>
      <w:pPr>
        <w:pStyle w:val="TEXTE"/>
        <w:numPr>
          <w:ilvl w:val="0"/>
          <w:numId w:val="69"/>
        </w:numPr>
        <w:tabs>
          <w:tab w:val="clear" w:pos="8789"/>
        </w:tabs>
        <w:overflowPunct w:val="true"/>
        <w:spacing w:before="0" w:after="120"/>
        <w:ind w:left="714" w:hanging="357"/>
        <w:textAlignment w:val="baseline"/>
        <w:rPr/>
      </w:pPr>
      <w:r>
        <w:rPr/>
        <w:t>Services informatiques ;</w:t>
      </w:r>
    </w:p>
    <w:p>
      <w:pPr>
        <w:pStyle w:val="TEXTE"/>
        <w:numPr>
          <w:ilvl w:val="0"/>
          <w:numId w:val="69"/>
        </w:numPr>
        <w:tabs>
          <w:tab w:val="clear" w:pos="8789"/>
        </w:tabs>
        <w:overflowPunct w:val="true"/>
        <w:spacing w:before="0" w:after="120"/>
        <w:ind w:left="714" w:hanging="357"/>
        <w:textAlignment w:val="baseline"/>
        <w:rPr/>
      </w:pPr>
      <w:r>
        <w:rPr/>
        <w:t>Réseaux locaux Ethernet ;</w:t>
      </w:r>
    </w:p>
    <w:p>
      <w:pPr>
        <w:pStyle w:val="TEXTE"/>
        <w:numPr>
          <w:ilvl w:val="0"/>
          <w:numId w:val="69"/>
        </w:numPr>
        <w:tabs>
          <w:tab w:val="clear" w:pos="8789"/>
        </w:tabs>
        <w:overflowPunct w:val="true"/>
        <w:spacing w:before="0" w:after="240"/>
        <w:textAlignment w:val="baseline"/>
        <w:rPr/>
      </w:pPr>
      <w:r>
        <w:rPr/>
        <w:t>Services numériques vidéo et de transmission d’images.</w:t>
      </w:r>
    </w:p>
    <w:p>
      <w:pPr>
        <w:pStyle w:val="Titre5"/>
        <w:rPr/>
      </w:pPr>
      <w:bookmarkStart w:id="599" w:name="_Toc61148779"/>
      <w:bookmarkStart w:id="600" w:name="_Toc399733660"/>
      <w:bookmarkStart w:id="601" w:name="_Toc399583658"/>
      <w:bookmarkStart w:id="602" w:name="_Toc382898901"/>
      <w:bookmarkStart w:id="603" w:name="_Toc382819577"/>
      <w:bookmarkStart w:id="604" w:name="_Toc382539173"/>
      <w:bookmarkStart w:id="605" w:name="_Toc382491269"/>
      <w:bookmarkStart w:id="606" w:name="_Toc382491116"/>
      <w:bookmarkStart w:id="607" w:name="_Toc382129366"/>
      <w:bookmarkStart w:id="608" w:name="_Toc382106987"/>
      <w:bookmarkStart w:id="609" w:name="_Toc420929330"/>
      <w:bookmarkStart w:id="610" w:name="_Toc420597985"/>
      <w:bookmarkStart w:id="611" w:name="_Toc124654754"/>
      <w:bookmarkEnd w:id="599"/>
      <w:bookmarkEnd w:id="600"/>
      <w:bookmarkEnd w:id="601"/>
      <w:bookmarkEnd w:id="602"/>
      <w:bookmarkEnd w:id="603"/>
      <w:bookmarkEnd w:id="604"/>
      <w:bookmarkEnd w:id="605"/>
      <w:bookmarkEnd w:id="606"/>
      <w:bookmarkEnd w:id="607"/>
      <w:bookmarkEnd w:id="608"/>
      <w:r>
        <w:rPr/>
        <w:t>Les câbles capillaires</w:t>
      </w:r>
      <w:bookmarkEnd w:id="609"/>
      <w:bookmarkEnd w:id="610"/>
      <w:bookmarkEnd w:id="611"/>
    </w:p>
    <w:p>
      <w:pPr>
        <w:pStyle w:val="TEXTE"/>
        <w:rPr/>
      </w:pPr>
      <w:r>
        <w:rPr/>
        <w:t>Ils sont posés en étoile autour des baies réseaux et téléphonie. Ces câbles doivent être constitués d'un assemblage de 8 câbles 4 paires catégorie 7 (multi-catégorie 7 / modulo 8), recouvert par une gaine extérieure. Ces câbles desservent directement les points d’accès.</w:t>
      </w:r>
    </w:p>
    <w:p>
      <w:pPr>
        <w:pStyle w:val="TEXTE"/>
        <w:rPr/>
      </w:pPr>
      <w:r>
        <w:rPr/>
        <w:t>Pour tous les cas où cela est possible c’est ce type de câble capillaire qui devra être utilisé.</w:t>
      </w:r>
    </w:p>
    <w:p>
      <w:pPr>
        <w:pStyle w:val="TEXTE"/>
        <w:rPr/>
      </w:pPr>
      <w:r>
        <w:rPr/>
        <w:t>Lors des études d’exécution, ces câbles devront être privilégiés, le maître d’œuvre pourra refuser une multitude de câbles unitaires, sauf pour les cas parfaitement justifiés.</w:t>
      </w:r>
    </w:p>
    <w:p>
      <w:pPr>
        <w:pStyle w:val="TEXTE"/>
        <w:rPr/>
      </w:pPr>
      <w:r>
        <w:rPr/>
        <w:t>Cette disposition favorise grandement la lisibilité des câblages, les repérages des câbles, la documentation, etc.</w:t>
      </w:r>
    </w:p>
    <w:p>
      <w:pPr>
        <w:pStyle w:val="Titre5"/>
        <w:rPr/>
      </w:pPr>
      <w:bookmarkStart w:id="612" w:name="_Toc420929331"/>
      <w:bookmarkStart w:id="613" w:name="_Toc420597986"/>
      <w:bookmarkStart w:id="614" w:name="_Toc124654755"/>
      <w:r>
        <w:rPr/>
        <w:t>Les points d’accès</w:t>
      </w:r>
      <w:bookmarkEnd w:id="612"/>
      <w:bookmarkEnd w:id="613"/>
      <w:bookmarkEnd w:id="614"/>
    </w:p>
    <w:p>
      <w:pPr>
        <w:pStyle w:val="TEXTE"/>
        <w:rPr/>
      </w:pPr>
      <w:r>
        <w:rPr/>
        <w:t>Ils comportent les prises "voix/données/images" nécessaires au raccordement des terminaux.</w:t>
      </w:r>
    </w:p>
    <w:p>
      <w:pPr>
        <w:pStyle w:val="Titre4"/>
        <w:rPr/>
      </w:pPr>
      <w:bookmarkStart w:id="615" w:name="_Toc32334747"/>
      <w:bookmarkStart w:id="616" w:name="_Toc420929332"/>
      <w:bookmarkStart w:id="617" w:name="_Toc420597987"/>
      <w:bookmarkStart w:id="618" w:name="_Toc124654756"/>
      <w:bookmarkStart w:id="619" w:name="_Toc61148780"/>
      <w:bookmarkStart w:id="620" w:name="_Toc399733661"/>
      <w:bookmarkStart w:id="621" w:name="_Toc399583659"/>
      <w:bookmarkStart w:id="622" w:name="_Toc382898902"/>
      <w:bookmarkStart w:id="623" w:name="_Toc382819578"/>
      <w:bookmarkStart w:id="624" w:name="_Toc382539174"/>
      <w:bookmarkStart w:id="625" w:name="_Toc382491270"/>
      <w:bookmarkStart w:id="626" w:name="_Toc382491117"/>
      <w:bookmarkStart w:id="627" w:name="_Toc382129367"/>
      <w:bookmarkStart w:id="628" w:name="_Toc382106988"/>
      <w:r>
        <w:rPr/>
        <w:t>Règles de conception</w:t>
      </w:r>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pPr>
        <w:pStyle w:val="Titre5"/>
        <w:rPr/>
      </w:pPr>
      <w:bookmarkStart w:id="629" w:name="_Toc382491275"/>
      <w:bookmarkStart w:id="630" w:name="_Toc382491122"/>
      <w:bookmarkStart w:id="631" w:name="_Toc382129372"/>
      <w:bookmarkStart w:id="632" w:name="_Toc382106992"/>
      <w:bookmarkStart w:id="633" w:name="_Toc420929333"/>
      <w:bookmarkStart w:id="634" w:name="_Toc420597988"/>
      <w:bookmarkStart w:id="635" w:name="_Toc124654757"/>
      <w:bookmarkEnd w:id="629"/>
      <w:bookmarkEnd w:id="630"/>
      <w:bookmarkEnd w:id="631"/>
      <w:bookmarkEnd w:id="632"/>
      <w:r>
        <w:rPr/>
        <w:t>Localisation</w:t>
      </w:r>
      <w:bookmarkEnd w:id="633"/>
      <w:bookmarkEnd w:id="634"/>
      <w:bookmarkEnd w:id="635"/>
    </w:p>
    <w:p>
      <w:pPr>
        <w:pStyle w:val="TEXTE"/>
        <w:rPr/>
      </w:pPr>
      <w:r>
        <w:rPr/>
        <w:t xml:space="preserve">Le nombre de points d’accès étant important, il est nécessaire de réserver un local technique pour y implanter les baies techniques. </w:t>
      </w:r>
    </w:p>
    <w:p>
      <w:pPr>
        <w:pStyle w:val="TEXTE"/>
        <w:spacing w:before="200" w:after="120"/>
        <w:rPr/>
      </w:pPr>
      <w:r>
        <w:rPr/>
        <w:t>Ce local doit faire l’objet d’un contrôle d’accès, et disposer :</w:t>
      </w:r>
    </w:p>
    <w:p>
      <w:pPr>
        <w:pStyle w:val="TEXTE"/>
        <w:numPr>
          <w:ilvl w:val="0"/>
          <w:numId w:val="70"/>
        </w:numPr>
        <w:tabs>
          <w:tab w:val="clear" w:pos="8789"/>
        </w:tabs>
        <w:overflowPunct w:val="true"/>
        <w:spacing w:before="0" w:after="120"/>
        <w:ind w:left="714" w:hanging="357"/>
        <w:textAlignment w:val="baseline"/>
        <w:rPr/>
      </w:pPr>
      <w:r>
        <w:rPr/>
        <w:t>Du nombre de prises secteur 10/16A répondant à la règle générale adoptée pour la distribution électrique dans les locaux du bâtiment ;</w:t>
      </w:r>
    </w:p>
    <w:p>
      <w:pPr>
        <w:pStyle w:val="TEXTE"/>
        <w:numPr>
          <w:ilvl w:val="0"/>
          <w:numId w:val="70"/>
        </w:numPr>
        <w:tabs>
          <w:tab w:val="clear" w:pos="8789"/>
        </w:tabs>
        <w:overflowPunct w:val="true"/>
        <w:spacing w:before="0" w:after="240"/>
        <w:textAlignment w:val="baseline"/>
        <w:rPr/>
      </w:pPr>
      <w:r>
        <w:rPr/>
        <w:t>De départs électriques protégés séparément au niveau du tableau TGBT pour l’alimentation de chacune des baies.</w:t>
      </w:r>
    </w:p>
    <w:p>
      <w:pPr>
        <w:pStyle w:val="TEXTE"/>
        <w:spacing w:before="200" w:after="120"/>
        <w:rPr/>
      </w:pPr>
      <w:r>
        <w:rPr/>
        <w:t>L'emplacement des locaux techniques est défini, pour chacun des PCTT, dans les articles correspondants.</w:t>
      </w:r>
    </w:p>
    <w:p>
      <w:pPr>
        <w:pStyle w:val="TEXTE"/>
        <w:numPr>
          <w:ilvl w:val="0"/>
          <w:numId w:val="71"/>
        </w:numPr>
        <w:tabs>
          <w:tab w:val="clear" w:pos="8789"/>
        </w:tabs>
        <w:overflowPunct w:val="true"/>
        <w:spacing w:before="0" w:after="120"/>
        <w:ind w:left="714" w:hanging="357"/>
        <w:textAlignment w:val="baseline"/>
        <w:rPr/>
      </w:pPr>
      <w:r>
        <w:rPr/>
        <w:t>La longueur des câbles entre les baies techniques et les points d’accès ne devra en aucun cas dépasser 90 mètres ;</w:t>
      </w:r>
    </w:p>
    <w:p>
      <w:pPr>
        <w:pStyle w:val="TEXTE"/>
        <w:numPr>
          <w:ilvl w:val="0"/>
          <w:numId w:val="71"/>
        </w:numPr>
        <w:tabs>
          <w:tab w:val="clear" w:pos="8789"/>
        </w:tabs>
        <w:overflowPunct w:val="true"/>
        <w:spacing w:before="0" w:after="240"/>
        <w:textAlignment w:val="baseline"/>
        <w:rPr/>
      </w:pPr>
      <w:r>
        <w:rPr/>
        <w:t>L’accès doit être possible en permanence, facile et sécurisé.</w:t>
      </w:r>
    </w:p>
    <w:p>
      <w:pPr>
        <w:pStyle w:val="Titre5"/>
        <w:rPr>
          <w:u w:val="single"/>
        </w:rPr>
      </w:pPr>
      <w:bookmarkStart w:id="636" w:name="_Toc382491275"/>
      <w:bookmarkStart w:id="637" w:name="_Toc382491122"/>
      <w:bookmarkStart w:id="638" w:name="_Toc382129372"/>
      <w:bookmarkStart w:id="639" w:name="_Toc382106992"/>
      <w:bookmarkStart w:id="640" w:name="_Toc420929334"/>
      <w:bookmarkStart w:id="641" w:name="_Toc420597989"/>
      <w:bookmarkStart w:id="642" w:name="_Toc124654758"/>
      <w:bookmarkEnd w:id="636"/>
      <w:bookmarkEnd w:id="637"/>
      <w:bookmarkEnd w:id="638"/>
      <w:bookmarkEnd w:id="639"/>
      <w:r>
        <w:rPr>
          <w:u w:val="single"/>
        </w:rPr>
        <w:t>Baies techniques</w:t>
      </w:r>
      <w:bookmarkEnd w:id="640"/>
      <w:bookmarkEnd w:id="641"/>
      <w:bookmarkEnd w:id="642"/>
    </w:p>
    <w:p>
      <w:pPr>
        <w:pStyle w:val="TEXTE"/>
        <w:rPr/>
      </w:pPr>
      <w:r>
        <w:rPr/>
        <w:t>Les baies devront être de largeur utile 19 pouces, de hauteur 45U, et d’une surface au sol de 800mm x 600mm.</w:t>
      </w:r>
    </w:p>
    <w:p>
      <w:pPr>
        <w:pStyle w:val="TEXTE"/>
        <w:spacing w:before="200" w:after="120"/>
        <w:rPr/>
      </w:pPr>
      <w:r>
        <w:rPr/>
        <w:t>Elles devront être équipées d’une seule porte, en face arrière. La face-avant sera équipée de panneaux de prises RJ45, assurant 4 fonctions différentes, listées ci-dessous :</w:t>
      </w:r>
    </w:p>
    <w:p>
      <w:pPr>
        <w:pStyle w:val="TEXTE"/>
        <w:numPr>
          <w:ilvl w:val="0"/>
          <w:numId w:val="72"/>
        </w:numPr>
        <w:tabs>
          <w:tab w:val="clear" w:pos="8789"/>
        </w:tabs>
        <w:overflowPunct w:val="true"/>
        <w:spacing w:before="0" w:after="120"/>
        <w:ind w:left="714" w:hanging="357"/>
        <w:textAlignment w:val="baseline"/>
        <w:rPr/>
      </w:pPr>
      <w:r>
        <w:rPr/>
        <w:t>Panneau des prises d’extrémité des câbles Ethernet multi-catégorie 7 / modulo issus des bureaux et autres salles ;</w:t>
      </w:r>
    </w:p>
    <w:p>
      <w:pPr>
        <w:pStyle w:val="TEXTE"/>
        <w:numPr>
          <w:ilvl w:val="0"/>
          <w:numId w:val="72"/>
        </w:numPr>
        <w:tabs>
          <w:tab w:val="clear" w:pos="8789"/>
        </w:tabs>
        <w:overflowPunct w:val="true"/>
        <w:spacing w:before="0" w:after="240"/>
        <w:textAlignment w:val="baseline"/>
        <w:rPr/>
      </w:pPr>
      <w:r>
        <w:rPr/>
        <w:t>Panneaux des prises d’extrémité des câbles capillaires à destination des points d’accès réseaux et téléphonie.</w:t>
      </w:r>
    </w:p>
    <w:p>
      <w:pPr>
        <w:pStyle w:val="TEXTE"/>
        <w:rPr>
          <w:color w:val="76923C"/>
        </w:rPr>
      </w:pPr>
      <w:r>
        <w:rPr/>
        <w:t>Le détail d'organisation des baies devra être défini lors</w:t>
      </w:r>
      <w:r>
        <w:rPr>
          <w:color w:val="76923C"/>
        </w:rPr>
        <w:t xml:space="preserve"> </w:t>
      </w:r>
      <w:r>
        <w:rPr/>
        <w:t>des études d’exécution.</w:t>
      </w:r>
    </w:p>
    <w:p>
      <w:pPr>
        <w:pStyle w:val="TEXTE"/>
        <w:rPr>
          <w:b/>
          <w:b/>
          <w:bCs/>
        </w:rPr>
      </w:pPr>
      <w:r>
        <w:rPr/>
        <w:t>Tous les équipements décrits ci-dessus devront être fournis au titre du présent marché ; il en est de même pour toutes les prestations d'installation et de câblage</w:t>
      </w:r>
      <w:r>
        <w:rPr>
          <w:b/>
          <w:bCs/>
        </w:rPr>
        <w:t>.</w:t>
      </w:r>
    </w:p>
    <w:p>
      <w:pPr>
        <w:pStyle w:val="TEXTE"/>
        <w:rPr/>
      </w:pPr>
      <w:r>
        <w:rPr/>
        <w:t>Les différents panneaux, en face avant de la baie, devront être installés dans l’ordre suivant (à partir du haut de la baie). Ils devront être, de hauteur 2U, comporter chacun 32 prises RJ, et permettent éventuellement l’utilisation de dédoubleurs sur leur totalité. Les prises sont câblées successivement, du haut vers le bas et de la gauche vers la droite, dans l’ordre croissant des numéros de prises.</w:t>
      </w:r>
    </w:p>
    <w:p>
      <w:pPr>
        <w:pStyle w:val="TEXTE"/>
        <w:rPr/>
      </w:pPr>
      <w:r>
        <w:rPr/>
        <w:t>Si un panneau n’est pas entièrement câblé, les emplacements non utilisés devront être pourvus de prises RJ45 (embase femelle identiques à celles utilisées).</w:t>
      </w:r>
    </w:p>
    <w:p>
      <w:pPr>
        <w:pStyle w:val="TEXTE"/>
        <w:rPr/>
      </w:pPr>
      <w:r>
        <w:rPr/>
        <w:t>A chaque rangée</w:t>
      </w:r>
      <w:r>
        <w:rPr>
          <w:b/>
          <w:bCs/>
          <w:color w:val="FF0000"/>
        </w:rPr>
        <w:t xml:space="preserve"> </w:t>
      </w:r>
      <w:r>
        <w:rPr/>
        <w:t>de prises est associé un passe-fils avec fente balai horizontal de hauteur 1U.</w:t>
      </w:r>
    </w:p>
    <w:p>
      <w:pPr>
        <w:pStyle w:val="TEXTE"/>
        <w:rPr>
          <w:rFonts w:cs="Arial"/>
        </w:rPr>
      </w:pPr>
      <w:r>
        <w:rPr>
          <w:rFonts w:cs="Arial"/>
        </w:rPr>
        <w:t>Pour le raccordement d</w:t>
      </w:r>
      <w:r>
        <w:rPr/>
        <w:t>es câbles capillaires issus des points d’accès,</w:t>
      </w:r>
      <w:r>
        <w:rPr>
          <w:rFonts w:cs="Arial"/>
        </w:rPr>
        <w:t xml:space="preserve"> l'installation de systèmes à cassettes multiports catégorie 7 sera privilégiée; ces systèmes se présentent sous la forme d'une cassette encliquetable dans le panneau de brassage par l'arrière, qui comprend au minimum 6 connecteurs RJ45. Cette solution offre un avantage évident en terme de temps de câblage, mais permet aussi d'avoir des assurances sur la qualité du câblage, les câblages des prises étant effectués et testés à 100% en usine. La modularité des câbles multi-catégorie 7 (à priori 8) pourra être modifiée en fonction des choix retenus (capacité des cassettes) sans toutefois être inférieure à 6 (assemblage de 6 câbles 4 paires catégorie 7).</w:t>
      </w:r>
    </w:p>
    <w:p>
      <w:pPr>
        <w:pStyle w:val="TEXTE"/>
        <w:rPr/>
      </w:pPr>
      <w:r>
        <w:rPr/>
        <w:t xml:space="preserve">Les panneaux sont équipés d’un système de fixation des câbles évitant toute tension sur la connexion des câbles aux prises des panneaux. Sauf à utiliser de systèmes </w:t>
      </w:r>
      <w:r>
        <w:rPr>
          <w:rFonts w:cs="Arial"/>
        </w:rPr>
        <w:t xml:space="preserve">à cassettes multiports, </w:t>
      </w:r>
      <w:r>
        <w:rPr/>
        <w:t>Ils disposent également d’un système de reprise à 360 degrés des écrans des câbles permettant la connexion de tous les écrans des câbles à un même plan de masse, et la partie arrière des panneaux est protégée contre les perturbations électromagnétiques par un capot métallique général.</w:t>
      </w:r>
    </w:p>
    <w:p>
      <w:pPr>
        <w:pStyle w:val="TEXTE"/>
        <w:rPr/>
      </w:pPr>
      <w:r>
        <w:rPr/>
        <w:t>Les prises RJ45 sont dotées d’une continuité de masse (9ème point) et devront être de type à autodénudant (CAD). Elles devront être de catégorie 7 au sens de la norme NF EN 50173-1.</w:t>
      </w:r>
    </w:p>
    <w:p>
      <w:pPr>
        <w:pStyle w:val="TEXTE"/>
        <w:spacing w:before="200" w:after="120"/>
        <w:rPr/>
      </w:pPr>
      <w:r>
        <w:rPr/>
        <w:t>La convention de câblage des prises des points d’accès (bureaux, salle de réunion, etc.), quant à elles, devront répondre aux conventions de câblage de la norme EIA/TIA 568B ou 568A, et sont dédoublables. Il devra donc en être de même pour les prises des panneaux de brassage. Trois lots de dédoubleurs à sorties verticales, seront présentés à la DIRIF pour approbation, puis fournis au titre du présent marché. La liste de ces lots est précisée ci-dessous :</w:t>
      </w:r>
    </w:p>
    <w:p>
      <w:pPr>
        <w:pStyle w:val="TEXTE"/>
        <w:numPr>
          <w:ilvl w:val="0"/>
          <w:numId w:val="73"/>
        </w:numPr>
        <w:tabs>
          <w:tab w:val="clear" w:pos="8789"/>
        </w:tabs>
        <w:overflowPunct w:val="true"/>
        <w:spacing w:before="0" w:after="120"/>
        <w:ind w:left="714" w:hanging="357"/>
        <w:textAlignment w:val="baseline"/>
        <w:rPr/>
      </w:pPr>
      <w:r>
        <w:rPr/>
        <w:t>10 dédoubleurs 2 x Ethernet ;</w:t>
      </w:r>
    </w:p>
    <w:p>
      <w:pPr>
        <w:pStyle w:val="TEXTE"/>
        <w:numPr>
          <w:ilvl w:val="0"/>
          <w:numId w:val="73"/>
        </w:numPr>
        <w:tabs>
          <w:tab w:val="clear" w:pos="8789"/>
        </w:tabs>
        <w:overflowPunct w:val="true"/>
        <w:spacing w:before="0" w:after="120"/>
        <w:ind w:left="714" w:hanging="357"/>
        <w:textAlignment w:val="baseline"/>
        <w:rPr/>
      </w:pPr>
      <w:r>
        <w:rPr/>
        <w:t>10 dédoubleurs Ethernet + téléphone ;</w:t>
      </w:r>
    </w:p>
    <w:p>
      <w:pPr>
        <w:pStyle w:val="TEXTE"/>
        <w:numPr>
          <w:ilvl w:val="0"/>
          <w:numId w:val="73"/>
        </w:numPr>
        <w:tabs>
          <w:tab w:val="clear" w:pos="8789"/>
        </w:tabs>
        <w:overflowPunct w:val="true"/>
        <w:spacing w:before="0" w:after="240"/>
        <w:textAlignment w:val="baseline"/>
        <w:rPr/>
      </w:pPr>
      <w:r>
        <w:rPr/>
        <w:t>10 dédoubleurs téléphone + téléphone.</w:t>
      </w:r>
    </w:p>
    <w:p>
      <w:pPr>
        <w:pStyle w:val="TEXTE"/>
        <w:rPr/>
      </w:pPr>
      <w:r>
        <w:rPr/>
        <w:t>Le choix de la convention de câblage devra être déterminé avec l’exploitant Dirif pour chaque site. En effet, deux systèmes cohabitent et seul l’exploitant peut choisir. Cela n’a absolument aucune incidence en termes de travail de réalisation et dans la majorité des cas c’est transparent sauf lorsque l’on utilise par exemple des doubleurs.</w:t>
      </w:r>
    </w:p>
    <w:p>
      <w:pPr>
        <w:pStyle w:val="TEXTE"/>
        <w:rPr/>
      </w:pPr>
      <w:r>
        <w:rPr/>
        <w:t>La baie devra être équipée d’un bandeau d'alimentation électrique interne comportant 9 prises secteur 10/16A, disposée horizontalement en bas de la baie. L'alimentation de ce bandeau sera réalisée à partir des armoires de distribution créés ou réaménagées au titre du présent projet.</w:t>
      </w:r>
    </w:p>
    <w:p>
      <w:pPr>
        <w:pStyle w:val="TEXTE"/>
        <w:rPr/>
      </w:pPr>
      <w:r>
        <w:rPr/>
        <w:t>Les câbles capillaires issus des points d’accès situés dans les locaux (bureaux, salles de réunion, salles d’exploitation, etc.), les câbles de raccordement de l’autocommutateur téléphonique, les câbles vers les accès au réseau public France Télécom, et les 2 câbles Ethernet multi-catégorie 7 / modulo 8 vont converger vers les baies. Les pénétrations de ces câbles devront être assurées soit par le haut de la baie, soit par le bas lorsque les chemins de câbles sont en faux-plancher. Ces câbles chemineront jusqu'à la baie dans un chemin de câbles spécifique, à installer au titre du marché.</w:t>
      </w:r>
    </w:p>
    <w:p>
      <w:pPr>
        <w:pStyle w:val="TEXTE"/>
        <w:rPr/>
      </w:pPr>
      <w:r>
        <w:rPr/>
        <w:t>Afin de libérer de l’espace pour les jarretièrages, deux chemins de câbles verticaux, disposés l’un à droite et l’autre à gauche de la baie, devront être installés, au plus près des panneaux de brassage. Les câbles listés ci-avant chemineront dans ces chemins de câbles. La distribution desdits câbles sur les prises RJ doit se faire à l’horizontal, et alternativement à droite puis à gauche au niveau des panneaux. De ce fait, aucun câble ne doit passer devant les passe-fils avec fente balai, afin de ne pas entraver l'espace destiné au passage des jarretières.</w:t>
      </w:r>
    </w:p>
    <w:p>
      <w:pPr>
        <w:pStyle w:val="TEXTE"/>
        <w:rPr/>
      </w:pPr>
      <w:r>
        <w:rPr/>
        <w:t>Concernant les câbles Ethernet multi-catégorie 7/ modulo 8, les câbles capillaires, les câbles unitaires, ceux affectés à la téléphonie, etc., les panneaux de raccordement leur étant affectés, devront être équipés d’un système permettant un repérage définitif et inamovible qui respecte les règles de nommage définies par la Dirif (voir spécification G1). Leur identification est réalisée à l’aide de 2 réglettes rivetées sur le bandeau, l’une au-dessus de la rangée supérieure, et l’autre en dessous de la rangée inférieure de prises (CF spécification G1).</w:t>
      </w:r>
    </w:p>
    <w:p>
      <w:pPr>
        <w:pStyle w:val="TEXTE"/>
        <w:rPr/>
      </w:pPr>
      <w:r>
        <w:rPr/>
        <w:t>La visserie doit être livrée en quantité suffisante pour permettre le montage de nouveaux équipements dans la baie</w:t>
      </w:r>
    </w:p>
    <w:p>
      <w:pPr>
        <w:pStyle w:val="TEXTE"/>
        <w:rPr/>
      </w:pPr>
      <w:r>
        <w:rPr/>
        <w:t>Toute partie non occupée en face avant doit être obturée par un cache de couleur identique à celle de baie.</w:t>
      </w:r>
    </w:p>
    <w:p>
      <w:pPr>
        <w:pStyle w:val="Titre5"/>
        <w:rPr/>
      </w:pPr>
      <w:bookmarkStart w:id="643" w:name="_Toc420929335"/>
      <w:bookmarkStart w:id="644" w:name="_Toc420597990"/>
      <w:r>
        <w:rPr/>
        <w:t>Système de brassage RJ45</w:t>
      </w:r>
      <w:bookmarkEnd w:id="643"/>
      <w:bookmarkEnd w:id="644"/>
    </w:p>
    <w:p>
      <w:pPr>
        <w:pStyle w:val="TEXTE"/>
        <w:rPr/>
      </w:pPr>
      <w:r>
        <w:rPr/>
        <w:t xml:space="preserve">Le positionnement des cordons de brassage à l’intérieur des baies pourra être facilité par la mise en œuvre de guide câbles. </w:t>
      </w:r>
    </w:p>
    <w:p>
      <w:pPr>
        <w:pStyle w:val="TEXTE"/>
        <w:rPr/>
      </w:pPr>
      <w:r>
        <w:rPr/>
        <w:t>A cet effet, le titulaire devra soumettre au maître d’œuvre, pour approbation, un prototype d’organisation interne des baies de brassage, afin de vérifier que le brassage ou le « débrassage » des prises RJ45 du panneau des points d’accès sur les prises RJ, pourra être réalisé aisément.</w:t>
      </w:r>
    </w:p>
    <w:p>
      <w:pPr>
        <w:pStyle w:val="TEXTE"/>
        <w:rPr/>
      </w:pPr>
      <w:r>
        <w:rPr/>
        <w:t>La simplicité de ces opérations ne devra en rien altérer la propreté du brassage, ni empêcher l’accès par l’arrière aux équipements.</w:t>
      </w:r>
    </w:p>
    <w:p>
      <w:pPr>
        <w:pStyle w:val="TEXTE"/>
        <w:rPr/>
      </w:pPr>
      <w:r>
        <w:rPr/>
        <w:t xml:space="preserve">Le brassage des liaisons est effectué avec des cordons équipés à leurs extrémités de connecteurs RJ45. Les cordons sont câblés droit. Ils disposent d’un écran général et de connecteurs RJ45 métallisés permettant de réaliser des liaisons écrantées de bout en bout. </w:t>
      </w:r>
    </w:p>
    <w:p>
      <w:pPr>
        <w:pStyle w:val="TEXTE"/>
        <w:rPr/>
      </w:pPr>
      <w:r>
        <w:rPr/>
        <w:t>Après validation du prototype de brassage interne par le maître d'œuvre, les lots de cordons à fournir, dont la longueur devra être adaptée aux distances séparant les points de brassage, seront définis avec le titulaire.</w:t>
      </w:r>
    </w:p>
    <w:p>
      <w:pPr>
        <w:pStyle w:val="TEXTE"/>
        <w:rPr/>
      </w:pPr>
      <w:r>
        <w:rPr/>
        <w:t>Le nombre de jarretières à installer au titre du présent projet sera adapté aux connexions à réaliser.</w:t>
      </w:r>
    </w:p>
    <w:p>
      <w:pPr>
        <w:pStyle w:val="TEXTE"/>
        <w:rPr/>
      </w:pPr>
      <w:r>
        <w:rPr/>
        <w:t>En terme de repérage de ces cordons, le titulaire proposera à l’approbation du maître d’œuvre un système de repérage des extrémités à base de fibre optique intégrée. Toutes les jarretières à fournir devront être équipées de ce type de repérage.</w:t>
      </w:r>
    </w:p>
    <w:p>
      <w:pPr>
        <w:pStyle w:val="Titre5"/>
        <w:rPr/>
      </w:pPr>
      <w:bookmarkStart w:id="645" w:name="_Toc420929336"/>
      <w:bookmarkStart w:id="646" w:name="_Toc420597991"/>
      <w:r>
        <w:rPr/>
        <w:t>Câbles capillaires</w:t>
      </w:r>
      <w:bookmarkEnd w:id="645"/>
      <w:bookmarkEnd w:id="646"/>
    </w:p>
    <w:p>
      <w:pPr>
        <w:pStyle w:val="TEXTE"/>
        <w:rPr/>
      </w:pPr>
      <w:r>
        <w:rPr/>
        <w:t>Chaque point d’accès est desservi par un câble capillaire (1 par prise RJ45) intégré à un câble multi-catégorie 7 – modulo 8, issu</w:t>
      </w:r>
      <w:r>
        <w:rPr>
          <w:b/>
          <w:bCs/>
          <w:color w:val="FF0000"/>
        </w:rPr>
        <w:t xml:space="preserve"> </w:t>
      </w:r>
      <w:r>
        <w:rPr/>
        <w:t>des baies techniques. Le câble capillaire est constitué de 4 paires symétriques. Au sens de la catégorie 7 FTP, il dispose obligatoirement d'un écran métallisé de protection contre les perturbations électromagnétiques, et d’un blindage supplémentaire propre à chaque paire.</w:t>
      </w:r>
    </w:p>
    <w:p>
      <w:pPr>
        <w:pStyle w:val="TEXTE"/>
        <w:rPr/>
      </w:pPr>
      <w:r>
        <w:rPr/>
        <w:t>Ces câbles devront être sans halogène. Ils respectent les spécifications techniques de la catégorie Ea définie par la norme NF EN 50173-1.</w:t>
      </w:r>
    </w:p>
    <w:p>
      <w:pPr>
        <w:pStyle w:val="TEXTE"/>
        <w:rPr/>
      </w:pPr>
      <w:bookmarkStart w:id="647" w:name="_Toc61148784"/>
      <w:bookmarkStart w:id="648" w:name="_Toc399733665"/>
      <w:bookmarkStart w:id="649" w:name="_Toc399583663"/>
      <w:bookmarkStart w:id="650" w:name="_Toc382898906"/>
      <w:bookmarkStart w:id="651" w:name="_Toc382819582"/>
      <w:bookmarkStart w:id="652" w:name="_Toc382539178"/>
      <w:bookmarkStart w:id="653" w:name="_Toc382491276"/>
      <w:bookmarkStart w:id="654" w:name="_Toc382491123"/>
      <w:bookmarkStart w:id="655" w:name="_Toc382129373"/>
      <w:bookmarkStart w:id="656" w:name="_Toc382106996"/>
      <w:bookmarkEnd w:id="647"/>
      <w:bookmarkEnd w:id="648"/>
      <w:bookmarkEnd w:id="649"/>
      <w:bookmarkEnd w:id="650"/>
      <w:bookmarkEnd w:id="651"/>
      <w:bookmarkEnd w:id="652"/>
      <w:bookmarkEnd w:id="653"/>
      <w:bookmarkEnd w:id="654"/>
      <w:bookmarkEnd w:id="655"/>
      <w:bookmarkEnd w:id="656"/>
      <w:r>
        <w:rPr/>
        <w:t>Les câbles capillaires ne devront pas comporter de points de coupure entre les baies de brassage et les prises des points d’accès. Leur longueur maximale devra être de 90 mètres.</w:t>
      </w:r>
    </w:p>
    <w:p>
      <w:pPr>
        <w:pStyle w:val="TEXTE"/>
        <w:spacing w:before="200" w:after="120"/>
        <w:rPr/>
      </w:pPr>
      <w:r>
        <w:rPr/>
        <w:t>Le cheminement de ces câbles devra respecter un écartement avec les sources de perturbations électromagnétiques conformes à la norme NF EN 50174-2, et notamment aux règles suivantes :</w:t>
      </w:r>
    </w:p>
    <w:p>
      <w:pPr>
        <w:pStyle w:val="TEXTE"/>
        <w:numPr>
          <w:ilvl w:val="0"/>
          <w:numId w:val="74"/>
        </w:numPr>
        <w:tabs>
          <w:tab w:val="clear" w:pos="8789"/>
        </w:tabs>
        <w:overflowPunct w:val="true"/>
        <w:spacing w:before="0" w:after="120"/>
        <w:ind w:left="714" w:hanging="357"/>
        <w:textAlignment w:val="baseline"/>
        <w:rPr/>
      </w:pPr>
      <w:r>
        <w:rPr/>
        <w:t>Pour les cas où l'on est amené à faire cheminer parallèlement aux câbles d’énergie les câbles capillaires (courants faibles), un écartement minimal de 50 mm avec séparateur, devra être respecté entre eux, dans le plus mauvais des cas. La norme NF EN 50174-2 précise les autres cas. En distribution de bureaux et sur de courtes longueurs, cette espacement ne peut être réduit ;</w:t>
      </w:r>
    </w:p>
    <w:p>
      <w:pPr>
        <w:pStyle w:val="TEXTE"/>
        <w:numPr>
          <w:ilvl w:val="0"/>
          <w:numId w:val="74"/>
        </w:numPr>
        <w:tabs>
          <w:tab w:val="clear" w:pos="8789"/>
        </w:tabs>
        <w:overflowPunct w:val="true"/>
        <w:spacing w:before="0" w:after="120"/>
        <w:ind w:left="714" w:hanging="357"/>
        <w:textAlignment w:val="baseline"/>
        <w:rPr/>
      </w:pPr>
      <w:r>
        <w:rPr>
          <w:b/>
        </w:rPr>
        <w:t>L</w:t>
      </w:r>
      <w:r>
        <w:rPr/>
        <w:t>e passage des câbles capillaires près des tubes fluorescents doit se faire à une distance minimale de 50 mm ;</w:t>
      </w:r>
    </w:p>
    <w:p>
      <w:pPr>
        <w:pStyle w:val="TEXTE"/>
        <w:numPr>
          <w:ilvl w:val="0"/>
          <w:numId w:val="74"/>
        </w:numPr>
        <w:tabs>
          <w:tab w:val="clear" w:pos="8789"/>
        </w:tabs>
        <w:overflowPunct w:val="true"/>
        <w:spacing w:before="0" w:after="240"/>
        <w:textAlignment w:val="baseline"/>
        <w:rPr/>
      </w:pPr>
      <w:r>
        <w:rPr/>
        <w:t>Dans le cas où il est établi que les appareillages électriques respectent la normalisation sur la compatibilité électromagnétique citée notamment dans la norme NF EN 50174-2, la distance minimale de ces appareils avec les câbles doit être de 50 mm. En cas de non-respect des normes, ou en cas de doute, une distance minimale de 3 m doit être respectée entre les câbles et tout appareil électrique susceptible d'émettre des parasites (moteurs industriels, poste de transformation, …), à moins que des mesures de champ électromagnétique n’autorisent une réduction de cette distance.</w:t>
      </w:r>
    </w:p>
    <w:p>
      <w:pPr>
        <w:pStyle w:val="Titre5"/>
        <w:rPr/>
      </w:pPr>
      <w:bookmarkStart w:id="657" w:name="_Toc61148784"/>
      <w:bookmarkStart w:id="658" w:name="_Toc399733665"/>
      <w:bookmarkStart w:id="659" w:name="_Toc399583663"/>
      <w:bookmarkStart w:id="660" w:name="_Toc382898906"/>
      <w:bookmarkStart w:id="661" w:name="_Toc382819582"/>
      <w:bookmarkStart w:id="662" w:name="_Toc382539178"/>
      <w:bookmarkStart w:id="663" w:name="_Toc382491276"/>
      <w:bookmarkStart w:id="664" w:name="_Toc382491123"/>
      <w:bookmarkStart w:id="665" w:name="_Toc382129373"/>
      <w:bookmarkStart w:id="666" w:name="_Toc382106996"/>
      <w:bookmarkStart w:id="667" w:name="_Toc420929337"/>
      <w:bookmarkStart w:id="668" w:name="_Toc420597992"/>
      <w:bookmarkEnd w:id="657"/>
      <w:bookmarkEnd w:id="658"/>
      <w:bookmarkEnd w:id="659"/>
      <w:bookmarkEnd w:id="660"/>
      <w:bookmarkEnd w:id="661"/>
      <w:bookmarkEnd w:id="662"/>
      <w:bookmarkEnd w:id="663"/>
      <w:bookmarkEnd w:id="664"/>
      <w:bookmarkEnd w:id="665"/>
      <w:bookmarkEnd w:id="666"/>
      <w:r>
        <w:rPr/>
        <w:t>Cheminement des câbles</w:t>
      </w:r>
      <w:bookmarkStart w:id="669" w:name="_Toc124654762"/>
      <w:bookmarkEnd w:id="667"/>
      <w:bookmarkEnd w:id="668"/>
      <w:bookmarkEnd w:id="669"/>
    </w:p>
    <w:p>
      <w:pPr>
        <w:pStyle w:val="TEXTE"/>
        <w:rPr/>
      </w:pPr>
      <w:r>
        <w:rPr/>
        <w:t>En règle générale, le titulaire utilisera au mieux les chemins de câbles prévus pour la distribution électrique (espacements à respecter + séparateur physique), et dont les prescriptions techniques s’appuient notamment sur la spécification G1 propre à la DiRIF.</w:t>
      </w:r>
    </w:p>
    <w:p>
      <w:pPr>
        <w:pStyle w:val="TEXTE"/>
        <w:rPr/>
      </w:pPr>
      <w:r>
        <w:rPr/>
        <w:t>La mise en place des câblages doit être étudiée avec soin pour que l’installation réalisée s'intègre parfaitement au bâtiment. Elle utilisera au mieux les infrastructures à mettre en place ou existantes dans les bâtiments (faux-plafond, plénum, …) pour faire passer les câbles dans le bâtiment.</w:t>
      </w:r>
    </w:p>
    <w:p>
      <w:pPr>
        <w:pStyle w:val="TEXTE"/>
        <w:rPr/>
      </w:pPr>
      <w:r>
        <w:rPr/>
        <w:t>La distribution des câbles dans le bâtiment utilisera les tracés les plus courts possibles et empruntera les espaces communs (halls, couloirs, …). Elle respectera les règles suivantes :</w:t>
      </w:r>
    </w:p>
    <w:p>
      <w:pPr>
        <w:pStyle w:val="TEXTE"/>
        <w:rPr/>
      </w:pPr>
      <w:r>
        <w:rPr/>
        <w:t>Ddans les espaces communs, la distribution des câbles devra être réalisée au moyen de chemins de câbles, conformes à la norme G1 de la DiRIF. Les chemins de câbles permettent notamment de constituer un écran électromagnétique qui sert de référence au réseau de masse.</w:t>
      </w:r>
    </w:p>
    <w:p>
      <w:pPr>
        <w:pStyle w:val="TEXTE"/>
        <w:rPr/>
      </w:pPr>
      <w:r>
        <w:rPr/>
        <w:t>Dans les locaux recevant les points d’accès (principalement, les bureaux), la distribution des câbles pourra être réalisée par goulottes, plinthes ou tout autre dispositif adapté.</w:t>
      </w:r>
    </w:p>
    <w:p>
      <w:pPr>
        <w:pStyle w:val="TEXTE"/>
        <w:rPr/>
      </w:pPr>
      <w:r>
        <w:rPr/>
        <w:t>La protection métallique du cheminement du câble doit être conservée conformément aux règles de coexistence des câbles « courants faibles » et des câbles ou appareillages « courants forts » indiquées ci-avant.</w:t>
      </w:r>
    </w:p>
    <w:p>
      <w:pPr>
        <w:pStyle w:val="Titre5"/>
        <w:rPr/>
      </w:pPr>
      <w:bookmarkStart w:id="670" w:name="_Toc420929338"/>
      <w:bookmarkStart w:id="671" w:name="_Toc420597993"/>
      <w:r>
        <w:rPr/>
        <w:t>Points d'accès</w:t>
      </w:r>
      <w:bookmarkStart w:id="672" w:name="_Toc61148781"/>
      <w:bookmarkStart w:id="673" w:name="_Toc399733662"/>
      <w:bookmarkStart w:id="674" w:name="_Toc399583660"/>
      <w:bookmarkStart w:id="675" w:name="_Toc382898903"/>
      <w:bookmarkStart w:id="676" w:name="_Toc382819579"/>
      <w:bookmarkStart w:id="677" w:name="_Toc382539175"/>
      <w:bookmarkStart w:id="678" w:name="_Toc382491271"/>
      <w:bookmarkStart w:id="679" w:name="_Toc382491118"/>
      <w:bookmarkStart w:id="680" w:name="_Toc382129368"/>
      <w:bookmarkEnd w:id="670"/>
      <w:bookmarkEnd w:id="671"/>
      <w:bookmarkEnd w:id="672"/>
      <w:bookmarkEnd w:id="673"/>
      <w:bookmarkEnd w:id="674"/>
      <w:bookmarkEnd w:id="675"/>
      <w:bookmarkEnd w:id="676"/>
      <w:bookmarkEnd w:id="677"/>
      <w:bookmarkEnd w:id="678"/>
      <w:bookmarkEnd w:id="679"/>
      <w:bookmarkEnd w:id="680"/>
    </w:p>
    <w:p>
      <w:pPr>
        <w:pStyle w:val="TEXTE"/>
        <w:rPr/>
      </w:pPr>
      <w:r>
        <w:rPr/>
        <w:t>Les points d’accès regroupent les connexions « banalisées » mises à disposition des utilisateurs pour raccorder leurs terminaux de voix, de données et d’image.</w:t>
      </w:r>
    </w:p>
    <w:p>
      <w:pPr>
        <w:pStyle w:val="TEXTE"/>
        <w:spacing w:before="200" w:after="120"/>
        <w:rPr/>
      </w:pPr>
      <w:r>
        <w:rPr/>
        <w:t>Chaque point d’accès est constitué d’une prise RJ45 dotée d’une continuité de masse (9ème point). Les prises sont de type autodénudant (CAD). L'ensemble prise/goulotte ou plinthe, conforme à la norme G1, sera présenté au maître d’œuvre par le titulaire pour approbation ; l'attention du titulaire est attirée sur la qualité de fixation des prises, qui ne devront en aucun cas être fixées sur les couvercles de goulottes, seule une fixation sérieuse, par exemple par un système repris sur le mur, sera autorisé. La prise RJ45 doit pouvoir être équipée d’un dédoubleur à sorties verticales « vissable » sur le socle existant, et les 3 lots suivants, répondant aux conventions de câblage de la norme EIA/TIA 568B ou 568A (choix de l’exploitant DiRIF), seront présentés au maître d’œuvre pour approbation, puis fournis par le titulaire :</w:t>
      </w:r>
    </w:p>
    <w:p>
      <w:pPr>
        <w:pStyle w:val="TEXTE"/>
        <w:numPr>
          <w:ilvl w:val="0"/>
          <w:numId w:val="75"/>
        </w:numPr>
        <w:tabs>
          <w:tab w:val="clear" w:pos="8789"/>
        </w:tabs>
        <w:overflowPunct w:val="true"/>
        <w:spacing w:before="0" w:after="120"/>
        <w:ind w:left="714" w:hanging="357"/>
        <w:textAlignment w:val="baseline"/>
        <w:rPr/>
      </w:pPr>
      <w:r>
        <w:rPr/>
        <w:t>10 dédoubleurs 2 Ethernet ;</w:t>
      </w:r>
    </w:p>
    <w:p>
      <w:pPr>
        <w:pStyle w:val="TEXTE"/>
        <w:numPr>
          <w:ilvl w:val="0"/>
          <w:numId w:val="75"/>
        </w:numPr>
        <w:tabs>
          <w:tab w:val="clear" w:pos="8789"/>
        </w:tabs>
        <w:overflowPunct w:val="true"/>
        <w:spacing w:before="0" w:after="120"/>
        <w:ind w:left="714" w:hanging="357"/>
        <w:textAlignment w:val="baseline"/>
        <w:rPr/>
      </w:pPr>
      <w:r>
        <w:rPr/>
        <w:t>10 dédoubleurs Ethernet + téléphone ;</w:t>
      </w:r>
    </w:p>
    <w:p>
      <w:pPr>
        <w:pStyle w:val="TEXTE"/>
        <w:numPr>
          <w:ilvl w:val="0"/>
          <w:numId w:val="75"/>
        </w:numPr>
        <w:tabs>
          <w:tab w:val="clear" w:pos="8789"/>
        </w:tabs>
        <w:overflowPunct w:val="true"/>
        <w:spacing w:before="0" w:after="240"/>
        <w:textAlignment w:val="baseline"/>
        <w:rPr/>
      </w:pPr>
      <w:r>
        <w:rPr/>
        <w:t>10 dédoubleurs téléphone + téléphone.</w:t>
      </w:r>
    </w:p>
    <w:p>
      <w:pPr>
        <w:pStyle w:val="TEXTE"/>
        <w:rPr/>
      </w:pPr>
      <w:r>
        <w:rPr/>
        <w:t>Les prises respectent les spécifications techniques de la catégorie Ea (catégorie 7) définies par la norme NF EN 50173-1.</w:t>
      </w:r>
    </w:p>
    <w:p>
      <w:pPr>
        <w:pStyle w:val="TEXTE"/>
        <w:rPr/>
      </w:pPr>
      <w:r>
        <w:rPr/>
        <w:t>La détermination de la densité des points d’accès, est définie dans les spécifications particulières et dans les plans contenus dans le dossier de plans.</w:t>
      </w:r>
    </w:p>
    <w:p>
      <w:pPr>
        <w:pStyle w:val="TEXTE"/>
        <w:spacing w:before="200" w:after="120"/>
        <w:rPr/>
      </w:pPr>
      <w:r>
        <w:rPr/>
        <w:t>L'implantation physique précise des points d'accès sera définie lors des études d'exécution, en concertation avec le maître d'œuvre, en intégrant les conditions générales suivantes :</w:t>
      </w:r>
    </w:p>
    <w:p>
      <w:pPr>
        <w:pStyle w:val="TEXTE"/>
        <w:numPr>
          <w:ilvl w:val="0"/>
          <w:numId w:val="76"/>
        </w:numPr>
        <w:tabs>
          <w:tab w:val="clear" w:pos="8789"/>
        </w:tabs>
        <w:overflowPunct w:val="true"/>
        <w:spacing w:before="0" w:after="120"/>
        <w:ind w:left="714" w:hanging="357"/>
        <w:textAlignment w:val="baseline"/>
        <w:rPr/>
      </w:pPr>
      <w:r>
        <w:rPr/>
        <w:t>Flexibilité de l’espace de travail ;</w:t>
      </w:r>
    </w:p>
    <w:p>
      <w:pPr>
        <w:pStyle w:val="TEXTE"/>
        <w:numPr>
          <w:ilvl w:val="0"/>
          <w:numId w:val="76"/>
        </w:numPr>
        <w:tabs>
          <w:tab w:val="clear" w:pos="8789"/>
        </w:tabs>
        <w:overflowPunct w:val="true"/>
        <w:spacing w:before="0" w:after="120"/>
        <w:ind w:left="714" w:hanging="357"/>
        <w:textAlignment w:val="baseline"/>
        <w:rPr/>
      </w:pPr>
      <w:r>
        <w:rPr/>
        <w:t>Fiabilité du raccordement ;</w:t>
      </w:r>
    </w:p>
    <w:p>
      <w:pPr>
        <w:pStyle w:val="TEXTE"/>
        <w:numPr>
          <w:ilvl w:val="0"/>
          <w:numId w:val="76"/>
        </w:numPr>
        <w:tabs>
          <w:tab w:val="clear" w:pos="8789"/>
        </w:tabs>
        <w:overflowPunct w:val="true"/>
        <w:spacing w:before="0" w:after="240"/>
        <w:textAlignment w:val="baseline"/>
        <w:rPr/>
      </w:pPr>
      <w:r>
        <w:rPr/>
        <w:t>Accès facile.</w:t>
      </w:r>
    </w:p>
    <w:p>
      <w:pPr>
        <w:pStyle w:val="TEXTE"/>
        <w:rPr/>
      </w:pPr>
      <w:r>
        <w:rPr/>
        <w:t>En particulier, les points d’accès et les goulottes seront fixés sur l’infrastructure inamovible du bâtiment. Dans le cas où, pour respecter la densité de points d’accès, il est nécessaire de s’appuyer sur des éléments mobiles, des précautions seront prises pour que tout déplacement de ces éléments influent le moins possible sur la bonne répartition des prises et que les éventuels démontages et remontage se fassent sans toucher au câblage proprement dit (câbles et prises).</w:t>
      </w:r>
    </w:p>
    <w:p>
      <w:pPr>
        <w:pStyle w:val="TEXTE"/>
        <w:rPr/>
      </w:pPr>
      <w:r>
        <w:rPr/>
        <w:t>L’aménagement des bureaux étant susceptible d’évoluer au gré des missions de leurs occupants, le titulaire proposera au maître d’œuvre, pour approbation, un système permettant de déplacer les prises RJ à l'intérieur d'un même bureau. Cette disposition impose de disposer d’une réserve de câble (plénum, faux-plafond, etc.).</w:t>
      </w:r>
    </w:p>
    <w:p>
      <w:pPr>
        <w:pStyle w:val="Titre5"/>
        <w:rPr/>
      </w:pPr>
      <w:bookmarkStart w:id="681" w:name="_Toc420929339"/>
      <w:bookmarkStart w:id="682" w:name="_Toc420597994"/>
      <w:r>
        <w:rPr/>
        <w:t>Réseau de masse</w:t>
      </w:r>
      <w:bookmarkStart w:id="683" w:name="_Toc61148782"/>
      <w:bookmarkStart w:id="684" w:name="_Toc399733663"/>
      <w:bookmarkStart w:id="685" w:name="_Toc399583661"/>
      <w:bookmarkStart w:id="686" w:name="_Toc382898904"/>
      <w:bookmarkStart w:id="687" w:name="_Toc382819580"/>
      <w:bookmarkStart w:id="688" w:name="_Toc382539176"/>
      <w:bookmarkStart w:id="689" w:name="_Toc382491272"/>
      <w:bookmarkStart w:id="690" w:name="_Toc382491119"/>
      <w:bookmarkStart w:id="691" w:name="_Toc382129369"/>
      <w:bookmarkStart w:id="692" w:name="_Toc382106990"/>
      <w:bookmarkEnd w:id="681"/>
      <w:bookmarkEnd w:id="682"/>
      <w:bookmarkEnd w:id="683"/>
      <w:bookmarkEnd w:id="684"/>
      <w:bookmarkEnd w:id="685"/>
      <w:bookmarkEnd w:id="686"/>
      <w:bookmarkEnd w:id="687"/>
      <w:bookmarkEnd w:id="688"/>
      <w:bookmarkEnd w:id="689"/>
      <w:bookmarkEnd w:id="690"/>
      <w:bookmarkEnd w:id="691"/>
      <w:bookmarkEnd w:id="692"/>
    </w:p>
    <w:p>
      <w:pPr>
        <w:pStyle w:val="TEXTE"/>
        <w:rPr/>
      </w:pPr>
      <w:r>
        <w:rPr/>
        <w:t>Le rôle du réseau de masse maillé est de réduire les surfaces des boucles constituées par les différents câblages (courants « forts » et courants « faibles ») et conducteurs métalliques, d’assurer l’équipotentialité de tous les équipements, et d’atténuer les courants perturbateurs.</w:t>
      </w:r>
    </w:p>
    <w:p>
      <w:pPr>
        <w:pStyle w:val="TEXTE"/>
        <w:rPr/>
      </w:pPr>
      <w:r>
        <w:rPr/>
        <w:t>La protection électrique (terre distribuée des courants forts, conducteurs verts-jaunes) doit être associée à ce plan de masse.</w:t>
      </w:r>
    </w:p>
    <w:p>
      <w:pPr>
        <w:pStyle w:val="Para"/>
        <w:numPr>
          <w:ilvl w:val="0"/>
          <w:numId w:val="0"/>
        </w:numPr>
        <w:ind w:left="0" w:hanging="0"/>
        <w:rPr/>
      </w:pPr>
      <w:r>
        <w:rPr/>
      </w:r>
    </w:p>
    <w:p>
      <w:pPr>
        <w:pStyle w:val="Para"/>
        <w:numPr>
          <w:ilvl w:val="0"/>
          <w:numId w:val="0"/>
        </w:numPr>
        <w:ind w:left="0" w:hanging="0"/>
        <w:rPr/>
      </w:pPr>
      <w:r>
        <w:rPr/>
      </w:r>
    </w:p>
    <w:p>
      <w:pPr>
        <w:pStyle w:val="Normal"/>
        <w:jc w:val="center"/>
        <w:rPr>
          <w:szCs w:val="24"/>
        </w:rPr>
      </w:pPr>
      <w:r>
        <w:rPr>
          <w:szCs w:val="24"/>
        </w:rPr>
      </w:r>
    </w:p>
    <w:p>
      <w:pPr>
        <w:pStyle w:val="Normal"/>
        <w:jc w:val="center"/>
        <w:rPr>
          <w:szCs w:val="24"/>
        </w:rPr>
      </w:pPr>
      <w:r>
        <w:rPr>
          <w:szCs w:val="24"/>
        </w:rPr>
      </w:r>
      <w:bookmarkStart w:id="693" w:name="_MON_1208795038"/>
      <w:bookmarkStart w:id="694" w:name="_MON_1208693263"/>
      <w:bookmarkStart w:id="695" w:name="_MON_1198312026"/>
      <w:bookmarkStart w:id="696" w:name="_MON_1197449436"/>
      <w:bookmarkStart w:id="697" w:name="_MON_1192966508"/>
      <w:bookmarkStart w:id="698" w:name="_MON_1192966211"/>
      <w:bookmarkStart w:id="699" w:name="_MON_1192966180"/>
      <w:bookmarkStart w:id="700" w:name="_MON_1192966160"/>
      <w:bookmarkStart w:id="701" w:name="_MON_1192964235"/>
      <w:bookmarkStart w:id="702" w:name="_MON_1209386313"/>
      <w:bookmarkStart w:id="703" w:name="_MON_1209310104"/>
      <w:bookmarkStart w:id="704" w:name="_MON_1209309814"/>
      <w:bookmarkStart w:id="705" w:name="_MON_1209221669"/>
      <w:bookmarkStart w:id="706" w:name="_MON_1209215335"/>
      <w:bookmarkStart w:id="707" w:name="_MON_1209194135"/>
      <w:bookmarkStart w:id="708" w:name="_MON_1208939069"/>
      <w:bookmarkStart w:id="709" w:name="_MON_1208930697"/>
      <w:bookmarkStart w:id="710" w:name="_MON_1208844556"/>
      <w:bookmarkStart w:id="711" w:name="_MON_1208795038"/>
      <w:bookmarkStart w:id="712" w:name="_MON_1208693263"/>
      <w:bookmarkStart w:id="713" w:name="_MON_1198312026"/>
      <w:bookmarkStart w:id="714" w:name="_MON_1197449436"/>
      <w:bookmarkStart w:id="715" w:name="_MON_1192966508"/>
      <w:bookmarkStart w:id="716" w:name="_MON_1192966211"/>
      <w:bookmarkStart w:id="717" w:name="_MON_1192966180"/>
      <w:bookmarkStart w:id="718" w:name="_MON_1192966160"/>
      <w:bookmarkStart w:id="719" w:name="_MON_1192964235"/>
      <w:bookmarkStart w:id="720" w:name="_MON_1209386313"/>
      <w:bookmarkStart w:id="721" w:name="_MON_1209310104"/>
      <w:bookmarkStart w:id="722" w:name="_MON_1209309814"/>
      <w:bookmarkStart w:id="723" w:name="_MON_1209221669"/>
      <w:bookmarkStart w:id="724" w:name="_MON_1209215335"/>
      <w:bookmarkStart w:id="725" w:name="_MON_1209194135"/>
      <w:bookmarkStart w:id="726" w:name="_MON_1208939069"/>
      <w:bookmarkStart w:id="727" w:name="_MON_1208930697"/>
      <w:bookmarkStart w:id="728" w:name="_MON_1208844556"/>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pPr>
        <w:pStyle w:val="Normal"/>
        <w:jc w:val="center"/>
        <w:rPr/>
      </w:pPr>
      <w:r>
        <w:rPr/>
        <w:object>
          <v:shapetype id="_x0000_tole_rId25" coordsize="21600,21600" o:spt="ole_rId2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5" type="_x0000_tole_rId25" style="width:439.3pt;height:309.4pt;mso-wrap-distance-right:0pt" filled="f" o:ole="">
            <v:imagedata r:id="rId26" o:title=""/>
          </v:shape>
          <o:OLEObject Type="Embed" ProgID="Word.Picture.8" ShapeID="ole_rId25" DrawAspect="Content" ObjectID="_1811886934" r:id="rId25"/>
        </w:object>
      </w:r>
    </w:p>
    <w:p>
      <w:pPr>
        <w:pStyle w:val="Normal"/>
        <w:jc w:val="center"/>
        <w:rPr>
          <w:szCs w:val="24"/>
        </w:rPr>
      </w:pPr>
      <w:r>
        <w:rPr>
          <w:szCs w:val="24"/>
        </w:rPr>
      </w:r>
    </w:p>
    <w:p>
      <w:pPr>
        <w:pStyle w:val="TFIG"/>
        <w:numPr>
          <w:ilvl w:val="0"/>
          <w:numId w:val="4"/>
        </w:numPr>
        <w:ind w:left="6096" w:hanging="6096"/>
        <w:rPr/>
      </w:pPr>
      <w:bookmarkStart w:id="729" w:name="_Toc32334972"/>
      <w:r>
        <w:rPr/>
        <w:t>Représentation schématique du réseau de masse</w:t>
      </w:r>
      <w:bookmarkEnd w:id="729"/>
      <w:r>
        <w:rPr/>
        <w:t xml:space="preserve"> </w:t>
      </w:r>
    </w:p>
    <w:p>
      <w:pPr>
        <w:pStyle w:val="Normal"/>
        <w:jc w:val="center"/>
        <w:rPr>
          <w:szCs w:val="24"/>
        </w:rPr>
      </w:pPr>
      <w:r>
        <w:rPr>
          <w:szCs w:val="24"/>
        </w:rPr>
      </w:r>
    </w:p>
    <w:p>
      <w:pPr>
        <w:pStyle w:val="Normal"/>
        <w:jc w:val="center"/>
        <w:rPr/>
      </w:pPr>
      <w:r>
        <w:rPr/>
      </w:r>
      <w:r>
        <w:br w:type="page"/>
      </w:r>
    </w:p>
    <w:p>
      <w:pPr>
        <w:pStyle w:val="Normal"/>
        <w:jc w:val="center"/>
        <w:rPr/>
      </w:pPr>
      <w:r>
        <w:rPr/>
      </w:r>
    </w:p>
    <w:p>
      <w:pPr>
        <w:pStyle w:val="TEXTE"/>
        <w:rPr/>
      </w:pPr>
      <w:bookmarkStart w:id="730" w:name="_Toc382539180"/>
      <w:bookmarkStart w:id="731" w:name="_Toc382491277"/>
      <w:bookmarkStart w:id="732" w:name="_Toc382491124"/>
      <w:bookmarkStart w:id="733" w:name="_Toc382129374"/>
      <w:bookmarkStart w:id="734" w:name="_Toc382106997"/>
      <w:r>
        <w:rPr/>
        <w:t>La réalisation du réseau de masse maillé intègre notamment les opérations suivantes :</w:t>
      </w:r>
    </w:p>
    <w:tbl>
      <w:tblPr>
        <w:tblW w:w="8789" w:type="dxa"/>
        <w:jc w:val="left"/>
        <w:tblInd w:w="70" w:type="dxa"/>
        <w:tblLayout w:type="fixed"/>
        <w:tblCellMar>
          <w:top w:w="0" w:type="dxa"/>
          <w:left w:w="70" w:type="dxa"/>
          <w:bottom w:w="0" w:type="dxa"/>
          <w:right w:w="70" w:type="dxa"/>
        </w:tblCellMar>
        <w:tblLook w:firstRow="0" w:noVBand="0" w:lastRow="0" w:firstColumn="0" w:lastColumn="0" w:noHBand="0" w:val="0000"/>
      </w:tblPr>
      <w:tblGrid>
        <w:gridCol w:w="993"/>
        <w:gridCol w:w="7795"/>
      </w:tblGrid>
      <w:tr>
        <w:trPr/>
        <w:tc>
          <w:tcPr>
            <w:tcW w:w="993" w:type="dxa"/>
            <w:tcBorders>
              <w:top w:val="single" w:sz="12" w:space="0" w:color="000000"/>
              <w:left w:val="single" w:sz="12" w:space="0" w:color="000000"/>
              <w:bottom w:val="single" w:sz="6" w:space="0" w:color="000000"/>
              <w:right w:val="single" w:sz="6" w:space="0" w:color="000000"/>
            </w:tcBorders>
          </w:tcPr>
          <w:p>
            <w:pPr>
              <w:pStyle w:val="TEXTE"/>
              <w:widowControl w:val="false"/>
              <w:spacing w:before="200" w:after="240"/>
              <w:jc w:val="center"/>
              <w:rPr/>
            </w:pPr>
            <w:r>
              <w:rPr/>
              <w:t>N°</w:t>
            </w:r>
          </w:p>
          <w:p>
            <w:pPr>
              <w:pStyle w:val="TEXTE"/>
              <w:widowControl w:val="false"/>
              <w:spacing w:before="200" w:after="240"/>
              <w:jc w:val="center"/>
              <w:rPr/>
            </w:pPr>
            <w:r>
              <w:rPr/>
              <w:t>opération</w:t>
            </w:r>
          </w:p>
        </w:tc>
        <w:tc>
          <w:tcPr>
            <w:tcW w:w="7795" w:type="dxa"/>
            <w:tcBorders>
              <w:top w:val="single" w:sz="12" w:space="0" w:color="000000"/>
              <w:left w:val="single" w:sz="6" w:space="0" w:color="000000"/>
              <w:bottom w:val="single" w:sz="6" w:space="0" w:color="000000"/>
              <w:right w:val="single" w:sz="12" w:space="0" w:color="000000"/>
            </w:tcBorders>
          </w:tcPr>
          <w:p>
            <w:pPr>
              <w:pStyle w:val="TEXTE"/>
              <w:widowControl w:val="false"/>
              <w:spacing w:before="200" w:after="240"/>
              <w:jc w:val="center"/>
              <w:rPr/>
            </w:pPr>
            <w:r>
              <w:rPr/>
              <w:t>Désignation de l’opération</w:t>
            </w:r>
          </w:p>
        </w:tc>
      </w:tr>
      <w:tr>
        <w:trPr/>
        <w:tc>
          <w:tcPr>
            <w:tcW w:w="8788" w:type="dxa"/>
            <w:gridSpan w:val="2"/>
            <w:tcBorders>
              <w:top w:val="single" w:sz="6" w:space="0" w:color="000000"/>
              <w:left w:val="single" w:sz="12" w:space="0" w:color="000000"/>
              <w:bottom w:val="single" w:sz="6" w:space="0" w:color="000000"/>
              <w:right w:val="single" w:sz="12" w:space="0" w:color="000000"/>
            </w:tcBorders>
          </w:tcPr>
          <w:p>
            <w:pPr>
              <w:pStyle w:val="TEXTE"/>
              <w:widowControl w:val="false"/>
              <w:spacing w:before="200" w:after="240"/>
              <w:rPr/>
            </w:pPr>
            <w:r>
              <w:rPr/>
              <w:t>Côté baie N°1 « réseaux et téléphonie »</w:t>
            </w:r>
          </w:p>
        </w:tc>
      </w:tr>
      <w:tr>
        <w:trPr/>
        <w:tc>
          <w:tcPr>
            <w:tcW w:w="993" w:type="dxa"/>
            <w:tcBorders>
              <w:top w:val="single" w:sz="6" w:space="0" w:color="000000"/>
              <w:left w:val="single" w:sz="12" w:space="0" w:color="000000"/>
              <w:bottom w:val="single" w:sz="6" w:space="0" w:color="000000"/>
              <w:right w:val="single" w:sz="6" w:space="0" w:color="000000"/>
            </w:tcBorders>
          </w:tcPr>
          <w:p>
            <w:pPr>
              <w:pStyle w:val="TEXTE"/>
              <w:widowControl w:val="false"/>
              <w:spacing w:before="200" w:after="240"/>
              <w:rPr/>
            </w:pPr>
            <w:r>
              <w:rPr/>
              <w:t>0</w:t>
            </w:r>
          </w:p>
        </w:tc>
        <w:tc>
          <w:tcPr>
            <w:tcW w:w="7795" w:type="dxa"/>
            <w:tcBorders>
              <w:top w:val="single" w:sz="6" w:space="0" w:color="000000"/>
              <w:left w:val="single" w:sz="6" w:space="0" w:color="000000"/>
              <w:bottom w:val="single" w:sz="6" w:space="0" w:color="000000"/>
              <w:right w:val="single" w:sz="12" w:space="0" w:color="000000"/>
            </w:tcBorders>
          </w:tcPr>
          <w:p>
            <w:pPr>
              <w:pStyle w:val="TEXTE"/>
              <w:widowControl w:val="false"/>
              <w:spacing w:before="200" w:after="240"/>
              <w:rPr/>
            </w:pPr>
            <w:r>
              <w:rPr/>
              <w:t>- Connexion des panneaux de prises RJ45 au coffret métallique.</w:t>
            </w:r>
          </w:p>
          <w:p>
            <w:pPr>
              <w:pStyle w:val="TEXTE"/>
              <w:widowControl w:val="false"/>
              <w:spacing w:before="200" w:after="240"/>
              <w:rPr/>
            </w:pPr>
            <w:r>
              <w:rPr/>
              <w:t>- Raccordement du conducteur J/V de protection électrique à ce plan de masse.</w:t>
            </w:r>
          </w:p>
        </w:tc>
      </w:tr>
      <w:tr>
        <w:trPr/>
        <w:tc>
          <w:tcPr>
            <w:tcW w:w="993" w:type="dxa"/>
            <w:tcBorders>
              <w:top w:val="single" w:sz="6" w:space="0" w:color="000000"/>
              <w:left w:val="single" w:sz="12" w:space="0" w:color="000000"/>
              <w:bottom w:val="single" w:sz="6" w:space="0" w:color="000000"/>
              <w:right w:val="single" w:sz="6" w:space="0" w:color="000000"/>
            </w:tcBorders>
          </w:tcPr>
          <w:p>
            <w:pPr>
              <w:pStyle w:val="TEXTE"/>
              <w:widowControl w:val="false"/>
              <w:spacing w:before="200" w:after="240"/>
              <w:rPr/>
            </w:pPr>
            <w:r>
              <w:rPr/>
              <w:t>1</w:t>
            </w:r>
          </w:p>
        </w:tc>
        <w:tc>
          <w:tcPr>
            <w:tcW w:w="7795" w:type="dxa"/>
            <w:tcBorders>
              <w:top w:val="single" w:sz="6" w:space="0" w:color="000000"/>
              <w:left w:val="single" w:sz="6" w:space="0" w:color="000000"/>
              <w:bottom w:val="single" w:sz="6" w:space="0" w:color="000000"/>
              <w:right w:val="single" w:sz="12" w:space="0" w:color="000000"/>
            </w:tcBorders>
          </w:tcPr>
          <w:p>
            <w:pPr>
              <w:pStyle w:val="TEXTE"/>
              <w:widowControl w:val="false"/>
              <w:spacing w:before="200" w:after="240"/>
              <w:rPr/>
            </w:pPr>
            <w:r>
              <w:rPr/>
              <w:t>- Raccordement des écrans des câbles capillaires aux panneaux de prises RJ45.</w:t>
            </w:r>
          </w:p>
        </w:tc>
      </w:tr>
      <w:tr>
        <w:trPr/>
        <w:tc>
          <w:tcPr>
            <w:tcW w:w="993" w:type="dxa"/>
            <w:tcBorders>
              <w:top w:val="single" w:sz="6" w:space="0" w:color="000000"/>
              <w:left w:val="single" w:sz="12" w:space="0" w:color="000000"/>
              <w:bottom w:val="single" w:sz="6" w:space="0" w:color="000000"/>
              <w:right w:val="single" w:sz="6" w:space="0" w:color="000000"/>
            </w:tcBorders>
          </w:tcPr>
          <w:p>
            <w:pPr>
              <w:pStyle w:val="TEXTE"/>
              <w:widowControl w:val="false"/>
              <w:spacing w:before="200" w:after="240"/>
              <w:rPr/>
            </w:pPr>
            <w:r>
              <w:rPr/>
              <w:t>2</w:t>
            </w:r>
          </w:p>
        </w:tc>
        <w:tc>
          <w:tcPr>
            <w:tcW w:w="7795" w:type="dxa"/>
            <w:tcBorders>
              <w:top w:val="single" w:sz="6" w:space="0" w:color="000000"/>
              <w:left w:val="single" w:sz="6" w:space="0" w:color="000000"/>
              <w:bottom w:val="single" w:sz="6" w:space="0" w:color="000000"/>
              <w:right w:val="single" w:sz="12" w:space="0" w:color="000000"/>
            </w:tcBorders>
          </w:tcPr>
          <w:p>
            <w:pPr>
              <w:pStyle w:val="TEXTE"/>
              <w:widowControl w:val="false"/>
              <w:spacing w:before="200" w:after="240"/>
              <w:rPr/>
            </w:pPr>
            <w:r>
              <w:rPr/>
              <w:t>- Raccordement du drain d’écran au 9ème plot de la prise RJ45.</w:t>
            </w:r>
          </w:p>
        </w:tc>
      </w:tr>
      <w:tr>
        <w:trPr/>
        <w:tc>
          <w:tcPr>
            <w:tcW w:w="993" w:type="dxa"/>
            <w:tcBorders>
              <w:top w:val="single" w:sz="6" w:space="0" w:color="000000"/>
              <w:left w:val="single" w:sz="12" w:space="0" w:color="000000"/>
              <w:bottom w:val="single" w:sz="6" w:space="0" w:color="000000"/>
              <w:right w:val="single" w:sz="6" w:space="0" w:color="000000"/>
            </w:tcBorders>
          </w:tcPr>
          <w:p>
            <w:pPr>
              <w:pStyle w:val="TEXTE"/>
              <w:widowControl w:val="false"/>
              <w:spacing w:before="200" w:after="240"/>
              <w:rPr/>
            </w:pPr>
            <w:r>
              <w:rPr/>
              <w:t>3</w:t>
            </w:r>
          </w:p>
        </w:tc>
        <w:tc>
          <w:tcPr>
            <w:tcW w:w="7795" w:type="dxa"/>
            <w:tcBorders>
              <w:top w:val="single" w:sz="6" w:space="0" w:color="000000"/>
              <w:left w:val="single" w:sz="6" w:space="0" w:color="000000"/>
              <w:bottom w:val="single" w:sz="6" w:space="0" w:color="000000"/>
              <w:right w:val="single" w:sz="12" w:space="0" w:color="000000"/>
            </w:tcBorders>
          </w:tcPr>
          <w:p>
            <w:pPr>
              <w:pStyle w:val="TEXTE"/>
              <w:widowControl w:val="false"/>
              <w:spacing w:before="200" w:after="240"/>
              <w:rPr/>
            </w:pPr>
            <w:r>
              <w:rPr/>
              <w:t>- Raccordement des chemins de câbles à la borne de masse.</w:t>
            </w:r>
          </w:p>
          <w:p>
            <w:pPr>
              <w:pStyle w:val="TEXTE"/>
              <w:widowControl w:val="false"/>
              <w:spacing w:before="200" w:after="240"/>
              <w:rPr/>
            </w:pPr>
            <w:r>
              <w:rPr/>
              <w:t>- Raccordement de la baie N°1 « réseaux et téléphonie » à la borne de masse.</w:t>
            </w:r>
          </w:p>
        </w:tc>
      </w:tr>
      <w:tr>
        <w:trPr/>
        <w:tc>
          <w:tcPr>
            <w:tcW w:w="8788" w:type="dxa"/>
            <w:gridSpan w:val="2"/>
            <w:tcBorders>
              <w:top w:val="single" w:sz="6" w:space="0" w:color="000000"/>
              <w:left w:val="single" w:sz="12" w:space="0" w:color="000000"/>
              <w:bottom w:val="single" w:sz="6" w:space="0" w:color="000000"/>
              <w:right w:val="single" w:sz="12" w:space="0" w:color="000000"/>
            </w:tcBorders>
          </w:tcPr>
          <w:p>
            <w:pPr>
              <w:pStyle w:val="TEXTE"/>
              <w:widowControl w:val="false"/>
              <w:spacing w:before="200" w:after="240"/>
              <w:rPr/>
            </w:pPr>
            <w:r>
              <w:rPr/>
              <w:t>Côté point d’accès</w:t>
            </w:r>
          </w:p>
        </w:tc>
      </w:tr>
      <w:tr>
        <w:trPr/>
        <w:tc>
          <w:tcPr>
            <w:tcW w:w="993" w:type="dxa"/>
            <w:tcBorders>
              <w:top w:val="single" w:sz="6" w:space="0" w:color="000000"/>
              <w:left w:val="single" w:sz="12" w:space="0" w:color="000000"/>
              <w:bottom w:val="single" w:sz="6" w:space="0" w:color="000000"/>
              <w:right w:val="single" w:sz="6" w:space="0" w:color="000000"/>
            </w:tcBorders>
          </w:tcPr>
          <w:p>
            <w:pPr>
              <w:pStyle w:val="TEXTE"/>
              <w:widowControl w:val="false"/>
              <w:spacing w:before="200" w:after="240"/>
              <w:rPr/>
            </w:pPr>
            <w:r>
              <w:rPr/>
              <w:t>4</w:t>
            </w:r>
          </w:p>
        </w:tc>
        <w:tc>
          <w:tcPr>
            <w:tcW w:w="7795" w:type="dxa"/>
            <w:tcBorders>
              <w:top w:val="single" w:sz="6" w:space="0" w:color="000000"/>
              <w:left w:val="single" w:sz="6" w:space="0" w:color="000000"/>
              <w:bottom w:val="single" w:sz="6" w:space="0" w:color="000000"/>
              <w:right w:val="single" w:sz="12" w:space="0" w:color="000000"/>
            </w:tcBorders>
          </w:tcPr>
          <w:p>
            <w:pPr>
              <w:pStyle w:val="TEXTE"/>
              <w:widowControl w:val="false"/>
              <w:spacing w:before="200" w:after="240"/>
              <w:rPr/>
            </w:pPr>
            <w:r>
              <w:rPr/>
              <w:t>- Raccordement des drains d’écran au 9ème plot des prises RJ45.</w:t>
            </w:r>
          </w:p>
          <w:p>
            <w:pPr>
              <w:pStyle w:val="TEXTE"/>
              <w:widowControl w:val="false"/>
              <w:spacing w:before="200" w:after="240"/>
              <w:rPr/>
            </w:pPr>
            <w:r>
              <w:rPr/>
              <w:t>- Raccordement du chemin de câbles (gaine métallique) au conducteur de protection J/V.</w:t>
            </w:r>
          </w:p>
        </w:tc>
      </w:tr>
      <w:tr>
        <w:trPr/>
        <w:tc>
          <w:tcPr>
            <w:tcW w:w="993" w:type="dxa"/>
            <w:tcBorders>
              <w:top w:val="single" w:sz="6" w:space="0" w:color="000000"/>
              <w:left w:val="single" w:sz="12" w:space="0" w:color="000000"/>
              <w:bottom w:val="single" w:sz="6" w:space="0" w:color="000000"/>
              <w:right w:val="single" w:sz="6" w:space="0" w:color="000000"/>
            </w:tcBorders>
          </w:tcPr>
          <w:p>
            <w:pPr>
              <w:pStyle w:val="TEXTE"/>
              <w:widowControl w:val="false"/>
              <w:spacing w:before="200" w:after="240"/>
              <w:rPr/>
            </w:pPr>
            <w:r>
              <w:rPr/>
              <w:t>4 bis</w:t>
            </w:r>
          </w:p>
        </w:tc>
        <w:tc>
          <w:tcPr>
            <w:tcW w:w="7795" w:type="dxa"/>
            <w:tcBorders>
              <w:top w:val="single" w:sz="6" w:space="0" w:color="000000"/>
              <w:left w:val="single" w:sz="6" w:space="0" w:color="000000"/>
              <w:bottom w:val="single" w:sz="6" w:space="0" w:color="000000"/>
              <w:right w:val="single" w:sz="12" w:space="0" w:color="000000"/>
            </w:tcBorders>
          </w:tcPr>
          <w:p>
            <w:pPr>
              <w:pStyle w:val="TEXTE"/>
              <w:widowControl w:val="false"/>
              <w:spacing w:before="200" w:after="240"/>
              <w:rPr/>
            </w:pPr>
            <w:r>
              <w:rPr/>
              <w:t>Ces opérations concernent uniquement les points d’accès situés en zone perturbée</w:t>
            </w:r>
          </w:p>
          <w:p>
            <w:pPr>
              <w:pStyle w:val="TEXTE"/>
              <w:widowControl w:val="false"/>
              <w:spacing w:before="200" w:after="240"/>
              <w:rPr/>
            </w:pPr>
            <w:r>
              <w:rPr/>
              <w:t>- Raccordement de l’écran du câble avec le conducteur de protection J/V (nécessite l’utilisation de prises RJ45 dotées d’un dispositif de raccordement du conducteur J/V).</w:t>
            </w:r>
          </w:p>
        </w:tc>
      </w:tr>
      <w:tr>
        <w:trPr/>
        <w:tc>
          <w:tcPr>
            <w:tcW w:w="8788" w:type="dxa"/>
            <w:gridSpan w:val="2"/>
            <w:tcBorders>
              <w:top w:val="single" w:sz="6" w:space="0" w:color="000000"/>
              <w:left w:val="single" w:sz="12" w:space="0" w:color="000000"/>
              <w:bottom w:val="single" w:sz="6" w:space="0" w:color="000000"/>
              <w:right w:val="single" w:sz="12" w:space="0" w:color="000000"/>
            </w:tcBorders>
          </w:tcPr>
          <w:p>
            <w:pPr>
              <w:pStyle w:val="TEXTE"/>
              <w:widowControl w:val="false"/>
              <w:spacing w:before="200" w:after="240"/>
              <w:rPr/>
            </w:pPr>
            <w:r>
              <w:rPr/>
              <w:t>Mise du plan de masse à la terre</w:t>
            </w:r>
          </w:p>
        </w:tc>
      </w:tr>
      <w:tr>
        <w:trPr/>
        <w:tc>
          <w:tcPr>
            <w:tcW w:w="993" w:type="dxa"/>
            <w:tcBorders>
              <w:top w:val="single" w:sz="6" w:space="0" w:color="000000"/>
              <w:left w:val="single" w:sz="12" w:space="0" w:color="000000"/>
              <w:bottom w:val="single" w:sz="12" w:space="0" w:color="000000"/>
              <w:right w:val="single" w:sz="6" w:space="0" w:color="000000"/>
            </w:tcBorders>
          </w:tcPr>
          <w:p>
            <w:pPr>
              <w:pStyle w:val="TEXTE"/>
              <w:widowControl w:val="false"/>
              <w:spacing w:before="200" w:after="240"/>
              <w:rPr/>
            </w:pPr>
            <w:r>
              <w:rPr/>
              <w:t>5</w:t>
            </w:r>
          </w:p>
        </w:tc>
        <w:tc>
          <w:tcPr>
            <w:tcW w:w="7795" w:type="dxa"/>
            <w:tcBorders>
              <w:top w:val="single" w:sz="6" w:space="0" w:color="000000"/>
              <w:left w:val="single" w:sz="6" w:space="0" w:color="000000"/>
              <w:bottom w:val="single" w:sz="12" w:space="0" w:color="000000"/>
              <w:right w:val="single" w:sz="12" w:space="0" w:color="000000"/>
            </w:tcBorders>
          </w:tcPr>
          <w:p>
            <w:pPr>
              <w:pStyle w:val="TEXTE"/>
              <w:widowControl w:val="false"/>
              <w:spacing w:before="200" w:after="240"/>
              <w:rPr/>
            </w:pPr>
            <w:r>
              <w:rPr/>
              <w:t>- Raccordement de la borne de masse à la terre selon les spécifications de la norme NF C 15-100.</w:t>
            </w:r>
          </w:p>
        </w:tc>
      </w:tr>
    </w:tbl>
    <w:p>
      <w:pPr>
        <w:pStyle w:val="TEXTE"/>
        <w:spacing w:before="240" w:after="240"/>
        <w:rPr/>
      </w:pPr>
      <w:r>
        <w:rPr/>
        <w:t>L’interconnexion des masses métalliques doit se faire au plus court et notamment pour ce qui concerne le raccordement des chemins de câbles, de leurs capots et des baies à la borne de masse.</w:t>
      </w:r>
    </w:p>
    <w:p>
      <w:pPr>
        <w:pStyle w:val="TEXTE"/>
        <w:rPr/>
      </w:pPr>
      <w:r>
        <w:rPr/>
        <w:t>D’une manière générale, les mises à la masse sont réalisées avec des conducteurs pleins plats de 10 mm² de section. La section du conducteur nécessaire au raccordement de la borne de masse à la barre de terre dépend de la longueur du conducteur. Une section 25 mm² est en général suffisante.</w:t>
      </w:r>
    </w:p>
    <w:p>
      <w:pPr>
        <w:pStyle w:val="TEXTE"/>
        <w:spacing w:before="200" w:after="120"/>
        <w:rPr/>
      </w:pPr>
      <w:r>
        <w:rPr/>
        <w:t>Pour améliorer la qualité du plan de masse et son efficacité, le titulaire devra connecter au plan de masse défini précédemment le maximum d’éléments métalliques du bâtiment et notamment :</w:t>
      </w:r>
    </w:p>
    <w:p>
      <w:pPr>
        <w:pStyle w:val="TEXTE"/>
        <w:numPr>
          <w:ilvl w:val="0"/>
          <w:numId w:val="77"/>
        </w:numPr>
        <w:tabs>
          <w:tab w:val="clear" w:pos="8789"/>
        </w:tabs>
        <w:overflowPunct w:val="true"/>
        <w:spacing w:before="0" w:after="120"/>
        <w:ind w:left="714" w:hanging="357"/>
        <w:textAlignment w:val="baseline"/>
        <w:rPr/>
      </w:pPr>
      <w:r>
        <w:rPr/>
        <w:t>Les chemins de câbles courants forts existants (environ tous les 5 mètres en cas de cheminement parallèle avec les courants faibles). Les éléments constituant ces chemins de câbles doivent par ailleurs être interconnectés entre eux au moyen de chapes de reprise de terre ;</w:t>
      </w:r>
    </w:p>
    <w:p>
      <w:pPr>
        <w:pStyle w:val="TEXTE"/>
        <w:numPr>
          <w:ilvl w:val="0"/>
          <w:numId w:val="77"/>
        </w:numPr>
        <w:tabs>
          <w:tab w:val="clear" w:pos="8789"/>
        </w:tabs>
        <w:overflowPunct w:val="true"/>
        <w:spacing w:before="0" w:after="240"/>
        <w:textAlignment w:val="baseline"/>
        <w:rPr/>
      </w:pPr>
      <w:r>
        <w:rPr/>
        <w:t>Toutes les structures métalliques existantes (tuyaux et gaines de ventilation, portes et huisseries, tuyaux de cuivre ,…).</w:t>
      </w:r>
    </w:p>
    <w:p>
      <w:pPr>
        <w:pStyle w:val="Titre4"/>
        <w:rPr/>
      </w:pPr>
      <w:bookmarkStart w:id="735" w:name="_Toc382539180"/>
      <w:bookmarkStart w:id="736" w:name="_Toc382491277"/>
      <w:bookmarkStart w:id="737" w:name="_Toc382491124"/>
      <w:bookmarkStart w:id="738" w:name="_Toc382129374"/>
      <w:bookmarkStart w:id="739" w:name="_Toc382106997"/>
      <w:bookmarkStart w:id="740" w:name="_Toc32334748"/>
      <w:bookmarkStart w:id="741" w:name="_Toc420929340"/>
      <w:bookmarkStart w:id="742" w:name="_Toc420597995"/>
      <w:bookmarkStart w:id="743" w:name="_Toc124654765"/>
      <w:r>
        <w:rPr/>
        <w:t>Règles de mise en œuvre</w:t>
      </w:r>
      <w:bookmarkEnd w:id="735"/>
      <w:bookmarkEnd w:id="736"/>
      <w:bookmarkEnd w:id="737"/>
      <w:bookmarkEnd w:id="738"/>
      <w:bookmarkEnd w:id="739"/>
      <w:bookmarkEnd w:id="740"/>
      <w:bookmarkEnd w:id="741"/>
      <w:bookmarkEnd w:id="742"/>
      <w:bookmarkEnd w:id="743"/>
    </w:p>
    <w:p>
      <w:pPr>
        <w:pStyle w:val="Titre5"/>
        <w:rPr/>
      </w:pPr>
      <w:bookmarkStart w:id="744" w:name="_Toc61148789"/>
      <w:bookmarkStart w:id="745" w:name="_Toc399733670"/>
      <w:bookmarkStart w:id="746" w:name="_Toc399583668"/>
      <w:bookmarkStart w:id="747" w:name="_Toc382898911"/>
      <w:bookmarkStart w:id="748" w:name="_Toc382819587"/>
      <w:bookmarkStart w:id="749" w:name="_Toc382539183"/>
      <w:bookmarkStart w:id="750" w:name="_Toc382491280"/>
      <w:bookmarkStart w:id="751" w:name="_Toc382491127"/>
      <w:bookmarkStart w:id="752" w:name="_Toc382129377"/>
      <w:bookmarkStart w:id="753" w:name="_Toc382107000"/>
      <w:bookmarkStart w:id="754" w:name="_Toc420929341"/>
      <w:bookmarkStart w:id="755" w:name="_Toc420597996"/>
      <w:bookmarkStart w:id="756" w:name="_Toc124654766"/>
      <w:r>
        <w:rPr/>
        <w:t>Pose des chemins de câbles</w:t>
      </w:r>
      <w:bookmarkEnd w:id="754"/>
      <w:bookmarkEnd w:id="755"/>
      <w:bookmarkEnd w:id="756"/>
    </w:p>
    <w:p>
      <w:pPr>
        <w:pStyle w:val="TEXTE"/>
        <w:rPr/>
      </w:pPr>
      <w:r>
        <w:rPr/>
        <w:t>Les chemins de câbles et les goulottes doivent être dimensionnés et installés en fonction des charges imposées et des espaces disponibles. La réserve dans les chemins de câbles ne sera pas inférieure à 30 %. Le type, les fixations, etc. des chemins de câble seront conformes à la spécification G1 de la Dirif.</w:t>
      </w:r>
    </w:p>
    <w:p>
      <w:pPr>
        <w:pStyle w:val="TEXTE"/>
        <w:rPr/>
      </w:pPr>
      <w:r>
        <w:rPr/>
        <w:t>Les câbles « courants faibles » sont posés dans des chemins de câbles ou des goulottes qui peuvent contenir des câbles d'énergie dans le respect de la norme NF EN 50174-1.</w:t>
      </w:r>
    </w:p>
    <w:p>
      <w:pPr>
        <w:pStyle w:val="TEXTE"/>
        <w:rPr/>
      </w:pPr>
      <w:r>
        <w:rPr/>
        <w:t>Les règles de cheminement conjoint des « courants faibles » et des « courants forts » et appareillages électriques ont été indiquées au-dessus.</w:t>
      </w:r>
    </w:p>
    <w:p>
      <w:pPr>
        <w:pStyle w:val="TEXTE"/>
        <w:rPr/>
      </w:pPr>
      <w:r>
        <w:rPr/>
        <w:t>Les éléments métalliques des chemins de câbles distribuant les courants faibles sont assemblés de manière à réaliser une continuité électrique entre tous ses éléments constitutifs. Toute coupure dans la continuité d’un chemin de câbles ne pourra dépasser une longueur de 10 cm, et seulement si une difficulté évidente se présente. Dans ce cas, la continuité électrique du chemin de câbles sera assurée par un conducteur en cuivre de section 25 mm² minimum.</w:t>
      </w:r>
    </w:p>
    <w:p>
      <w:pPr>
        <w:pStyle w:val="TEXTE"/>
        <w:rPr/>
      </w:pPr>
      <w:r>
        <w:rPr/>
        <w:t>Les chemins de câbles « courants forts » et « courants faibles » sont reliés entre eux si besoin est, et sont mis régulièrement à la masse métallique du bâtiment, tous les 5 m au minimum.</w:t>
      </w:r>
    </w:p>
    <w:p>
      <w:pPr>
        <w:pStyle w:val="Titre5"/>
        <w:rPr/>
      </w:pPr>
      <w:bookmarkStart w:id="757" w:name="_Toc420929342"/>
      <w:bookmarkStart w:id="758" w:name="_Toc420597997"/>
      <w:bookmarkStart w:id="759" w:name="_Toc124654767"/>
      <w:bookmarkStart w:id="760" w:name="_Toc61148788"/>
      <w:bookmarkStart w:id="761" w:name="_Toc399733669"/>
      <w:bookmarkStart w:id="762" w:name="_Toc399583667"/>
      <w:bookmarkStart w:id="763" w:name="_Toc382898910"/>
      <w:bookmarkStart w:id="764" w:name="_Toc382819586"/>
      <w:bookmarkStart w:id="765" w:name="_Toc382539182"/>
      <w:bookmarkStart w:id="766" w:name="_Toc382491279"/>
      <w:bookmarkStart w:id="767" w:name="_Toc382491126"/>
      <w:bookmarkStart w:id="768" w:name="_Toc382129376"/>
      <w:bookmarkStart w:id="769" w:name="_Toc382106999"/>
      <w:r>
        <w:rPr/>
        <w:t>Pose des câbles</w:t>
      </w:r>
      <w:bookmarkEnd w:id="757"/>
      <w:bookmarkEnd w:id="758"/>
      <w:bookmarkEnd w:id="759"/>
      <w:bookmarkEnd w:id="760"/>
      <w:bookmarkEnd w:id="761"/>
      <w:bookmarkEnd w:id="762"/>
      <w:bookmarkEnd w:id="763"/>
      <w:bookmarkEnd w:id="764"/>
      <w:bookmarkEnd w:id="765"/>
      <w:bookmarkEnd w:id="766"/>
      <w:bookmarkEnd w:id="767"/>
      <w:bookmarkEnd w:id="768"/>
      <w:bookmarkEnd w:id="769"/>
    </w:p>
    <w:p>
      <w:pPr>
        <w:pStyle w:val="TEXTE"/>
        <w:rPr/>
      </w:pPr>
      <w:r>
        <w:rPr/>
        <w:t>Les câbles devront être posés à plat dans le chemin de câbles et fixés en nappe à l'aide de colliers placés tous les 2 mètres en parcours horizontal aussi bien que vertical.</w:t>
      </w:r>
    </w:p>
    <w:p>
      <w:pPr>
        <w:pStyle w:val="TEXTE"/>
        <w:rPr/>
      </w:pPr>
      <w:r>
        <w:rPr/>
        <w:t>Les câbles devront être fixés au chemin de câbles au niveau de leur sortie vers les points d’accès à desservir.</w:t>
      </w:r>
    </w:p>
    <w:p>
      <w:pPr>
        <w:pStyle w:val="TEXTE"/>
        <w:rPr/>
      </w:pPr>
      <w:r>
        <w:rPr/>
        <w:t>Le serrage des colliers se fait à minima dans le respect de la géométrie des câbles et donc de leurs qualités. Le nombre de colliers par unité de longueur et leur type sera adapté en conséquence.</w:t>
      </w:r>
    </w:p>
    <w:p>
      <w:pPr>
        <w:pStyle w:val="TEXTE"/>
        <w:rPr/>
      </w:pPr>
      <w:r>
        <w:rPr/>
        <w:t>En traversée de planchers ou autres, les règles de l'art doivent être respectées, en particulier pour la sécurité incendie, ce qui impose de garantir les dispositifs coupe-feu au niveau de la pénétration des câbles.</w:t>
      </w:r>
    </w:p>
    <w:p>
      <w:pPr>
        <w:pStyle w:val="TEXTE"/>
        <w:rPr/>
      </w:pPr>
      <w:r>
        <w:rPr/>
        <w:t>Le rayon de courbure des câbles devra respecter les spécifications du fabriquant (rayons de courbure minimums imposés, statique et dynamique).</w:t>
      </w:r>
    </w:p>
    <w:p>
      <w:pPr>
        <w:pStyle w:val="Titre5"/>
        <w:rPr/>
      </w:pPr>
      <w:bookmarkStart w:id="770" w:name="_Toc61148789"/>
      <w:bookmarkStart w:id="771" w:name="_Toc399733670"/>
      <w:bookmarkStart w:id="772" w:name="_Toc399583668"/>
      <w:bookmarkStart w:id="773" w:name="_Toc382898911"/>
      <w:bookmarkStart w:id="774" w:name="_Toc382819587"/>
      <w:bookmarkStart w:id="775" w:name="_Toc382539183"/>
      <w:bookmarkStart w:id="776" w:name="_Toc382491280"/>
      <w:bookmarkStart w:id="777" w:name="_Toc382491127"/>
      <w:bookmarkStart w:id="778" w:name="_Toc382129377"/>
      <w:bookmarkStart w:id="779" w:name="_Toc382107000"/>
      <w:bookmarkStart w:id="780" w:name="_Toc420929343"/>
      <w:bookmarkStart w:id="781" w:name="_Toc420597998"/>
      <w:bookmarkStart w:id="782" w:name="_Toc124654768"/>
      <w:r>
        <w:rPr/>
        <w:t>Raccordement des câbles capillaires</w:t>
      </w:r>
      <w:bookmarkEnd w:id="770"/>
      <w:bookmarkEnd w:id="771"/>
      <w:bookmarkEnd w:id="772"/>
      <w:bookmarkEnd w:id="773"/>
      <w:bookmarkEnd w:id="774"/>
      <w:bookmarkEnd w:id="775"/>
      <w:bookmarkEnd w:id="776"/>
      <w:bookmarkEnd w:id="777"/>
      <w:bookmarkEnd w:id="778"/>
      <w:bookmarkEnd w:id="779"/>
      <w:bookmarkEnd w:id="780"/>
      <w:bookmarkEnd w:id="781"/>
      <w:bookmarkEnd w:id="782"/>
    </w:p>
    <w:p>
      <w:pPr>
        <w:pStyle w:val="TEXTE"/>
        <w:rPr/>
      </w:pPr>
      <w:r>
        <w:rPr/>
        <w:t>Les câbles ne devront pas être dégainés de façon excessive afin de conserver la meilleure « étanchéité électromagnétique. »</w:t>
      </w:r>
    </w:p>
    <w:p>
      <w:pPr>
        <w:pStyle w:val="TEXTE"/>
        <w:rPr/>
      </w:pPr>
      <w:r>
        <w:rPr/>
        <w:t>Au niveau du point d'accès, la gaine et l'écran du câble devront être conservés au plus près des points de connexion de la prise RJ45. Le fil de continuité d'écran devra être raccordé au 9ème plot de la prise.</w:t>
      </w:r>
    </w:p>
    <w:p>
      <w:pPr>
        <w:pStyle w:val="TEXTE"/>
        <w:rPr/>
      </w:pPr>
      <w:r>
        <w:rPr/>
        <w:t xml:space="preserve">Au niveau de la baie, la mise en œuvre des câbles devra respecter les spécifications du fabricant pour la fixation du câble, la reprise de son écran et la connexion du fil d’écran au 9ème plot des prises RJ45. </w:t>
      </w:r>
    </w:p>
    <w:p>
      <w:pPr>
        <w:pStyle w:val="TEXTE"/>
        <w:rPr/>
      </w:pPr>
      <w:r>
        <w:rPr/>
        <w:t>Le raccordement des paires des câbles sur les prises RJ45 de la baie N°1 « réseaux et téléphonie » et des points d’accès devra être effectué de manière à conserver le pas des torsades au plus près des points de connexion. Le pas de torsade ne devra pas être absent, ou modifié, sur une longueur supérieure à celle préconisée par le câblier et par le fabricant de la prise.</w:t>
      </w:r>
    </w:p>
    <w:p>
      <w:pPr>
        <w:pStyle w:val="TEXTE"/>
        <w:rPr/>
      </w:pPr>
      <w:r>
        <w:rPr/>
        <w:t>Les prises RJ45 répondent à la norme ISO 11801, et le raccordement des paires aux prises est à la norme de câblage TIA568B (ou 568A si demande exploitant DiRIF) suivant la convention ci-dessous :</w:t>
      </w:r>
    </w:p>
    <w:tbl>
      <w:tblPr>
        <w:tblW w:w="8789" w:type="dxa"/>
        <w:jc w:val="left"/>
        <w:tblInd w:w="70" w:type="dxa"/>
        <w:tblLayout w:type="fixed"/>
        <w:tblCellMar>
          <w:top w:w="0" w:type="dxa"/>
          <w:left w:w="70" w:type="dxa"/>
          <w:bottom w:w="0" w:type="dxa"/>
          <w:right w:w="70" w:type="dxa"/>
        </w:tblCellMar>
        <w:tblLook w:firstRow="0" w:noVBand="0" w:lastRow="0" w:firstColumn="0" w:lastColumn="0" w:noHBand="0" w:val="0000"/>
      </w:tblPr>
      <w:tblGrid>
        <w:gridCol w:w="1985"/>
        <w:gridCol w:w="850"/>
        <w:gridCol w:w="851"/>
        <w:gridCol w:w="850"/>
        <w:gridCol w:w="850"/>
        <w:gridCol w:w="850"/>
        <w:gridCol w:w="852"/>
        <w:gridCol w:w="850"/>
        <w:gridCol w:w="850"/>
      </w:tblGrid>
      <w:tr>
        <w:trPr/>
        <w:tc>
          <w:tcPr>
            <w:tcW w:w="1985"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 xml:space="preserve">N° </w:t>
            </w:r>
            <w:r>
              <w:rPr>
                <w:rStyle w:val="Strong"/>
                <w:rFonts w:cs="Arial"/>
                <w:b w:val="false"/>
                <w:bCs w:val="false"/>
              </w:rPr>
              <w:t>plot</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1</w:t>
            </w:r>
          </w:p>
        </w:tc>
        <w:tc>
          <w:tcPr>
            <w:tcW w:w="851"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2</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3</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4</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5</w:t>
            </w:r>
          </w:p>
        </w:tc>
        <w:tc>
          <w:tcPr>
            <w:tcW w:w="852"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6</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7</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8</w:t>
            </w:r>
          </w:p>
        </w:tc>
      </w:tr>
      <w:tr>
        <w:trPr/>
        <w:tc>
          <w:tcPr>
            <w:tcW w:w="1985" w:type="dxa"/>
            <w:tcBorders>
              <w:top w:val="single" w:sz="4" w:space="0" w:color="000000"/>
              <w:left w:val="single" w:sz="4" w:space="0" w:color="000000"/>
              <w:bottom w:val="single" w:sz="4" w:space="0" w:color="000000"/>
              <w:right w:val="single" w:sz="4" w:space="0" w:color="000000"/>
            </w:tcBorders>
            <w:vAlign w:val="center"/>
          </w:tcPr>
          <w:p>
            <w:pPr>
              <w:pStyle w:val="TEXTE"/>
              <w:widowControl w:val="false"/>
              <w:spacing w:before="200" w:after="240"/>
              <w:rPr/>
            </w:pPr>
            <w:r>
              <w:rPr/>
              <w:t>Couleur du fil</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Blanc/</w:t>
            </w:r>
          </w:p>
          <w:p>
            <w:pPr>
              <w:pStyle w:val="TEXTE"/>
              <w:widowControl w:val="false"/>
              <w:spacing w:before="200" w:after="240"/>
              <w:rPr/>
            </w:pPr>
            <w:r>
              <w:rPr/>
              <w:t>Orange</w:t>
            </w:r>
          </w:p>
        </w:tc>
        <w:tc>
          <w:tcPr>
            <w:tcW w:w="851"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Orange</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Blanc/</w:t>
            </w:r>
          </w:p>
          <w:p>
            <w:pPr>
              <w:pStyle w:val="TEXTE"/>
              <w:widowControl w:val="false"/>
              <w:spacing w:before="200" w:after="240"/>
              <w:rPr/>
            </w:pPr>
            <w:r>
              <w:rPr/>
              <w:t>Vert</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Bleu</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Blanc/</w:t>
            </w:r>
          </w:p>
          <w:p>
            <w:pPr>
              <w:pStyle w:val="TEXTE"/>
              <w:widowControl w:val="false"/>
              <w:spacing w:before="200" w:after="240"/>
              <w:rPr/>
            </w:pPr>
            <w:r>
              <w:rPr/>
              <w:t>Bleu</w:t>
            </w:r>
          </w:p>
        </w:tc>
        <w:tc>
          <w:tcPr>
            <w:tcW w:w="852"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Vert</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Blanc/</w:t>
            </w:r>
          </w:p>
          <w:p>
            <w:pPr>
              <w:pStyle w:val="TEXTE"/>
              <w:widowControl w:val="false"/>
              <w:spacing w:before="200" w:after="240"/>
              <w:rPr/>
            </w:pPr>
            <w:r>
              <w:rPr/>
              <w:t>Brun</w:t>
            </w:r>
          </w:p>
        </w:tc>
        <w:tc>
          <w:tcPr>
            <w:tcW w:w="850" w:type="dxa"/>
            <w:tcBorders>
              <w:top w:val="single" w:sz="4" w:space="0" w:color="000000"/>
              <w:left w:val="single" w:sz="4" w:space="0" w:color="000000"/>
              <w:bottom w:val="single" w:sz="4" w:space="0" w:color="000000"/>
              <w:right w:val="single" w:sz="4" w:space="0" w:color="000000"/>
            </w:tcBorders>
          </w:tcPr>
          <w:p>
            <w:pPr>
              <w:pStyle w:val="TEXTE"/>
              <w:widowControl w:val="false"/>
              <w:spacing w:before="200" w:after="240"/>
              <w:rPr/>
            </w:pPr>
            <w:r>
              <w:rPr/>
              <w:t>Brun</w:t>
            </w:r>
          </w:p>
        </w:tc>
      </w:tr>
    </w:tbl>
    <w:p>
      <w:pPr>
        <w:pStyle w:val="TEXTE"/>
        <w:rPr/>
      </w:pPr>
      <w:r>
        <w:rPr>
          <w:u w:val="single"/>
        </w:rPr>
        <w:t>Remarque</w:t>
      </w:r>
      <w:r>
        <w:rPr/>
        <w:t> : le fil d’accompagnement blanc/couleur peut être uniformément blanc.</w:t>
      </w:r>
    </w:p>
    <w:p>
      <w:pPr>
        <w:pStyle w:val="Titre2"/>
        <w:tabs>
          <w:tab w:val="clear" w:pos="0"/>
          <w:tab w:val="clear" w:pos="8789"/>
          <w:tab w:val="left" w:pos="426" w:leader="none"/>
        </w:tabs>
        <w:ind w:left="0" w:hanging="0"/>
        <w:rPr/>
      </w:pPr>
      <w:bookmarkStart w:id="783" w:name="_Toc32334749"/>
      <w:bookmarkStart w:id="784" w:name="_Toc420929344"/>
      <w:r>
        <w:rPr/>
        <w:t>Climatisation</w:t>
      </w:r>
      <w:bookmarkEnd w:id="783"/>
      <w:bookmarkEnd w:id="784"/>
    </w:p>
    <w:p>
      <w:pPr>
        <w:pStyle w:val="Titre3"/>
        <w:rPr/>
      </w:pPr>
      <w:bookmarkStart w:id="785" w:name="_Toc32334750"/>
      <w:bookmarkStart w:id="786" w:name="_Toc420929346"/>
      <w:r>
        <w:rPr/>
        <w:t>Objet des spécifications</w:t>
      </w:r>
      <w:bookmarkEnd w:id="785"/>
      <w:bookmarkEnd w:id="786"/>
    </w:p>
    <w:p>
      <w:pPr>
        <w:pStyle w:val="TEXTE"/>
        <w:rPr/>
      </w:pPr>
      <w:r>
        <w:rPr/>
        <w:t>Les spécifications des articles ci-après permettent de garantir un niveau et une qualité de matériel conforme aux besoins et aux performances définies dans le présent dossier. Le titulaire devra donc s’y référer afin d’établir ses études d’exécutions et ses choix de matériels.</w:t>
      </w:r>
    </w:p>
    <w:p>
      <w:pPr>
        <w:pStyle w:val="Titre3"/>
        <w:rPr/>
      </w:pPr>
      <w:bookmarkStart w:id="787" w:name="_Toc32334751"/>
      <w:bookmarkStart w:id="788" w:name="_Toc420929347"/>
      <w:r>
        <w:rPr/>
        <w:t>Performances générales attendues</w:t>
      </w:r>
      <w:bookmarkEnd w:id="787"/>
      <w:bookmarkEnd w:id="788"/>
    </w:p>
    <w:p>
      <w:pPr>
        <w:pStyle w:val="Titre4"/>
        <w:rPr/>
      </w:pPr>
      <w:bookmarkStart w:id="789" w:name="_Toc32334752"/>
      <w:r>
        <w:rPr/>
        <w:t>Climatisation et ventilation des équipements</w:t>
      </w:r>
      <w:bookmarkEnd w:id="789"/>
      <w:r>
        <w:rPr/>
        <w:t xml:space="preserve"> </w:t>
      </w:r>
    </w:p>
    <w:p>
      <w:pPr>
        <w:pStyle w:val="Normal"/>
        <w:jc w:val="left"/>
        <w:rPr>
          <w:rFonts w:cs="Arial"/>
          <w:color w:val="000000"/>
        </w:rPr>
      </w:pPr>
      <w:r>
        <w:rPr>
          <w:rFonts w:cs="Arial"/>
          <w:color w:val="000000"/>
        </w:rPr>
      </w:r>
    </w:p>
    <w:p>
      <w:pPr>
        <w:pStyle w:val="Normal"/>
        <w:rPr>
          <w:rFonts w:cs="Arial"/>
          <w:color w:val="000000"/>
        </w:rPr>
      </w:pPr>
      <w:r>
        <w:rPr>
          <w:rFonts w:cs="Arial"/>
          <w:color w:val="000000"/>
        </w:rPr>
        <w:t xml:space="preserve">Le dispositif de traitement des ambiances thermiques comporte quatre fonctions principales : </w:t>
      </w:r>
    </w:p>
    <w:p>
      <w:pPr>
        <w:pStyle w:val="Corpsdetexte"/>
        <w:numPr>
          <w:ilvl w:val="0"/>
          <w:numId w:val="23"/>
        </w:numPr>
        <w:spacing w:before="120" w:after="120"/>
        <w:ind w:left="714" w:hanging="357"/>
        <w:rPr>
          <w:rFonts w:cs="Arial"/>
        </w:rPr>
      </w:pPr>
      <w:r>
        <w:rPr>
          <w:rFonts w:cs="Arial"/>
        </w:rPr>
        <w:t xml:space="preserve">Le refroidissement ou le chauffage, selon les circonstances ; </w:t>
      </w:r>
    </w:p>
    <w:p>
      <w:pPr>
        <w:pStyle w:val="Corpsdetexte"/>
        <w:numPr>
          <w:ilvl w:val="0"/>
          <w:numId w:val="23"/>
        </w:numPr>
        <w:spacing w:before="120" w:after="120"/>
        <w:ind w:left="714" w:hanging="357"/>
        <w:rPr>
          <w:rFonts w:cs="Arial"/>
        </w:rPr>
      </w:pPr>
      <w:r>
        <w:rPr>
          <w:rFonts w:cs="Arial"/>
        </w:rPr>
        <w:t xml:space="preserve">La ventilation des locaux et le renouvellement de l’air ; </w:t>
      </w:r>
    </w:p>
    <w:p>
      <w:pPr>
        <w:pStyle w:val="Corpsdetexte"/>
        <w:numPr>
          <w:ilvl w:val="0"/>
          <w:numId w:val="23"/>
        </w:numPr>
        <w:spacing w:before="120" w:after="120"/>
        <w:ind w:left="714" w:hanging="357"/>
        <w:rPr>
          <w:rFonts w:cs="Arial"/>
        </w:rPr>
      </w:pPr>
      <w:r>
        <w:rPr>
          <w:rFonts w:cs="Arial"/>
        </w:rPr>
        <w:t xml:space="preserve">Le maintien d’un bon degré d’hygrométrie (déshumidification uniquement) ; </w:t>
      </w:r>
    </w:p>
    <w:p>
      <w:pPr>
        <w:pStyle w:val="Corpsdetexte"/>
        <w:numPr>
          <w:ilvl w:val="0"/>
          <w:numId w:val="23"/>
        </w:numPr>
        <w:spacing w:before="120" w:after="120"/>
        <w:ind w:left="714" w:hanging="357"/>
        <w:rPr>
          <w:rFonts w:cs="Arial"/>
        </w:rPr>
      </w:pPr>
      <w:r>
        <w:rPr>
          <w:rFonts w:cs="Arial"/>
        </w:rPr>
        <w:t>La suppression des poussières.</w:t>
      </w:r>
    </w:p>
    <w:p>
      <w:pPr>
        <w:pStyle w:val="Default"/>
        <w:jc w:val="both"/>
        <w:rPr>
          <w:rFonts w:ascii="Arial" w:hAnsi="Arial" w:cs="Arial"/>
          <w:sz w:val="20"/>
          <w:szCs w:val="20"/>
        </w:rPr>
      </w:pPr>
      <w:r>
        <w:rPr>
          <w:rFonts w:cs="Arial" w:ascii="Arial" w:hAnsi="Arial"/>
          <w:sz w:val="20"/>
          <w:szCs w:val="20"/>
        </w:rPr>
        <w:t xml:space="preserve">Les dispositifs de climatisation doivent garantir une homogénéité de refroidissement sur l’ensemble des locaux, quelle que soit la disposition des stations de travail. </w:t>
      </w:r>
    </w:p>
    <w:p>
      <w:pPr>
        <w:pStyle w:val="Default"/>
        <w:jc w:val="both"/>
        <w:rPr>
          <w:rFonts w:ascii="Arial" w:hAnsi="Arial" w:cs="Arial"/>
          <w:sz w:val="20"/>
          <w:szCs w:val="20"/>
        </w:rPr>
      </w:pPr>
      <w:r>
        <w:rPr>
          <w:rFonts w:cs="Arial" w:ascii="Arial" w:hAnsi="Arial"/>
          <w:sz w:val="20"/>
          <w:szCs w:val="20"/>
        </w:rPr>
      </w:r>
    </w:p>
    <w:p>
      <w:pPr>
        <w:pStyle w:val="Default"/>
        <w:jc w:val="both"/>
        <w:rPr>
          <w:rFonts w:ascii="Arial" w:hAnsi="Arial" w:cs="Arial"/>
          <w:sz w:val="20"/>
          <w:szCs w:val="20"/>
        </w:rPr>
      </w:pPr>
      <w:r>
        <w:rPr>
          <w:rFonts w:cs="Arial" w:ascii="Arial" w:hAnsi="Arial"/>
          <w:sz w:val="20"/>
          <w:szCs w:val="20"/>
        </w:rPr>
        <w:t>Les variations de température au sein d’une même pièce doivent être réduites au maximum.</w:t>
      </w:r>
    </w:p>
    <w:p>
      <w:pPr>
        <w:pStyle w:val="Corpsdetexte"/>
        <w:rPr/>
      </w:pPr>
      <w:r>
        <w:rPr/>
        <w:t>Dans tous les cas, le dispositif de climatisation, chauffage et ventilation devra impérativement respecter les spécifications suivantes.</w:t>
      </w:r>
    </w:p>
    <w:p>
      <w:pPr>
        <w:pStyle w:val="Titre4"/>
        <w:rPr/>
      </w:pPr>
      <w:bookmarkStart w:id="790" w:name="_Toc32334753"/>
      <w:r>
        <w:rPr/>
        <w:t>Température</w:t>
      </w:r>
      <w:bookmarkEnd w:id="790"/>
    </w:p>
    <w:p>
      <w:pPr>
        <w:pStyle w:val="Normal"/>
        <w:jc w:val="left"/>
        <w:rPr>
          <w:rFonts w:cs="Arial"/>
          <w:color w:val="000000"/>
        </w:rPr>
      </w:pPr>
      <w:r>
        <w:rPr>
          <w:rFonts w:cs="Arial"/>
          <w:color w:val="000000"/>
        </w:rPr>
      </w:r>
    </w:p>
    <w:p>
      <w:pPr>
        <w:pStyle w:val="Normal"/>
        <w:rPr>
          <w:rFonts w:cs="Arial"/>
          <w:color w:val="000000"/>
        </w:rPr>
      </w:pPr>
      <w:r>
        <w:rPr>
          <w:rFonts w:cs="Arial"/>
          <w:color w:val="000000"/>
        </w:rPr>
        <w:t xml:space="preserve">Les locaux de travail et salles de contrôle doivent être pourvus d’un dispositif permettant d’ajuster la température de l’air. </w:t>
      </w:r>
    </w:p>
    <w:p>
      <w:pPr>
        <w:pStyle w:val="Normal"/>
        <w:rPr>
          <w:rFonts w:cs="Arial"/>
          <w:color w:val="000000"/>
        </w:rPr>
      </w:pPr>
      <w:r>
        <w:rPr>
          <w:rFonts w:cs="Arial"/>
          <w:color w:val="000000"/>
        </w:rPr>
      </w:r>
    </w:p>
    <w:p>
      <w:pPr>
        <w:pStyle w:val="Normal"/>
        <w:rPr>
          <w:rFonts w:cs="Arial"/>
          <w:color w:val="000000"/>
        </w:rPr>
      </w:pPr>
      <w:r>
        <w:rPr>
          <w:rFonts w:cs="Arial"/>
          <w:color w:val="000000"/>
        </w:rPr>
        <w:t xml:space="preserve">La norme NF.ISO.7730 stipule que, dans le cas d’un travail sédentaire, les températures de confort doivent se situer dans les plages suivantes : </w:t>
      </w:r>
    </w:p>
    <w:p>
      <w:pPr>
        <w:pStyle w:val="Corpsdetexte"/>
        <w:numPr>
          <w:ilvl w:val="0"/>
          <w:numId w:val="23"/>
        </w:numPr>
        <w:spacing w:before="120" w:after="120"/>
        <w:ind w:left="714" w:hanging="357"/>
        <w:rPr>
          <w:rFonts w:cs="Arial"/>
        </w:rPr>
      </w:pPr>
      <w:r>
        <w:rPr>
          <w:rFonts w:cs="Arial"/>
        </w:rPr>
        <w:t>En hiver : entre 20 et 24 °C (la vitesse d’écoulement de l'air doit être inférieure ou égale à 0,15 m/s) ;</w:t>
      </w:r>
    </w:p>
    <w:p>
      <w:pPr>
        <w:pStyle w:val="Corpsdetexte"/>
        <w:numPr>
          <w:ilvl w:val="0"/>
          <w:numId w:val="23"/>
        </w:numPr>
        <w:spacing w:before="120" w:after="120"/>
        <w:ind w:left="714" w:hanging="357"/>
        <w:rPr>
          <w:rFonts w:cs="Arial"/>
        </w:rPr>
      </w:pPr>
      <w:r>
        <w:rPr>
          <w:rFonts w:cs="Arial"/>
        </w:rPr>
        <w:t xml:space="preserve">En été : entre 23 et 26 °C (la vitesse d’écoulement de l'air doit être inférieure ou égale à 0,25 m/s). </w:t>
      </w:r>
    </w:p>
    <w:p>
      <w:pPr>
        <w:pStyle w:val="Titre4"/>
        <w:rPr/>
      </w:pPr>
      <w:bookmarkStart w:id="791" w:name="_Toc32334754"/>
      <w:r>
        <w:rPr/>
        <w:t>Hygrométrie</w:t>
      </w:r>
      <w:bookmarkEnd w:id="791"/>
    </w:p>
    <w:p>
      <w:pPr>
        <w:pStyle w:val="Normal"/>
        <w:jc w:val="left"/>
        <w:rPr>
          <w:rFonts w:cs="Arial"/>
          <w:color w:val="000000"/>
        </w:rPr>
      </w:pPr>
      <w:r>
        <w:rPr>
          <w:rFonts w:cs="Arial"/>
          <w:color w:val="000000"/>
        </w:rPr>
      </w:r>
    </w:p>
    <w:p>
      <w:pPr>
        <w:pStyle w:val="Normal"/>
        <w:rPr>
          <w:rFonts w:cs="Arial"/>
          <w:color w:val="000000"/>
        </w:rPr>
      </w:pPr>
      <w:r>
        <w:rPr>
          <w:rFonts w:cs="Arial"/>
          <w:color w:val="000000"/>
        </w:rPr>
        <w:t xml:space="preserve">L’hygrométrie caractérise l’humidité de l’air. L'humidité relative est le pourcentage d'humidité, ou de vapeur d'eau, contenu dans l'air par rapport à la quantité maximum que peut contenir cet air avant de se condenser, c'est-à-dire avant de se transformer en gouttelettes d'eau. Ainsi, une humidité relative de 70% nous indique que l'air contient 70% du maximum de vapeur d'eau qu'il peut absorber à cette température. </w:t>
      </w:r>
    </w:p>
    <w:p>
      <w:pPr>
        <w:pStyle w:val="Normal"/>
        <w:jc w:val="left"/>
        <w:rPr>
          <w:rFonts w:cs="Arial"/>
          <w:color w:val="000000"/>
        </w:rPr>
      </w:pPr>
      <w:r>
        <w:rPr>
          <w:rFonts w:cs="Arial"/>
          <w:color w:val="000000"/>
        </w:rPr>
      </w:r>
    </w:p>
    <w:p>
      <w:pPr>
        <w:pStyle w:val="Normal"/>
        <w:rPr>
          <w:rFonts w:cs="Arial"/>
          <w:color w:val="000000"/>
        </w:rPr>
      </w:pPr>
      <w:r>
        <w:rPr>
          <w:rFonts w:cs="Arial"/>
          <w:color w:val="000000"/>
        </w:rPr>
        <w:t xml:space="preserve">L’hygrométrie sera maintenue inférieure à 60 % pour éviter l’inconfort d’une trop grande humidité ambiante. </w:t>
      </w:r>
    </w:p>
    <w:p>
      <w:pPr>
        <w:pStyle w:val="Corpsdetexte"/>
        <w:rPr>
          <w:rFonts w:cs="Arial"/>
          <w:iCs/>
          <w:kern w:val="2"/>
        </w:rPr>
      </w:pPr>
      <w:r>
        <w:rPr>
          <w:rFonts w:cs="Arial"/>
          <w:color w:val="000000"/>
        </w:rPr>
        <w:t xml:space="preserve">Plus la température de la salle sera élevée, plus il sera impératif de diminuer l’humidité ambiante, </w:t>
      </w:r>
      <w:r>
        <w:rPr>
          <w:rFonts w:cs="Arial"/>
          <w:iCs/>
          <w:kern w:val="2"/>
        </w:rPr>
        <w:t>sans jamais descendre sous le seuil des 40 %.</w:t>
      </w:r>
    </w:p>
    <w:p>
      <w:pPr>
        <w:pStyle w:val="Titre4"/>
        <w:rPr/>
      </w:pPr>
      <w:bookmarkStart w:id="792" w:name="_Toc32334755"/>
      <w:r>
        <w:rPr/>
        <w:t>Air neuf</w:t>
      </w:r>
      <w:bookmarkEnd w:id="792"/>
      <w:r>
        <w:rPr/>
        <w:t xml:space="preserve"> </w:t>
      </w:r>
    </w:p>
    <w:p>
      <w:pPr>
        <w:pStyle w:val="Normal"/>
        <w:jc w:val="left"/>
        <w:rPr>
          <w:rFonts w:cs="Arial"/>
          <w:color w:val="000000"/>
        </w:rPr>
      </w:pPr>
      <w:r>
        <w:rPr>
          <w:rFonts w:cs="Arial"/>
          <w:color w:val="000000"/>
        </w:rPr>
      </w:r>
    </w:p>
    <w:p>
      <w:pPr>
        <w:pStyle w:val="Normal"/>
        <w:rPr>
          <w:rFonts w:cs="Arial"/>
          <w:color w:val="000000"/>
        </w:rPr>
      </w:pPr>
      <w:r>
        <w:rPr>
          <w:rFonts w:cs="Arial"/>
          <w:color w:val="000000"/>
        </w:rPr>
        <w:t>Selon l'article R.232-5-3 du code du travail, le débit minimal d'air neuf à introduire par occupant est 25 m</w:t>
      </w:r>
      <w:r>
        <w:rPr>
          <w:rFonts w:cs="Arial"/>
          <w:color w:val="000000"/>
          <w:sz w:val="13"/>
          <w:szCs w:val="13"/>
        </w:rPr>
        <w:t xml:space="preserve">3 </w:t>
      </w:r>
      <w:r>
        <w:rPr>
          <w:rFonts w:cs="Arial"/>
          <w:color w:val="000000"/>
        </w:rPr>
        <w:t>par heure pour des bureaux ou des locaux sans travail physique (il est de 30 m</w:t>
      </w:r>
      <w:r>
        <w:rPr>
          <w:rFonts w:cs="Arial"/>
          <w:color w:val="000000"/>
          <w:sz w:val="13"/>
          <w:szCs w:val="13"/>
        </w:rPr>
        <w:t>3</w:t>
      </w:r>
      <w:r>
        <w:rPr>
          <w:rFonts w:cs="Arial"/>
          <w:color w:val="000000"/>
        </w:rPr>
        <w:t xml:space="preserve">/h pour des locaux de réunion, de restauration, de vente, etc.). </w:t>
      </w:r>
    </w:p>
    <w:p>
      <w:pPr>
        <w:pStyle w:val="Normal"/>
        <w:rPr>
          <w:rFonts w:cs="Arial"/>
          <w:color w:val="000000"/>
        </w:rPr>
      </w:pPr>
      <w:r>
        <w:rPr>
          <w:rFonts w:cs="Arial"/>
          <w:color w:val="000000"/>
        </w:rPr>
      </w:r>
    </w:p>
    <w:p>
      <w:pPr>
        <w:pStyle w:val="Normal"/>
        <w:rPr>
          <w:rFonts w:cs="Arial"/>
          <w:color w:val="000000"/>
        </w:rPr>
      </w:pPr>
      <w:r>
        <w:rPr>
          <w:rFonts w:cs="Arial"/>
          <w:color w:val="000000"/>
        </w:rPr>
        <w:t>Nous recommandons de calculer les besoins d’apport en air neuf sur la base de 30 m</w:t>
      </w:r>
      <w:r>
        <w:rPr>
          <w:rFonts w:cs="Arial"/>
          <w:color w:val="000000"/>
          <w:sz w:val="13"/>
          <w:szCs w:val="13"/>
        </w:rPr>
        <w:t xml:space="preserve">3 </w:t>
      </w:r>
      <w:r>
        <w:rPr>
          <w:rFonts w:cs="Arial"/>
          <w:color w:val="000000"/>
        </w:rPr>
        <w:t xml:space="preserve">par heure et par personne. Le nombre de personnes à prendre en compte est le suivant : </w:t>
      </w:r>
    </w:p>
    <w:p>
      <w:pPr>
        <w:pStyle w:val="Corpsdetexte"/>
        <w:rPr>
          <w:rFonts w:cs="Arial"/>
          <w:color w:val="000000"/>
        </w:rPr>
      </w:pPr>
      <w:r>
        <w:rPr>
          <w:rFonts w:cs="Arial"/>
          <w:color w:val="000000"/>
        </w:rPr>
        <w:t>"Nombre maximum de personnes présentes en permanence dans les locaux, augmenté d’une marge minimale de 25 % correspondant aux évolutions du site."</w:t>
      </w:r>
    </w:p>
    <w:p>
      <w:pPr>
        <w:pStyle w:val="TEXTE"/>
        <w:rPr/>
      </w:pPr>
      <w:r>
        <w:rPr/>
      </w:r>
    </w:p>
    <w:p>
      <w:pPr>
        <w:pStyle w:val="TEXTE"/>
        <w:rPr/>
      </w:pPr>
      <w:r>
        <w:rPr/>
        <w:t>.</w:t>
      </w:r>
    </w:p>
    <w:p>
      <w:pPr>
        <w:pStyle w:val="Titre3"/>
        <w:rPr/>
      </w:pPr>
      <w:bookmarkStart w:id="793" w:name="_Toc32334756"/>
      <w:bookmarkStart w:id="794" w:name="_Toc420929349"/>
      <w:r>
        <w:rPr/>
        <w:t>Contraintes générales</w:t>
      </w:r>
      <w:bookmarkEnd w:id="793"/>
      <w:bookmarkEnd w:id="794"/>
    </w:p>
    <w:p>
      <w:pPr>
        <w:pStyle w:val="Titre4"/>
        <w:rPr/>
      </w:pPr>
      <w:bookmarkStart w:id="795" w:name="_Toc32334757"/>
      <w:bookmarkStart w:id="796" w:name="_Toc420929350"/>
      <w:r>
        <w:rPr/>
        <w:t>Normes et règlements applicables au projet</w:t>
      </w:r>
      <w:bookmarkEnd w:id="795"/>
      <w:bookmarkEnd w:id="796"/>
    </w:p>
    <w:p>
      <w:pPr>
        <w:pStyle w:val="TEXTE"/>
        <w:numPr>
          <w:ilvl w:val="0"/>
          <w:numId w:val="0"/>
        </w:numPr>
        <w:ind w:left="0" w:hanging="0"/>
        <w:rPr/>
      </w:pPr>
      <w:r>
        <w:rPr/>
        <w:t>Les conditions techniques à respecter par le titulaire, pour le choix et la mise en œuvre des matériaux et pour les aménagements intérieurs ou extérieurs, sont celles définies :</w:t>
      </w:r>
    </w:p>
    <w:p>
      <w:pPr>
        <w:pStyle w:val="TEXTE"/>
        <w:numPr>
          <w:ilvl w:val="0"/>
          <w:numId w:val="78"/>
        </w:numPr>
        <w:tabs>
          <w:tab w:val="clear" w:pos="8789"/>
          <w:tab w:val="left" w:pos="720" w:leader="none"/>
        </w:tabs>
        <w:overflowPunct w:val="true"/>
        <w:spacing w:before="0" w:after="240"/>
        <w:ind w:left="720" w:hanging="360"/>
        <w:textAlignment w:val="baseline"/>
        <w:rPr/>
      </w:pPr>
      <w:r>
        <w:rPr/>
        <w:t>Dans les normes françaises ou européennes ;</w:t>
      </w:r>
    </w:p>
    <w:p>
      <w:pPr>
        <w:pStyle w:val="TEXTE"/>
        <w:numPr>
          <w:ilvl w:val="0"/>
          <w:numId w:val="78"/>
        </w:numPr>
        <w:tabs>
          <w:tab w:val="clear" w:pos="8789"/>
          <w:tab w:val="left" w:pos="720" w:leader="none"/>
        </w:tabs>
        <w:overflowPunct w:val="true"/>
        <w:spacing w:before="0" w:after="240"/>
        <w:ind w:left="720" w:hanging="360"/>
        <w:textAlignment w:val="baseline"/>
        <w:rPr/>
      </w:pPr>
      <w:r>
        <w:rPr/>
        <w:t>Dans le Cahier des Clauses Techniques Générales (CCTG) bâtiment ;</w:t>
      </w:r>
    </w:p>
    <w:p>
      <w:pPr>
        <w:pStyle w:val="TEXTE"/>
        <w:numPr>
          <w:ilvl w:val="0"/>
          <w:numId w:val="78"/>
        </w:numPr>
        <w:tabs>
          <w:tab w:val="clear" w:pos="8789"/>
          <w:tab w:val="left" w:pos="720" w:leader="none"/>
        </w:tabs>
        <w:overflowPunct w:val="true"/>
        <w:spacing w:before="0" w:after="240"/>
        <w:ind w:left="720" w:hanging="360"/>
        <w:textAlignment w:val="baseline"/>
        <w:rPr/>
      </w:pPr>
      <w:r>
        <w:rPr/>
        <w:t>Dans les cahiers des clauses techniques ou les cahiers des clauses spéciales regroupées dans les Documents Techniques Unifiés (DTU) publiés par le Centre Scientifique et Technique du Bâtiment (CSTB) ;</w:t>
      </w:r>
    </w:p>
    <w:p>
      <w:pPr>
        <w:pStyle w:val="TEXTE"/>
        <w:numPr>
          <w:ilvl w:val="0"/>
          <w:numId w:val="78"/>
        </w:numPr>
        <w:tabs>
          <w:tab w:val="clear" w:pos="8789"/>
          <w:tab w:val="left" w:pos="720" w:leader="none"/>
        </w:tabs>
        <w:overflowPunct w:val="true"/>
        <w:spacing w:before="0" w:after="240"/>
        <w:ind w:left="720" w:hanging="360"/>
        <w:textAlignment w:val="baseline"/>
        <w:rPr/>
      </w:pPr>
      <w:r>
        <w:rPr/>
        <w:t>Dans les règles de calcul permettant de dimensionner les ouvrages en fonction des conditions d'exploitation, regroupées dans les DTU.</w:t>
      </w:r>
    </w:p>
    <w:p>
      <w:pPr>
        <w:pStyle w:val="Normal"/>
        <w:spacing w:before="0" w:after="240"/>
        <w:rPr/>
      </w:pPr>
      <w:r>
        <w:rPr/>
        <w:t>Les fournitures et travaux seront réalisés conformément aux normes et règlements :</w:t>
      </w:r>
    </w:p>
    <w:p>
      <w:pPr>
        <w:pStyle w:val="ListParagraph"/>
        <w:numPr>
          <w:ilvl w:val="0"/>
          <w:numId w:val="80"/>
        </w:numPr>
        <w:spacing w:before="0" w:after="240"/>
        <w:ind w:left="357" w:hanging="357"/>
        <w:contextualSpacing w:val="false"/>
        <w:rPr/>
      </w:pPr>
      <w:r>
        <w:rPr/>
        <w:t>Aux documents législatifs : l’ensemble des textes législatifs et réglementaires et tous textes administratifs nationaux ou locaux applicables à l’exécution du marché.</w:t>
      </w:r>
    </w:p>
    <w:p>
      <w:pPr>
        <w:pStyle w:val="ListParagraph"/>
        <w:numPr>
          <w:ilvl w:val="0"/>
          <w:numId w:val="80"/>
        </w:numPr>
        <w:spacing w:before="0" w:after="240"/>
        <w:ind w:left="357" w:hanging="357"/>
        <w:contextualSpacing/>
        <w:rPr/>
      </w:pPr>
      <w:r>
        <w:rPr/>
        <w:t>Aux documents techniques et administratifs : les documents techniques d’ordre général définis ci-dessous sont ceux en vigueur 1 mois avant la date de signature du marché :</w:t>
      </w:r>
    </w:p>
    <w:p>
      <w:pPr>
        <w:pStyle w:val="TEXTE"/>
        <w:numPr>
          <w:ilvl w:val="0"/>
          <w:numId w:val="78"/>
        </w:numPr>
        <w:tabs>
          <w:tab w:val="clear" w:pos="8789"/>
          <w:tab w:val="left" w:pos="720" w:leader="none"/>
        </w:tabs>
        <w:overflowPunct w:val="true"/>
        <w:spacing w:before="0" w:after="240"/>
        <w:ind w:left="720" w:hanging="360"/>
        <w:textAlignment w:val="baseline"/>
        <w:rPr/>
      </w:pPr>
      <w:r>
        <w:rPr/>
        <w:t>Le cahier des clauses administratives générales applicables aux travaux de bâtiment faisant l’objet de marchés privés (norme française P 03.001) ;</w:t>
      </w:r>
    </w:p>
    <w:p>
      <w:pPr>
        <w:pStyle w:val="TEXTE"/>
        <w:numPr>
          <w:ilvl w:val="0"/>
          <w:numId w:val="78"/>
        </w:numPr>
        <w:tabs>
          <w:tab w:val="clear" w:pos="8789"/>
          <w:tab w:val="left" w:pos="720" w:leader="none"/>
        </w:tabs>
        <w:overflowPunct w:val="true"/>
        <w:spacing w:before="0" w:after="240"/>
        <w:ind w:left="720" w:hanging="360"/>
        <w:textAlignment w:val="baseline"/>
        <w:rPr/>
      </w:pPr>
      <w:r>
        <w:rPr/>
        <w:t>Les prescriptions générales édictées dans le REEF et toutes ses rectifications ;</w:t>
      </w:r>
    </w:p>
    <w:p>
      <w:pPr>
        <w:pStyle w:val="TEXTE"/>
        <w:numPr>
          <w:ilvl w:val="0"/>
          <w:numId w:val="78"/>
        </w:numPr>
        <w:tabs>
          <w:tab w:val="clear" w:pos="8789"/>
          <w:tab w:val="left" w:pos="720" w:leader="none"/>
        </w:tabs>
        <w:overflowPunct w:val="true"/>
        <w:spacing w:before="0" w:after="240"/>
        <w:ind w:left="720" w:hanging="360"/>
        <w:textAlignment w:val="baseline"/>
        <w:rPr/>
      </w:pPr>
      <w:r>
        <w:rPr/>
        <w:t>Les documents techniques unifiés (DTU) qu’ils soient ou non publiés au REEF; Plus généralement tous les cahiers techniques ou cahiers des clauses spéciales et techniques, ainsi que les agréments de matériaux, procédés et équipements non traditionnels publiés par le CSTB ;</w:t>
      </w:r>
    </w:p>
    <w:p>
      <w:pPr>
        <w:pStyle w:val="TEXTE"/>
        <w:numPr>
          <w:ilvl w:val="0"/>
          <w:numId w:val="78"/>
        </w:numPr>
        <w:tabs>
          <w:tab w:val="clear" w:pos="8789"/>
          <w:tab w:val="left" w:pos="720" w:leader="none"/>
        </w:tabs>
        <w:overflowPunct w:val="true"/>
        <w:spacing w:before="0" w:after="240"/>
        <w:ind w:left="720" w:hanging="360"/>
        <w:textAlignment w:val="baseline"/>
        <w:rPr/>
      </w:pPr>
      <w:r>
        <w:rPr/>
        <w:t>Les normes AFNOR et/ou les normes particulières spécifiées dans le marché.</w:t>
      </w:r>
    </w:p>
    <w:p>
      <w:pPr>
        <w:pStyle w:val="ListParagraph"/>
        <w:numPr>
          <w:ilvl w:val="0"/>
          <w:numId w:val="80"/>
        </w:numPr>
        <w:spacing w:before="0" w:after="240"/>
        <w:ind w:left="357" w:hanging="357"/>
        <w:contextualSpacing w:val="false"/>
        <w:rPr/>
      </w:pPr>
      <w:r>
        <w:rPr/>
        <w:t>Au permis de construire dans ses attendus.</w:t>
      </w:r>
    </w:p>
    <w:p>
      <w:pPr>
        <w:pStyle w:val="ListParagraph"/>
        <w:numPr>
          <w:ilvl w:val="0"/>
          <w:numId w:val="80"/>
        </w:numPr>
        <w:spacing w:before="0" w:after="240"/>
        <w:ind w:left="357" w:hanging="357"/>
        <w:contextualSpacing w:val="false"/>
        <w:rPr/>
      </w:pPr>
      <w:r>
        <w:rPr/>
        <w:t>Aux DTU et règles Th.</w:t>
      </w:r>
    </w:p>
    <w:p>
      <w:pPr>
        <w:pStyle w:val="ListParagraph"/>
        <w:numPr>
          <w:ilvl w:val="0"/>
          <w:numId w:val="80"/>
        </w:numPr>
        <w:spacing w:before="0" w:after="240"/>
        <w:ind w:left="357" w:hanging="357"/>
        <w:contextualSpacing w:val="false"/>
        <w:rPr/>
      </w:pPr>
      <w:r>
        <w:rPr/>
        <w:t>Aux prescriptions imposées par le service des Sapeurs Pompiers.</w:t>
      </w:r>
    </w:p>
    <w:p>
      <w:pPr>
        <w:pStyle w:val="ListParagraph"/>
        <w:numPr>
          <w:ilvl w:val="0"/>
          <w:numId w:val="80"/>
        </w:numPr>
        <w:spacing w:before="0" w:after="240"/>
        <w:ind w:left="357" w:hanging="357"/>
        <w:contextualSpacing w:val="false"/>
        <w:rPr/>
      </w:pPr>
      <w:r>
        <w:rPr/>
        <w:t xml:space="preserve">Aux règlements de sécurité  relatifs à l’établissement </w:t>
      </w:r>
    </w:p>
    <w:p>
      <w:pPr>
        <w:pStyle w:val="ListParagraph"/>
        <w:numPr>
          <w:ilvl w:val="0"/>
          <w:numId w:val="80"/>
        </w:numPr>
        <w:spacing w:before="0" w:after="240"/>
        <w:ind w:left="357" w:hanging="357"/>
        <w:contextualSpacing w:val="false"/>
        <w:rPr/>
      </w:pPr>
      <w:r>
        <w:rPr/>
        <w:t>Au décret de novembre 1988 sur la protection des travailleurs.</w:t>
      </w:r>
    </w:p>
    <w:p>
      <w:pPr>
        <w:pStyle w:val="ListParagraph"/>
        <w:numPr>
          <w:ilvl w:val="0"/>
          <w:numId w:val="80"/>
        </w:numPr>
        <w:spacing w:before="0" w:after="240"/>
        <w:ind w:left="357" w:hanging="357"/>
        <w:contextualSpacing w:val="false"/>
        <w:rPr/>
      </w:pPr>
      <w:r>
        <w:rPr/>
        <w:t>Aux spécifications des Compagnies d'Assurances.</w:t>
      </w:r>
    </w:p>
    <w:p>
      <w:pPr>
        <w:pStyle w:val="ListParagraph"/>
        <w:numPr>
          <w:ilvl w:val="0"/>
          <w:numId w:val="80"/>
        </w:numPr>
        <w:spacing w:before="0" w:after="240"/>
        <w:ind w:left="357" w:hanging="357"/>
        <w:contextualSpacing w:val="false"/>
        <w:rPr/>
      </w:pPr>
      <w:r>
        <w:rPr/>
        <w:t>Aux règlements et recommandations des Associations agréées ou professionnelles :</w:t>
      </w:r>
    </w:p>
    <w:p>
      <w:pPr>
        <w:pStyle w:val="TEXTE"/>
        <w:numPr>
          <w:ilvl w:val="0"/>
          <w:numId w:val="78"/>
        </w:numPr>
        <w:tabs>
          <w:tab w:val="clear" w:pos="8789"/>
          <w:tab w:val="left" w:pos="720" w:leader="none"/>
        </w:tabs>
        <w:overflowPunct w:val="true"/>
        <w:spacing w:before="0" w:after="240"/>
        <w:ind w:left="720" w:hanging="360"/>
        <w:textAlignment w:val="baseline"/>
        <w:rPr/>
      </w:pPr>
      <w:r>
        <w:rPr/>
        <w:t>A F N O R (Association Française de Normalisation) ;</w:t>
      </w:r>
    </w:p>
    <w:p>
      <w:pPr>
        <w:pStyle w:val="TEXTE"/>
        <w:numPr>
          <w:ilvl w:val="0"/>
          <w:numId w:val="78"/>
        </w:numPr>
        <w:tabs>
          <w:tab w:val="clear" w:pos="8789"/>
          <w:tab w:val="left" w:pos="720" w:leader="none"/>
        </w:tabs>
        <w:overflowPunct w:val="true"/>
        <w:spacing w:before="0" w:after="240"/>
        <w:ind w:left="720" w:hanging="360"/>
        <w:textAlignment w:val="baseline"/>
        <w:rPr/>
      </w:pPr>
      <w:r>
        <w:rPr/>
        <w:t>COPREC (Comité des Organismes de Prévention et de Contrôle technique) ;</w:t>
      </w:r>
    </w:p>
    <w:p>
      <w:pPr>
        <w:pStyle w:val="TEXTE"/>
        <w:numPr>
          <w:ilvl w:val="0"/>
          <w:numId w:val="78"/>
        </w:numPr>
        <w:tabs>
          <w:tab w:val="clear" w:pos="8789"/>
          <w:tab w:val="left" w:pos="720" w:leader="none"/>
        </w:tabs>
        <w:overflowPunct w:val="true"/>
        <w:spacing w:before="0" w:after="240"/>
        <w:ind w:left="720" w:hanging="360"/>
        <w:textAlignment w:val="baseline"/>
        <w:rPr/>
      </w:pPr>
      <w:r>
        <w:rPr/>
        <w:t>Cahiers du C.S.T.B ;</w:t>
      </w:r>
    </w:p>
    <w:p>
      <w:pPr>
        <w:pStyle w:val="TEXTE"/>
        <w:numPr>
          <w:ilvl w:val="0"/>
          <w:numId w:val="78"/>
        </w:numPr>
        <w:tabs>
          <w:tab w:val="clear" w:pos="8789"/>
          <w:tab w:val="left" w:pos="720" w:leader="none"/>
        </w:tabs>
        <w:overflowPunct w:val="true"/>
        <w:spacing w:before="0" w:after="240"/>
        <w:ind w:left="720" w:hanging="360"/>
        <w:textAlignment w:val="baseline"/>
        <w:rPr/>
      </w:pPr>
      <w:r>
        <w:rPr/>
        <w:t>Certification EUROVENT.</w:t>
      </w:r>
    </w:p>
    <w:p>
      <w:pPr>
        <w:pStyle w:val="ListParagraph"/>
        <w:numPr>
          <w:ilvl w:val="0"/>
          <w:numId w:val="80"/>
        </w:numPr>
        <w:spacing w:before="0" w:after="240"/>
        <w:ind w:left="357" w:hanging="357"/>
        <w:contextualSpacing w:val="false"/>
        <w:rPr/>
      </w:pPr>
      <w:r>
        <w:rPr/>
        <w:t xml:space="preserve"> </w:t>
      </w:r>
      <w:r>
        <w:rPr/>
        <w:t>Aux prescriptions et aux rapports du bureau de contrôle</w:t>
      </w:r>
    </w:p>
    <w:p>
      <w:pPr>
        <w:pStyle w:val="ListParagraph"/>
        <w:numPr>
          <w:ilvl w:val="0"/>
          <w:numId w:val="80"/>
        </w:numPr>
        <w:spacing w:before="0" w:after="240"/>
        <w:ind w:left="357" w:hanging="357"/>
        <w:contextualSpacing w:val="false"/>
        <w:rPr/>
      </w:pPr>
      <w:r>
        <w:rPr/>
        <w:t>Aux règles de l'Art.</w:t>
      </w:r>
    </w:p>
    <w:p>
      <w:pPr>
        <w:pStyle w:val="Normal"/>
        <w:spacing w:before="0" w:after="240"/>
        <w:rPr/>
      </w:pPr>
      <w:r>
        <w:rPr/>
        <w:t>Toute l'installation sera exécutée selon les règles de l'Art en respectant notamment les documents ci-après dans leur dernière édition, complétée de leurs additifs et annexes.</w:t>
      </w:r>
    </w:p>
    <w:p>
      <w:pPr>
        <w:pStyle w:val="Normal"/>
        <w:spacing w:before="0" w:after="240"/>
        <w:rPr>
          <w:i/>
          <w:i/>
          <w:iCs/>
          <w:u w:val="single"/>
        </w:rPr>
      </w:pPr>
      <w:r>
        <w:rPr>
          <w:i/>
          <w:iCs/>
          <w:u w:val="single"/>
        </w:rPr>
        <w:t xml:space="preserve">Et en particulier : </w:t>
      </w:r>
    </w:p>
    <w:p>
      <w:pPr>
        <w:pStyle w:val="TEXTE"/>
        <w:numPr>
          <w:ilvl w:val="0"/>
          <w:numId w:val="78"/>
        </w:numPr>
        <w:tabs>
          <w:tab w:val="clear" w:pos="8789"/>
          <w:tab w:val="left" w:pos="720" w:leader="none"/>
        </w:tabs>
        <w:overflowPunct w:val="true"/>
        <w:spacing w:before="0" w:after="240"/>
        <w:ind w:left="720" w:hanging="360"/>
        <w:textAlignment w:val="baseline"/>
        <w:rPr/>
      </w:pPr>
      <w:r>
        <w:rPr/>
        <w:t>Décret du 14 novembre 1988 concernant la protection des travailleurs ;</w:t>
      </w:r>
    </w:p>
    <w:p>
      <w:pPr>
        <w:pStyle w:val="TEXTE"/>
        <w:numPr>
          <w:ilvl w:val="0"/>
          <w:numId w:val="78"/>
        </w:numPr>
        <w:tabs>
          <w:tab w:val="clear" w:pos="8789"/>
          <w:tab w:val="left" w:pos="720" w:leader="none"/>
        </w:tabs>
        <w:overflowPunct w:val="true"/>
        <w:spacing w:before="0" w:after="240"/>
        <w:ind w:left="720" w:hanging="360"/>
        <w:textAlignment w:val="baseline"/>
        <w:rPr/>
      </w:pPr>
      <w:r>
        <w:rPr/>
        <w:t>Code du travail, décret du 10 juillet 1983 : "Mesures générales de protection et de salubrité applicables à tous les établissements assujettis" et textes modificatifs et d'applications, et notamment Livre 2 Titre 3 "Hygiène et sécurité", mise à jour de Décembre 1988 ;</w:t>
      </w:r>
    </w:p>
    <w:p>
      <w:pPr>
        <w:pStyle w:val="TEXTE"/>
        <w:numPr>
          <w:ilvl w:val="0"/>
          <w:numId w:val="78"/>
        </w:numPr>
        <w:tabs>
          <w:tab w:val="clear" w:pos="8789"/>
          <w:tab w:val="left" w:pos="720" w:leader="none"/>
        </w:tabs>
        <w:overflowPunct w:val="true"/>
        <w:spacing w:before="0" w:after="240"/>
        <w:ind w:left="720" w:hanging="360"/>
        <w:textAlignment w:val="baseline"/>
        <w:rPr/>
      </w:pPr>
      <w:r>
        <w:rPr/>
        <w:t>Circulaire du 9 mai 1985 et décrets n°84.1093 et n°84.1094 du 7 décembre 84 concernant l'aération et l'assainissement des lieux de travail ;</w:t>
      </w:r>
    </w:p>
    <w:p>
      <w:pPr>
        <w:pStyle w:val="TEXTE"/>
        <w:numPr>
          <w:ilvl w:val="0"/>
          <w:numId w:val="78"/>
        </w:numPr>
        <w:tabs>
          <w:tab w:val="clear" w:pos="8789"/>
          <w:tab w:val="left" w:pos="720" w:leader="none"/>
        </w:tabs>
        <w:overflowPunct w:val="true"/>
        <w:spacing w:before="0" w:after="240"/>
        <w:ind w:left="720" w:hanging="360"/>
        <w:textAlignment w:val="baseline"/>
        <w:rPr/>
      </w:pPr>
      <w:r>
        <w:rPr/>
        <w:t>NF EN 13779 (juillet 2007) : Ventilation dans les bâtiments non résidentiels - Exigences de performances des systèmes de ventilation et de conditionnement d'air (Indice de classement : E51-744) ;</w:t>
      </w:r>
    </w:p>
    <w:p>
      <w:pPr>
        <w:pStyle w:val="TEXTE"/>
        <w:numPr>
          <w:ilvl w:val="0"/>
          <w:numId w:val="78"/>
        </w:numPr>
        <w:tabs>
          <w:tab w:val="clear" w:pos="8789"/>
          <w:tab w:val="left" w:pos="720" w:leader="none"/>
        </w:tabs>
        <w:overflowPunct w:val="true"/>
        <w:spacing w:before="0" w:after="240"/>
        <w:ind w:left="720" w:hanging="360"/>
        <w:textAlignment w:val="baseline"/>
        <w:rPr/>
      </w:pPr>
      <w:r>
        <w:rPr/>
        <w:t>Thermique : Exemples de solutions pour faciliter l'application du règlement relatif aux équipements et aux caractéristiques thermiques dans les bâtiments autres que d'habitation : Climatisation par machine frigorifique (Cahiers CSTB 2454 novembre 1990) ;</w:t>
      </w:r>
    </w:p>
    <w:p>
      <w:pPr>
        <w:pStyle w:val="TEXTE"/>
        <w:numPr>
          <w:ilvl w:val="0"/>
          <w:numId w:val="78"/>
        </w:numPr>
        <w:tabs>
          <w:tab w:val="clear" w:pos="8789"/>
          <w:tab w:val="left" w:pos="720" w:leader="none"/>
        </w:tabs>
        <w:overflowPunct w:val="true"/>
        <w:spacing w:before="0" w:after="240"/>
        <w:ind w:left="720" w:hanging="360"/>
        <w:textAlignment w:val="baseline"/>
        <w:rPr/>
      </w:pPr>
      <w:r>
        <w:rPr/>
        <w:t>NF EN 15251 (août 2007) : Critères d'ambiance intérieure pour la conception et évaluation de la performance énergétique des bâtiments couvrant la qualité de l'air intérieur, la thermique, l'éclairage et l'acoustique (Indice de classement : E51-762) ;</w:t>
      </w:r>
    </w:p>
    <w:p>
      <w:pPr>
        <w:pStyle w:val="TEXTE"/>
        <w:numPr>
          <w:ilvl w:val="0"/>
          <w:numId w:val="78"/>
        </w:numPr>
        <w:tabs>
          <w:tab w:val="clear" w:pos="8789"/>
          <w:tab w:val="left" w:pos="720" w:leader="none"/>
        </w:tabs>
        <w:overflowPunct w:val="true"/>
        <w:spacing w:before="0" w:after="240"/>
        <w:ind w:left="720" w:hanging="360"/>
        <w:textAlignment w:val="baseline"/>
        <w:rPr/>
      </w:pPr>
      <w:r>
        <w:rPr/>
        <w:t>Guide technique - Systèmes de climatisation à faible consommation d'énergie - Guide de faisabilité et de pré-dimensionnement (Cahiers CSTB 3454 avril 2003) ;</w:t>
      </w:r>
    </w:p>
    <w:p>
      <w:pPr>
        <w:pStyle w:val="TEXTE"/>
        <w:numPr>
          <w:ilvl w:val="0"/>
          <w:numId w:val="78"/>
        </w:numPr>
        <w:tabs>
          <w:tab w:val="clear" w:pos="8789"/>
          <w:tab w:val="left" w:pos="720" w:leader="none"/>
        </w:tabs>
        <w:overflowPunct w:val="true"/>
        <w:spacing w:before="0" w:after="240"/>
        <w:ind w:left="720" w:hanging="360"/>
        <w:textAlignment w:val="baseline"/>
        <w:rPr/>
      </w:pPr>
      <w:r>
        <w:rPr/>
        <w:t>NF EN 12599 (juillet 2000) : Ventilation des bâtiments - Procédures d'essai et méthodes de mesure pour la réception des installations de ventilation et de climatisation installées (Indice de classement : E51-724) ;.</w:t>
      </w:r>
    </w:p>
    <w:p>
      <w:pPr>
        <w:pStyle w:val="TEXTE"/>
        <w:numPr>
          <w:ilvl w:val="0"/>
          <w:numId w:val="78"/>
        </w:numPr>
        <w:tabs>
          <w:tab w:val="clear" w:pos="8789"/>
          <w:tab w:val="left" w:pos="720" w:leader="none"/>
        </w:tabs>
        <w:overflowPunct w:val="true"/>
        <w:spacing w:before="0" w:after="240"/>
        <w:ind w:left="720" w:hanging="360"/>
        <w:textAlignment w:val="baseline"/>
        <w:rPr/>
      </w:pPr>
      <w:r>
        <w:rPr/>
        <w:t>RT 2005 - Règles Th-S : Caractérisation du facteur solaire des parois du bâtiment ;</w:t>
      </w:r>
    </w:p>
    <w:p>
      <w:pPr>
        <w:pStyle w:val="TEXTE"/>
        <w:numPr>
          <w:ilvl w:val="0"/>
          <w:numId w:val="78"/>
        </w:numPr>
        <w:tabs>
          <w:tab w:val="clear" w:pos="8789"/>
          <w:tab w:val="left" w:pos="720" w:leader="none"/>
        </w:tabs>
        <w:overflowPunct w:val="true"/>
        <w:spacing w:before="0" w:after="240"/>
        <w:ind w:left="720" w:hanging="360"/>
        <w:textAlignment w:val="baseline"/>
        <w:rPr/>
      </w:pPr>
      <w:r>
        <w:rPr/>
        <w:t>Arrêté du 13 avril 1988 relatif aux équipements et aux caractéristiques thermiques dans les bâtiments autres que les bâtiments d'habitation, les bâtiments à usage d'enseignement, les bâtiments à usage de bureaux ou de commerce, les bâtiments sanitaires et sociaux, les bâtiments à usage sportif, les bâtiments à usage d'hôtellerie, les bâtiments à usage industriel et les bâtiments à usage agricole ;</w:t>
      </w:r>
    </w:p>
    <w:p>
      <w:pPr>
        <w:pStyle w:val="TEXTE"/>
        <w:numPr>
          <w:ilvl w:val="0"/>
          <w:numId w:val="78"/>
        </w:numPr>
        <w:tabs>
          <w:tab w:val="clear" w:pos="8789"/>
          <w:tab w:val="left" w:pos="720" w:leader="none"/>
        </w:tabs>
        <w:overflowPunct w:val="true"/>
        <w:spacing w:before="0" w:after="240"/>
        <w:ind w:left="720" w:hanging="360"/>
        <w:textAlignment w:val="baseline"/>
        <w:rPr/>
      </w:pPr>
      <w:r>
        <w:rPr/>
        <w:t>Arrêté du 29 novembre 2000 relatif aux caractéristiques thermiques des bâtiments nouveaux et des parties nouvelles de bâtiments modifié par les arrêtés du 9 novembre 2001 et du 22 décembre 2003 ;</w:t>
      </w:r>
    </w:p>
    <w:p>
      <w:pPr>
        <w:pStyle w:val="TEXTE"/>
        <w:numPr>
          <w:ilvl w:val="0"/>
          <w:numId w:val="78"/>
        </w:numPr>
        <w:tabs>
          <w:tab w:val="clear" w:pos="8789"/>
          <w:tab w:val="left" w:pos="720" w:leader="none"/>
        </w:tabs>
        <w:overflowPunct w:val="true"/>
        <w:spacing w:before="0" w:after="240"/>
        <w:ind w:left="720" w:hanging="360"/>
        <w:textAlignment w:val="baseline"/>
        <w:rPr/>
      </w:pPr>
      <w:r>
        <w:rPr/>
        <w:t>Arrêté du 13 avril 1988 relatif aux équipements et aux caractéristiques thermiques dans les bâtiments à usage industriel ;</w:t>
      </w:r>
    </w:p>
    <w:p>
      <w:pPr>
        <w:pStyle w:val="TEXTE"/>
        <w:numPr>
          <w:ilvl w:val="0"/>
          <w:numId w:val="78"/>
        </w:numPr>
        <w:tabs>
          <w:tab w:val="clear" w:pos="8789"/>
          <w:tab w:val="left" w:pos="720" w:leader="none"/>
        </w:tabs>
        <w:overflowPunct w:val="true"/>
        <w:spacing w:before="0" w:after="240"/>
        <w:ind w:left="720" w:hanging="360"/>
        <w:textAlignment w:val="baseline"/>
        <w:rPr/>
      </w:pPr>
      <w:r>
        <w:rPr/>
        <w:t>Arrêté du 13 avril 1988 relatif aux équipements et aux caractéristiques thermiques dans les bâtiments à usage de bureaux ou de commerce ;</w:t>
      </w:r>
    </w:p>
    <w:p>
      <w:pPr>
        <w:pStyle w:val="TEXTE"/>
        <w:numPr>
          <w:ilvl w:val="0"/>
          <w:numId w:val="78"/>
        </w:numPr>
        <w:tabs>
          <w:tab w:val="clear" w:pos="8789"/>
          <w:tab w:val="left" w:pos="720" w:leader="none"/>
        </w:tabs>
        <w:overflowPunct w:val="true"/>
        <w:spacing w:before="0" w:after="240"/>
        <w:ind w:left="720" w:hanging="360"/>
        <w:textAlignment w:val="baseline"/>
        <w:rPr/>
      </w:pPr>
      <w:r>
        <w:rPr/>
        <w:t>NF EN 12170 (juillet 2003) : Systèmes de chauffage dans les bâtiments - Instructions de conduite, maintenance et utilisation - Systèmes de chauffage exigeant un opérateur professionnel (Indice de classement : P52-610) ;</w:t>
      </w:r>
    </w:p>
    <w:p>
      <w:pPr>
        <w:pStyle w:val="TEXTE"/>
        <w:numPr>
          <w:ilvl w:val="0"/>
          <w:numId w:val="78"/>
        </w:numPr>
        <w:tabs>
          <w:tab w:val="clear" w:pos="8789"/>
          <w:tab w:val="left" w:pos="720" w:leader="none"/>
        </w:tabs>
        <w:overflowPunct w:val="true"/>
        <w:spacing w:before="0" w:after="240"/>
        <w:ind w:left="720" w:hanging="360"/>
        <w:textAlignment w:val="baseline"/>
        <w:rPr/>
      </w:pPr>
      <w:r>
        <w:rPr/>
        <w:t>NF EN 15242 (août 2007) : Ventilation des bâtiments - Méthodes de calcul pour la détermination des débits d'air dans les bâtiments y compris les infiltrations (Indice de classement : E51-748) ;</w:t>
      </w:r>
    </w:p>
    <w:p>
      <w:pPr>
        <w:pStyle w:val="TEXTE"/>
        <w:numPr>
          <w:ilvl w:val="0"/>
          <w:numId w:val="78"/>
        </w:numPr>
        <w:tabs>
          <w:tab w:val="clear" w:pos="8789"/>
          <w:tab w:val="left" w:pos="720" w:leader="none"/>
        </w:tabs>
        <w:overflowPunct w:val="true"/>
        <w:spacing w:before="0" w:after="240"/>
        <w:ind w:left="720" w:hanging="360"/>
        <w:textAlignment w:val="baseline"/>
        <w:rPr/>
      </w:pPr>
      <w:r>
        <w:rPr/>
        <w:t>NF EN 15239 (août 2007) : Ventilation des bâtiments - Performance énergétique des bâtiments - Lignes directrices pour l'inspection des systèmes de ventilation (Indice de classement : E51-761) ;</w:t>
      </w:r>
    </w:p>
    <w:p>
      <w:pPr>
        <w:pStyle w:val="TEXTE"/>
        <w:numPr>
          <w:ilvl w:val="0"/>
          <w:numId w:val="78"/>
        </w:numPr>
        <w:tabs>
          <w:tab w:val="clear" w:pos="8789"/>
          <w:tab w:val="left" w:pos="720" w:leader="none"/>
        </w:tabs>
        <w:overflowPunct w:val="true"/>
        <w:spacing w:before="0" w:after="240"/>
        <w:ind w:left="720" w:hanging="360"/>
        <w:textAlignment w:val="baseline"/>
        <w:rPr/>
      </w:pPr>
      <w:r>
        <w:rPr/>
        <w:t>CODE DE LA CONSTRUCTION ET DE L'HABITATION (Partie Législative) - Chapitre 1 Chauffage des immeubles - Articles L131-1 à L131-7 ;</w:t>
      </w:r>
    </w:p>
    <w:p>
      <w:pPr>
        <w:pStyle w:val="TEXTE"/>
        <w:numPr>
          <w:ilvl w:val="0"/>
          <w:numId w:val="78"/>
        </w:numPr>
        <w:tabs>
          <w:tab w:val="clear" w:pos="8789"/>
          <w:tab w:val="left" w:pos="720" w:leader="none"/>
        </w:tabs>
        <w:overflowPunct w:val="true"/>
        <w:spacing w:before="0" w:after="240"/>
        <w:ind w:left="720" w:hanging="360"/>
        <w:textAlignment w:val="baseline"/>
        <w:rPr/>
      </w:pPr>
      <w:r>
        <w:rPr/>
        <w:t>NF EN 12236 (avril 2002) : Ventilation des bâtiments - Supports et appuis pour réseau de conduits - Prescriptions de résistance (Indice de classement : E51-721) ;</w:t>
      </w:r>
    </w:p>
    <w:p>
      <w:pPr>
        <w:pStyle w:val="TEXTE"/>
        <w:numPr>
          <w:ilvl w:val="0"/>
          <w:numId w:val="78"/>
        </w:numPr>
        <w:tabs>
          <w:tab w:val="clear" w:pos="8789"/>
          <w:tab w:val="left" w:pos="720" w:leader="none"/>
        </w:tabs>
        <w:overflowPunct w:val="true"/>
        <w:spacing w:before="0" w:after="240"/>
        <w:ind w:left="720" w:hanging="360"/>
        <w:textAlignment w:val="baseline"/>
        <w:rPr/>
      </w:pPr>
      <w:r>
        <w:rPr/>
        <w:t>NF DTU 58.2 P1-1 (décembre 2007) : Travaux de bâtiment - Plafonds tendus - Partie 1-1 : Cahiers des clauses techniques (Indice de classement : P69-002-1-1) ;</w:t>
      </w:r>
    </w:p>
    <w:p>
      <w:pPr>
        <w:pStyle w:val="TEXTE"/>
        <w:numPr>
          <w:ilvl w:val="0"/>
          <w:numId w:val="78"/>
        </w:numPr>
        <w:tabs>
          <w:tab w:val="clear" w:pos="8789"/>
          <w:tab w:val="left" w:pos="720" w:leader="none"/>
        </w:tabs>
        <w:overflowPunct w:val="true"/>
        <w:spacing w:before="0" w:after="240"/>
        <w:ind w:left="720" w:hanging="360"/>
        <w:textAlignment w:val="baseline"/>
        <w:rPr/>
      </w:pPr>
      <w:r>
        <w:rPr/>
        <w:t>GA P01-020-2 (septembre 2007) : Bâtiment - Qualité environnementale des produits de construction et des bâtiments - Partie 2 : guide d'application de la norme NF P01-020-1:2005 (Indice de classement : P01-020-2) ;</w:t>
      </w:r>
    </w:p>
    <w:p>
      <w:pPr>
        <w:pStyle w:val="TEXTE"/>
        <w:numPr>
          <w:ilvl w:val="0"/>
          <w:numId w:val="78"/>
        </w:numPr>
        <w:tabs>
          <w:tab w:val="clear" w:pos="8789"/>
          <w:tab w:val="left" w:pos="720" w:leader="none"/>
        </w:tabs>
        <w:overflowPunct w:val="true"/>
        <w:spacing w:before="0" w:after="240"/>
        <w:ind w:left="720" w:hanging="360"/>
        <w:textAlignment w:val="baseline"/>
        <w:rPr/>
      </w:pPr>
      <w:r>
        <w:rPr/>
        <w:t>RT 2005 - Méthode de calcul Th-CE - Annexe à l'arrêté du 19 juillet 2006 portant approbation de la méthode de calcul Th-CE ;</w:t>
      </w:r>
    </w:p>
    <w:p>
      <w:pPr>
        <w:pStyle w:val="TEXTE"/>
        <w:numPr>
          <w:ilvl w:val="0"/>
          <w:numId w:val="78"/>
        </w:numPr>
        <w:tabs>
          <w:tab w:val="clear" w:pos="8789"/>
          <w:tab w:val="left" w:pos="720" w:leader="none"/>
        </w:tabs>
        <w:overflowPunct w:val="true"/>
        <w:spacing w:before="0" w:after="240"/>
        <w:ind w:left="720" w:hanging="360"/>
        <w:textAlignment w:val="baseline"/>
        <w:rPr/>
      </w:pPr>
      <w:r>
        <w:rPr/>
        <w:t>RT 2005 - Règles Th-I : Caractérisation de l'inertie thermique des bâtiments ;</w:t>
      </w:r>
    </w:p>
    <w:p>
      <w:pPr>
        <w:pStyle w:val="TEXTE"/>
        <w:numPr>
          <w:ilvl w:val="0"/>
          <w:numId w:val="78"/>
        </w:numPr>
        <w:tabs>
          <w:tab w:val="clear" w:pos="8789"/>
          <w:tab w:val="left" w:pos="720" w:leader="none"/>
        </w:tabs>
        <w:overflowPunct w:val="true"/>
        <w:spacing w:before="0" w:after="240"/>
        <w:ind w:left="720" w:hanging="360"/>
        <w:textAlignment w:val="baseline"/>
        <w:rPr/>
      </w:pPr>
      <w:r>
        <w:rPr/>
        <w:t>NF EN ISO 13790 (novembre 2004) : Performance thermique des bâtiments - Calcul des besoins d'énergie pour le chauffage des locaux (Indice de classement : P50-773) ;</w:t>
      </w:r>
    </w:p>
    <w:p>
      <w:pPr>
        <w:pStyle w:val="TEXTE"/>
        <w:numPr>
          <w:ilvl w:val="0"/>
          <w:numId w:val="78"/>
        </w:numPr>
        <w:tabs>
          <w:tab w:val="clear" w:pos="8789"/>
          <w:tab w:val="left" w:pos="720" w:leader="none"/>
        </w:tabs>
        <w:overflowPunct w:val="true"/>
        <w:spacing w:before="0" w:after="240"/>
        <w:ind w:left="720" w:hanging="360"/>
        <w:textAlignment w:val="baseline"/>
        <w:rPr/>
      </w:pPr>
      <w:r>
        <w:rPr/>
        <w:t>NF EN 14239 (août 2004) : Ventilation des bâtiments - Réseau de conduits - Mesurage de l'aire superficielle des conduits (Indice de classement : E51-740) ;</w:t>
      </w:r>
    </w:p>
    <w:p>
      <w:pPr>
        <w:pStyle w:val="TEXTE"/>
        <w:numPr>
          <w:ilvl w:val="0"/>
          <w:numId w:val="78"/>
        </w:numPr>
        <w:tabs>
          <w:tab w:val="clear" w:pos="8789"/>
          <w:tab w:val="left" w:pos="720" w:leader="none"/>
        </w:tabs>
        <w:overflowPunct w:val="true"/>
        <w:spacing w:before="0" w:after="240"/>
        <w:ind w:left="720" w:hanging="360"/>
        <w:textAlignment w:val="baseline"/>
        <w:rPr/>
      </w:pPr>
      <w:r>
        <w:rPr/>
        <w:t>NF S31-080 (janvier 2006) : Acoustique - Bureaux et espaces associés - Niveaux et critères de performances acoustiques par type d'espace (Indice de classement : S31-080) ;</w:t>
      </w:r>
    </w:p>
    <w:p>
      <w:pPr>
        <w:pStyle w:val="TEXTE"/>
        <w:numPr>
          <w:ilvl w:val="0"/>
          <w:numId w:val="78"/>
        </w:numPr>
        <w:tabs>
          <w:tab w:val="clear" w:pos="8789"/>
          <w:tab w:val="left" w:pos="720" w:leader="none"/>
        </w:tabs>
        <w:overflowPunct w:val="true"/>
        <w:spacing w:before="0" w:after="240"/>
        <w:ind w:left="720" w:hanging="360"/>
        <w:textAlignment w:val="baseline"/>
        <w:rPr/>
      </w:pPr>
      <w:r>
        <w:rPr/>
        <w:t>NF C15-100-07 (décembre 2002) : Installations électriques à basse tension - Titre 7 : Règles pour les installations et emplacements spéciaux + Mise à jour (juin 2005) (Indice de classement : C15-100 ;</w:t>
      </w:r>
    </w:p>
    <w:p>
      <w:pPr>
        <w:pStyle w:val="TEXTE"/>
        <w:numPr>
          <w:ilvl w:val="0"/>
          <w:numId w:val="78"/>
        </w:numPr>
        <w:tabs>
          <w:tab w:val="clear" w:pos="8789"/>
          <w:tab w:val="left" w:pos="720" w:leader="none"/>
        </w:tabs>
        <w:overflowPunct w:val="true"/>
        <w:spacing w:before="0" w:after="240"/>
        <w:ind w:left="720" w:hanging="360"/>
        <w:textAlignment w:val="baseline"/>
        <w:rPr/>
      </w:pPr>
      <w:r>
        <w:rPr/>
        <w:t>NF C15-100-05 (mai 1991, décembre 1994 et 1995) : Installations électriques à basse tension - Partie 5 : Choix et mise en oeuvre des matériels (Indice de classement : C15-100) ;</w:t>
      </w:r>
    </w:p>
    <w:p>
      <w:pPr>
        <w:pStyle w:val="TEXTE"/>
        <w:numPr>
          <w:ilvl w:val="0"/>
          <w:numId w:val="78"/>
        </w:numPr>
        <w:tabs>
          <w:tab w:val="clear" w:pos="8789"/>
          <w:tab w:val="left" w:pos="720" w:leader="none"/>
        </w:tabs>
        <w:overflowPunct w:val="true"/>
        <w:spacing w:before="0" w:after="240"/>
        <w:ind w:left="720" w:hanging="360"/>
        <w:textAlignment w:val="baseline"/>
        <w:rPr/>
      </w:pPr>
      <w:r>
        <w:rPr/>
        <w:t>Décret n° 2006-592 du 24 mai 2006 relatif aux caractéristiques thermiques et à la performance énergétique des constructions ;</w:t>
      </w:r>
    </w:p>
    <w:p>
      <w:pPr>
        <w:pStyle w:val="TEXTE"/>
        <w:numPr>
          <w:ilvl w:val="0"/>
          <w:numId w:val="78"/>
        </w:numPr>
        <w:tabs>
          <w:tab w:val="clear" w:pos="8789"/>
          <w:tab w:val="left" w:pos="720" w:leader="none"/>
        </w:tabs>
        <w:overflowPunct w:val="true"/>
        <w:spacing w:before="0" w:after="240"/>
        <w:ind w:left="720" w:hanging="360"/>
        <w:textAlignment w:val="baseline"/>
        <w:rPr/>
      </w:pPr>
      <w:r>
        <w:rPr/>
        <w:t>NF P84-204-1-1 (DTU 43.1) (novembre 2004) : Travaux de bâtiment - Etanchéité des toitures-terrasses et toitures inclinées avec éléments porteurs en maçonnerie en climat de plaine - Partie 1-1 : Cahier des clauses techniques + Amendement A1 (septembre 2007) (Indice de classement : P84-204-1-1) ;</w:t>
      </w:r>
    </w:p>
    <w:p>
      <w:pPr>
        <w:pStyle w:val="TEXTE"/>
        <w:numPr>
          <w:ilvl w:val="0"/>
          <w:numId w:val="78"/>
        </w:numPr>
        <w:tabs>
          <w:tab w:val="clear" w:pos="8789"/>
          <w:tab w:val="left" w:pos="720" w:leader="none"/>
        </w:tabs>
        <w:overflowPunct w:val="true"/>
        <w:spacing w:before="0" w:after="240"/>
        <w:ind w:left="720" w:hanging="360"/>
        <w:textAlignment w:val="baseline"/>
        <w:rPr/>
      </w:pPr>
      <w:r>
        <w:rPr/>
        <w:t>Décret 99-443 du 28 mai 1999 relatif au cahier des clauses techniques générales (CCTG) applicables aux marchés de contrôle technique ;</w:t>
      </w:r>
    </w:p>
    <w:p>
      <w:pPr>
        <w:pStyle w:val="TEXTE"/>
        <w:numPr>
          <w:ilvl w:val="0"/>
          <w:numId w:val="78"/>
        </w:numPr>
        <w:tabs>
          <w:tab w:val="clear" w:pos="8789"/>
          <w:tab w:val="left" w:pos="720" w:leader="none"/>
        </w:tabs>
        <w:overflowPunct w:val="true"/>
        <w:spacing w:before="0" w:after="240"/>
        <w:ind w:left="720" w:hanging="360"/>
        <w:textAlignment w:val="baseline"/>
        <w:rPr/>
      </w:pPr>
      <w:r>
        <w:rPr/>
        <w:t>NF EN 62305-3 (décembre 2006) : Protection contre la foudre - Partie 3 : dommages physiques sur les structures et risques humains (Indice de classement : C17-100-3) ;</w:t>
      </w:r>
    </w:p>
    <w:p>
      <w:pPr>
        <w:pStyle w:val="TEXTE"/>
        <w:numPr>
          <w:ilvl w:val="0"/>
          <w:numId w:val="78"/>
        </w:numPr>
        <w:tabs>
          <w:tab w:val="clear" w:pos="8789"/>
          <w:tab w:val="left" w:pos="720" w:leader="none"/>
        </w:tabs>
        <w:overflowPunct w:val="true"/>
        <w:spacing w:before="0" w:after="240"/>
        <w:ind w:left="720" w:hanging="360"/>
        <w:textAlignment w:val="baseline"/>
        <w:rPr/>
      </w:pPr>
      <w:r>
        <w:rPr/>
        <w:t>NF EN 1506 (septembre 2007) : Ventilation des bâtiments - Conduits en tôle et accessoires à section circulaire - Dimensions (Indice de classement : E51-715) ;</w:t>
      </w:r>
    </w:p>
    <w:p>
      <w:pPr>
        <w:pStyle w:val="TEXTE"/>
        <w:numPr>
          <w:ilvl w:val="0"/>
          <w:numId w:val="78"/>
        </w:numPr>
        <w:tabs>
          <w:tab w:val="clear" w:pos="8789"/>
          <w:tab w:val="left" w:pos="720" w:leader="none"/>
        </w:tabs>
        <w:overflowPunct w:val="true"/>
        <w:spacing w:before="0" w:after="240"/>
        <w:ind w:left="720" w:hanging="360"/>
        <w:textAlignment w:val="baseline"/>
        <w:rPr/>
      </w:pPr>
      <w:r>
        <w:rPr/>
        <w:t>CODE DE LA CONSTRUCTION ET DE L'HABITATION (Partie Législative et Réglementaire) - Chapitre 1 Règles générales - Section 4 Caractéristiques thermiques et performance énergétique - Articles L111-9 à L111-10-1, R111-20 à R111-22-2 ;</w:t>
      </w:r>
    </w:p>
    <w:p>
      <w:pPr>
        <w:pStyle w:val="TEXTE"/>
        <w:numPr>
          <w:ilvl w:val="0"/>
          <w:numId w:val="78"/>
        </w:numPr>
        <w:tabs>
          <w:tab w:val="clear" w:pos="8789"/>
          <w:tab w:val="left" w:pos="720" w:leader="none"/>
        </w:tabs>
        <w:overflowPunct w:val="true"/>
        <w:spacing w:before="0" w:after="240"/>
        <w:ind w:left="720" w:hanging="360"/>
        <w:textAlignment w:val="baseline"/>
        <w:rPr/>
      </w:pPr>
      <w:r>
        <w:rPr/>
        <w:t>NF C15-100-05 (décembre 2002) : Installations électriques à basse tension - Titre 5 : Choix et mise en œuvre des matériels + Mise à jour (juin 2005) (Indice de classement : C15-100) ;</w:t>
      </w:r>
    </w:p>
    <w:p>
      <w:pPr>
        <w:pStyle w:val="TEXTE"/>
        <w:numPr>
          <w:ilvl w:val="0"/>
          <w:numId w:val="78"/>
        </w:numPr>
        <w:tabs>
          <w:tab w:val="clear" w:pos="8789"/>
          <w:tab w:val="left" w:pos="720" w:leader="none"/>
        </w:tabs>
        <w:overflowPunct w:val="true"/>
        <w:spacing w:before="0" w:after="240"/>
        <w:ind w:left="720" w:hanging="360"/>
        <w:textAlignment w:val="baseline"/>
        <w:rPr/>
      </w:pPr>
      <w:r>
        <w:rPr/>
        <w:t>NF EN 12237 (juin 2003) : Ventilation des bâtiments - Réseau de conduits - Résistance et étanchéité des conduits circulaires en tôle (Indice de classement : E51-717) ;</w:t>
      </w:r>
    </w:p>
    <w:p>
      <w:pPr>
        <w:pStyle w:val="TEXTE"/>
        <w:numPr>
          <w:ilvl w:val="0"/>
          <w:numId w:val="78"/>
        </w:numPr>
        <w:tabs>
          <w:tab w:val="clear" w:pos="8789"/>
          <w:tab w:val="left" w:pos="720" w:leader="none"/>
        </w:tabs>
        <w:overflowPunct w:val="true"/>
        <w:spacing w:before="0" w:after="240"/>
        <w:ind w:left="720" w:hanging="360"/>
        <w:textAlignment w:val="baseline"/>
        <w:rPr/>
      </w:pPr>
      <w:r>
        <w:rPr/>
        <w:t>Règles Th-G (DTU P50-704) (avril 1991) : Règles de calcul du coefficient GV des bâtiments d'habitation et du coefficient G1 des bâtiments autres que d'habitation (Retirées de la liste des règles DTU) ;</w:t>
      </w:r>
    </w:p>
    <w:p>
      <w:pPr>
        <w:pStyle w:val="TEXTE"/>
        <w:numPr>
          <w:ilvl w:val="0"/>
          <w:numId w:val="78"/>
        </w:numPr>
        <w:tabs>
          <w:tab w:val="clear" w:pos="8789"/>
          <w:tab w:val="left" w:pos="720" w:leader="none"/>
        </w:tabs>
        <w:overflowPunct w:val="true"/>
        <w:spacing w:before="0" w:after="240"/>
        <w:ind w:left="720" w:hanging="360"/>
        <w:textAlignment w:val="baseline"/>
        <w:rPr/>
      </w:pPr>
      <w:r>
        <w:rPr/>
        <w:t>NF P92-507 (février 2004) : Sécurité contre l'incendie - Bâtiment - Matériaux d'aménagement - Classement selon leur réaction au feu (Indice de classement : P92-507) ;</w:t>
      </w:r>
    </w:p>
    <w:p>
      <w:pPr>
        <w:pStyle w:val="TEXTE"/>
        <w:numPr>
          <w:ilvl w:val="0"/>
          <w:numId w:val="78"/>
        </w:numPr>
        <w:tabs>
          <w:tab w:val="clear" w:pos="8789"/>
          <w:tab w:val="left" w:pos="720" w:leader="none"/>
        </w:tabs>
        <w:overflowPunct w:val="true"/>
        <w:spacing w:before="0" w:after="240"/>
        <w:ind w:left="720" w:hanging="360"/>
        <w:textAlignment w:val="baseline"/>
        <w:rPr/>
      </w:pPr>
      <w:r>
        <w:rPr/>
        <w:t>NF EN 1717 (mars 2001) : Protection contre la pollution de l'eau potable dans les réseaux intérieurs et exigences générales des dispositifs de protection contre la pollution par retour (Indice de classement : P43-100) ;</w:t>
      </w:r>
    </w:p>
    <w:p>
      <w:pPr>
        <w:pStyle w:val="TEXTE"/>
        <w:numPr>
          <w:ilvl w:val="0"/>
          <w:numId w:val="78"/>
        </w:numPr>
        <w:tabs>
          <w:tab w:val="clear" w:pos="8789"/>
          <w:tab w:val="left" w:pos="720" w:leader="none"/>
        </w:tabs>
        <w:overflowPunct w:val="true"/>
        <w:spacing w:before="0" w:after="240"/>
        <w:ind w:left="720" w:hanging="360"/>
        <w:textAlignment w:val="baseline"/>
        <w:rPr/>
      </w:pPr>
      <w:r>
        <w:rPr/>
        <w:t>NF EN 1505 (octobre 1998) : Ventilation des bâtiments - Conduits en tôle et accessoires à section rectangulaire - Dimensions (Indice de classement : E51-714) ;</w:t>
      </w:r>
    </w:p>
    <w:p>
      <w:pPr>
        <w:pStyle w:val="TEXTE"/>
        <w:numPr>
          <w:ilvl w:val="0"/>
          <w:numId w:val="78"/>
        </w:numPr>
        <w:tabs>
          <w:tab w:val="clear" w:pos="8789"/>
          <w:tab w:val="left" w:pos="720" w:leader="none"/>
        </w:tabs>
        <w:overflowPunct w:val="true"/>
        <w:spacing w:before="0" w:after="240"/>
        <w:ind w:left="720" w:hanging="360"/>
        <w:textAlignment w:val="baseline"/>
        <w:rPr/>
      </w:pPr>
      <w:r>
        <w:rPr/>
        <w:t>NF P73-201-1 (DTU 25.51) (septembre 1994) : Mise en oeuvre des plafonds en staff - Partie 1 : Cahier des clauses techniques (Indice de classement : P73-201-1) ;</w:t>
      </w:r>
    </w:p>
    <w:p>
      <w:pPr>
        <w:pStyle w:val="TEXTE"/>
        <w:numPr>
          <w:ilvl w:val="0"/>
          <w:numId w:val="78"/>
        </w:numPr>
        <w:tabs>
          <w:tab w:val="clear" w:pos="8789"/>
          <w:tab w:val="left" w:pos="720" w:leader="none"/>
        </w:tabs>
        <w:overflowPunct w:val="true"/>
        <w:spacing w:before="0" w:after="240"/>
        <w:ind w:left="720" w:hanging="360"/>
        <w:textAlignment w:val="baseline"/>
        <w:rPr/>
      </w:pPr>
      <w:r>
        <w:rPr/>
        <w:t>NF DTU 45.2 P1-1 (mai 2006) : Travaux d'isolation - Isolation thermique des circuits, appareils et accessoires de - 80 °C à + 650 °C - Partie 1-1 : Cahier des clauses techniques (Indice de classement : P75-402-1-1) ;</w:t>
      </w:r>
    </w:p>
    <w:p>
      <w:pPr>
        <w:pStyle w:val="TEXTE"/>
        <w:numPr>
          <w:ilvl w:val="0"/>
          <w:numId w:val="78"/>
        </w:numPr>
        <w:tabs>
          <w:tab w:val="clear" w:pos="8789"/>
          <w:tab w:val="left" w:pos="720" w:leader="none"/>
        </w:tabs>
        <w:overflowPunct w:val="true"/>
        <w:spacing w:before="0" w:after="240"/>
        <w:ind w:left="720" w:hanging="360"/>
        <w:textAlignment w:val="baseline"/>
        <w:rPr/>
      </w:pPr>
      <w:r>
        <w:rPr/>
        <w:t>NF P41-221 (DTU 60.5) (mai 1993) : Travaux de bâtiment - Canalisations en cuivre - Distribution d'eau froide et chaude sanitaire, évacuation d'eaux usées, d'eaux pluviales, installations de génie climatique - Cahier des clauses techniques + Amendement A1 janvier 1999); Amendement A2 (octobre 2000) (Indice de classement : P41-221) ;</w:t>
      </w:r>
    </w:p>
    <w:p>
      <w:pPr>
        <w:pStyle w:val="TEXTE"/>
        <w:numPr>
          <w:ilvl w:val="0"/>
          <w:numId w:val="78"/>
        </w:numPr>
        <w:tabs>
          <w:tab w:val="clear" w:pos="8789"/>
          <w:tab w:val="left" w:pos="720" w:leader="none"/>
        </w:tabs>
        <w:overflowPunct w:val="true"/>
        <w:spacing w:before="0" w:after="240"/>
        <w:ind w:left="720" w:hanging="360"/>
        <w:textAlignment w:val="baseline"/>
        <w:rPr/>
      </w:pPr>
      <w:r>
        <w:rPr/>
        <w:t>NF P68-203-2 (DTU 58.1) (juillet 1993) : Plafonds suspendus - Travaux de mise en oeuvre - Partie 2 : Cahier des clauses spéciales (Indice de classement : P68-203-2) ;</w:t>
      </w:r>
    </w:p>
    <w:p>
      <w:pPr>
        <w:pStyle w:val="TEXTE"/>
        <w:numPr>
          <w:ilvl w:val="0"/>
          <w:numId w:val="78"/>
        </w:numPr>
        <w:tabs>
          <w:tab w:val="clear" w:pos="8789"/>
          <w:tab w:val="left" w:pos="720" w:leader="none"/>
        </w:tabs>
        <w:overflowPunct w:val="true"/>
        <w:spacing w:before="0" w:after="240"/>
        <w:ind w:left="720" w:hanging="360"/>
        <w:textAlignment w:val="baseline"/>
        <w:rPr/>
      </w:pPr>
      <w:r>
        <w:rPr/>
        <w:t>Décret n° 88.523 du 5 mai 1988 pris pour l'application de l'article L.1 du Code de la Santé Publique et relatif aux règles propres à préserver la santé de l'homme contre les bruits de voisinage ;</w:t>
      </w:r>
    </w:p>
    <w:p>
      <w:pPr>
        <w:pStyle w:val="TEXTE"/>
        <w:numPr>
          <w:ilvl w:val="0"/>
          <w:numId w:val="78"/>
        </w:numPr>
        <w:tabs>
          <w:tab w:val="clear" w:pos="8789"/>
          <w:tab w:val="left" w:pos="720" w:leader="none"/>
        </w:tabs>
        <w:overflowPunct w:val="true"/>
        <w:spacing w:before="0" w:after="240"/>
        <w:ind w:left="720" w:hanging="360"/>
        <w:textAlignment w:val="baseline"/>
        <w:rPr/>
      </w:pPr>
      <w:r>
        <w:rPr/>
        <w:t>Arrêté du 5 mai 1988 et circulaire du 7 juin 1989 relatifs aux bruits de voisinage ;</w:t>
      </w:r>
    </w:p>
    <w:p>
      <w:pPr>
        <w:pStyle w:val="TEXTE"/>
        <w:numPr>
          <w:ilvl w:val="0"/>
          <w:numId w:val="78"/>
        </w:numPr>
        <w:tabs>
          <w:tab w:val="clear" w:pos="8789"/>
          <w:tab w:val="left" w:pos="720" w:leader="none"/>
        </w:tabs>
        <w:overflowPunct w:val="true"/>
        <w:spacing w:before="0" w:after="240"/>
        <w:ind w:left="720" w:hanging="360"/>
        <w:textAlignment w:val="baseline"/>
        <w:rPr/>
      </w:pPr>
      <w:r>
        <w:rPr/>
        <w:t>Règles de normalisation et instruction publiées par l'Association Française de Normalisation et l'Union Technique de l'Electricité ;</w:t>
      </w:r>
    </w:p>
    <w:p>
      <w:pPr>
        <w:pStyle w:val="TEXTE"/>
        <w:numPr>
          <w:ilvl w:val="0"/>
          <w:numId w:val="78"/>
        </w:numPr>
        <w:tabs>
          <w:tab w:val="clear" w:pos="8789"/>
          <w:tab w:val="left" w:pos="720" w:leader="none"/>
        </w:tabs>
        <w:overflowPunct w:val="true"/>
        <w:spacing w:before="0" w:after="240"/>
        <w:ind w:left="720" w:hanging="360"/>
        <w:textAlignment w:val="baseline"/>
        <w:rPr/>
      </w:pPr>
      <w:r>
        <w:rPr/>
        <w:t>Dispositions d'ordre technique des Documents Techniques Unifiés publiés par le Centre Scientifique et Technique du Bâtiment ;</w:t>
      </w:r>
    </w:p>
    <w:p>
      <w:pPr>
        <w:pStyle w:val="TEXTE"/>
        <w:numPr>
          <w:ilvl w:val="0"/>
          <w:numId w:val="78"/>
        </w:numPr>
        <w:tabs>
          <w:tab w:val="clear" w:pos="8789"/>
          <w:tab w:val="left" w:pos="720" w:leader="none"/>
        </w:tabs>
        <w:overflowPunct w:val="true"/>
        <w:spacing w:before="0" w:after="240"/>
        <w:ind w:left="720" w:hanging="360"/>
        <w:textAlignment w:val="baseline"/>
        <w:rPr/>
      </w:pPr>
      <w:r>
        <w:rPr/>
        <w:t>Conditions imposées par les Compagnies de distribution d'eau froide avec lesquelles l'entrepreneur devra se mettre en rapport ;</w:t>
      </w:r>
    </w:p>
    <w:p>
      <w:pPr>
        <w:pStyle w:val="TEXTE"/>
        <w:numPr>
          <w:ilvl w:val="0"/>
          <w:numId w:val="78"/>
        </w:numPr>
        <w:tabs>
          <w:tab w:val="clear" w:pos="8789"/>
          <w:tab w:val="left" w:pos="720" w:leader="none"/>
        </w:tabs>
        <w:overflowPunct w:val="true"/>
        <w:spacing w:before="0" w:after="240"/>
        <w:ind w:left="720" w:hanging="360"/>
        <w:textAlignment w:val="baseline"/>
        <w:rPr/>
      </w:pPr>
      <w:r>
        <w:rPr/>
        <w:t>Règlement de sécurité contre les risques d'incendie et de panique dans les établissements recevant du public (arrêté du 25 juin 1980) ;</w:t>
      </w:r>
    </w:p>
    <w:p>
      <w:pPr>
        <w:pStyle w:val="TEXTE"/>
        <w:numPr>
          <w:ilvl w:val="0"/>
          <w:numId w:val="78"/>
        </w:numPr>
        <w:tabs>
          <w:tab w:val="clear" w:pos="8789"/>
          <w:tab w:val="left" w:pos="720" w:leader="none"/>
        </w:tabs>
        <w:overflowPunct w:val="true"/>
        <w:spacing w:before="0" w:after="240"/>
        <w:ind w:left="720" w:hanging="360"/>
        <w:textAlignment w:val="baseline"/>
        <w:rPr/>
      </w:pPr>
      <w:r>
        <w:rPr/>
        <w:t>Consignes de montage données par les constructeurs ;</w:t>
      </w:r>
    </w:p>
    <w:p>
      <w:pPr>
        <w:pStyle w:val="TEXTE"/>
        <w:numPr>
          <w:ilvl w:val="0"/>
          <w:numId w:val="78"/>
        </w:numPr>
        <w:tabs>
          <w:tab w:val="clear" w:pos="8789"/>
          <w:tab w:val="left" w:pos="720" w:leader="none"/>
        </w:tabs>
        <w:overflowPunct w:val="true"/>
        <w:spacing w:before="0" w:after="240"/>
        <w:ind w:left="720" w:hanging="360"/>
        <w:textAlignment w:val="baseline"/>
        <w:rPr/>
      </w:pPr>
      <w:r>
        <w:rPr/>
        <w:t>Règles de normalisation, utiles à l'établissement et à l'exécution des projets et marchés de bâtiments en France (REEF) éditées par le Centre Scientifique et Technique du Bâtiment ;</w:t>
      </w:r>
    </w:p>
    <w:p>
      <w:pPr>
        <w:pStyle w:val="TEXTE"/>
        <w:numPr>
          <w:ilvl w:val="0"/>
          <w:numId w:val="78"/>
        </w:numPr>
        <w:tabs>
          <w:tab w:val="clear" w:pos="8789"/>
          <w:tab w:val="left" w:pos="720" w:leader="none"/>
        </w:tabs>
        <w:overflowPunct w:val="true"/>
        <w:spacing w:before="0" w:after="240"/>
        <w:ind w:left="720" w:hanging="360"/>
        <w:textAlignment w:val="baseline"/>
        <w:rPr/>
      </w:pPr>
      <w:r>
        <w:rPr/>
        <w:t>Respecter la norme NF C15-100 (EN60204) et en particulier pour l'arrêt d'urgence, qui est prévu par la NF C 15-100 - section 464. Mais les dispositions à prendre sont surtout précisées par le décret 93-40 du 1/01/1993 (art. R233-15 à R233-30 du Code du Travail). En effet, lorsque des mouvements produits par des appareils ou machines électriques peuvent être source de dangers, ceux-ci doivent être équipés de dispositif(s) d'arrêt d'urgence situé(s) au plus près des utilisateurs. Si c’est le cas pour une ou toute partie d’un élément du système de climatisation installé, alors l’arrêt d’urgence doit être installé. Par contre, l'arrêt d'urgence n'est pas exigé :</w:t>
      </w:r>
    </w:p>
    <w:p>
      <w:pPr>
        <w:pStyle w:val="Normal"/>
        <w:numPr>
          <w:ilvl w:val="1"/>
          <w:numId w:val="79"/>
        </w:numPr>
        <w:spacing w:before="0" w:after="240"/>
        <w:ind w:left="1786" w:hanging="357"/>
        <w:rPr/>
      </w:pPr>
      <w:r>
        <w:rPr/>
        <w:t>Si sa présence ne réduit pas le risque ;</w:t>
      </w:r>
    </w:p>
    <w:p>
      <w:pPr>
        <w:pStyle w:val="Normal"/>
        <w:numPr>
          <w:ilvl w:val="1"/>
          <w:numId w:val="79"/>
        </w:numPr>
        <w:spacing w:before="0" w:after="240"/>
        <w:ind w:left="1786" w:hanging="357"/>
        <w:rPr/>
      </w:pPr>
      <w:r>
        <w:rPr/>
        <w:t>Si le temps d'arrêt n'est pas réduit par rapport à la coupure d'urgence ;</w:t>
      </w:r>
    </w:p>
    <w:p>
      <w:pPr>
        <w:pStyle w:val="Normal"/>
        <w:numPr>
          <w:ilvl w:val="0"/>
          <w:numId w:val="79"/>
        </w:numPr>
        <w:spacing w:before="0" w:after="240"/>
        <w:ind w:left="1066" w:hanging="357"/>
        <w:rPr/>
      </w:pPr>
      <w:r>
        <w:rPr/>
        <w:t>Articles R 543-99 à R 543-107 du Code de l’environnement et en particulier à les articles suivants :</w:t>
      </w:r>
    </w:p>
    <w:p>
      <w:pPr>
        <w:pStyle w:val="Normal"/>
        <w:numPr>
          <w:ilvl w:val="1"/>
          <w:numId w:val="79"/>
        </w:numPr>
        <w:spacing w:before="0" w:after="240"/>
        <w:ind w:left="1786" w:hanging="357"/>
        <w:rPr/>
      </w:pPr>
      <w:r>
        <w:rPr/>
        <w:t>Article R 543-76 du Code de l’environnement. (manipulation de fluides frigorigènes) ;</w:t>
      </w:r>
    </w:p>
    <w:p>
      <w:pPr>
        <w:pStyle w:val="Normal"/>
        <w:numPr>
          <w:ilvl w:val="1"/>
          <w:numId w:val="79"/>
        </w:numPr>
        <w:spacing w:before="0" w:after="240"/>
        <w:ind w:left="1786" w:hanging="357"/>
        <w:rPr/>
      </w:pPr>
      <w:r>
        <w:rPr/>
        <w:t>Article R 543-77 du Code de l’environnement (nature et quantité de fluide frigorigène présent sur l’équipement) ;</w:t>
      </w:r>
    </w:p>
    <w:p>
      <w:pPr>
        <w:pStyle w:val="Normal"/>
        <w:numPr>
          <w:ilvl w:val="1"/>
          <w:numId w:val="79"/>
        </w:numPr>
        <w:spacing w:before="0" w:after="240"/>
        <w:ind w:left="1786" w:hanging="357"/>
        <w:rPr/>
      </w:pPr>
      <w:r>
        <w:rPr/>
        <w:t>Article R 543-82 du Code de l'environnement ;</w:t>
      </w:r>
    </w:p>
    <w:p>
      <w:pPr>
        <w:pStyle w:val="Normal"/>
        <w:numPr>
          <w:ilvl w:val="1"/>
          <w:numId w:val="79"/>
        </w:numPr>
        <w:spacing w:before="0" w:after="240"/>
        <w:ind w:left="1786" w:hanging="357"/>
        <w:rPr/>
      </w:pPr>
      <w:r>
        <w:rPr/>
        <w:t>Article R 543-88 du Code de l'environnement ;</w:t>
      </w:r>
    </w:p>
    <w:p>
      <w:pPr>
        <w:pStyle w:val="Normal"/>
        <w:numPr>
          <w:ilvl w:val="1"/>
          <w:numId w:val="79"/>
        </w:numPr>
        <w:spacing w:before="0" w:after="240"/>
        <w:ind w:left="1786" w:hanging="357"/>
        <w:rPr/>
      </w:pPr>
      <w:r>
        <w:rPr/>
        <w:t>Article R 543-92 et R 543-93 du Code de l'environnement ;</w:t>
      </w:r>
    </w:p>
    <w:p>
      <w:pPr>
        <w:pStyle w:val="Normal"/>
        <w:numPr>
          <w:ilvl w:val="1"/>
          <w:numId w:val="79"/>
        </w:numPr>
        <w:spacing w:before="0" w:after="240"/>
        <w:ind w:left="1786" w:hanging="357"/>
        <w:rPr/>
      </w:pPr>
      <w:r>
        <w:rPr/>
        <w:t>Article R 543-99 du Code de l’environnement (attestation de capacité) ;</w:t>
      </w:r>
    </w:p>
    <w:p>
      <w:pPr>
        <w:pStyle w:val="Normal"/>
        <w:numPr>
          <w:ilvl w:val="1"/>
          <w:numId w:val="79"/>
        </w:numPr>
        <w:spacing w:before="0" w:after="240"/>
        <w:ind w:left="1786" w:hanging="357"/>
        <w:rPr/>
      </w:pPr>
      <w:r>
        <w:rPr/>
        <w:t>Article R 543-122 et R 543-123 du Code de l'environnement ;</w:t>
      </w:r>
    </w:p>
    <w:p>
      <w:pPr>
        <w:pStyle w:val="Normal"/>
        <w:numPr>
          <w:ilvl w:val="0"/>
          <w:numId w:val="79"/>
        </w:numPr>
        <w:spacing w:before="0" w:after="240"/>
        <w:ind w:left="1066" w:hanging="357"/>
        <w:rPr/>
      </w:pPr>
      <w:r>
        <w:rPr/>
        <w:t>Règlement n°303/2008 de la Commission européenne du 2 avril 2008 établissant, conformément au règlement (CE) n°842/2006 du Parlement européen et du Conseil, des prescriptions minimales ainsi que des conditions pour une reconnaissance mutuelle de la certification des entreprises et du personnel en ce qui concerne les équipements fixes de réfrigération, de climatisation et de pompe à chaleur contenant certains gaz à effet de serre fluorés, JOUE du 3 avril 2008 ;</w:t>
      </w:r>
    </w:p>
    <w:p>
      <w:pPr>
        <w:pStyle w:val="Normal"/>
        <w:numPr>
          <w:ilvl w:val="0"/>
          <w:numId w:val="79"/>
        </w:numPr>
        <w:spacing w:before="0" w:after="240"/>
        <w:ind w:left="1066" w:hanging="357"/>
        <w:rPr/>
      </w:pPr>
      <w:r>
        <w:rPr/>
        <w:t>Règlement n°304/2008 du 2 avril 2008 établissant, conformément au règlement (CE) n°842/2006 des prescriptions minimales ainsi que des conditions pour une reconnaissance mutuelle aux fins de la certification des entreprises et du personnel en ce qui concerne les systèmes de protection contre l’incendie et les extincteurs contenant certains gaz à effet de serre fluorés, JOUE du 3 avril 2008 ;</w:t>
      </w:r>
    </w:p>
    <w:p>
      <w:pPr>
        <w:pStyle w:val="Normal"/>
        <w:numPr>
          <w:ilvl w:val="0"/>
          <w:numId w:val="79"/>
        </w:numPr>
        <w:spacing w:before="0" w:after="240"/>
        <w:ind w:left="1066" w:hanging="357"/>
        <w:rPr/>
      </w:pPr>
      <w:r>
        <w:rPr/>
        <w:t>Règlement n°305/2008 du 2 avril 2008 rectifié établissant, conformément au règlement (CE) n°842/2006 des prescriptions minimales et les conditions pour une reconnaissance mutuelle de la certification du personnel chargé de récupérer certains gaz à effet de serre fluorés contenus dans des appareillages de connexion à haute tension, JOUE 3 avril 2008 ;</w:t>
      </w:r>
    </w:p>
    <w:p>
      <w:pPr>
        <w:pStyle w:val="Normal"/>
        <w:numPr>
          <w:ilvl w:val="0"/>
          <w:numId w:val="79"/>
        </w:numPr>
        <w:spacing w:before="0" w:after="240"/>
        <w:ind w:left="1066" w:hanging="357"/>
        <w:rPr/>
      </w:pPr>
      <w:r>
        <w:rPr/>
        <w:t>Règlement n°306/2008 du 2 avril 2008 rectifié établissant, conformément au règlement (CE) n°842/2006 les prescriptions minimales et les conditions pour une reconnaissance mutuelle de la certification du personnel chargé de récupérer certains solvants à base de gaz à effet de serre fluorés contenus dans des équipements ;</w:t>
      </w:r>
    </w:p>
    <w:p>
      <w:pPr>
        <w:pStyle w:val="Normal"/>
        <w:numPr>
          <w:ilvl w:val="0"/>
          <w:numId w:val="79"/>
        </w:numPr>
        <w:spacing w:before="0" w:after="240"/>
        <w:ind w:left="1066" w:hanging="357"/>
        <w:rPr/>
      </w:pPr>
      <w:r>
        <w:rPr/>
        <w:t>Règlement n°307/2008 du 2 avril 2008 établissant, conformément au règlement (CE) n°842/2006 des prescriptions minimales pour les programmes de formation ainsi que les conditions pour une reconnaissance mutuelle des attestations de formation à l’intention du personnel en ce qui concerne les systèmes de climatisation de certains véhicules à moteur contenant certains gaz à effet de serre fluorés, JOUE du 3 avril 2008 ;</w:t>
      </w:r>
    </w:p>
    <w:p>
      <w:pPr>
        <w:pStyle w:val="Normal"/>
        <w:numPr>
          <w:ilvl w:val="0"/>
          <w:numId w:val="79"/>
        </w:numPr>
        <w:spacing w:before="0" w:after="240"/>
        <w:ind w:left="1066" w:hanging="357"/>
        <w:rPr/>
      </w:pPr>
      <w:r>
        <w:rPr/>
        <w:t>Décret n°2007-737 du 07/05/07 relatif à certains fluides frigorigènes utilisés dans les équipements frigorifiques et climatiques ;</w:t>
      </w:r>
    </w:p>
    <w:p>
      <w:pPr>
        <w:pStyle w:val="Normal"/>
        <w:numPr>
          <w:ilvl w:val="0"/>
          <w:numId w:val="79"/>
        </w:numPr>
        <w:spacing w:before="0" w:after="240"/>
        <w:ind w:left="1066" w:hanging="357"/>
        <w:rPr/>
      </w:pPr>
      <w:r>
        <w:rPr/>
        <w:t>Arrêté du 30 juin 2008 relatif à la délivrance des attestations de capacité aux opérateurs prévues à l’article R. 543-99 du code de l’environnement ;</w:t>
      </w:r>
    </w:p>
    <w:p>
      <w:pPr>
        <w:pStyle w:val="Normal"/>
        <w:numPr>
          <w:ilvl w:val="0"/>
          <w:numId w:val="79"/>
        </w:numPr>
        <w:spacing w:before="0" w:after="240"/>
        <w:ind w:left="1066" w:hanging="357"/>
        <w:rPr/>
      </w:pPr>
      <w:r>
        <w:rPr/>
        <w:t>Arrêté du 19 juin 2009 portant agrément d'un organisme pour délivrer aux opérateurs les attestations de capacité prévues par l'article R. 543-99 du code de l'environnement ;</w:t>
      </w:r>
    </w:p>
    <w:p>
      <w:pPr>
        <w:pStyle w:val="Normal"/>
        <w:numPr>
          <w:ilvl w:val="0"/>
          <w:numId w:val="79"/>
        </w:numPr>
        <w:spacing w:before="0" w:after="240"/>
        <w:ind w:left="1066" w:hanging="357"/>
        <w:rPr/>
      </w:pPr>
      <w:r>
        <w:rPr/>
        <w:t>Article L 541-2 du Code de l'environnement (disposition générale pour l’élimination des déchets) ;</w:t>
      </w:r>
    </w:p>
    <w:p>
      <w:pPr>
        <w:pStyle w:val="Normal"/>
        <w:numPr>
          <w:ilvl w:val="0"/>
          <w:numId w:val="79"/>
        </w:numPr>
        <w:spacing w:before="0" w:after="240"/>
        <w:ind w:left="1066" w:hanging="357"/>
        <w:rPr/>
      </w:pPr>
      <w:r>
        <w:rPr/>
        <w:t>Prescriptions des décrets, arrêtés, règlements et normalisation complétant ou modifiant les documents ci-dessus en vigueur à la date de l'offre ;</w:t>
      </w:r>
    </w:p>
    <w:p>
      <w:pPr>
        <w:pStyle w:val="Normal"/>
        <w:numPr>
          <w:ilvl w:val="0"/>
          <w:numId w:val="79"/>
        </w:numPr>
        <w:spacing w:before="0" w:after="240"/>
        <w:ind w:left="1066" w:hanging="357"/>
        <w:rPr/>
      </w:pPr>
      <w:r>
        <w:rPr/>
        <w:t>La mise en œuvre des techniques nouvelles non couvertes par un D.T.U. doit se faire en suivant les prescriptions d'un avis technique du CSTB ou d'un avis motivé d'un bureau de contrôle agréé auprès de la section "Construction" de l'assemblée générale des compagnies d'assurances ;</w:t>
      </w:r>
    </w:p>
    <w:p>
      <w:pPr>
        <w:pStyle w:val="TEXTE"/>
        <w:numPr>
          <w:ilvl w:val="0"/>
          <w:numId w:val="0"/>
        </w:numPr>
        <w:ind w:left="0" w:hanging="0"/>
        <w:rPr/>
      </w:pPr>
      <w:r>
        <w:rPr/>
        <w:t>Lors des études, si le titulaire prévoit d'employer des matériaux ou d'utiliser des méthodes de mise en œuvre, non prévues dans les DTU, ceux-ci devront faire l'objet d'un avis technique du CSTB. Les coûts engendrés par la production de ces avis techniques, seront alors à la charge du titulaire.</w:t>
      </w:r>
    </w:p>
    <w:p>
      <w:pPr>
        <w:pStyle w:val="TEXTE"/>
        <w:numPr>
          <w:ilvl w:val="0"/>
          <w:numId w:val="0"/>
        </w:numPr>
        <w:ind w:left="0" w:hanging="0"/>
        <w:rPr/>
      </w:pPr>
      <w:r>
        <w:rPr/>
        <w:t>La spécification G1 de la DIRIF, jointe en annexe aux présentes spécifications, est particulièrement applicable aux prestations à réaliser au titre du présent projet.</w:t>
      </w:r>
    </w:p>
    <w:p>
      <w:pPr>
        <w:pStyle w:val="TEXTE"/>
        <w:numPr>
          <w:ilvl w:val="0"/>
          <w:numId w:val="0"/>
        </w:numPr>
        <w:ind w:left="0" w:hanging="0"/>
        <w:rPr/>
      </w:pPr>
      <w:r>
        <w:rPr/>
        <w:t>Le titulaire est réputé avoir inclus dans le prix de son offre, même si elles ne sont pas énoncées dans les présentes spécifications, toutes les fournitures, prestations et sujétions découlant du strict respect des différents textes et documents visés ci-dessus.</w:t>
      </w:r>
    </w:p>
    <w:p>
      <w:pPr>
        <w:pStyle w:val="Titre2"/>
        <w:tabs>
          <w:tab w:val="clear" w:pos="0"/>
          <w:tab w:val="clear" w:pos="8789"/>
          <w:tab w:val="left" w:pos="426" w:leader="none"/>
        </w:tabs>
        <w:ind w:left="0" w:hanging="0"/>
        <w:rPr/>
      </w:pPr>
      <w:bookmarkStart w:id="797" w:name="_Toc32334758"/>
      <w:r>
        <w:rPr/>
        <w:t>Détection incendie</w:t>
      </w:r>
      <w:bookmarkEnd w:id="797"/>
    </w:p>
    <w:p>
      <w:pPr>
        <w:pStyle w:val="Titre3"/>
        <w:rPr/>
      </w:pPr>
      <w:bookmarkStart w:id="798" w:name="_Toc32334759"/>
      <w:bookmarkStart w:id="799" w:name="_Toc420929359"/>
      <w:r>
        <w:rPr/>
        <w:t>Objectifs</w:t>
      </w:r>
      <w:bookmarkEnd w:id="798"/>
      <w:bookmarkEnd w:id="799"/>
    </w:p>
    <w:p>
      <w:pPr>
        <w:pStyle w:val="TEXTE"/>
        <w:rPr/>
      </w:pPr>
      <w:r>
        <w:rPr/>
        <w:t>L’objectif de la Dirif est de compléter ou de remplacer des parties d’installations pour être en conformité avec la réglementation actuelle, qui régit ce domaine.</w:t>
      </w:r>
    </w:p>
    <w:p>
      <w:pPr>
        <w:pStyle w:val="TEXTE"/>
        <w:rPr/>
      </w:pPr>
      <w:r>
        <w:rPr/>
        <w:t>Les installations réalisées ou complétées devront permettre une mise aux normes des installations et être dimensionnées pour le raccordement des équipements de détection, des actionneurs, des sirènes, etc.</w:t>
      </w:r>
    </w:p>
    <w:p>
      <w:pPr>
        <w:pStyle w:val="Titre3"/>
        <w:rPr/>
      </w:pPr>
      <w:bookmarkStart w:id="800" w:name="_Toc32334760"/>
      <w:bookmarkStart w:id="801" w:name="_Toc420929360"/>
      <w:r>
        <w:rPr/>
        <w:t>Objet des spécifications</w:t>
      </w:r>
      <w:bookmarkEnd w:id="800"/>
      <w:bookmarkEnd w:id="801"/>
    </w:p>
    <w:p>
      <w:pPr>
        <w:pStyle w:val="TEXTE"/>
        <w:rPr/>
      </w:pPr>
      <w:r>
        <w:rPr/>
        <w:t>Les spécifications des articles ci-après définissent les prestations à effectuer par le Titulaire pour réaliser ou assurer les compléments des installations de détection incendie.</w:t>
      </w:r>
    </w:p>
    <w:p>
      <w:pPr>
        <w:pStyle w:val="TEXTE"/>
        <w:rPr/>
      </w:pPr>
      <w:r>
        <w:rPr/>
        <w:t>Ces spécifications sont applicables à tous les travaux d’installation de systèmes de sécurité incendie. Si des dérogations à ces spécifications s’avèrent nécessaires, elles devront être validées préalablement par le maître d’œuvre et limitées à des modifications de raccordement sur de l’existant, aucune dérogation ne sera autorisée sur les installations neuves.</w:t>
      </w:r>
    </w:p>
    <w:p>
      <w:pPr>
        <w:pStyle w:val="Titre3"/>
        <w:rPr/>
      </w:pPr>
      <w:bookmarkStart w:id="802" w:name="_Toc32334761"/>
      <w:r>
        <w:rPr/>
        <w:t>Description générale des prestations</w:t>
      </w:r>
      <w:bookmarkEnd w:id="802"/>
    </w:p>
    <w:p>
      <w:pPr>
        <w:pStyle w:val="TEXTE"/>
        <w:rPr/>
      </w:pPr>
      <w:r>
        <w:rPr/>
        <w:t>Les prestations à la charge du Titulaire comportent les principales prestations ci-après listées :</w:t>
      </w:r>
    </w:p>
    <w:p>
      <w:pPr>
        <w:pStyle w:val="TEXTE"/>
        <w:numPr>
          <w:ilvl w:val="0"/>
          <w:numId w:val="68"/>
        </w:numPr>
        <w:tabs>
          <w:tab w:val="clear" w:pos="8789"/>
        </w:tabs>
        <w:overflowPunct w:val="true"/>
        <w:spacing w:before="0" w:after="120"/>
        <w:ind w:left="714" w:hanging="357"/>
        <w:textAlignment w:val="baseline"/>
        <w:rPr/>
      </w:pPr>
      <w:r>
        <w:rPr/>
        <w:t>Etude d’installation des équipements constitutifs des systèmes de SSI qu’ils s’agissent de compléments ou de remplacement complet de certaines parties d’installation. Cette étude permettra notamment de définir les types de détecteur en fonction des contraintes des différentes salles, les méthodes de cheminement des câbles entre les différents éléments constitutifs des systèmes, les positions précises de tous les équipements, et d’une manière plus générale tous les éléments nécessaires à la validation par le maître d’œuvre et à la réalisation des travaux après validation des études.</w:t>
      </w:r>
    </w:p>
    <w:p>
      <w:pPr>
        <w:pStyle w:val="TEXTE"/>
        <w:numPr>
          <w:ilvl w:val="0"/>
          <w:numId w:val="68"/>
        </w:numPr>
        <w:tabs>
          <w:tab w:val="clear" w:pos="8789"/>
        </w:tabs>
        <w:overflowPunct w:val="true"/>
        <w:spacing w:before="0" w:after="120"/>
        <w:ind w:left="714" w:hanging="357"/>
        <w:textAlignment w:val="baseline"/>
        <w:rPr/>
      </w:pPr>
      <w:r>
        <w:rPr/>
        <w:t>Fourniture, installation, et raccordements de tous les équipements :</w:t>
      </w:r>
    </w:p>
    <w:p>
      <w:pPr>
        <w:pStyle w:val="TEXTE"/>
        <w:numPr>
          <w:ilvl w:val="1"/>
          <w:numId w:val="68"/>
        </w:numPr>
        <w:tabs>
          <w:tab w:val="clear" w:pos="8789"/>
        </w:tabs>
        <w:overflowPunct w:val="true"/>
        <w:spacing w:before="0" w:after="120"/>
        <w:ind w:left="1434" w:hanging="357"/>
        <w:textAlignment w:val="baseline"/>
        <w:rPr/>
      </w:pPr>
      <w:r>
        <w:rPr/>
        <w:t>Centrale ;</w:t>
      </w:r>
    </w:p>
    <w:p>
      <w:pPr>
        <w:pStyle w:val="TEXTE"/>
        <w:numPr>
          <w:ilvl w:val="1"/>
          <w:numId w:val="68"/>
        </w:numPr>
        <w:tabs>
          <w:tab w:val="clear" w:pos="8789"/>
        </w:tabs>
        <w:overflowPunct w:val="true"/>
        <w:spacing w:before="0" w:after="120"/>
        <w:ind w:left="1434" w:hanging="357"/>
        <w:textAlignment w:val="baseline"/>
        <w:rPr/>
      </w:pPr>
      <w:r>
        <w:rPr/>
        <w:t>Détecteurs adressables ;</w:t>
      </w:r>
    </w:p>
    <w:p>
      <w:pPr>
        <w:pStyle w:val="TEXTE"/>
        <w:numPr>
          <w:ilvl w:val="1"/>
          <w:numId w:val="68"/>
        </w:numPr>
        <w:tabs>
          <w:tab w:val="clear" w:pos="8789"/>
        </w:tabs>
        <w:overflowPunct w:val="true"/>
        <w:spacing w:before="0" w:after="120"/>
        <w:ind w:left="1434" w:hanging="357"/>
        <w:textAlignment w:val="baseline"/>
        <w:rPr/>
      </w:pPr>
      <w:r>
        <w:rPr/>
        <w:t>Détecteurs manuels ;</w:t>
      </w:r>
    </w:p>
    <w:p>
      <w:pPr>
        <w:pStyle w:val="TEXTE"/>
        <w:numPr>
          <w:ilvl w:val="1"/>
          <w:numId w:val="68"/>
        </w:numPr>
        <w:tabs>
          <w:tab w:val="clear" w:pos="8789"/>
        </w:tabs>
        <w:overflowPunct w:val="true"/>
        <w:spacing w:before="0" w:after="120"/>
        <w:ind w:left="1434" w:hanging="357"/>
        <w:textAlignment w:val="baseline"/>
        <w:rPr/>
      </w:pPr>
      <w:r>
        <w:rPr/>
        <w:t>Sirènes ;</w:t>
      </w:r>
    </w:p>
    <w:p>
      <w:pPr>
        <w:pStyle w:val="TEXTE"/>
        <w:numPr>
          <w:ilvl w:val="1"/>
          <w:numId w:val="68"/>
        </w:numPr>
        <w:tabs>
          <w:tab w:val="clear" w:pos="8789"/>
        </w:tabs>
        <w:overflowPunct w:val="true"/>
        <w:spacing w:before="0" w:after="120"/>
        <w:ind w:left="1440" w:hanging="357"/>
        <w:textAlignment w:val="baseline"/>
        <w:rPr/>
      </w:pPr>
      <w:r>
        <w:rPr/>
        <w:t>Câbles.</w:t>
      </w:r>
    </w:p>
    <w:p>
      <w:pPr>
        <w:pStyle w:val="TEXTE"/>
        <w:numPr>
          <w:ilvl w:val="0"/>
          <w:numId w:val="68"/>
        </w:numPr>
        <w:tabs>
          <w:tab w:val="clear" w:pos="8789"/>
        </w:tabs>
        <w:overflowPunct w:val="true"/>
        <w:spacing w:before="0" w:after="120"/>
        <w:ind w:left="720" w:hanging="357"/>
        <w:textAlignment w:val="baseline"/>
        <w:rPr/>
      </w:pPr>
      <w:r>
        <w:rPr/>
        <w:t>Câblage entre les différents équipements constitutifs du système de SSI qui intègre l’ensemble des travaux, y compris de génie civil (percements, rebouchages, remise en place d’une barrière coupe-feu, etc.), et la fourniture des matériels, accessoires et matériaux nécessaires à la parfaite réalisation et au bon fonctionnement de l’installation.</w:t>
      </w:r>
    </w:p>
    <w:p>
      <w:pPr>
        <w:pStyle w:val="TEXTE"/>
        <w:numPr>
          <w:ilvl w:val="0"/>
          <w:numId w:val="68"/>
        </w:numPr>
        <w:tabs>
          <w:tab w:val="clear" w:pos="8789"/>
        </w:tabs>
        <w:overflowPunct w:val="true"/>
        <w:spacing w:before="0" w:after="240"/>
        <w:textAlignment w:val="baseline"/>
        <w:rPr/>
      </w:pPr>
      <w:r>
        <w:rPr/>
        <w:t>Dépose, l’évacuation et le traitement des équipements remplacés notamment des détecteurs radioactifs, qui devront être traités et recyclés par un organisme habilité. les compléments sur les systèmes existants (équipements du réseau informatique, panneaux de brassages, têtes de câbles, etc.).</w:t>
      </w:r>
    </w:p>
    <w:p>
      <w:pPr>
        <w:pStyle w:val="TEXTE"/>
        <w:rPr/>
      </w:pPr>
      <w:r>
        <w:rPr/>
        <w:t>Les prestations dues devront tenir compte de toutes les sujétions inhérentes aux prestations demandées ainsi qu'à la qualité et aux performances requises.</w:t>
      </w:r>
    </w:p>
    <w:p>
      <w:pPr>
        <w:pStyle w:val="Titre3"/>
        <w:rPr/>
      </w:pPr>
      <w:bookmarkStart w:id="803" w:name="_Toc32334762"/>
      <w:bookmarkStart w:id="804" w:name="_Toc420929361"/>
      <w:r>
        <w:rPr/>
        <w:t>Performances générales attendues</w:t>
      </w:r>
      <w:bookmarkEnd w:id="803"/>
      <w:bookmarkEnd w:id="804"/>
    </w:p>
    <w:p>
      <w:pPr>
        <w:pStyle w:val="TEXTE"/>
        <w:rPr/>
      </w:pPr>
      <w:r>
        <w:rPr/>
        <w:t>Les systèmes de sécurité incendie sont régis par des règles strictes d'installation.</w:t>
      </w:r>
    </w:p>
    <w:p>
      <w:pPr>
        <w:pStyle w:val="TEXTE"/>
        <w:spacing w:before="200" w:after="120"/>
        <w:rPr/>
      </w:pPr>
      <w:r>
        <w:rPr/>
        <w:t>Les installations réalisées ou complétées devront être entièrement conformes aux règles ou normes ci-après listées :</w:t>
      </w:r>
    </w:p>
    <w:p>
      <w:pPr>
        <w:pStyle w:val="TEXTE"/>
        <w:numPr>
          <w:ilvl w:val="0"/>
          <w:numId w:val="81"/>
        </w:numPr>
        <w:spacing w:before="0" w:after="120"/>
        <w:ind w:left="714" w:hanging="357"/>
        <w:rPr/>
      </w:pPr>
      <w:r>
        <w:rPr/>
        <w:t>Règles APSAD, notamment la règlementation R7 ;</w:t>
      </w:r>
    </w:p>
    <w:p>
      <w:pPr>
        <w:pStyle w:val="TEXTE"/>
        <w:numPr>
          <w:ilvl w:val="0"/>
          <w:numId w:val="81"/>
        </w:numPr>
        <w:spacing w:before="0" w:after="120"/>
        <w:ind w:left="714" w:hanging="357"/>
        <w:rPr/>
      </w:pPr>
      <w:r>
        <w:rPr/>
        <w:t>Norme NFS 61 970 ;</w:t>
      </w:r>
    </w:p>
    <w:p>
      <w:pPr>
        <w:pStyle w:val="TEXTE"/>
        <w:numPr>
          <w:ilvl w:val="0"/>
          <w:numId w:val="81"/>
        </w:numPr>
        <w:spacing w:before="0" w:after="120"/>
        <w:ind w:left="714" w:hanging="357"/>
        <w:rPr/>
      </w:pPr>
      <w:r>
        <w:rPr/>
        <w:t>Norme NFS 61 932 ;</w:t>
      </w:r>
    </w:p>
    <w:p>
      <w:pPr>
        <w:pStyle w:val="TEXTE"/>
        <w:numPr>
          <w:ilvl w:val="0"/>
          <w:numId w:val="81"/>
        </w:numPr>
        <w:spacing w:before="0" w:after="120"/>
        <w:ind w:left="714" w:hanging="357"/>
        <w:rPr/>
      </w:pPr>
      <w:r>
        <w:rPr/>
        <w:t>Norme NF S 61 930 ;</w:t>
      </w:r>
    </w:p>
    <w:p>
      <w:pPr>
        <w:pStyle w:val="TEXTE"/>
        <w:numPr>
          <w:ilvl w:val="0"/>
          <w:numId w:val="81"/>
        </w:numPr>
        <w:spacing w:before="0" w:after="240"/>
        <w:ind w:left="714" w:hanging="357"/>
        <w:rPr/>
      </w:pPr>
      <w:r>
        <w:rPr/>
        <w:t>Norme NF S 61 940.</w:t>
      </w:r>
    </w:p>
    <w:p>
      <w:pPr>
        <w:pStyle w:val="Normal"/>
        <w:jc w:val="left"/>
        <w:rPr/>
      </w:pPr>
      <w:r>
        <w:rPr/>
        <w:t>Si une disposition figurant dans une norme relative aux Systèmes de Sécurité Incendie (normes NF S 61-930 à NF S 61-940) diffère de celle d’une autre de ces normes, il y a lieu de prendre en considération la disposition énoncée dans la norme plus récemment éditée.</w:t>
      </w:r>
    </w:p>
    <w:p>
      <w:pPr>
        <w:pStyle w:val="Titre3"/>
        <w:rPr/>
      </w:pPr>
      <w:bookmarkStart w:id="805" w:name="_Toc32334763"/>
      <w:bookmarkStart w:id="806" w:name="_Toc420929362"/>
      <w:r>
        <w:rPr/>
        <w:t>Description des prestations</w:t>
      </w:r>
      <w:bookmarkEnd w:id="805"/>
      <w:bookmarkEnd w:id="806"/>
    </w:p>
    <w:p>
      <w:pPr>
        <w:pStyle w:val="Corpsdetexte"/>
        <w:rPr/>
      </w:pPr>
      <w:r>
        <w:rPr/>
        <w:t>Les prestations à réaliser comprennent :</w:t>
      </w:r>
    </w:p>
    <w:p>
      <w:pPr>
        <w:pStyle w:val="Titre4"/>
        <w:rPr/>
      </w:pPr>
      <w:bookmarkStart w:id="807" w:name="_Toc32334764"/>
      <w:r>
        <w:rPr/>
        <w:t>Centrales</w:t>
      </w:r>
      <w:bookmarkEnd w:id="807"/>
    </w:p>
    <w:p>
      <w:pPr>
        <w:pStyle w:val="TEXTE"/>
        <w:rPr/>
      </w:pPr>
      <w:r>
        <w:rPr/>
        <w:t>Il sera créé un Système de Sécurité Incendie SSI de Catégorie A Équipement d’alarme de type 1.</w:t>
      </w:r>
    </w:p>
    <w:p>
      <w:pPr>
        <w:pStyle w:val="Corpsdetexte"/>
        <w:rPr/>
      </w:pPr>
      <w:r>
        <w:rPr/>
        <w:t>Les équipements à installer devront permettre l’installation et la gestion de circuits bouclés. Pour les nouvelles centrales, il est imposé sur le présent projet de mettre en œuvre des circuits bouclés offrant une meilleure disponibilité.</w:t>
      </w:r>
    </w:p>
    <w:p>
      <w:pPr>
        <w:pStyle w:val="Corpsdetexte"/>
        <w:rPr/>
      </w:pPr>
      <w:r>
        <w:rPr/>
        <w:t>Certifiée EN54.</w:t>
      </w:r>
    </w:p>
    <w:p>
      <w:pPr>
        <w:pStyle w:val="Msiresume"/>
        <w:spacing w:before="280" w:after="280"/>
        <w:jc w:val="both"/>
        <w:rPr>
          <w:rFonts w:ascii="Arial" w:hAnsi="Arial"/>
          <w:sz w:val="20"/>
          <w:szCs w:val="20"/>
        </w:rPr>
      </w:pPr>
      <w:r>
        <w:rPr>
          <w:rFonts w:ascii="Arial" w:hAnsi="Arial"/>
          <w:sz w:val="20"/>
          <w:szCs w:val="20"/>
        </w:rPr>
        <w:t>Il est interdit de raccorder sur une même boucle de détection des détecteurs automatiques adressables et des déclencheurs manuels.</w:t>
      </w:r>
    </w:p>
    <w:p>
      <w:pPr>
        <w:pStyle w:val="Titre4"/>
        <w:rPr/>
      </w:pPr>
      <w:bookmarkStart w:id="808" w:name="_Toc32334765"/>
      <w:r>
        <w:rPr/>
        <w:t>Détecteurs adressables</w:t>
      </w:r>
      <w:bookmarkEnd w:id="808"/>
    </w:p>
    <w:p>
      <w:pPr>
        <w:pStyle w:val="Msiresume"/>
        <w:spacing w:before="280" w:after="280"/>
        <w:jc w:val="both"/>
        <w:rPr>
          <w:rFonts w:ascii="Arial" w:hAnsi="Arial"/>
          <w:sz w:val="20"/>
          <w:szCs w:val="20"/>
        </w:rPr>
      </w:pPr>
      <w:r>
        <w:rPr>
          <w:rFonts w:ascii="Arial" w:hAnsi="Arial"/>
          <w:sz w:val="20"/>
          <w:szCs w:val="20"/>
        </w:rPr>
        <w:t>La norme NFS 61-970 impose un nombre minimum de détecteurs en fonction de la superficie et de l'utilisation du site. Pour le présent projet, l’utilisation de détecteurs adressables est imposée.</w:t>
      </w:r>
    </w:p>
    <w:p>
      <w:pPr>
        <w:pStyle w:val="Msiresume"/>
        <w:spacing w:before="280" w:after="280"/>
        <w:jc w:val="both"/>
        <w:rPr>
          <w:rFonts w:ascii="Arial" w:hAnsi="Arial"/>
          <w:sz w:val="20"/>
          <w:szCs w:val="20"/>
        </w:rPr>
      </w:pPr>
      <w:r>
        <w:rPr>
          <w:rFonts w:ascii="Arial" w:hAnsi="Arial"/>
          <w:sz w:val="20"/>
          <w:szCs w:val="20"/>
        </w:rPr>
        <w:t>Les positions, le nombre et les type de détecteurs devront être choisis en fonction des contraintes d’environnement, notamment les hauteurs sous-plafond, l’angle d’inclinaison du plafond par rapport au sol, le type de local, etc.</w:t>
      </w:r>
    </w:p>
    <w:p>
      <w:pPr>
        <w:pStyle w:val="Msiresume"/>
        <w:spacing w:before="280" w:after="280"/>
        <w:jc w:val="both"/>
        <w:rPr>
          <w:rFonts w:ascii="Arial" w:hAnsi="Arial"/>
          <w:sz w:val="20"/>
          <w:szCs w:val="20"/>
        </w:rPr>
      </w:pPr>
      <w:r>
        <w:rPr>
          <w:rFonts w:ascii="Arial" w:hAnsi="Arial"/>
          <w:sz w:val="20"/>
          <w:szCs w:val="20"/>
        </w:rPr>
        <w:t>Chaque détecteur devra être équipé d'une étiquette comportant sa zone et son adresse. Le type d’étiquetage sera dans la mesure du possible conforme à la spécification G1 de la Dirif, en cas de dérogation nécessitée par la configuration des lieux ou le type de support, celle-ci devra être validée par le maître d’œuvre.</w:t>
      </w:r>
    </w:p>
    <w:p>
      <w:pPr>
        <w:pStyle w:val="Titre4"/>
        <w:rPr/>
      </w:pPr>
      <w:bookmarkStart w:id="809" w:name="_Toc32334766"/>
      <w:r>
        <w:rPr/>
        <w:t>Déclencheurs manuels</w:t>
      </w:r>
      <w:bookmarkEnd w:id="809"/>
    </w:p>
    <w:p>
      <w:pPr>
        <w:pStyle w:val="Msiresume"/>
        <w:spacing w:before="280" w:after="280"/>
        <w:jc w:val="both"/>
        <w:rPr>
          <w:rFonts w:ascii="Arial" w:hAnsi="Arial"/>
          <w:sz w:val="20"/>
          <w:szCs w:val="20"/>
        </w:rPr>
      </w:pPr>
      <w:r>
        <w:rPr>
          <w:rFonts w:ascii="Arial" w:hAnsi="Arial"/>
          <w:sz w:val="20"/>
          <w:szCs w:val="20"/>
        </w:rPr>
        <w:t>Comme indiqué précédemment, les déclencheurs manuels ne devront pas être raccordés sur une boucle sur laquelle des détecteurs adressables sont présents.</w:t>
      </w:r>
    </w:p>
    <w:p>
      <w:pPr>
        <w:pStyle w:val="Msiresume"/>
        <w:spacing w:before="280" w:after="280"/>
        <w:jc w:val="both"/>
        <w:rPr>
          <w:rFonts w:ascii="Arial" w:hAnsi="Arial"/>
          <w:sz w:val="20"/>
          <w:szCs w:val="20"/>
        </w:rPr>
      </w:pPr>
      <w:r>
        <w:rPr>
          <w:rFonts w:ascii="Arial" w:hAnsi="Arial"/>
          <w:sz w:val="20"/>
          <w:szCs w:val="20"/>
        </w:rPr>
        <w:t>Ils devront être installés dans un endroit facilement accessible. Ils ne doivent pas être placés derrière une ouverture de porte, ou tout autre obstacle limitant leur accès.</w:t>
      </w:r>
    </w:p>
    <w:p>
      <w:pPr>
        <w:pStyle w:val="Msiresume"/>
        <w:spacing w:before="280" w:after="280"/>
        <w:jc w:val="both"/>
        <w:rPr>
          <w:rFonts w:ascii="Arial" w:hAnsi="Arial"/>
          <w:sz w:val="20"/>
          <w:szCs w:val="20"/>
        </w:rPr>
      </w:pPr>
      <w:r>
        <w:rPr>
          <w:rFonts w:ascii="Arial" w:hAnsi="Arial"/>
          <w:sz w:val="20"/>
          <w:szCs w:val="20"/>
        </w:rPr>
        <w:t>La hauteur d’installation de ces détecteurs par rapport au sol, devra être se situer entre 1 m et 1m30 au maximum. En l’absence de contraintes, ils seront installés à 1m de hauteur.</w:t>
      </w:r>
    </w:p>
    <w:p>
      <w:pPr>
        <w:pStyle w:val="Msiresume"/>
        <w:spacing w:before="280" w:after="280"/>
        <w:jc w:val="both"/>
        <w:rPr>
          <w:rFonts w:ascii="Arial" w:hAnsi="Arial"/>
          <w:sz w:val="20"/>
          <w:szCs w:val="20"/>
        </w:rPr>
      </w:pPr>
      <w:r>
        <w:rPr>
          <w:rFonts w:ascii="Arial" w:hAnsi="Arial"/>
          <w:sz w:val="20"/>
          <w:szCs w:val="20"/>
        </w:rPr>
        <w:t>L’épaisseur de l’ensemble constituant le déclencheur manuel ne devra pas excéder 10cm.</w:t>
      </w:r>
    </w:p>
    <w:p>
      <w:pPr>
        <w:pStyle w:val="Titre4"/>
        <w:rPr/>
      </w:pPr>
      <w:bookmarkStart w:id="810" w:name="_Toc32334767"/>
      <w:r>
        <w:rPr/>
        <w:t>Sirènes</w:t>
      </w:r>
      <w:bookmarkEnd w:id="810"/>
    </w:p>
    <w:p>
      <w:pPr>
        <w:pStyle w:val="Msiresume"/>
        <w:spacing w:before="280" w:after="280"/>
        <w:jc w:val="both"/>
        <w:rPr>
          <w:rFonts w:ascii="Arial" w:hAnsi="Arial"/>
          <w:sz w:val="20"/>
          <w:szCs w:val="20"/>
        </w:rPr>
      </w:pPr>
      <w:r>
        <w:rPr>
          <w:rFonts w:ascii="Arial" w:hAnsi="Arial"/>
          <w:sz w:val="20"/>
          <w:szCs w:val="20"/>
        </w:rPr>
        <w:t>La règle principale pour les sirènes est qu'elles doivent être audibles dans tout le bâtiment et placées au minimum à 2.25m du sol.</w:t>
      </w:r>
    </w:p>
    <w:p>
      <w:pPr>
        <w:pStyle w:val="Msiresume"/>
        <w:spacing w:before="280" w:after="280"/>
        <w:jc w:val="both"/>
        <w:rPr>
          <w:rFonts w:ascii="Arial" w:hAnsi="Arial"/>
          <w:sz w:val="20"/>
          <w:szCs w:val="20"/>
        </w:rPr>
      </w:pPr>
      <w:r>
        <w:rPr>
          <w:rFonts w:ascii="Arial" w:hAnsi="Arial"/>
          <w:sz w:val="20"/>
          <w:szCs w:val="20"/>
        </w:rPr>
        <w:t>Les équipements installés devront satisfaire aux prescriptions de la norme NF S 61-936.</w:t>
      </w:r>
    </w:p>
    <w:p>
      <w:pPr>
        <w:pStyle w:val="Titre4"/>
        <w:rPr/>
      </w:pPr>
      <w:bookmarkStart w:id="811" w:name="_Toc32334768"/>
      <w:r>
        <w:rPr/>
        <w:t>Asservissement des équipements de climatisation.</w:t>
      </w:r>
      <w:bookmarkEnd w:id="811"/>
    </w:p>
    <w:p>
      <w:pPr>
        <w:pStyle w:val="Msiresume"/>
        <w:spacing w:before="280" w:after="280"/>
        <w:jc w:val="both"/>
        <w:rPr>
          <w:rFonts w:ascii="Arial" w:hAnsi="Arial"/>
          <w:sz w:val="20"/>
          <w:szCs w:val="20"/>
        </w:rPr>
      </w:pPr>
      <w:r>
        <w:rPr>
          <w:rFonts w:ascii="Arial" w:hAnsi="Arial"/>
          <w:sz w:val="20"/>
          <w:szCs w:val="20"/>
        </w:rPr>
        <w:t>Les systèmes de climatisation devront pouvoir être coupés automatiquement en cas d’incendie de manière à éviter la propagation de l’incendie en soufflant sur celui-ci.</w:t>
      </w:r>
    </w:p>
    <w:p>
      <w:pPr>
        <w:pStyle w:val="Msiresume"/>
        <w:spacing w:before="280" w:after="280"/>
        <w:jc w:val="both"/>
        <w:rPr>
          <w:rFonts w:ascii="Arial" w:hAnsi="Arial"/>
          <w:sz w:val="20"/>
          <w:szCs w:val="20"/>
        </w:rPr>
      </w:pPr>
      <w:r>
        <w:rPr>
          <w:rFonts w:ascii="Arial" w:hAnsi="Arial"/>
          <w:sz w:val="20"/>
          <w:szCs w:val="20"/>
        </w:rPr>
        <w:t>Ces coupures devront pouvoir être réalisées par la centrale par l’intermédiaire, par exemple, de contacts secs.</w:t>
      </w:r>
    </w:p>
    <w:p>
      <w:pPr>
        <w:pStyle w:val="Corpsdetexte"/>
        <w:rPr>
          <w:highlight w:val="cyan"/>
        </w:rPr>
      </w:pPr>
      <w:r>
        <w:rPr>
          <w:highlight w:val="cyan"/>
        </w:rPr>
      </w:r>
    </w:p>
    <w:p>
      <w:pPr>
        <w:pStyle w:val="Corpsdetexte"/>
        <w:rPr>
          <w:highlight w:val="yellow"/>
        </w:rPr>
      </w:pPr>
      <w:r>
        <w:rPr>
          <w:highlight w:val="yellow"/>
        </w:rPr>
      </w:r>
    </w:p>
    <w:p>
      <w:pPr>
        <w:pStyle w:val="Normal"/>
        <w:jc w:val="left"/>
        <w:rPr>
          <w:highlight w:val="yellow"/>
        </w:rPr>
      </w:pPr>
      <w:r>
        <w:rPr>
          <w:highlight w:val="yellow"/>
        </w:rPr>
      </w:r>
      <w:r>
        <w:br w:type="page"/>
      </w:r>
    </w:p>
    <w:p>
      <w:pPr>
        <w:pStyle w:val="Titre2"/>
        <w:tabs>
          <w:tab w:val="clear" w:pos="0"/>
          <w:tab w:val="clear" w:pos="8789"/>
          <w:tab w:val="left" w:pos="426" w:leader="none"/>
        </w:tabs>
        <w:ind w:left="0" w:hanging="0"/>
        <w:rPr/>
      </w:pPr>
      <w:bookmarkStart w:id="812" w:name="_Toc32334769"/>
      <w:r>
        <w:rPr/>
        <w:t>Cloisonnement</w:t>
      </w:r>
      <w:bookmarkEnd w:id="812"/>
    </w:p>
    <w:p>
      <w:pPr>
        <w:pStyle w:val="Titre3"/>
        <w:rPr/>
      </w:pPr>
      <w:bookmarkStart w:id="813" w:name="_Toc32334770"/>
      <w:r>
        <w:rPr/>
        <w:t>Performances générales attendues</w:t>
      </w:r>
      <w:bookmarkEnd w:id="813"/>
    </w:p>
    <w:p>
      <w:pPr>
        <w:pStyle w:val="Normal"/>
        <w:spacing w:before="0" w:after="120"/>
        <w:rPr/>
      </w:pPr>
      <w:r>
        <w:rPr/>
      </w:r>
    </w:p>
    <w:p>
      <w:pPr>
        <w:pStyle w:val="Normal"/>
        <w:spacing w:before="0" w:after="120"/>
        <w:rPr/>
      </w:pPr>
      <w:r>
        <w:rPr/>
        <w:t>Ces ouvrages seront exécutés en conformité avec les documents suivants :</w:t>
      </w:r>
    </w:p>
    <w:p>
      <w:pPr>
        <w:pStyle w:val="Puce112pts"/>
        <w:numPr>
          <w:ilvl w:val="0"/>
          <w:numId w:val="0"/>
        </w:numPr>
        <w:ind w:left="0" w:hanging="0"/>
        <w:rPr>
          <w:sz w:val="20"/>
          <w:szCs w:val="20"/>
        </w:rPr>
      </w:pPr>
      <w:r>
        <w:rPr>
          <w:sz w:val="20"/>
          <w:szCs w:val="20"/>
        </w:rPr>
        <w:t>DTU n° 25.1</w:t>
        <w:tab/>
        <w:t>de juillet 85 et additif de mai 78 et additif n° 2 applicables aux travaux d'enduit intérieur en plâtre</w:t>
      </w:r>
    </w:p>
    <w:p>
      <w:pPr>
        <w:pStyle w:val="Puce112pts"/>
        <w:numPr>
          <w:ilvl w:val="0"/>
          <w:numId w:val="0"/>
        </w:numPr>
        <w:ind w:left="0" w:hanging="0"/>
        <w:rPr>
          <w:sz w:val="20"/>
          <w:szCs w:val="20"/>
        </w:rPr>
      </w:pPr>
      <w:r>
        <w:rPr>
          <w:sz w:val="20"/>
          <w:szCs w:val="20"/>
        </w:rPr>
        <w:t>DTU n° 25.31</w:t>
        <w:tab/>
        <w:t>de juin 85, applicable aux ouvrages verticaux de plâtrerie ne nécessitant pas l'application d'un enduit plâtre.</w:t>
      </w:r>
    </w:p>
    <w:p>
      <w:pPr>
        <w:pStyle w:val="Puce112pts"/>
        <w:numPr>
          <w:ilvl w:val="0"/>
          <w:numId w:val="0"/>
        </w:numPr>
        <w:ind w:left="0" w:hanging="0"/>
        <w:rPr>
          <w:sz w:val="20"/>
          <w:szCs w:val="20"/>
        </w:rPr>
      </w:pPr>
      <w:r>
        <w:rPr>
          <w:sz w:val="20"/>
          <w:szCs w:val="20"/>
        </w:rPr>
        <w:t>DTU n° 25.41</w:t>
        <w:tab/>
        <w:t>de septembre 81 et erratum, applicable aux ouvrages en plaques de parement en plâtre (plaques à faces cartonnées) sur ossature.</w:t>
      </w:r>
    </w:p>
    <w:p>
      <w:pPr>
        <w:pStyle w:val="Puce112pts"/>
        <w:numPr>
          <w:ilvl w:val="0"/>
          <w:numId w:val="0"/>
        </w:numPr>
        <w:ind w:left="0" w:hanging="0"/>
        <w:rPr>
          <w:sz w:val="20"/>
          <w:szCs w:val="20"/>
        </w:rPr>
      </w:pPr>
      <w:r>
        <w:rPr>
          <w:sz w:val="20"/>
          <w:szCs w:val="20"/>
        </w:rPr>
        <w:t>DTU n° 25.42</w:t>
        <w:tab/>
        <w:t>relatif aux cloisons de doublage.</w:t>
      </w:r>
    </w:p>
    <w:p>
      <w:pPr>
        <w:pStyle w:val="Normal"/>
        <w:spacing w:before="0" w:after="120"/>
        <w:rPr/>
      </w:pPr>
      <w:r>
        <w:rPr/>
        <w:t xml:space="preserve">Cahier des Charges CERFF. </w:t>
      </w:r>
    </w:p>
    <w:p>
      <w:pPr>
        <w:pStyle w:val="Corpsdetexte"/>
        <w:spacing w:before="200" w:after="120"/>
        <w:rPr/>
      </w:pPr>
      <w:r>
        <w:rPr/>
        <w:t>Pour ce qui concerne le présent corps d’état, il est précisé les points complémentaires suivants :</w:t>
      </w:r>
    </w:p>
    <w:p>
      <w:pPr>
        <w:pStyle w:val="Normal"/>
        <w:spacing w:before="0" w:after="120"/>
        <w:rPr/>
      </w:pPr>
      <w:r>
        <w:rPr/>
        <w:t>Les notes de calculs doivent préciser :</w:t>
      </w:r>
    </w:p>
    <w:p>
      <w:pPr>
        <w:pStyle w:val="TEXTE"/>
        <w:numPr>
          <w:ilvl w:val="0"/>
          <w:numId w:val="27"/>
        </w:numPr>
        <w:spacing w:before="0" w:after="120"/>
        <w:ind w:left="714" w:hanging="357"/>
        <w:rPr/>
      </w:pPr>
      <w:r>
        <w:rPr/>
        <w:t>Les conditions de résistance des fixations des cloisons.</w:t>
      </w:r>
    </w:p>
    <w:p>
      <w:pPr>
        <w:pStyle w:val="TEXTE"/>
        <w:numPr>
          <w:ilvl w:val="0"/>
          <w:numId w:val="27"/>
        </w:numPr>
        <w:spacing w:before="0" w:after="120"/>
        <w:ind w:left="714" w:hanging="357"/>
        <w:rPr/>
      </w:pPr>
      <w:r>
        <w:rPr/>
        <w:t>L’isolation thermique et acoustique.</w:t>
      </w:r>
    </w:p>
    <w:p>
      <w:pPr>
        <w:pStyle w:val="Normal"/>
        <w:spacing w:before="0" w:after="120"/>
        <w:rPr/>
      </w:pPr>
      <w:r>
        <w:rPr/>
        <w:t>Les plans d’exécution doivent préciser :</w:t>
      </w:r>
    </w:p>
    <w:p>
      <w:pPr>
        <w:pStyle w:val="TEXTE"/>
        <w:numPr>
          <w:ilvl w:val="0"/>
          <w:numId w:val="27"/>
        </w:numPr>
        <w:spacing w:before="0" w:after="120"/>
        <w:ind w:left="714" w:hanging="357"/>
        <w:rPr/>
      </w:pPr>
      <w:r>
        <w:rPr/>
        <w:t>Tous détails et coupes nécessaires à la bonne exécution des ouvrages.</w:t>
      </w:r>
    </w:p>
    <w:p>
      <w:pPr>
        <w:pStyle w:val="Corpsdetexte"/>
        <w:spacing w:before="200" w:after="120"/>
        <w:rPr/>
      </w:pPr>
      <w:r>
        <w:rPr/>
        <w:t>Le présent corps d'état devra réaliser :</w:t>
      </w:r>
    </w:p>
    <w:p>
      <w:pPr>
        <w:pStyle w:val="TEXTE"/>
        <w:numPr>
          <w:ilvl w:val="0"/>
          <w:numId w:val="27"/>
        </w:numPr>
        <w:spacing w:before="0" w:after="120"/>
        <w:ind w:left="714" w:hanging="357"/>
        <w:rPr/>
      </w:pPr>
      <w:r>
        <w:rPr/>
        <w:t>La reconstitution des degrés CF de traversées des cloisons au droit des traversées de réseaux.</w:t>
      </w:r>
    </w:p>
    <w:p>
      <w:pPr>
        <w:pStyle w:val="TEXTE"/>
        <w:numPr>
          <w:ilvl w:val="0"/>
          <w:numId w:val="27"/>
        </w:numPr>
        <w:spacing w:before="0" w:after="120"/>
        <w:ind w:left="714" w:hanging="357"/>
        <w:rPr/>
      </w:pPr>
      <w:r>
        <w:rPr/>
        <w:t>Le bourrage par matériaux CF dans les huisseries ou au pourtour des prébâtis.</w:t>
      </w:r>
    </w:p>
    <w:p>
      <w:pPr>
        <w:pStyle w:val="TEXTE"/>
        <w:numPr>
          <w:ilvl w:val="0"/>
          <w:numId w:val="27"/>
        </w:numPr>
        <w:spacing w:before="0" w:after="120"/>
        <w:ind w:left="714" w:hanging="357"/>
        <w:rPr/>
      </w:pPr>
      <w:r>
        <w:rPr/>
        <w:t>La mise en œuvre de parement à classement M0 dans les circulations.</w:t>
      </w:r>
    </w:p>
    <w:p>
      <w:pPr>
        <w:pStyle w:val="Titre3"/>
        <w:rPr/>
      </w:pPr>
      <w:bookmarkStart w:id="814" w:name="_Toc32334771"/>
      <w:r>
        <w:rPr/>
        <w:t>Définition</w:t>
      </w:r>
      <w:bookmarkEnd w:id="814"/>
    </w:p>
    <w:p>
      <w:pPr>
        <w:pStyle w:val="Normal"/>
        <w:jc w:val="left"/>
        <w:rPr/>
      </w:pPr>
      <w:r>
        <w:rPr/>
      </w:r>
    </w:p>
    <w:p>
      <w:pPr>
        <w:pStyle w:val="Normal"/>
        <w:rPr/>
      </w:pPr>
      <w:r>
        <w:rPr/>
        <w:t>Cloison dont les éléments arrivent totalement finis sur le chantier. Les éléments constitutifs sont facilement démontables et remontables sans dégradation. Ils sont en outre interchangeables entre eux (panneaux pleins, panneaux vitrés, panneaux portes) et conservent leurs qualités propres, quel que soit le nombre de leurs déplacements.</w:t>
      </w:r>
    </w:p>
    <w:p>
      <w:pPr>
        <w:pStyle w:val="Normal"/>
        <w:rPr/>
      </w:pPr>
      <w:r>
        <w:rPr/>
      </w:r>
    </w:p>
    <w:p>
      <w:pPr>
        <w:pStyle w:val="Normal"/>
        <w:rPr/>
      </w:pPr>
      <w:r>
        <w:rPr/>
        <w:t>Les cloisons doivent être désolidarisées du gros-œuvre par l'interposition de matériaux résilients ; respecter des jeux de quelques millimètres pour absorber les déformations du gros-œuvre et les variations dimensionnelles. L'étanchéité des raccordements doit être réalisée avec un soin particulier pour conserver les qualités acoustiques et le comportement au feu.</w:t>
      </w:r>
    </w:p>
    <w:p>
      <w:pPr>
        <w:pStyle w:val="Normal"/>
        <w:rPr/>
      </w:pPr>
      <w:r>
        <w:rPr/>
      </w:r>
    </w:p>
    <w:p>
      <w:pPr>
        <w:pStyle w:val="Normal"/>
        <w:rPr/>
      </w:pPr>
      <w:r>
        <w:rPr/>
        <w:t>Les cloisons doivent présenter un parement fini ou revêtu en usine d’un vinyle.</w:t>
      </w:r>
    </w:p>
    <w:p>
      <w:pPr>
        <w:pStyle w:val="Normal"/>
        <w:jc w:val="left"/>
        <w:rPr>
          <w:rFonts w:cs="Arial"/>
        </w:rPr>
      </w:pPr>
      <w:r>
        <w:rPr>
          <w:rFonts w:cs="Arial"/>
        </w:rPr>
      </w:r>
    </w:p>
    <w:p>
      <w:pPr>
        <w:pStyle w:val="Normal"/>
        <w:rPr/>
      </w:pPr>
      <w:r>
        <w:rPr/>
        <w:t>De nombreux fils électriques doivent être incorporés dans des cloisons, avec pose de prises et avec possibilité d'évolution dans le temps. Les cloisons proposées doivent tenir compte de ce fait.</w:t>
      </w:r>
    </w:p>
    <w:p>
      <w:pPr>
        <w:pStyle w:val="Normal"/>
        <w:rPr/>
      </w:pPr>
      <w:r>
        <w:rPr/>
      </w:r>
    </w:p>
    <w:p>
      <w:pPr>
        <w:pStyle w:val="Normal"/>
        <w:rPr/>
      </w:pPr>
      <w:r>
        <w:rPr/>
        <w:t>L'entrepreneur aura l'initiative de choisir la dimension des panneaux à mettre en œuvre, selon la trame qui conviendra le mieux au type de cloison retenu, et dans l'optique d'une bonne rentabilité des découpes.</w:t>
      </w:r>
    </w:p>
    <w:p>
      <w:pPr>
        <w:pStyle w:val="Corpsdetexte"/>
        <w:rPr/>
      </w:pPr>
      <w:r>
        <w:rPr/>
        <w:t>Toutes les cloisons venant buter en façade devront faire l'objet d'un traitement phonique particulier avec joints appropriés.</w:t>
      </w:r>
    </w:p>
    <w:p>
      <w:pPr>
        <w:pStyle w:val="Corpsdetexte"/>
        <w:rPr>
          <w:rFonts w:cs="Arial"/>
          <w:color w:val="000000"/>
        </w:rPr>
      </w:pPr>
      <w:r>
        <w:rPr>
          <w:rFonts w:cs="Arial"/>
          <w:color w:val="000000"/>
        </w:rPr>
        <w:t>Les parois verticales devront être équipées de matériaux absorbants afin d’éviter les phénomènes de réverbération et de transmission de bruit aux locaux adjacents.</w:t>
      </w:r>
    </w:p>
    <w:p>
      <w:pPr>
        <w:pStyle w:val="Titre3"/>
        <w:rPr/>
      </w:pPr>
      <w:bookmarkStart w:id="815" w:name="_Toc32334772"/>
      <w:r>
        <w:rPr/>
        <w:t>Cloisons modulaires</w:t>
      </w:r>
      <w:bookmarkEnd w:id="815"/>
    </w:p>
    <w:p>
      <w:pPr>
        <w:pStyle w:val="Titre4"/>
        <w:rPr/>
      </w:pPr>
      <w:bookmarkStart w:id="816" w:name="_Toc32334773"/>
      <w:r>
        <w:rPr/>
        <w:t>Cloisons pleines</w:t>
      </w:r>
      <w:bookmarkEnd w:id="816"/>
    </w:p>
    <w:p>
      <w:pPr>
        <w:pStyle w:val="Normal"/>
        <w:rPr/>
      </w:pPr>
      <w:r>
        <w:rPr/>
      </w:r>
    </w:p>
    <w:p>
      <w:pPr>
        <w:pStyle w:val="Normal"/>
        <w:spacing w:before="0" w:after="120"/>
        <w:rPr/>
      </w:pPr>
      <w:r>
        <w:rPr/>
        <w:t>Les cloisons modulaires auront les propriétés suivantes :</w:t>
      </w:r>
    </w:p>
    <w:p>
      <w:pPr>
        <w:pStyle w:val="TEXTE"/>
        <w:numPr>
          <w:ilvl w:val="0"/>
          <w:numId w:val="27"/>
        </w:numPr>
        <w:spacing w:before="0" w:after="120"/>
        <w:ind w:left="714" w:hanging="357"/>
        <w:rPr/>
      </w:pPr>
      <w:r>
        <w:rPr/>
        <w:t>Ossature aluminium tubulaire. Épaisseur 96mm ;</w:t>
      </w:r>
    </w:p>
    <w:p>
      <w:pPr>
        <w:pStyle w:val="TEXTE"/>
        <w:numPr>
          <w:ilvl w:val="0"/>
          <w:numId w:val="27"/>
        </w:numPr>
        <w:spacing w:before="0" w:after="120"/>
        <w:ind w:left="714" w:hanging="357"/>
        <w:rPr/>
      </w:pPr>
      <w:r>
        <w:rPr/>
        <w:t>Hauteur totale de 3000 mm ;</w:t>
      </w:r>
    </w:p>
    <w:p>
      <w:pPr>
        <w:pStyle w:val="TEXTE"/>
        <w:numPr>
          <w:ilvl w:val="0"/>
          <w:numId w:val="27"/>
        </w:numPr>
        <w:spacing w:before="0" w:after="120"/>
        <w:ind w:left="714" w:hanging="357"/>
        <w:rPr/>
      </w:pPr>
      <w:r>
        <w:rPr/>
        <w:t>Rattrapage haut de hors niveau par ressort télescopique. Profil haut: Lisse ;</w:t>
      </w:r>
    </w:p>
    <w:p>
      <w:pPr>
        <w:pStyle w:val="TEXTE"/>
        <w:numPr>
          <w:ilvl w:val="0"/>
          <w:numId w:val="27"/>
        </w:numPr>
        <w:spacing w:before="0" w:after="120"/>
        <w:ind w:left="714" w:hanging="357"/>
        <w:rPr/>
      </w:pPr>
      <w:r>
        <w:rPr/>
        <w:t>Profil bas: Lisse ;</w:t>
      </w:r>
    </w:p>
    <w:p>
      <w:pPr>
        <w:pStyle w:val="TEXTE"/>
        <w:numPr>
          <w:ilvl w:val="0"/>
          <w:numId w:val="27"/>
        </w:numPr>
        <w:spacing w:before="0" w:after="120"/>
        <w:ind w:left="714" w:hanging="357"/>
        <w:rPr/>
      </w:pPr>
      <w:r>
        <w:rPr/>
        <w:t>Profil bas: Profil discontinu ;</w:t>
      </w:r>
    </w:p>
    <w:p>
      <w:pPr>
        <w:pStyle w:val="TEXTE"/>
        <w:numPr>
          <w:ilvl w:val="0"/>
          <w:numId w:val="27"/>
        </w:numPr>
        <w:spacing w:before="0" w:after="120"/>
        <w:ind w:left="714" w:hanging="357"/>
        <w:rPr/>
      </w:pPr>
      <w:r>
        <w:rPr/>
        <w:t>Finition de l'ossature, au choix, en teinte Gris RAL 7012 ou Blanc RAL Couvre joint lisse ;</w:t>
      </w:r>
    </w:p>
    <w:p>
      <w:pPr>
        <w:pStyle w:val="TEXTE"/>
        <w:numPr>
          <w:ilvl w:val="0"/>
          <w:numId w:val="27"/>
        </w:numPr>
        <w:spacing w:before="0" w:after="120"/>
        <w:ind w:left="714" w:hanging="357"/>
        <w:rPr/>
      </w:pPr>
      <w:r>
        <w:rPr/>
        <w:t>Battée arrondie pour module porte.</w:t>
      </w:r>
    </w:p>
    <w:p>
      <w:pPr>
        <w:pStyle w:val="Normal"/>
        <w:spacing w:before="0" w:after="120"/>
        <w:jc w:val="left"/>
        <w:rPr/>
      </w:pPr>
      <w:r>
        <w:rPr/>
        <w:t>Pour les parties pleines :</w:t>
      </w:r>
    </w:p>
    <w:p>
      <w:pPr>
        <w:pStyle w:val="TEXTE"/>
        <w:numPr>
          <w:ilvl w:val="0"/>
          <w:numId w:val="27"/>
        </w:numPr>
        <w:spacing w:before="0" w:after="120"/>
        <w:ind w:left="714" w:hanging="357"/>
        <w:rPr/>
      </w:pPr>
      <w:r>
        <w:rPr/>
        <w:t>Panneau plâtre 13mm + Panneau plâtre 13mm + PAR85 ;</w:t>
      </w:r>
    </w:p>
    <w:p>
      <w:pPr>
        <w:pStyle w:val="TEXTE"/>
        <w:numPr>
          <w:ilvl w:val="0"/>
          <w:numId w:val="27"/>
        </w:numPr>
        <w:spacing w:before="0" w:after="120"/>
        <w:ind w:left="714" w:hanging="357"/>
        <w:rPr/>
      </w:pPr>
      <w:r>
        <w:rPr/>
        <w:t xml:space="preserve">Coloris à soumettre à l’approbation de l’Exploitant. </w:t>
      </w:r>
    </w:p>
    <w:p>
      <w:pPr>
        <w:pStyle w:val="Titre4"/>
        <w:rPr/>
      </w:pPr>
      <w:bookmarkStart w:id="817" w:name="_Toc32334774"/>
      <w:r>
        <w:rPr/>
        <w:t>Cloisons vitrées</w:t>
      </w:r>
      <w:bookmarkEnd w:id="817"/>
    </w:p>
    <w:p>
      <w:pPr>
        <w:pStyle w:val="Normal"/>
        <w:spacing w:before="0" w:after="120"/>
        <w:jc w:val="left"/>
        <w:rPr/>
      </w:pPr>
      <w:r>
        <w:rPr/>
      </w:r>
    </w:p>
    <w:p>
      <w:pPr>
        <w:pStyle w:val="Normal"/>
        <w:spacing w:before="0" w:after="120"/>
        <w:jc w:val="left"/>
        <w:rPr/>
      </w:pPr>
      <w:r>
        <w:rPr/>
        <w:t>Les caractéristiques des cloisons vitrées font l’objet de l’étude d’ergonomie jointe en annexe.</w:t>
      </w:r>
    </w:p>
    <w:p>
      <w:pPr>
        <w:pStyle w:val="Titre3"/>
        <w:rPr/>
      </w:pPr>
      <w:bookmarkStart w:id="818" w:name="_Toc32334775"/>
      <w:r>
        <w:rPr/>
        <w:t>Cloisons en carreaux de plâtre</w:t>
      </w:r>
      <w:bookmarkEnd w:id="818"/>
    </w:p>
    <w:p>
      <w:pPr>
        <w:pStyle w:val="TEXTE"/>
        <w:rPr/>
      </w:pPr>
      <w:r>
        <w:rPr/>
        <w:t>Mise en œuvre de cloisons en carreaux de plâtre hydrofugé de type PF3 de 70mm d’épaisseur.</w:t>
      </w:r>
    </w:p>
    <w:p>
      <w:pPr>
        <w:pStyle w:val="TEXTE"/>
        <w:rPr/>
      </w:pPr>
      <w:r>
        <w:rPr/>
        <w:t>Mise en œuvre conformément à la norme NF P 72-202-1 (Référence DTU 25.31 - CCT) et aux prescriptions du fabricant.</w:t>
      </w:r>
    </w:p>
    <w:p>
      <w:pPr>
        <w:pStyle w:val="TEXTE"/>
        <w:rPr/>
      </w:pPr>
      <w:r>
        <w:rPr/>
        <w:t>Le bourrage en tête est réalisé, soit par bande résiliente et blocage PF3, soit par joint souple injecté.</w:t>
      </w:r>
    </w:p>
    <w:p>
      <w:pPr>
        <w:pStyle w:val="TEXTE"/>
        <w:rPr/>
      </w:pPr>
      <w:r>
        <w:rPr/>
        <w:t>Pour les pièces humides liaisons avec le sol soit par rail plastique et colle pour longueur maximum de 3,50 m, soit par colle PF3 et carreaux PF3 Hydro montés en 1er rang.</w:t>
      </w:r>
    </w:p>
    <w:p>
      <w:pPr>
        <w:pStyle w:val="TEXTE"/>
        <w:rPr/>
      </w:pPr>
      <w:r>
        <w:rPr/>
        <w:t xml:space="preserve">Tous les angles saillants seront montés avec des cornières de renfort d’angle. </w:t>
      </w:r>
    </w:p>
    <w:p>
      <w:pPr>
        <w:pStyle w:val="TEXTE"/>
        <w:rPr/>
      </w:pPr>
      <w:r>
        <w:rPr/>
        <w:t>Dans les pièces humides, ces cloisons doivent êtres visées par un avis technique précisant les dispositions à adopter pour les revêtements et les pieds de cloisons. Avis technique à communiquer au bureau de contrôle.</w:t>
      </w:r>
    </w:p>
    <w:p>
      <w:pPr>
        <w:pStyle w:val="TEXTE"/>
        <w:rPr/>
      </w:pPr>
      <w:r>
        <w:rPr/>
        <w:t>Cloisons toute hauteur : de dalle à dalle.</w:t>
      </w:r>
    </w:p>
    <w:p>
      <w:pPr>
        <w:pStyle w:val="Corpsdetexte"/>
        <w:spacing w:before="200" w:after="120"/>
        <w:rPr/>
      </w:pPr>
      <w:r>
        <w:rPr/>
        <w:t>Finition des cloisons comme suit :</w:t>
      </w:r>
    </w:p>
    <w:p>
      <w:pPr>
        <w:pStyle w:val="TEXTE"/>
        <w:numPr>
          <w:ilvl w:val="0"/>
          <w:numId w:val="27"/>
        </w:numPr>
        <w:spacing w:before="0" w:after="120"/>
        <w:ind w:left="714" w:hanging="357"/>
        <w:rPr/>
      </w:pPr>
      <w:r>
        <w:rPr/>
        <w:t>Sur les surfaces devant recevoir un revêtement céramique collé, traitement des joints sur une largeur de 0.20 avec un enduit spécial préconisé par le fabricant et ponçage ;</w:t>
      </w:r>
    </w:p>
    <w:p>
      <w:pPr>
        <w:pStyle w:val="TEXTE"/>
        <w:numPr>
          <w:ilvl w:val="0"/>
          <w:numId w:val="27"/>
        </w:numPr>
        <w:spacing w:before="0" w:after="120"/>
        <w:ind w:left="714" w:hanging="357"/>
        <w:rPr/>
      </w:pPr>
      <w:r>
        <w:rPr/>
        <w:t>Sur toutes les autres surfaces, ragréage des joints et exécution d’un ratissage général à l’enduit spécial.</w:t>
      </w:r>
    </w:p>
    <w:p>
      <w:pPr>
        <w:pStyle w:val="Titre3"/>
        <w:rPr/>
      </w:pPr>
      <w:bookmarkStart w:id="819" w:name="_Toc32334776"/>
      <w:bookmarkStart w:id="820" w:name="_Toc64338023"/>
      <w:bookmarkStart w:id="821" w:name="_Toc61163714"/>
      <w:bookmarkStart w:id="822" w:name="_Toc55635474"/>
      <w:bookmarkStart w:id="823" w:name="_Toc15374648"/>
      <w:bookmarkStart w:id="824" w:name="_Toc12337486"/>
      <w:bookmarkStart w:id="825" w:name="_Toc506893781"/>
      <w:r>
        <w:rPr/>
        <w:t>Mise en œuvre des cloisons en plaques sèches</w:t>
      </w:r>
      <w:bookmarkEnd w:id="819"/>
      <w:bookmarkEnd w:id="820"/>
      <w:bookmarkEnd w:id="821"/>
      <w:bookmarkEnd w:id="822"/>
      <w:bookmarkEnd w:id="823"/>
      <w:bookmarkEnd w:id="824"/>
      <w:bookmarkEnd w:id="825"/>
    </w:p>
    <w:p>
      <w:pPr>
        <w:pStyle w:val="Corpsdetexte"/>
        <w:rPr/>
      </w:pPr>
      <w:r>
        <w:rPr/>
        <w:t>Les panneaux seront posés de telle sorte que deux panneaux contigus ne présentent pas de désaffleurement &gt; à 1 mm, entre les deux arêtes en regard. La tolérance d'alignement entre 2 points extrêmes sous une règle de 2 mm ne devra pas excéder 5 mm ; l'aplomb devra être réel tel que l'écart avec la verticale sur une règle de 2,00 m n'excède pas 3 mm.</w:t>
      </w:r>
    </w:p>
    <w:p>
      <w:pPr>
        <w:pStyle w:val="Corpsdetexte"/>
        <w:rPr/>
      </w:pPr>
      <w:r>
        <w:rPr/>
        <w:t>L'épaisseur des joints entre panneaux ou plaques ne devra pas excéder 2 mm.</w:t>
      </w:r>
    </w:p>
    <w:p>
      <w:pPr>
        <w:pStyle w:val="Corpsdetexte"/>
        <w:rPr/>
      </w:pPr>
      <w:r>
        <w:rPr/>
        <w:t>Tout défaut de régularité géométrique apparent sera sanctionné par le refus des cloisons et leur réfection après démolition.</w:t>
      </w:r>
    </w:p>
    <w:p>
      <w:pPr>
        <w:pStyle w:val="Corpsdetexte"/>
        <w:rPr>
          <w:b/>
          <w:b/>
        </w:rPr>
      </w:pPr>
      <w:r>
        <w:rPr/>
        <w:t>Le stockage doit en outre être organisé de façon à mettre les plaques à l'abri des chocs ou salissures survenant du fait de l'activité du chantier.</w:t>
      </w:r>
    </w:p>
    <w:p>
      <w:pPr>
        <w:pStyle w:val="Titre3"/>
        <w:rPr/>
      </w:pPr>
      <w:bookmarkStart w:id="826" w:name="_Toc32334777"/>
      <w:r>
        <w:rPr/>
        <w:t>Mise en œuvre des cloisons en carreaux de plâtre</w:t>
      </w:r>
      <w:bookmarkEnd w:id="826"/>
    </w:p>
    <w:p>
      <w:pPr>
        <w:pStyle w:val="Titre4"/>
        <w:rPr/>
      </w:pPr>
      <w:bookmarkStart w:id="827" w:name="_Toc32334778"/>
      <w:r>
        <w:rPr/>
        <w:t>Carreaux de plâtre à parement lisse</w:t>
      </w:r>
      <w:bookmarkEnd w:id="827"/>
      <w:r>
        <w:rPr/>
        <w:t xml:space="preserve"> </w:t>
      </w:r>
    </w:p>
    <w:p>
      <w:pPr>
        <w:pStyle w:val="Corpsdetexte"/>
        <w:rPr/>
      </w:pPr>
      <w:r>
        <w:rPr/>
        <w:t>Les carreaux utilisés doivent répondre aux spécifications de la Norme NF P 72301 et susceptibles de recevoir les finitions, telles que peinture, sans exécution préalable d'un enduit traditionnel au plâtre, sous réserve de préparations habituelles avant mise en peinture.</w:t>
      </w:r>
    </w:p>
    <w:p>
      <w:pPr>
        <w:pStyle w:val="Titre4"/>
        <w:rPr/>
      </w:pPr>
      <w:bookmarkStart w:id="828" w:name="_Toc32334779"/>
      <w:r>
        <w:rPr/>
        <w:t>Tolérance de planimétrie</w:t>
      </w:r>
      <w:bookmarkEnd w:id="828"/>
      <w:r>
        <w:rPr/>
        <w:t xml:space="preserve"> </w:t>
      </w:r>
    </w:p>
    <w:p>
      <w:pPr>
        <w:pStyle w:val="Corpsdetexte"/>
        <w:rPr/>
      </w:pPr>
      <w:r>
        <w:rPr/>
        <w:t>Une règle de 2 m appliquée sur le parement de la cloison et promenée en tous sens ne doit pas faire apparaître, entre le point le plus saillant et le point le plus en retrait, un écart supérieur à 5 mm.</w:t>
      </w:r>
    </w:p>
    <w:p>
      <w:pPr>
        <w:pStyle w:val="Titre4"/>
        <w:rPr/>
      </w:pPr>
      <w:bookmarkStart w:id="829" w:name="_Toc32334780"/>
      <w:r>
        <w:rPr/>
        <w:t>Planitude locale</w:t>
      </w:r>
      <w:bookmarkEnd w:id="829"/>
      <w:r>
        <w:rPr/>
        <w:t xml:space="preserve"> </w:t>
      </w:r>
    </w:p>
    <w:p>
      <w:pPr>
        <w:pStyle w:val="Corpsdetexte"/>
        <w:rPr/>
      </w:pPr>
      <w:r>
        <w:rPr/>
        <w:t>Une règle de 0,20 m appliquée sur le montant de la cloison au droit des joints ne doit pas faire apparaître, entre le point le plus saillant et le point le plus en retrait, un écart supérieur à 0,5 mm, ni manque, ni changement de plan brutal entre carreaux.</w:t>
      </w:r>
    </w:p>
    <w:p>
      <w:pPr>
        <w:pStyle w:val="Titre4"/>
        <w:rPr/>
      </w:pPr>
      <w:bookmarkStart w:id="830" w:name="_Toc32334781"/>
      <w:r>
        <w:rPr/>
        <w:t>Mise en œuvre</w:t>
      </w:r>
      <w:bookmarkEnd w:id="830"/>
      <w:r>
        <w:rPr/>
        <w:t xml:space="preserve"> </w:t>
      </w:r>
    </w:p>
    <w:p>
      <w:pPr>
        <w:pStyle w:val="Corpsdetexte"/>
        <w:rPr/>
      </w:pPr>
      <w:r>
        <w:rPr/>
        <w:t>La jonction de carreaux entre eux doit être réalisée par une colle dont l'aptitude de cet emploi a été sanctionnée par un avis technique.</w:t>
      </w:r>
    </w:p>
    <w:p>
      <w:pPr>
        <w:pStyle w:val="Corpsdetexte"/>
        <w:rPr/>
      </w:pPr>
      <w:r>
        <w:rPr/>
        <w:t>Les carreaux sont posés à l'avancement, généralement la plus grande dimension dans le sens horizontal, assise par assise.</w:t>
      </w:r>
    </w:p>
    <w:p>
      <w:pPr>
        <w:pStyle w:val="Corpsdetexte"/>
        <w:rPr/>
      </w:pPr>
      <w:r>
        <w:rPr/>
        <w:t>Les joints verticaux sont décalés d'une assise sur l'autre d'au moins trois fois l'épaisseur de la cloison, à l'exception du dernier rang dont les carreaux peuvent être montés, la plus grande dimension dans le sens vertical, à condition que les profils des tranches latérales et longitudinales des carreaux soient compatibles.</w:t>
      </w:r>
    </w:p>
    <w:p>
      <w:pPr>
        <w:pStyle w:val="Titre2"/>
        <w:tabs>
          <w:tab w:val="clear" w:pos="0"/>
          <w:tab w:val="clear" w:pos="8789"/>
          <w:tab w:val="left" w:pos="426" w:leader="none"/>
        </w:tabs>
        <w:ind w:left="0" w:hanging="0"/>
        <w:rPr/>
      </w:pPr>
      <w:bookmarkStart w:id="831" w:name="_Toc32334782"/>
      <w:r>
        <w:rPr/>
        <w:t>menuiseries</w:t>
      </w:r>
      <w:bookmarkEnd w:id="831"/>
    </w:p>
    <w:p>
      <w:pPr>
        <w:pStyle w:val="Titre3"/>
        <w:rPr/>
      </w:pPr>
      <w:bookmarkStart w:id="832" w:name="_Toc32334783"/>
      <w:r>
        <w:rPr/>
        <w:t>Performances générales attendues</w:t>
      </w:r>
      <w:bookmarkEnd w:id="832"/>
    </w:p>
    <w:p>
      <w:pPr>
        <w:pStyle w:val="Corpsdetexte"/>
        <w:rPr/>
      </w:pPr>
      <w:r>
        <w:rPr/>
        <w:t>Principaux documents et règles de menuiserie bois :</w:t>
      </w:r>
    </w:p>
    <w:p>
      <w:pPr>
        <w:pStyle w:val="TEXTE"/>
        <w:numPr>
          <w:ilvl w:val="0"/>
          <w:numId w:val="27"/>
        </w:numPr>
        <w:spacing w:before="0" w:after="120"/>
        <w:ind w:left="714" w:hanging="357"/>
        <w:rPr/>
      </w:pPr>
      <w:r>
        <w:rPr/>
        <w:t>D.T.U. n°36.1 travaux de menuiserie bois.</w:t>
      </w:r>
    </w:p>
    <w:p>
      <w:pPr>
        <w:pStyle w:val="TEXTE"/>
        <w:numPr>
          <w:ilvl w:val="0"/>
          <w:numId w:val="27"/>
        </w:numPr>
        <w:spacing w:before="0" w:after="120"/>
        <w:ind w:left="714" w:hanging="357"/>
        <w:rPr/>
      </w:pPr>
      <w:r>
        <w:rPr/>
        <w:t>Règles AFNOR.</w:t>
      </w:r>
    </w:p>
    <w:p>
      <w:pPr>
        <w:pStyle w:val="TEXTE"/>
        <w:numPr>
          <w:ilvl w:val="0"/>
          <w:numId w:val="27"/>
        </w:numPr>
        <w:spacing w:before="0" w:after="120"/>
        <w:ind w:left="714" w:hanging="357"/>
        <w:rPr/>
      </w:pPr>
      <w:r>
        <w:rPr/>
        <w:t>Cahiers des Charges ou Cahiers des Clauses Techniques D.T.U (ainsi que les Cahiers des Clauses Spéciales correspondants).</w:t>
      </w:r>
    </w:p>
    <w:p>
      <w:pPr>
        <w:pStyle w:val="TEXTE"/>
        <w:numPr>
          <w:ilvl w:val="0"/>
          <w:numId w:val="27"/>
        </w:numPr>
        <w:spacing w:before="0" w:after="120"/>
        <w:ind w:left="714" w:hanging="357"/>
        <w:rPr/>
      </w:pPr>
      <w:r>
        <w:rPr/>
        <w:t>Normes TECMAVER.</w:t>
      </w:r>
    </w:p>
    <w:p>
      <w:pPr>
        <w:pStyle w:val="TEXTE"/>
        <w:numPr>
          <w:ilvl w:val="0"/>
          <w:numId w:val="27"/>
        </w:numPr>
        <w:spacing w:before="0" w:after="120"/>
        <w:ind w:left="714" w:hanging="357"/>
        <w:rPr/>
      </w:pPr>
      <w:r>
        <w:rPr/>
        <w:t>Cahier des Prescriptions Techniques Générales applicables aux travaux de serrurerie, quincaillerie, ferronnerie (Cahier du CSTB n°91).</w:t>
      </w:r>
    </w:p>
    <w:p>
      <w:pPr>
        <w:pStyle w:val="TEXTE"/>
        <w:numPr>
          <w:ilvl w:val="0"/>
          <w:numId w:val="27"/>
        </w:numPr>
        <w:spacing w:before="0" w:after="120"/>
        <w:ind w:left="714" w:hanging="357"/>
        <w:rPr/>
      </w:pPr>
      <w:r>
        <w:rPr/>
        <w:t>Prescriptions des fabricants pour la pose ou l’application des produits.</w:t>
      </w:r>
    </w:p>
    <w:p>
      <w:pPr>
        <w:pStyle w:val="Titre3"/>
        <w:rPr/>
      </w:pPr>
      <w:bookmarkStart w:id="833" w:name="_Toc32334784"/>
      <w:r>
        <w:rPr/>
        <w:t>Porte vitrée en aluminium (salle de crise, salle de pause)</w:t>
      </w:r>
      <w:bookmarkEnd w:id="833"/>
    </w:p>
    <w:p>
      <w:pPr>
        <w:pStyle w:val="Corpsdetexte"/>
        <w:spacing w:before="0" w:after="0"/>
        <w:rPr/>
      </w:pPr>
      <w:r>
        <w:rPr/>
      </w:r>
    </w:p>
    <w:p>
      <w:pPr>
        <w:pStyle w:val="TEXTE"/>
        <w:numPr>
          <w:ilvl w:val="0"/>
          <w:numId w:val="27"/>
        </w:numPr>
        <w:spacing w:before="0" w:after="120"/>
        <w:ind w:left="714" w:hanging="357"/>
        <w:rPr/>
      </w:pPr>
      <w:r>
        <w:rPr/>
        <w:t xml:space="preserve">Porte à ossature aluminium ; </w:t>
      </w:r>
    </w:p>
    <w:p>
      <w:pPr>
        <w:pStyle w:val="TEXTE"/>
        <w:numPr>
          <w:ilvl w:val="0"/>
          <w:numId w:val="27"/>
        </w:numPr>
        <w:spacing w:before="0" w:after="120"/>
        <w:ind w:left="714" w:hanging="357"/>
        <w:rPr/>
      </w:pPr>
      <w:r>
        <w:rPr/>
        <w:t>Taille: 2031 x 930 mm ;</w:t>
      </w:r>
    </w:p>
    <w:p>
      <w:pPr>
        <w:pStyle w:val="TEXTE"/>
        <w:numPr>
          <w:ilvl w:val="0"/>
          <w:numId w:val="27"/>
        </w:numPr>
        <w:spacing w:before="0" w:after="120"/>
        <w:ind w:left="714" w:hanging="357"/>
        <w:rPr/>
      </w:pPr>
      <w:r>
        <w:rPr/>
        <w:t>Remplissage sous parcloses PVC ;</w:t>
      </w:r>
    </w:p>
    <w:p>
      <w:pPr>
        <w:pStyle w:val="TEXTE"/>
        <w:numPr>
          <w:ilvl w:val="0"/>
          <w:numId w:val="27"/>
        </w:numPr>
        <w:spacing w:before="0" w:after="120"/>
        <w:ind w:left="714" w:hanging="357"/>
        <w:rPr/>
      </w:pPr>
      <w:r>
        <w:rPr/>
        <w:t>Porte entièrement vitrée (simple vitrage clair feuilleté 33/2) ;</w:t>
      </w:r>
    </w:p>
    <w:p>
      <w:pPr>
        <w:pStyle w:val="TEXTE"/>
        <w:numPr>
          <w:ilvl w:val="0"/>
          <w:numId w:val="27"/>
        </w:numPr>
        <w:spacing w:before="0" w:after="120"/>
        <w:ind w:left="714" w:hanging="357"/>
        <w:rPr/>
      </w:pPr>
      <w:r>
        <w:rPr/>
        <w:t>Ferrage par 2 paumelles, Anodisé BRO ;</w:t>
      </w:r>
    </w:p>
    <w:p>
      <w:pPr>
        <w:pStyle w:val="TEXTE"/>
        <w:numPr>
          <w:ilvl w:val="0"/>
          <w:numId w:val="27"/>
        </w:numPr>
        <w:spacing w:before="0" w:after="120"/>
        <w:ind w:left="714" w:hanging="357"/>
        <w:rPr/>
      </w:pPr>
      <w:r>
        <w:rPr/>
        <w:t xml:space="preserve">Serrure à mortaiser, Canon européen standard ; </w:t>
      </w:r>
    </w:p>
    <w:p>
      <w:pPr>
        <w:pStyle w:val="TEXTE"/>
        <w:numPr>
          <w:ilvl w:val="0"/>
          <w:numId w:val="27"/>
        </w:numPr>
        <w:spacing w:before="0" w:after="120"/>
        <w:ind w:left="714" w:hanging="357"/>
        <w:rPr/>
      </w:pPr>
      <w:r>
        <w:rPr/>
        <w:t>Béquille inox sur rosace ronde.</w:t>
      </w:r>
    </w:p>
    <w:p>
      <w:pPr>
        <w:pStyle w:val="Titre3"/>
        <w:rPr/>
      </w:pPr>
      <w:bookmarkStart w:id="834" w:name="_Toc32334785"/>
      <w:r>
        <w:rPr/>
        <w:t>Portes pleines battantes</w:t>
      </w:r>
      <w:bookmarkEnd w:id="834"/>
    </w:p>
    <w:p>
      <w:pPr>
        <w:pStyle w:val="Corpsdetexte"/>
        <w:spacing w:before="0" w:after="0"/>
        <w:rPr/>
      </w:pPr>
      <w:r>
        <w:rPr/>
      </w:r>
    </w:p>
    <w:p>
      <w:pPr>
        <w:pStyle w:val="TEXTE"/>
        <w:numPr>
          <w:ilvl w:val="0"/>
          <w:numId w:val="27"/>
        </w:numPr>
        <w:spacing w:before="0" w:after="120"/>
        <w:ind w:left="714" w:hanging="357"/>
        <w:rPr/>
      </w:pPr>
      <w:r>
        <w:rPr/>
        <w:t xml:space="preserve">Porte bois âme pleine, Stratifiée ; </w:t>
      </w:r>
    </w:p>
    <w:p>
      <w:pPr>
        <w:pStyle w:val="TEXTE"/>
        <w:numPr>
          <w:ilvl w:val="0"/>
          <w:numId w:val="27"/>
        </w:numPr>
        <w:spacing w:before="0" w:after="120"/>
        <w:ind w:left="714" w:hanging="357"/>
        <w:rPr/>
      </w:pPr>
      <w:r>
        <w:rPr/>
        <w:t>Coloris Blanc PH5522, Gris uni PH2779, Hêtre de Tolède PF8933, Chêne de fil naturel PC098 à définir par l’exploitant ;</w:t>
      </w:r>
    </w:p>
    <w:p>
      <w:pPr>
        <w:pStyle w:val="TEXTE"/>
        <w:numPr>
          <w:ilvl w:val="0"/>
          <w:numId w:val="27"/>
        </w:numPr>
        <w:spacing w:before="0" w:after="120"/>
        <w:ind w:left="714" w:hanging="357"/>
        <w:rPr/>
      </w:pPr>
      <w:r>
        <w:rPr/>
        <w:t>Taille: 2040 x 930 mm ;</w:t>
      </w:r>
    </w:p>
    <w:p>
      <w:pPr>
        <w:pStyle w:val="TEXTE"/>
        <w:numPr>
          <w:ilvl w:val="0"/>
          <w:numId w:val="27"/>
        </w:numPr>
        <w:spacing w:before="0" w:after="120"/>
        <w:ind w:left="714" w:hanging="357"/>
        <w:rPr/>
      </w:pPr>
      <w:r>
        <w:rPr/>
        <w:t>Ferrage par 2 paumelles, Anodisé BRO ;</w:t>
      </w:r>
    </w:p>
    <w:p>
      <w:pPr>
        <w:pStyle w:val="TEXTE"/>
        <w:numPr>
          <w:ilvl w:val="0"/>
          <w:numId w:val="27"/>
        </w:numPr>
        <w:spacing w:before="0" w:after="120"/>
        <w:ind w:left="714" w:hanging="357"/>
        <w:rPr/>
      </w:pPr>
      <w:r>
        <w:rPr/>
        <w:t>Serrure à mortaiser, Canon européen standard ;</w:t>
      </w:r>
    </w:p>
    <w:p>
      <w:pPr>
        <w:pStyle w:val="TEXTE"/>
        <w:numPr>
          <w:ilvl w:val="0"/>
          <w:numId w:val="27"/>
        </w:numPr>
        <w:spacing w:before="0" w:after="120"/>
        <w:ind w:left="714" w:hanging="357"/>
        <w:rPr/>
      </w:pPr>
      <w:r>
        <w:rPr/>
        <w:t xml:space="preserve">Béquille inox sur rosace ronde, poignée en vague. </w:t>
      </w:r>
    </w:p>
    <w:p>
      <w:pPr>
        <w:pStyle w:val="Titre2"/>
        <w:tabs>
          <w:tab w:val="clear" w:pos="0"/>
          <w:tab w:val="clear" w:pos="8789"/>
          <w:tab w:val="left" w:pos="426" w:leader="none"/>
        </w:tabs>
        <w:ind w:left="0" w:hanging="0"/>
        <w:rPr/>
      </w:pPr>
      <w:bookmarkStart w:id="835" w:name="_Toc32334786"/>
      <w:r>
        <w:rPr/>
        <w:t>faux-planchers</w:t>
      </w:r>
      <w:bookmarkEnd w:id="835"/>
    </w:p>
    <w:p>
      <w:pPr>
        <w:pStyle w:val="Titre3"/>
        <w:rPr/>
      </w:pPr>
      <w:bookmarkStart w:id="836" w:name="_Toc32334787"/>
      <w:r>
        <w:rPr/>
        <w:t>Performances générales attendues</w:t>
      </w:r>
      <w:bookmarkEnd w:id="836"/>
    </w:p>
    <w:p>
      <w:pPr>
        <w:pStyle w:val="Corpsdetexte"/>
        <w:rPr/>
      </w:pPr>
      <w:r>
        <w:rPr/>
        <w:t>Principaux documents et règles de menuiserie bois :</w:t>
      </w:r>
    </w:p>
    <w:p>
      <w:pPr>
        <w:pStyle w:val="TEXTE"/>
        <w:numPr>
          <w:ilvl w:val="0"/>
          <w:numId w:val="27"/>
        </w:numPr>
        <w:spacing w:before="0" w:after="120"/>
        <w:ind w:left="714" w:hanging="357"/>
        <w:rPr/>
      </w:pPr>
      <w:r>
        <w:rPr/>
        <w:t>Les règles techniques d'exécution des ouvrages énoncées dans les Cahiers des Charges des D.T.U (Documents Techniques Unifiés) :</w:t>
      </w:r>
    </w:p>
    <w:p>
      <w:pPr>
        <w:pStyle w:val="P2"/>
        <w:numPr>
          <w:ilvl w:val="1"/>
          <w:numId w:val="21"/>
        </w:numPr>
        <w:spacing w:before="120" w:after="120"/>
        <w:rPr>
          <w:rFonts w:eastAsia="Calibri" w:eastAsiaTheme="minorHAnsi"/>
          <w:lang w:eastAsia="en-US"/>
        </w:rPr>
      </w:pPr>
      <w:r>
        <w:rPr>
          <w:rFonts w:eastAsia="Calibri" w:eastAsiaTheme="minorHAnsi"/>
          <w:lang w:eastAsia="en-US"/>
        </w:rPr>
        <w:t>36.1 - Menuiserie en bois</w:t>
      </w:r>
    </w:p>
    <w:p>
      <w:pPr>
        <w:pStyle w:val="P2"/>
        <w:numPr>
          <w:ilvl w:val="1"/>
          <w:numId w:val="21"/>
        </w:numPr>
        <w:spacing w:before="120" w:after="120"/>
        <w:rPr>
          <w:rFonts w:eastAsia="Calibri" w:eastAsiaTheme="minorHAnsi"/>
          <w:lang w:eastAsia="en-US"/>
        </w:rPr>
      </w:pPr>
      <w:r>
        <w:rPr>
          <w:rFonts w:eastAsia="Calibri" w:eastAsiaTheme="minorHAnsi"/>
          <w:lang w:eastAsia="en-US"/>
        </w:rPr>
        <w:t>36.1 Travaux de menuiseries en bois</w:t>
      </w:r>
    </w:p>
    <w:p>
      <w:pPr>
        <w:pStyle w:val="P2"/>
        <w:numPr>
          <w:ilvl w:val="1"/>
          <w:numId w:val="21"/>
        </w:numPr>
        <w:spacing w:before="120" w:after="120"/>
        <w:rPr>
          <w:rFonts w:eastAsia="Calibri" w:eastAsiaTheme="minorHAnsi"/>
          <w:lang w:eastAsia="en-US"/>
        </w:rPr>
      </w:pPr>
      <w:r>
        <w:rPr>
          <w:rFonts w:eastAsia="Calibri" w:eastAsiaTheme="minorHAnsi"/>
          <w:lang w:eastAsia="en-US"/>
        </w:rPr>
        <w:t>37.1 Menuiseries métalliques</w:t>
      </w:r>
    </w:p>
    <w:p>
      <w:pPr>
        <w:pStyle w:val="P2"/>
        <w:numPr>
          <w:ilvl w:val="1"/>
          <w:numId w:val="21"/>
        </w:numPr>
        <w:spacing w:before="120" w:after="120"/>
        <w:rPr>
          <w:rFonts w:eastAsia="Calibri" w:eastAsiaTheme="minorHAnsi"/>
          <w:lang w:eastAsia="en-US"/>
        </w:rPr>
      </w:pPr>
      <w:r>
        <w:rPr>
          <w:rFonts w:eastAsia="Calibri" w:eastAsiaTheme="minorHAnsi"/>
          <w:lang w:eastAsia="en-US"/>
        </w:rPr>
        <w:t>51.3 Planchers bois ou en panneaux dérivés de bois</w:t>
      </w:r>
    </w:p>
    <w:p>
      <w:pPr>
        <w:pStyle w:val="TEXTE"/>
        <w:numPr>
          <w:ilvl w:val="0"/>
          <w:numId w:val="27"/>
        </w:numPr>
        <w:spacing w:before="0" w:after="120"/>
        <w:ind w:left="714" w:hanging="357"/>
        <w:rPr/>
      </w:pPr>
      <w:r>
        <w:rPr/>
        <w:t>Les prescriptions ayant valeur de Cahier des Charges D.T.U (Documents Techniques Unifiés) ;</w:t>
      </w:r>
    </w:p>
    <w:p>
      <w:pPr>
        <w:pStyle w:val="TEXTE"/>
        <w:numPr>
          <w:ilvl w:val="0"/>
          <w:numId w:val="27"/>
        </w:numPr>
        <w:spacing w:before="0" w:after="120"/>
        <w:ind w:left="714" w:hanging="357"/>
        <w:rPr/>
      </w:pPr>
      <w:r>
        <w:rPr/>
        <w:t>Les Règles de calcul D.T.U (Documents Techniques Unifiés) ;</w:t>
      </w:r>
    </w:p>
    <w:p>
      <w:pPr>
        <w:pStyle w:val="TEXTE"/>
        <w:numPr>
          <w:ilvl w:val="0"/>
          <w:numId w:val="27"/>
        </w:numPr>
        <w:spacing w:before="0" w:after="120"/>
        <w:ind w:left="714" w:hanging="357"/>
        <w:rPr/>
      </w:pPr>
      <w:r>
        <w:rPr/>
        <w:t>Les Cahiers du C.S.T.B (Centre Scientifique et Technique du bâtiment).</w:t>
      </w:r>
    </w:p>
    <w:p>
      <w:pPr>
        <w:pStyle w:val="Corpsdetexte"/>
        <w:rPr/>
      </w:pPr>
      <w:r>
        <w:rPr/>
        <w:t>Les matériaux ne bénéficiant pas d'un Avis Technique du C.S.T.B doivent avoir fait l'objet d'une enquête favorable de la part d'un contrôleur d'assurance dont l'attestation est à fournir au Maître d’œuvre.</w:t>
      </w:r>
    </w:p>
    <w:p>
      <w:pPr>
        <w:pStyle w:val="Titre3"/>
        <w:rPr/>
      </w:pPr>
      <w:bookmarkStart w:id="837" w:name="_Toc32334788"/>
      <w:r>
        <w:rPr/>
        <w:t>Spécifications des faux-planchers</w:t>
      </w:r>
      <w:bookmarkEnd w:id="837"/>
    </w:p>
    <w:p>
      <w:pPr>
        <w:pStyle w:val="TEXTE"/>
        <w:spacing w:before="200" w:after="120"/>
        <w:rPr/>
      </w:pPr>
      <w:r>
        <w:rPr/>
        <w:t xml:space="preserve">Le faux-plancher sera conforme à la norme NF.P.67-102 avec les caractéristiques suivantes : </w:t>
      </w:r>
    </w:p>
    <w:p>
      <w:pPr>
        <w:pStyle w:val="TEXTE"/>
        <w:numPr>
          <w:ilvl w:val="0"/>
          <w:numId w:val="27"/>
        </w:numPr>
        <w:spacing w:before="0" w:after="120"/>
        <w:ind w:left="714" w:hanging="357"/>
        <w:rPr/>
      </w:pPr>
      <w:r>
        <w:rPr/>
        <w:t xml:space="preserve">Classe : 2 (salles de contrôle) ; </w:t>
      </w:r>
    </w:p>
    <w:p>
      <w:pPr>
        <w:pStyle w:val="TEXTE"/>
        <w:numPr>
          <w:ilvl w:val="0"/>
          <w:numId w:val="27"/>
        </w:numPr>
        <w:spacing w:before="0" w:after="120"/>
        <w:ind w:left="714" w:hanging="357"/>
        <w:rPr/>
      </w:pPr>
      <w:r>
        <w:rPr/>
        <w:t xml:space="preserve">Résistance aux efforts verticaux : &gt; 300 daN/m2 ; </w:t>
      </w:r>
    </w:p>
    <w:p>
      <w:pPr>
        <w:pStyle w:val="TEXTE"/>
        <w:numPr>
          <w:ilvl w:val="0"/>
          <w:numId w:val="27"/>
        </w:numPr>
        <w:spacing w:before="0" w:after="120"/>
        <w:ind w:left="714" w:hanging="357"/>
        <w:rPr/>
      </w:pPr>
      <w:r>
        <w:rPr/>
        <w:t>Liaison équipotentielle et mise à la terre de l’ensemble des planchers ;</w:t>
      </w:r>
    </w:p>
    <w:p>
      <w:pPr>
        <w:pStyle w:val="TEXTE"/>
        <w:numPr>
          <w:ilvl w:val="0"/>
          <w:numId w:val="27"/>
        </w:numPr>
        <w:spacing w:before="0" w:after="120"/>
        <w:ind w:left="714" w:hanging="357"/>
        <w:rPr/>
      </w:pPr>
      <w:r>
        <w:rPr/>
        <w:t xml:space="preserve">Liaison électrique transversale : résistance électrique transversale comprise entre 1.107 et 1.109 ohms (norme NF.P.67-103-1) ; </w:t>
      </w:r>
    </w:p>
    <w:p>
      <w:pPr>
        <w:pStyle w:val="TEXTE"/>
        <w:numPr>
          <w:ilvl w:val="0"/>
          <w:numId w:val="27"/>
        </w:numPr>
        <w:spacing w:before="0" w:after="120"/>
        <w:ind w:left="714" w:hanging="357"/>
        <w:rPr/>
      </w:pPr>
      <w:r>
        <w:rPr/>
        <w:t xml:space="preserve">Planéité et horizontalité selon la norme NF.P.67-103-1.  </w:t>
      </w:r>
    </w:p>
    <w:p>
      <w:pPr>
        <w:pStyle w:val="Titre2"/>
        <w:tabs>
          <w:tab w:val="clear" w:pos="0"/>
          <w:tab w:val="clear" w:pos="8789"/>
          <w:tab w:val="left" w:pos="426" w:leader="none"/>
        </w:tabs>
        <w:ind w:left="0" w:hanging="0"/>
        <w:rPr/>
      </w:pPr>
      <w:bookmarkStart w:id="838" w:name="_Toc32334789"/>
      <w:r>
        <w:rPr/>
        <w:t>faux-plafonds</w:t>
      </w:r>
      <w:bookmarkEnd w:id="838"/>
    </w:p>
    <w:p>
      <w:pPr>
        <w:pStyle w:val="Titre3"/>
        <w:rPr/>
      </w:pPr>
      <w:bookmarkStart w:id="839" w:name="_Toc32334790"/>
      <w:r>
        <w:rPr/>
        <w:t>Règlements et normes applicables</w:t>
      </w:r>
      <w:bookmarkEnd w:id="839"/>
    </w:p>
    <w:p>
      <w:pPr>
        <w:pStyle w:val="TEXTE"/>
        <w:spacing w:before="200" w:after="120"/>
        <w:rPr/>
      </w:pPr>
      <w:r>
        <w:rPr/>
        <w:t>Les ouvrages seront exécutés en conformité avec les documents suivants :</w:t>
      </w:r>
    </w:p>
    <w:p>
      <w:pPr>
        <w:pStyle w:val="P1"/>
        <w:numPr>
          <w:ilvl w:val="0"/>
          <w:numId w:val="28"/>
        </w:numPr>
        <w:tabs>
          <w:tab w:val="clear" w:pos="8789"/>
        </w:tabs>
        <w:spacing w:before="0" w:after="120"/>
        <w:ind w:left="714" w:hanging="357"/>
        <w:rPr>
          <w:lang w:val="fr-FR"/>
        </w:rPr>
      </w:pPr>
      <w:r>
        <w:rPr>
          <w:lang w:val="fr-FR"/>
        </w:rPr>
        <w:t>DTU 25.41 de septembre 81 et erratum, applicables aux ouvrages en plaques de parement en plâtre (plaques à faces cartonnées) sur ossature</w:t>
      </w:r>
    </w:p>
    <w:p>
      <w:pPr>
        <w:pStyle w:val="P1"/>
        <w:numPr>
          <w:ilvl w:val="0"/>
          <w:numId w:val="28"/>
        </w:numPr>
        <w:tabs>
          <w:tab w:val="clear" w:pos="8789"/>
        </w:tabs>
        <w:spacing w:before="0" w:after="120"/>
        <w:ind w:left="714" w:hanging="357"/>
        <w:rPr>
          <w:lang w:val="fr-FR"/>
        </w:rPr>
      </w:pPr>
      <w:r>
        <w:rPr>
          <w:lang w:val="fr-FR"/>
        </w:rPr>
        <w:t>DTU 58.1 de juillet 93, applicable aux travaux de plafonds suspendus ;</w:t>
      </w:r>
    </w:p>
    <w:p>
      <w:pPr>
        <w:pStyle w:val="P1"/>
        <w:numPr>
          <w:ilvl w:val="0"/>
          <w:numId w:val="28"/>
        </w:numPr>
        <w:tabs>
          <w:tab w:val="clear" w:pos="8789"/>
        </w:tabs>
        <w:spacing w:before="0" w:after="120"/>
        <w:ind w:left="714" w:hanging="357"/>
        <w:rPr>
          <w:lang w:val="fr-FR"/>
        </w:rPr>
      </w:pPr>
      <w:r>
        <w:rPr>
          <w:lang w:val="fr-FR"/>
        </w:rPr>
        <w:t>Les normes AFNOR ;</w:t>
      </w:r>
    </w:p>
    <w:p>
      <w:pPr>
        <w:pStyle w:val="P1"/>
        <w:numPr>
          <w:ilvl w:val="0"/>
          <w:numId w:val="28"/>
        </w:numPr>
        <w:tabs>
          <w:tab w:val="clear" w:pos="8789"/>
        </w:tabs>
        <w:spacing w:before="0" w:after="120"/>
        <w:ind w:left="714" w:hanging="357"/>
        <w:rPr>
          <w:lang w:val="fr-FR"/>
        </w:rPr>
      </w:pPr>
      <w:r>
        <w:rPr>
          <w:lang w:val="fr-FR"/>
        </w:rPr>
        <w:t>Le décret n° 57.1161 du 17 octobre 1957 et arrêté du 4 juin 1973 concernant le classement des matériaux au feu ;</w:t>
      </w:r>
    </w:p>
    <w:p>
      <w:pPr>
        <w:pStyle w:val="P1"/>
        <w:numPr>
          <w:ilvl w:val="0"/>
          <w:numId w:val="28"/>
        </w:numPr>
        <w:tabs>
          <w:tab w:val="clear" w:pos="8789"/>
        </w:tabs>
        <w:spacing w:before="0" w:after="120"/>
        <w:ind w:left="714" w:hanging="357"/>
        <w:rPr>
          <w:lang w:val="fr-FR"/>
        </w:rPr>
      </w:pPr>
      <w:r>
        <w:rPr>
          <w:lang w:val="fr-FR"/>
        </w:rPr>
        <w:t>Les avis techniques du CSTB pour tous les matériaux et procédés entrant dans les travaux du présent lot ;</w:t>
      </w:r>
    </w:p>
    <w:p>
      <w:pPr>
        <w:pStyle w:val="P1"/>
        <w:numPr>
          <w:ilvl w:val="0"/>
          <w:numId w:val="28"/>
        </w:numPr>
        <w:tabs>
          <w:tab w:val="clear" w:pos="8789"/>
        </w:tabs>
        <w:spacing w:before="0" w:after="120"/>
        <w:ind w:left="714" w:hanging="357"/>
        <w:rPr>
          <w:lang w:val="fr-FR"/>
        </w:rPr>
      </w:pPr>
      <w:r>
        <w:rPr>
          <w:lang w:val="fr-FR"/>
        </w:rPr>
        <w:t>L’ensemble des textes officiels en vigueur.</w:t>
      </w:r>
    </w:p>
    <w:p>
      <w:pPr>
        <w:pStyle w:val="Titre3"/>
        <w:rPr/>
      </w:pPr>
      <w:bookmarkStart w:id="840" w:name="_Toc32334791"/>
      <w:bookmarkStart w:id="841" w:name="_Toc64338363"/>
      <w:bookmarkStart w:id="842" w:name="_Toc61167082"/>
      <w:bookmarkStart w:id="843" w:name="_Toc55638445"/>
      <w:bookmarkStart w:id="844" w:name="_Toc36373906"/>
      <w:bookmarkStart w:id="845" w:name="_Toc12259512"/>
      <w:r>
        <w:rPr/>
        <w:t>Spécifications générales</w:t>
      </w:r>
      <w:bookmarkEnd w:id="841"/>
      <w:bookmarkEnd w:id="842"/>
      <w:bookmarkEnd w:id="843"/>
      <w:bookmarkEnd w:id="844"/>
      <w:bookmarkEnd w:id="845"/>
      <w:r>
        <w:rPr/>
        <w:t xml:space="preserve"> de mise en œuvre</w:t>
      </w:r>
      <w:bookmarkEnd w:id="840"/>
    </w:p>
    <w:p>
      <w:pPr>
        <w:pStyle w:val="Titre7"/>
        <w:keepLines/>
        <w:tabs>
          <w:tab w:val="clear" w:pos="425"/>
          <w:tab w:val="clear" w:pos="8789"/>
          <w:tab w:val="left" w:pos="357" w:leader="none"/>
        </w:tabs>
        <w:spacing w:before="240" w:after="240"/>
        <w:ind w:left="357" w:hanging="357"/>
        <w:rPr>
          <w:u w:val="single"/>
        </w:rPr>
      </w:pPr>
      <w:r>
        <w:rPr>
          <w:u w:val="single"/>
        </w:rPr>
        <w:t>Conditions mécaniques des ossatures supports</w:t>
      </w:r>
    </w:p>
    <w:p>
      <w:pPr>
        <w:pStyle w:val="Corpsdetexte"/>
        <w:rPr/>
      </w:pPr>
      <w:r>
        <w:rPr/>
        <w:t>Par assimilation, l’entrepreneur se conformera pour le calcul des conditions mécaniques, aux dispositions des règles de conception de calcul des charpentes métalliques (DTU n° 32.1).</w:t>
      </w:r>
    </w:p>
    <w:p>
      <w:pPr>
        <w:pStyle w:val="Titre7"/>
        <w:keepLines/>
        <w:tabs>
          <w:tab w:val="clear" w:pos="425"/>
          <w:tab w:val="clear" w:pos="8789"/>
          <w:tab w:val="left" w:pos="357" w:leader="none"/>
        </w:tabs>
        <w:spacing w:before="0" w:after="240"/>
        <w:ind w:left="357" w:hanging="357"/>
        <w:rPr>
          <w:u w:val="single"/>
        </w:rPr>
      </w:pPr>
      <w:r>
        <w:rPr>
          <w:u w:val="single"/>
        </w:rPr>
        <w:t>Tolérances sur alignement et aplomb des structures porteuses béton</w:t>
      </w:r>
    </w:p>
    <w:p>
      <w:pPr>
        <w:pStyle w:val="Corpsdetexte"/>
        <w:rPr/>
      </w:pPr>
      <w:r>
        <w:rPr/>
        <w:t>Pour le choix des dispositifs de fixations sur l’ossature béton, l’entrepreneur du présent lot devra tenir compte des tolérances admises concernant l’alignement et l’aplomb des structures porteuses béton armé définies au DTU.</w:t>
      </w:r>
    </w:p>
    <w:p>
      <w:pPr>
        <w:pStyle w:val="Titre7"/>
        <w:keepLines/>
        <w:tabs>
          <w:tab w:val="clear" w:pos="425"/>
          <w:tab w:val="clear" w:pos="8789"/>
          <w:tab w:val="left" w:pos="357" w:leader="none"/>
        </w:tabs>
        <w:spacing w:before="0" w:after="240"/>
        <w:ind w:left="357" w:hanging="357"/>
        <w:rPr>
          <w:u w:val="single"/>
        </w:rPr>
      </w:pPr>
      <w:r>
        <w:rPr>
          <w:u w:val="single"/>
        </w:rPr>
        <w:t>Conditions de fixations sur structure porteuse béton</w:t>
      </w:r>
    </w:p>
    <w:p>
      <w:pPr>
        <w:pStyle w:val="Corpsdetexte"/>
        <w:rPr/>
      </w:pPr>
      <w:r>
        <w:rPr/>
        <w:t>Les dispositifs de fixations de l’ossature primaire sur structure porteuse béton seront étudiés de façon à absorber les tolérances d’alignement et d’aplomb, mais toutefois présenter des ensembles rigides et inertes.</w:t>
      </w:r>
    </w:p>
    <w:p>
      <w:pPr>
        <w:pStyle w:val="TEXTE"/>
        <w:spacing w:before="200" w:after="120"/>
        <w:rPr/>
      </w:pPr>
      <w:r>
        <w:rPr/>
        <w:t>La fixation des ossatures primaires sera étudiée de telle sorte :</w:t>
      </w:r>
    </w:p>
    <w:p>
      <w:pPr>
        <w:pStyle w:val="P1"/>
        <w:numPr>
          <w:ilvl w:val="0"/>
          <w:numId w:val="28"/>
        </w:numPr>
        <w:tabs>
          <w:tab w:val="clear" w:pos="8789"/>
        </w:tabs>
        <w:spacing w:before="0" w:after="120"/>
        <w:ind w:left="714" w:hanging="357"/>
        <w:rPr>
          <w:lang w:val="fr-FR"/>
        </w:rPr>
      </w:pPr>
      <w:r>
        <w:rPr>
          <w:lang w:val="fr-FR"/>
        </w:rPr>
        <w:t>Qu’elle assure seule la stabilité de l’élément sans qu’il soit tenu compte des assemblages avec les parties contiguës ;</w:t>
      </w:r>
    </w:p>
    <w:p>
      <w:pPr>
        <w:pStyle w:val="P1"/>
        <w:numPr>
          <w:ilvl w:val="0"/>
          <w:numId w:val="28"/>
        </w:numPr>
        <w:tabs>
          <w:tab w:val="clear" w:pos="8789"/>
        </w:tabs>
        <w:spacing w:before="0" w:after="120"/>
        <w:ind w:left="714" w:hanging="357"/>
        <w:rPr>
          <w:lang w:val="fr-FR"/>
        </w:rPr>
      </w:pPr>
      <w:r>
        <w:rPr>
          <w:lang w:val="fr-FR"/>
        </w:rPr>
        <w:t>Qu’elle permette, dans toutes les directions, les rattrapages des imprécisions habituelles ;</w:t>
      </w:r>
    </w:p>
    <w:p>
      <w:pPr>
        <w:pStyle w:val="P1"/>
        <w:numPr>
          <w:ilvl w:val="0"/>
          <w:numId w:val="28"/>
        </w:numPr>
        <w:tabs>
          <w:tab w:val="clear" w:pos="8789"/>
        </w:tabs>
        <w:spacing w:before="0" w:after="120"/>
        <w:ind w:left="714" w:hanging="357"/>
        <w:rPr>
          <w:lang w:val="fr-FR"/>
        </w:rPr>
      </w:pPr>
      <w:r>
        <w:rPr>
          <w:lang w:val="fr-FR"/>
        </w:rPr>
        <w:t>Qu’elle ne laisse subsister aucun élément susceptible d’entrer en vibration compte tenu des contraintes tant intérieures, qu’extérieures.</w:t>
      </w:r>
    </w:p>
    <w:p>
      <w:pPr>
        <w:pStyle w:val="Titre7"/>
        <w:keepLines/>
        <w:tabs>
          <w:tab w:val="clear" w:pos="425"/>
          <w:tab w:val="clear" w:pos="8789"/>
          <w:tab w:val="left" w:pos="357" w:leader="none"/>
        </w:tabs>
        <w:spacing w:before="0" w:after="240"/>
        <w:ind w:left="357" w:hanging="357"/>
        <w:rPr>
          <w:u w:val="single"/>
        </w:rPr>
      </w:pPr>
      <w:r>
        <w:rPr>
          <w:u w:val="single"/>
        </w:rPr>
        <w:t>Fixation des suspentes des ossatures primaires</w:t>
      </w:r>
    </w:p>
    <w:p>
      <w:pPr>
        <w:pStyle w:val="Corpsdetexte"/>
        <w:rPr/>
      </w:pPr>
      <w:r>
        <w:rPr/>
        <w:t>Les ossatures primaires ou directement les suspentes, seront fixées sous les structures béton ou en sous-face des dalles béton, à l’exclusion de toutes les fixations sur autres éléments tels que canalisations, chemins de câbles, etc.</w:t>
      </w:r>
    </w:p>
    <w:p>
      <w:pPr>
        <w:pStyle w:val="Corpsdetexte"/>
        <w:rPr/>
      </w:pPr>
      <w:r>
        <w:rPr/>
        <w:t>La fixation sous éléments en béton précontraint fera appel à des éléments tels que brides, colliers, feuillards, fixés mécaniquement ou ceinturant les ouvrages, à l’exclusion de tout système tel que « Spit Roc » ou similaire dont l’emploi est incompatible avec la tenue des ouvrages précontraints.</w:t>
      </w:r>
    </w:p>
    <w:p>
      <w:pPr>
        <w:pStyle w:val="Corpsdetexte"/>
        <w:rPr/>
      </w:pPr>
      <w:r>
        <w:rPr/>
        <w:t>Sous les ouvrages en béton armé ordinaire, la fixation des suspentes pourra être réalisée par procédé du type « Spit Roc » ou équivalent avec l’autorisation du bureau d’études de l’entreprise de structure maçonnerie et du bureau de contrôle.</w:t>
      </w:r>
    </w:p>
    <w:p>
      <w:pPr>
        <w:pStyle w:val="Corpsdetexte"/>
        <w:rPr/>
      </w:pPr>
      <w:r>
        <w:rPr/>
        <w:t>Les ossatures primaires ne devront apporter aucune autre contrainte aux poutres ou pannes, que les charges verticales des suspentes, à l’exclusion de tout effort latéral et tout effort de torsion.</w:t>
      </w:r>
    </w:p>
    <w:p>
      <w:pPr>
        <w:pStyle w:val="Titre7"/>
        <w:keepLines/>
        <w:tabs>
          <w:tab w:val="clear" w:pos="425"/>
          <w:tab w:val="clear" w:pos="8789"/>
          <w:tab w:val="left" w:pos="357" w:leader="none"/>
        </w:tabs>
        <w:spacing w:before="0" w:after="240"/>
        <w:ind w:left="357" w:hanging="357"/>
        <w:rPr>
          <w:u w:val="single"/>
        </w:rPr>
      </w:pPr>
      <w:r>
        <w:rPr>
          <w:u w:val="single"/>
        </w:rPr>
        <w:t>Découpes pour luminaires et assimilés</w:t>
      </w:r>
    </w:p>
    <w:p>
      <w:pPr>
        <w:pStyle w:val="Corpsdetexte"/>
        <w:rPr/>
      </w:pPr>
      <w:r>
        <w:rPr/>
        <w:t>Sont prévues, toutes les découpes nécessaires à la mise en place des luminaires et appareillages électriques, y compris renforts nécessaires éventuels selon dispositions arrêtées entre les entreprises et accord de la maîtrise d’œuvre au stade de l’exécution.</w:t>
      </w:r>
    </w:p>
    <w:p>
      <w:pPr>
        <w:pStyle w:val="Corpsdetexte"/>
        <w:rPr>
          <w:u w:val="single"/>
        </w:rPr>
      </w:pPr>
      <w:r>
        <w:rPr/>
        <w:t>Concerne : les découpes diverses pour mise en place des luminaires et appareillages électriques dans les faux-plafonds.</w:t>
      </w:r>
    </w:p>
    <w:p>
      <w:pPr>
        <w:pStyle w:val="Titre7"/>
        <w:keepLines/>
        <w:tabs>
          <w:tab w:val="clear" w:pos="425"/>
          <w:tab w:val="clear" w:pos="8789"/>
          <w:tab w:val="left" w:pos="357" w:leader="none"/>
        </w:tabs>
        <w:spacing w:before="0" w:after="240"/>
        <w:ind w:left="357" w:hanging="357"/>
        <w:rPr>
          <w:u w:val="single"/>
        </w:rPr>
      </w:pPr>
      <w:r>
        <w:rPr>
          <w:u w:val="single"/>
        </w:rPr>
        <w:t>Découpes pour bouches de climatisation</w:t>
      </w:r>
    </w:p>
    <w:p>
      <w:pPr>
        <w:pStyle w:val="Corpsdetexte"/>
        <w:rPr/>
      </w:pPr>
      <w:r>
        <w:rPr/>
        <w:t>Sont prévues, toutes les découpes nécessaires à la mise en place des bouches de climatisation, y compris renforts éventuels, suivant dispositions dito ci-avant.</w:t>
      </w:r>
    </w:p>
    <w:p>
      <w:pPr>
        <w:pStyle w:val="Corpsdetexte"/>
        <w:rPr/>
      </w:pPr>
      <w:r>
        <w:rPr/>
        <w:t>Concerne : les découpes diverses pour mise en place des bouches de ventilation dans les faux-plafonds.</w:t>
      </w:r>
    </w:p>
    <w:p>
      <w:pPr>
        <w:pStyle w:val="Titre3"/>
        <w:rPr/>
      </w:pPr>
      <w:bookmarkStart w:id="846" w:name="_Toc32334792"/>
      <w:r>
        <w:rPr/>
        <w:t>Spécifications techniques des faux-plafonds</w:t>
      </w:r>
      <w:bookmarkEnd w:id="846"/>
    </w:p>
    <w:p>
      <w:pPr>
        <w:pStyle w:val="Normal"/>
        <w:rPr>
          <w:rFonts w:cs="Arial"/>
        </w:rPr>
      </w:pPr>
      <w:r>
        <w:rPr>
          <w:rFonts w:cs="Arial"/>
        </w:rPr>
      </w:r>
    </w:p>
    <w:p>
      <w:pPr>
        <w:pStyle w:val="Normal"/>
        <w:rPr>
          <w:rFonts w:cs="Arial"/>
        </w:rPr>
      </w:pPr>
      <w:r>
        <w:rPr>
          <w:rFonts w:cs="Arial"/>
        </w:rPr>
        <w:t>Les faux-plafonds seront de type pour traitement acoustique spécifique, constitués d'éléments modulaires démontables en module 600x 600, posés sur ossatures semi encastrée.</w:t>
      </w:r>
    </w:p>
    <w:p>
      <w:pPr>
        <w:pStyle w:val="Normal"/>
        <w:rPr>
          <w:rFonts w:cs="Arial"/>
        </w:rPr>
      </w:pPr>
      <w:r>
        <w:rPr>
          <w:rFonts w:cs="Arial"/>
        </w:rPr>
      </w:r>
    </w:p>
    <w:p>
      <w:pPr>
        <w:pStyle w:val="Normal"/>
        <w:rPr>
          <w:rFonts w:cs="Arial"/>
        </w:rPr>
      </w:pPr>
      <w:r>
        <w:rPr>
          <w:rFonts w:cs="Arial"/>
        </w:rPr>
        <w:t xml:space="preserve">Les caractéristiques des faux-plafonds font l’objet de l’étude d’ergonomie jointe en annexe.  </w:t>
      </w:r>
    </w:p>
    <w:p>
      <w:pPr>
        <w:pStyle w:val="Titre2"/>
        <w:tabs>
          <w:tab w:val="clear" w:pos="0"/>
          <w:tab w:val="clear" w:pos="8789"/>
          <w:tab w:val="left" w:pos="426" w:leader="none"/>
        </w:tabs>
        <w:ind w:left="0" w:hanging="0"/>
        <w:rPr/>
      </w:pPr>
      <w:bookmarkStart w:id="847" w:name="_Toc32334793"/>
      <w:r>
        <w:rPr/>
        <w:t>revêtements</w:t>
      </w:r>
      <w:bookmarkEnd w:id="847"/>
    </w:p>
    <w:p>
      <w:pPr>
        <w:pStyle w:val="Titre3"/>
        <w:rPr/>
      </w:pPr>
      <w:bookmarkStart w:id="848" w:name="_Toc32334794"/>
      <w:r>
        <w:rPr/>
        <w:t>Règles générales applicables au revêtement de sol</w:t>
      </w:r>
      <w:bookmarkEnd w:id="848"/>
    </w:p>
    <w:p>
      <w:pPr>
        <w:pStyle w:val="Corpsdetexte"/>
        <w:rPr/>
      </w:pPr>
      <w:r>
        <w:rPr/>
        <w:t>Le classement UPEC permet de connaitre précisément les caractéristiques d’un sol. Il est défini selon les critères décrits dans le tableau ci-dessous :</w:t>
      </w:r>
    </w:p>
    <w:p>
      <w:pPr>
        <w:pStyle w:val="Corpsdetexte"/>
        <w:rPr/>
      </w:pPr>
      <w:bookmarkStart w:id="849" w:name="_Toc422842213"/>
      <w:bookmarkStart w:id="850" w:name="_Toc422819749"/>
      <w:bookmarkStart w:id="851" w:name="_Toc422754933"/>
      <w:bookmarkStart w:id="852" w:name="_Toc422734070"/>
      <w:r>
        <w:rPr/>
        <w:drawing>
          <wp:inline distT="0" distB="0" distL="0" distR="0">
            <wp:extent cx="5580380" cy="861060"/>
            <wp:effectExtent l="0" t="0" r="0" b="0"/>
            <wp:docPr id="21" name="Image 1" descr="C:\Users\jean-francois.gilard\Documents\ARTELIA AFFAIRES\PCTT DiRIF\APD\APD Saint-Denis\Capture UPEC pour mémoi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1" descr="C:\Users\jean-francois.gilard\Documents\ARTELIA AFFAIRES\PCTT DiRIF\APD\APD Saint-Denis\Capture UPEC pour mémoire.PNG"/>
                    <pic:cNvPicPr>
                      <a:picLocks noChangeAspect="1" noChangeArrowheads="1"/>
                    </pic:cNvPicPr>
                  </pic:nvPicPr>
                  <pic:blipFill>
                    <a:blip r:embed="rId27"/>
                    <a:stretch>
                      <a:fillRect/>
                    </a:stretch>
                  </pic:blipFill>
                  <pic:spPr bwMode="auto">
                    <a:xfrm>
                      <a:off x="0" y="0"/>
                      <a:ext cx="5580380" cy="861060"/>
                    </a:xfrm>
                    <a:prstGeom prst="rect">
                      <a:avLst/>
                    </a:prstGeom>
                  </pic:spPr>
                </pic:pic>
              </a:graphicData>
            </a:graphic>
          </wp:inline>
        </w:drawing>
      </w:r>
      <w:bookmarkEnd w:id="849"/>
      <w:bookmarkEnd w:id="850"/>
      <w:bookmarkEnd w:id="851"/>
      <w:bookmarkEnd w:id="852"/>
    </w:p>
    <w:p>
      <w:pPr>
        <w:pStyle w:val="Corpsdetexte"/>
        <w:jc w:val="center"/>
        <w:rPr>
          <w:b/>
          <w:b/>
        </w:rPr>
      </w:pPr>
      <w:r>
        <w:rPr>
          <w:b/>
        </w:rPr>
        <w:t>Contenu des notions UPEC</w:t>
      </w:r>
    </w:p>
    <w:p>
      <w:pPr>
        <w:pStyle w:val="Titre4"/>
        <w:numPr>
          <w:ilvl w:val="0"/>
          <w:numId w:val="0"/>
        </w:numPr>
        <w:ind w:left="0" w:hanging="0"/>
        <w:rPr/>
      </w:pPr>
      <w:r>
        <w:rPr/>
      </w:r>
      <w:r>
        <w:br w:type="page"/>
      </w:r>
    </w:p>
    <w:tbl>
      <w:tblPr>
        <w:tblW w:w="9657" w:type="dxa"/>
        <w:jc w:val="left"/>
        <w:tblInd w:w="-835" w:type="dxa"/>
        <w:tblLayout w:type="fixed"/>
        <w:tblCellMar>
          <w:top w:w="0" w:type="dxa"/>
          <w:left w:w="11" w:type="dxa"/>
          <w:bottom w:w="0" w:type="dxa"/>
          <w:right w:w="11" w:type="dxa"/>
        </w:tblCellMar>
        <w:tblLook w:firstRow="0" w:noVBand="0" w:lastRow="0" w:firstColumn="0" w:lastColumn="0" w:noHBand="0" w:val="0000"/>
      </w:tblPr>
      <w:tblGrid>
        <w:gridCol w:w="877"/>
        <w:gridCol w:w="7283"/>
        <w:gridCol w:w="1497"/>
      </w:tblGrid>
      <w:tr>
        <w:trPr>
          <w:trHeight w:val="485"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pageBreakBefore/>
              <w:widowControl w:val="false"/>
              <w:ind w:left="86" w:hanging="0"/>
              <w:rPr>
                <w:b/>
                <w:b/>
                <w:color w:val="000000"/>
                <w:spacing w:val="-6"/>
                <w:sz w:val="16"/>
              </w:rPr>
            </w:pPr>
            <w:r>
              <w:rPr>
                <w:b/>
                <w:color w:val="000000"/>
                <w:spacing w:val="-6"/>
                <w:sz w:val="16"/>
              </w:rPr>
              <w:t>Repérage</w:t>
            </w:r>
          </w:p>
        </w:tc>
        <w:tc>
          <w:tcPr>
            <w:tcW w:w="7283" w:type="dxa"/>
            <w:tcBorders>
              <w:top w:val="single" w:sz="8" w:space="0" w:color="000000"/>
              <w:left w:val="single" w:sz="8" w:space="0" w:color="000000"/>
              <w:bottom w:val="single" w:sz="8" w:space="0" w:color="000000"/>
              <w:right w:val="single" w:sz="8" w:space="0" w:color="000000"/>
            </w:tcBorders>
          </w:tcPr>
          <w:p>
            <w:pPr>
              <w:pStyle w:val="Normal"/>
              <w:widowControl w:val="false"/>
              <w:spacing w:before="36" w:after="0"/>
              <w:jc w:val="center"/>
              <w:rPr>
                <w:b/>
                <w:b/>
                <w:color w:val="000000"/>
                <w:spacing w:val="-13"/>
                <w:sz w:val="16"/>
              </w:rPr>
            </w:pPr>
            <w:r>
              <w:rPr>
                <w:b/>
                <w:color w:val="000000"/>
                <w:spacing w:val="-13"/>
                <w:sz w:val="16"/>
              </w:rPr>
              <w:t xml:space="preserve">Locaux : désignation et caractéristiques </w:t>
              <w:br/>
            </w:r>
            <w:r>
              <w:rPr>
                <w:b/>
                <w:color w:val="000000"/>
                <w:spacing w:val="-12"/>
                <w:sz w:val="16"/>
              </w:rPr>
              <w:t>Particularités de classement</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b/>
                <w:b/>
                <w:color w:val="000000"/>
                <w:spacing w:val="-6"/>
                <w:sz w:val="16"/>
              </w:rPr>
            </w:pPr>
            <w:r>
              <w:rPr>
                <w:b/>
                <w:color w:val="000000"/>
                <w:spacing w:val="-6"/>
                <w:sz w:val="16"/>
              </w:rPr>
              <w:t>Classement</w:t>
            </w:r>
          </w:p>
        </w:tc>
      </w:tr>
      <w:tr>
        <w:trPr>
          <w:trHeight w:val="302"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19" w:hanging="0"/>
              <w:jc w:val="right"/>
              <w:rPr>
                <w:color w:val="000000"/>
                <w:sz w:val="16"/>
              </w:rPr>
            </w:pPr>
            <w:r>
              <w:rPr>
                <w:color w:val="000000"/>
                <w:sz w:val="16"/>
              </w:rPr>
              <w:t>B 1</w:t>
            </w:r>
          </w:p>
        </w:tc>
        <w:tc>
          <w:tcPr>
            <w:tcW w:w="8780" w:type="dxa"/>
            <w:gridSpan w:val="2"/>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0"/>
                <w:sz w:val="16"/>
              </w:rPr>
            </w:pPr>
            <w:r>
              <w:rPr>
                <w:color w:val="000000"/>
                <w:spacing w:val="-10"/>
                <w:sz w:val="16"/>
              </w:rPr>
              <w:t>S'il y a utilisation d'une chaise à roulette dans le local, sans protection particulière du revêtement, alors le local est au moins classé P</w:t>
            </w:r>
            <w:r>
              <w:rPr>
                <w:color w:val="000000"/>
                <w:spacing w:val="-10"/>
                <w:w w:val="85"/>
                <w:sz w:val="16"/>
                <w:vertAlign w:val="subscript"/>
              </w:rPr>
              <w:t>3</w:t>
            </w:r>
          </w:p>
        </w:tc>
      </w:tr>
      <w:tr>
        <w:trPr>
          <w:trHeight w:val="307" w:hRule="exact"/>
        </w:trPr>
        <w:tc>
          <w:tcPr>
            <w:tcW w:w="9657" w:type="dxa"/>
            <w:gridSpan w:val="3"/>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4099" w:hanging="0"/>
              <w:jc w:val="right"/>
              <w:rPr>
                <w:b/>
                <w:b/>
                <w:color w:val="000000"/>
                <w:spacing w:val="-12"/>
                <w:sz w:val="16"/>
              </w:rPr>
            </w:pPr>
            <w:r>
              <w:rPr>
                <w:b/>
                <w:color w:val="000000"/>
                <w:spacing w:val="-12"/>
                <w:sz w:val="16"/>
              </w:rPr>
              <w:t>I - Locaux d'activités</w:t>
            </w:r>
          </w:p>
        </w:tc>
      </w:tr>
      <w:tr>
        <w:trPr>
          <w:trHeight w:val="303"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19" w:hanging="0"/>
              <w:jc w:val="right"/>
              <w:rPr>
                <w:color w:val="000000"/>
                <w:sz w:val="16"/>
              </w:rPr>
            </w:pPr>
            <w:r>
              <w:rPr>
                <w:color w:val="000000"/>
                <w:sz w:val="16"/>
              </w:rPr>
              <w:t>B 2</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2"/>
                <w:sz w:val="16"/>
              </w:rPr>
            </w:pPr>
            <w:r>
              <w:rPr>
                <w:color w:val="000000"/>
                <w:spacing w:val="-12"/>
                <w:sz w:val="16"/>
              </w:rPr>
              <w:t>Plateau recouvert avant cloisonnement, bureau paysager non cloisonné, bureau collectif</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w:t>
            </w:r>
            <w:r>
              <w:rPr>
                <w:color w:val="000000"/>
                <w:spacing w:val="-6"/>
                <w:sz w:val="16"/>
              </w:rPr>
              <w:t>P</w:t>
            </w:r>
            <w:r>
              <w:rPr>
                <w:color w:val="000000"/>
                <w:spacing w:val="-6"/>
                <w:sz w:val="11"/>
              </w:rPr>
              <w:t>3</w:t>
            </w:r>
            <w:r>
              <w:rPr>
                <w:color w:val="000000"/>
                <w:spacing w:val="-6"/>
                <w:sz w:val="16"/>
              </w:rPr>
              <w:t>E</w:t>
            </w:r>
            <w:r>
              <w:rPr>
                <w:color w:val="000000"/>
                <w:spacing w:val="-6"/>
                <w:sz w:val="11"/>
              </w:rPr>
              <w:t>1</w:t>
            </w:r>
            <w:r>
              <w:rPr>
                <w:color w:val="000000"/>
                <w:spacing w:val="-6"/>
                <w:sz w:val="16"/>
              </w:rPr>
              <w:t>C</w:t>
            </w:r>
            <w:r>
              <w:rPr>
                <w:color w:val="000000"/>
                <w:spacing w:val="-6"/>
                <w:sz w:val="11"/>
              </w:rPr>
              <w:t>0</w:t>
            </w:r>
          </w:p>
        </w:tc>
      </w:tr>
      <w:tr>
        <w:trPr>
          <w:trHeight w:val="475"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19" w:hanging="0"/>
              <w:jc w:val="right"/>
              <w:rPr>
                <w:color w:val="000000"/>
                <w:sz w:val="16"/>
              </w:rPr>
            </w:pPr>
            <w:r>
              <w:rPr>
                <w:color w:val="000000"/>
                <w:sz w:val="16"/>
              </w:rPr>
              <w:t>B 3</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2"/>
                <w:sz w:val="16"/>
              </w:rPr>
            </w:pPr>
            <w:r>
              <w:rPr>
                <w:color w:val="000000"/>
                <w:spacing w:val="-12"/>
                <w:sz w:val="16"/>
              </w:rPr>
              <w:t>Bureau individuel</w:t>
            </w:r>
          </w:p>
        </w:tc>
        <w:tc>
          <w:tcPr>
            <w:tcW w:w="1497" w:type="dxa"/>
            <w:tcBorders>
              <w:top w:val="single" w:sz="8" w:space="0" w:color="000000"/>
              <w:left w:val="single" w:sz="8" w:space="0" w:color="000000"/>
              <w:bottom w:val="single" w:sz="8" w:space="0" w:color="000000"/>
              <w:right w:val="single" w:sz="8" w:space="0" w:color="000000"/>
            </w:tcBorders>
          </w:tcPr>
          <w:p>
            <w:pPr>
              <w:pStyle w:val="Normal"/>
              <w:widowControl w:val="false"/>
              <w:spacing w:lineRule="auto" w:line="271" w:before="36" w:after="0"/>
              <w:jc w:val="center"/>
              <w:rPr>
                <w:color w:val="000000"/>
                <w:spacing w:val="-6"/>
                <w:sz w:val="16"/>
              </w:rPr>
            </w:pPr>
            <w:r>
              <w:rPr>
                <w:color w:val="000000"/>
                <w:spacing w:val="-6"/>
                <w:sz w:val="16"/>
              </w:rPr>
              <w:t>U</w:t>
            </w:r>
            <w:r>
              <w:rPr>
                <w:color w:val="000000"/>
                <w:spacing w:val="-6"/>
                <w:sz w:val="11"/>
              </w:rPr>
              <w:t>2S</w:t>
            </w:r>
            <w:r>
              <w:rPr>
                <w:color w:val="000000"/>
                <w:spacing w:val="-6"/>
                <w:sz w:val="16"/>
              </w:rPr>
              <w:t>P</w:t>
            </w:r>
            <w:r>
              <w:rPr>
                <w:color w:val="000000"/>
                <w:spacing w:val="-6"/>
                <w:sz w:val="11"/>
              </w:rPr>
              <w:t>3</w:t>
            </w:r>
            <w:r>
              <w:rPr>
                <w:color w:val="000000"/>
                <w:spacing w:val="-6"/>
                <w:sz w:val="16"/>
              </w:rPr>
              <w:t>E</w:t>
            </w:r>
            <w:r>
              <w:rPr>
                <w:color w:val="000000"/>
                <w:spacing w:val="-6"/>
                <w:sz w:val="11"/>
              </w:rPr>
              <w:t>1</w:t>
            </w:r>
            <w:r>
              <w:rPr>
                <w:color w:val="000000"/>
                <w:spacing w:val="-6"/>
                <w:sz w:val="16"/>
              </w:rPr>
              <w:t>C</w:t>
            </w:r>
            <w:r>
              <w:rPr>
                <w:color w:val="000000"/>
                <w:spacing w:val="-6"/>
                <w:sz w:val="11"/>
              </w:rPr>
              <w:t>0</w:t>
            </w:r>
          </w:p>
          <w:p>
            <w:pPr>
              <w:pStyle w:val="Normal"/>
              <w:widowControl w:val="false"/>
              <w:spacing w:lineRule="auto" w:line="206" w:before="36" w:after="0"/>
              <w:jc w:val="center"/>
              <w:rPr>
                <w:color w:val="000000"/>
                <w:spacing w:val="-4"/>
                <w:sz w:val="16"/>
              </w:rPr>
            </w:pPr>
            <w:r>
              <w:rPr>
                <w:color w:val="000000"/>
                <w:spacing w:val="-4"/>
                <w:sz w:val="16"/>
              </w:rPr>
              <w:t>Nota 1</w:t>
            </w:r>
          </w:p>
        </w:tc>
      </w:tr>
      <w:tr>
        <w:trPr>
          <w:trHeight w:val="302"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19" w:hanging="0"/>
              <w:jc w:val="right"/>
              <w:rPr>
                <w:color w:val="000000"/>
                <w:sz w:val="16"/>
              </w:rPr>
            </w:pPr>
            <w:r>
              <w:rPr>
                <w:color w:val="000000"/>
                <w:sz w:val="16"/>
              </w:rPr>
              <w:t>B 4</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2"/>
                <w:sz w:val="16"/>
              </w:rPr>
            </w:pPr>
            <w:r>
              <w:rPr>
                <w:color w:val="000000"/>
                <w:spacing w:val="-12"/>
                <w:sz w:val="16"/>
              </w:rPr>
              <w:t>Salle de conférences, salle de réunion</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w:t>
            </w:r>
            <w:r>
              <w:rPr>
                <w:color w:val="000000"/>
                <w:spacing w:val="-6"/>
                <w:sz w:val="16"/>
              </w:rPr>
              <w:t>P</w:t>
            </w:r>
            <w:r>
              <w:rPr>
                <w:color w:val="000000"/>
                <w:spacing w:val="-6"/>
                <w:sz w:val="11"/>
              </w:rPr>
              <w:t>2</w:t>
            </w:r>
            <w:r>
              <w:rPr>
                <w:color w:val="000000"/>
                <w:spacing w:val="-6"/>
                <w:sz w:val="16"/>
              </w:rPr>
              <w:t>E</w:t>
            </w:r>
            <w:r>
              <w:rPr>
                <w:color w:val="000000"/>
                <w:spacing w:val="-6"/>
                <w:sz w:val="11"/>
              </w:rPr>
              <w:t>1</w:t>
            </w:r>
            <w:r>
              <w:rPr>
                <w:color w:val="000000"/>
                <w:spacing w:val="-6"/>
                <w:sz w:val="16"/>
              </w:rPr>
              <w:t>C</w:t>
            </w:r>
            <w:r>
              <w:rPr>
                <w:color w:val="000000"/>
                <w:spacing w:val="-6"/>
                <w:sz w:val="11"/>
              </w:rPr>
              <w:t>0</w:t>
            </w:r>
          </w:p>
        </w:tc>
      </w:tr>
      <w:tr>
        <w:trPr>
          <w:trHeight w:val="303"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19" w:hanging="0"/>
              <w:jc w:val="right"/>
              <w:rPr>
                <w:color w:val="000000"/>
                <w:sz w:val="16"/>
              </w:rPr>
            </w:pPr>
            <w:r>
              <w:rPr>
                <w:color w:val="000000"/>
                <w:sz w:val="16"/>
              </w:rPr>
              <w:t>B 5</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1"/>
                <w:sz w:val="16"/>
              </w:rPr>
            </w:pPr>
            <w:r>
              <w:rPr>
                <w:color w:val="000000"/>
                <w:spacing w:val="-11"/>
                <w:sz w:val="16"/>
              </w:rPr>
              <w:t>Bibliothèque (salle de lecture)</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w:t>
            </w:r>
            <w:r>
              <w:rPr>
                <w:color w:val="000000"/>
                <w:spacing w:val="-6"/>
                <w:sz w:val="16"/>
              </w:rPr>
              <w:t>P</w:t>
            </w:r>
            <w:r>
              <w:rPr>
                <w:color w:val="000000"/>
                <w:spacing w:val="-6"/>
                <w:sz w:val="11"/>
              </w:rPr>
              <w:t>2</w:t>
            </w:r>
            <w:r>
              <w:rPr>
                <w:color w:val="000000"/>
                <w:spacing w:val="-6"/>
                <w:sz w:val="16"/>
              </w:rPr>
              <w:t>E</w:t>
            </w:r>
            <w:r>
              <w:rPr>
                <w:color w:val="000000"/>
                <w:spacing w:val="-6"/>
                <w:sz w:val="11"/>
              </w:rPr>
              <w:t>1</w:t>
            </w:r>
            <w:r>
              <w:rPr>
                <w:color w:val="000000"/>
                <w:spacing w:val="-6"/>
                <w:sz w:val="16"/>
              </w:rPr>
              <w:t>C</w:t>
            </w:r>
            <w:r>
              <w:rPr>
                <w:color w:val="000000"/>
                <w:spacing w:val="-6"/>
                <w:sz w:val="11"/>
              </w:rPr>
              <w:t>0</w:t>
            </w:r>
          </w:p>
        </w:tc>
      </w:tr>
      <w:tr>
        <w:trPr>
          <w:trHeight w:val="513"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19" w:hanging="0"/>
              <w:jc w:val="right"/>
              <w:rPr>
                <w:color w:val="000000"/>
                <w:sz w:val="16"/>
              </w:rPr>
            </w:pPr>
            <w:r>
              <w:rPr>
                <w:color w:val="000000"/>
                <w:sz w:val="16"/>
              </w:rPr>
              <w:t>B 6</w:t>
            </w:r>
          </w:p>
        </w:tc>
        <w:tc>
          <w:tcPr>
            <w:tcW w:w="7283" w:type="dxa"/>
            <w:tcBorders>
              <w:top w:val="single" w:sz="8" w:space="0" w:color="000000"/>
              <w:left w:val="single" w:sz="8" w:space="0" w:color="000000"/>
              <w:bottom w:val="single" w:sz="8" w:space="0" w:color="000000"/>
              <w:right w:val="single" w:sz="8" w:space="0" w:color="000000"/>
            </w:tcBorders>
          </w:tcPr>
          <w:p>
            <w:pPr>
              <w:pStyle w:val="Normal"/>
              <w:widowControl w:val="false"/>
              <w:spacing w:before="36" w:after="0"/>
              <w:ind w:left="72" w:hanging="0"/>
              <w:rPr>
                <w:color w:val="000000"/>
                <w:spacing w:val="-11"/>
                <w:sz w:val="16"/>
              </w:rPr>
            </w:pPr>
            <w:r>
              <w:rPr>
                <w:color w:val="000000"/>
                <w:spacing w:val="-11"/>
                <w:sz w:val="16"/>
              </w:rPr>
              <w:t>Salle publique de réunion (exemple : salle du conseil)</w:t>
            </w:r>
          </w:p>
          <w:p>
            <w:pPr>
              <w:pStyle w:val="Normal"/>
              <w:widowControl w:val="false"/>
              <w:ind w:left="72" w:hanging="0"/>
              <w:rPr>
                <w:color w:val="000000"/>
                <w:spacing w:val="-11"/>
                <w:sz w:val="16"/>
              </w:rPr>
            </w:pPr>
            <w:r>
              <w:rPr>
                <w:color w:val="000000"/>
                <w:spacing w:val="-11"/>
                <w:sz w:val="16"/>
              </w:rPr>
              <w:t>La tenue à la cigarette est une donnée essentielle pour ces locaux.</w:t>
            </w:r>
          </w:p>
        </w:tc>
        <w:tc>
          <w:tcPr>
            <w:tcW w:w="1497" w:type="dxa"/>
            <w:tcBorders>
              <w:top w:val="single" w:sz="8" w:space="0" w:color="000000"/>
              <w:left w:val="single" w:sz="8" w:space="0" w:color="000000"/>
              <w:bottom w:val="single" w:sz="8" w:space="0" w:color="000000"/>
              <w:right w:val="single" w:sz="8" w:space="0" w:color="000000"/>
            </w:tcBorders>
          </w:tcPr>
          <w:p>
            <w:pPr>
              <w:pStyle w:val="Normal"/>
              <w:widowControl w:val="false"/>
              <w:spacing w:lineRule="auto" w:line="276" w:before="36" w:after="0"/>
              <w:jc w:val="center"/>
              <w:rPr>
                <w:color w:val="000000"/>
                <w:spacing w:val="-6"/>
                <w:sz w:val="16"/>
              </w:rPr>
            </w:pPr>
            <w:r>
              <w:rPr>
                <w:color w:val="000000"/>
                <w:spacing w:val="-6"/>
                <w:sz w:val="16"/>
              </w:rPr>
              <w:t>U</w:t>
            </w:r>
            <w:r>
              <w:rPr>
                <w:color w:val="000000"/>
                <w:spacing w:val="-6"/>
                <w:sz w:val="11"/>
              </w:rPr>
              <w:t>3S</w:t>
            </w:r>
            <w:r>
              <w:rPr>
                <w:color w:val="000000"/>
                <w:spacing w:val="-6"/>
                <w:sz w:val="16"/>
              </w:rPr>
              <w:t>P</w:t>
            </w:r>
            <w:r>
              <w:rPr>
                <w:color w:val="000000"/>
                <w:spacing w:val="-6"/>
                <w:sz w:val="11"/>
              </w:rPr>
              <w:t>3</w:t>
            </w:r>
            <w:r>
              <w:rPr>
                <w:color w:val="000000"/>
                <w:spacing w:val="-6"/>
                <w:sz w:val="16"/>
              </w:rPr>
              <w:t>E</w:t>
            </w:r>
            <w:r>
              <w:rPr>
                <w:color w:val="000000"/>
                <w:spacing w:val="-6"/>
                <w:sz w:val="11"/>
              </w:rPr>
              <w:t>1</w:t>
            </w:r>
            <w:r>
              <w:rPr>
                <w:color w:val="000000"/>
                <w:spacing w:val="-6"/>
                <w:sz w:val="16"/>
              </w:rPr>
              <w:t>C</w:t>
            </w:r>
            <w:r>
              <w:rPr>
                <w:color w:val="000000"/>
                <w:spacing w:val="-6"/>
                <w:sz w:val="11"/>
              </w:rPr>
              <w:t>1</w:t>
            </w:r>
          </w:p>
          <w:p>
            <w:pPr>
              <w:pStyle w:val="Normal"/>
              <w:widowControl w:val="false"/>
              <w:spacing w:lineRule="auto" w:line="216"/>
              <w:jc w:val="center"/>
              <w:rPr>
                <w:color w:val="000000"/>
                <w:spacing w:val="-10"/>
                <w:sz w:val="16"/>
              </w:rPr>
            </w:pPr>
            <w:r>
              <w:rPr>
                <w:color w:val="000000"/>
                <w:spacing w:val="-10"/>
                <w:sz w:val="16"/>
              </w:rPr>
              <w:t>Nota 2</w:t>
            </w:r>
          </w:p>
        </w:tc>
      </w:tr>
      <w:tr>
        <w:trPr>
          <w:trHeight w:val="308"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19" w:hanging="0"/>
              <w:jc w:val="right"/>
              <w:rPr>
                <w:color w:val="000000"/>
                <w:sz w:val="16"/>
              </w:rPr>
            </w:pPr>
            <w:r>
              <w:rPr>
                <w:color w:val="000000"/>
                <w:sz w:val="16"/>
              </w:rPr>
              <w:t>B 7</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1"/>
                <w:sz w:val="16"/>
              </w:rPr>
            </w:pPr>
            <w:r>
              <w:rPr>
                <w:color w:val="000000"/>
                <w:spacing w:val="-11"/>
                <w:sz w:val="16"/>
              </w:rPr>
              <w:t>Salle publique de réunion avec accès sur l'extérieur</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3S</w:t>
            </w:r>
            <w:r>
              <w:rPr>
                <w:color w:val="000000"/>
                <w:spacing w:val="-6"/>
                <w:sz w:val="16"/>
              </w:rPr>
              <w:t>P</w:t>
            </w:r>
            <w:r>
              <w:rPr>
                <w:color w:val="000000"/>
                <w:spacing w:val="-6"/>
                <w:sz w:val="11"/>
              </w:rPr>
              <w:t>3</w:t>
            </w:r>
            <w:r>
              <w:rPr>
                <w:color w:val="000000"/>
                <w:spacing w:val="-6"/>
                <w:sz w:val="16"/>
              </w:rPr>
              <w:t>E</w:t>
            </w:r>
            <w:r>
              <w:rPr>
                <w:color w:val="000000"/>
                <w:spacing w:val="-6"/>
                <w:sz w:val="11"/>
              </w:rPr>
              <w:t>2</w:t>
            </w:r>
            <w:r>
              <w:rPr>
                <w:color w:val="000000"/>
                <w:spacing w:val="-6"/>
                <w:sz w:val="16"/>
              </w:rPr>
              <w:t>C</w:t>
            </w:r>
            <w:r>
              <w:rPr>
                <w:color w:val="000000"/>
                <w:spacing w:val="-6"/>
                <w:sz w:val="11"/>
              </w:rPr>
              <w:t>1</w:t>
            </w:r>
          </w:p>
        </w:tc>
      </w:tr>
      <w:tr>
        <w:trPr>
          <w:trHeight w:val="513"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19" w:hanging="0"/>
              <w:jc w:val="right"/>
              <w:rPr>
                <w:color w:val="000000"/>
                <w:sz w:val="16"/>
              </w:rPr>
            </w:pPr>
            <w:r>
              <w:rPr>
                <w:color w:val="000000"/>
                <w:sz w:val="16"/>
              </w:rPr>
              <w:t>B 8</w:t>
            </w:r>
          </w:p>
        </w:tc>
        <w:tc>
          <w:tcPr>
            <w:tcW w:w="7283" w:type="dxa"/>
            <w:tcBorders>
              <w:top w:val="single" w:sz="8" w:space="0" w:color="000000"/>
              <w:left w:val="single" w:sz="8" w:space="0" w:color="000000"/>
              <w:bottom w:val="single" w:sz="8" w:space="0" w:color="000000"/>
              <w:right w:val="single" w:sz="8" w:space="0" w:color="000000"/>
            </w:tcBorders>
          </w:tcPr>
          <w:p>
            <w:pPr>
              <w:pStyle w:val="Normal"/>
              <w:widowControl w:val="false"/>
              <w:spacing w:before="36" w:after="0"/>
              <w:ind w:left="72" w:right="2844" w:hanging="0"/>
              <w:rPr>
                <w:color w:val="000000"/>
                <w:spacing w:val="-13"/>
                <w:sz w:val="16"/>
              </w:rPr>
            </w:pPr>
            <w:r>
              <w:rPr>
                <w:color w:val="000000"/>
                <w:spacing w:val="-13"/>
                <w:sz w:val="16"/>
              </w:rPr>
              <w:t xml:space="preserve">Foyer de jeunes - Salle polyvalente (exemple : salle des fêtes d'une mairie) </w:t>
            </w:r>
            <w:r>
              <w:rPr>
                <w:color w:val="000000"/>
                <w:spacing w:val="-11"/>
                <w:sz w:val="16"/>
              </w:rPr>
              <w:t>La tenue à la cigarette est une donnée essentielle pour ces locaux.</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3S</w:t>
            </w:r>
            <w:r>
              <w:rPr>
                <w:color w:val="000000"/>
                <w:spacing w:val="-6"/>
                <w:sz w:val="16"/>
              </w:rPr>
              <w:t>P</w:t>
            </w:r>
            <w:r>
              <w:rPr>
                <w:color w:val="000000"/>
                <w:spacing w:val="-6"/>
                <w:sz w:val="11"/>
              </w:rPr>
              <w:t>3</w:t>
            </w:r>
            <w:r>
              <w:rPr>
                <w:color w:val="000000"/>
                <w:spacing w:val="-6"/>
                <w:sz w:val="16"/>
              </w:rPr>
              <w:t>E</w:t>
            </w:r>
            <w:r>
              <w:rPr>
                <w:color w:val="000000"/>
                <w:spacing w:val="-6"/>
                <w:sz w:val="11"/>
              </w:rPr>
              <w:t>2</w:t>
            </w:r>
            <w:r>
              <w:rPr>
                <w:color w:val="000000"/>
                <w:spacing w:val="-6"/>
                <w:sz w:val="16"/>
              </w:rPr>
              <w:t>C</w:t>
            </w:r>
            <w:r>
              <w:rPr>
                <w:color w:val="000000"/>
                <w:spacing w:val="-6"/>
                <w:sz w:val="11"/>
              </w:rPr>
              <w:t>1</w:t>
            </w:r>
          </w:p>
        </w:tc>
      </w:tr>
      <w:tr>
        <w:trPr>
          <w:trHeight w:val="303"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19" w:hanging="0"/>
              <w:jc w:val="right"/>
              <w:rPr>
                <w:color w:val="000000"/>
                <w:sz w:val="16"/>
              </w:rPr>
            </w:pPr>
            <w:r>
              <w:rPr>
                <w:color w:val="000000"/>
                <w:sz w:val="16"/>
              </w:rPr>
              <w:t>B 9</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1"/>
                <w:sz w:val="16"/>
              </w:rPr>
            </w:pPr>
            <w:r>
              <w:rPr>
                <w:color w:val="000000"/>
                <w:spacing w:val="-11"/>
                <w:sz w:val="16"/>
              </w:rPr>
              <w:t>Musée, salle d'exposition ; hors hall de réception du public (Cf. B 12 ou B 13)</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3S</w:t>
            </w:r>
            <w:r>
              <w:rPr>
                <w:color w:val="000000"/>
                <w:spacing w:val="-6"/>
                <w:sz w:val="16"/>
              </w:rPr>
              <w:t>P</w:t>
            </w:r>
            <w:r>
              <w:rPr>
                <w:color w:val="000000"/>
                <w:spacing w:val="-6"/>
                <w:sz w:val="11"/>
              </w:rPr>
              <w:t>3</w:t>
            </w:r>
            <w:r>
              <w:rPr>
                <w:color w:val="000000"/>
                <w:spacing w:val="-6"/>
                <w:sz w:val="16"/>
              </w:rPr>
              <w:t>E</w:t>
            </w:r>
            <w:r>
              <w:rPr>
                <w:color w:val="000000"/>
                <w:spacing w:val="-6"/>
                <w:sz w:val="11"/>
              </w:rPr>
              <w:t>1</w:t>
            </w:r>
            <w:r>
              <w:rPr>
                <w:color w:val="000000"/>
                <w:spacing w:val="-6"/>
                <w:sz w:val="16"/>
              </w:rPr>
              <w:t>C</w:t>
            </w:r>
            <w:r>
              <w:rPr>
                <w:color w:val="000000"/>
                <w:spacing w:val="-6"/>
                <w:sz w:val="11"/>
              </w:rPr>
              <w:t>0</w:t>
            </w:r>
          </w:p>
        </w:tc>
      </w:tr>
      <w:tr>
        <w:trPr>
          <w:trHeight w:val="302"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10</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0"/>
                <w:sz w:val="16"/>
              </w:rPr>
            </w:pPr>
            <w:r>
              <w:rPr>
                <w:color w:val="000000"/>
                <w:spacing w:val="-10"/>
                <w:sz w:val="16"/>
              </w:rPr>
              <w:t>Lieu de culte ; hors zone d'accès direct de l'extérieur et allée principale</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w:t>
            </w:r>
            <w:r>
              <w:rPr>
                <w:color w:val="000000"/>
                <w:spacing w:val="-6"/>
                <w:sz w:val="16"/>
              </w:rPr>
              <w:t>P</w:t>
            </w:r>
            <w:r>
              <w:rPr>
                <w:color w:val="000000"/>
                <w:spacing w:val="-6"/>
                <w:sz w:val="11"/>
              </w:rPr>
              <w:t>2</w:t>
            </w:r>
            <w:r>
              <w:rPr>
                <w:color w:val="000000"/>
                <w:spacing w:val="-6"/>
                <w:sz w:val="16"/>
              </w:rPr>
              <w:t>E</w:t>
            </w:r>
            <w:r>
              <w:rPr>
                <w:color w:val="000000"/>
                <w:spacing w:val="-6"/>
                <w:sz w:val="11"/>
              </w:rPr>
              <w:t>1</w:t>
            </w:r>
            <w:r>
              <w:rPr>
                <w:color w:val="000000"/>
                <w:spacing w:val="-6"/>
                <w:sz w:val="16"/>
              </w:rPr>
              <w:t>C</w:t>
            </w:r>
            <w:r>
              <w:rPr>
                <w:color w:val="000000"/>
                <w:spacing w:val="-6"/>
                <w:sz w:val="11"/>
              </w:rPr>
              <w:t>0</w:t>
            </w:r>
          </w:p>
        </w:tc>
      </w:tr>
      <w:tr>
        <w:trPr>
          <w:trHeight w:val="307" w:hRule="exact"/>
        </w:trPr>
        <w:tc>
          <w:tcPr>
            <w:tcW w:w="9657" w:type="dxa"/>
            <w:gridSpan w:val="3"/>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109" w:hanging="0"/>
              <w:jc w:val="right"/>
              <w:rPr>
                <w:b/>
                <w:b/>
                <w:color w:val="000000"/>
                <w:spacing w:val="-12"/>
                <w:sz w:val="16"/>
              </w:rPr>
            </w:pPr>
            <w:r>
              <w:rPr>
                <w:b/>
                <w:color w:val="000000"/>
                <w:spacing w:val="-12"/>
                <w:sz w:val="16"/>
              </w:rPr>
              <w:t>II - Hall de réception du public et zones de distribution</w:t>
            </w:r>
          </w:p>
        </w:tc>
      </w:tr>
      <w:tr>
        <w:trPr>
          <w:trHeight w:val="303"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pacing w:val="-4"/>
                <w:sz w:val="16"/>
              </w:rPr>
            </w:pPr>
            <w:r>
              <w:rPr>
                <w:color w:val="000000"/>
                <w:spacing w:val="-4"/>
                <w:sz w:val="16"/>
              </w:rPr>
              <w:t>B 11</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1"/>
                <w:sz w:val="16"/>
              </w:rPr>
            </w:pPr>
            <w:r>
              <w:rPr>
                <w:color w:val="000000"/>
                <w:spacing w:val="-11"/>
                <w:sz w:val="16"/>
              </w:rPr>
              <w:t>Zone d'accès direct de l'extérieur et allée principale de B10</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3S</w:t>
            </w:r>
            <w:r>
              <w:rPr>
                <w:color w:val="000000"/>
                <w:spacing w:val="-6"/>
                <w:sz w:val="16"/>
              </w:rPr>
              <w:t>P</w:t>
            </w:r>
            <w:r>
              <w:rPr>
                <w:color w:val="000000"/>
                <w:spacing w:val="-6"/>
                <w:sz w:val="11"/>
              </w:rPr>
              <w:t>3</w:t>
            </w:r>
            <w:r>
              <w:rPr>
                <w:color w:val="000000"/>
                <w:spacing w:val="-6"/>
                <w:sz w:val="16"/>
              </w:rPr>
              <w:t>E</w:t>
            </w:r>
            <w:r>
              <w:rPr>
                <w:color w:val="000000"/>
                <w:spacing w:val="-6"/>
                <w:sz w:val="11"/>
              </w:rPr>
              <w:t>2</w:t>
            </w:r>
            <w:r>
              <w:rPr>
                <w:color w:val="000000"/>
                <w:spacing w:val="-6"/>
                <w:sz w:val="16"/>
              </w:rPr>
              <w:t>C</w:t>
            </w:r>
            <w:r>
              <w:rPr>
                <w:color w:val="000000"/>
                <w:spacing w:val="-6"/>
                <w:sz w:val="11"/>
              </w:rPr>
              <w:t>1</w:t>
            </w:r>
          </w:p>
        </w:tc>
      </w:tr>
      <w:tr>
        <w:trPr>
          <w:trHeight w:val="470"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12</w:t>
            </w:r>
          </w:p>
        </w:tc>
        <w:tc>
          <w:tcPr>
            <w:tcW w:w="7283" w:type="dxa"/>
            <w:tcBorders>
              <w:top w:val="single" w:sz="8" w:space="0" w:color="000000"/>
              <w:left w:val="single" w:sz="8" w:space="0" w:color="000000"/>
              <w:bottom w:val="single" w:sz="8" w:space="0" w:color="000000"/>
              <w:right w:val="single" w:sz="8" w:space="0" w:color="000000"/>
            </w:tcBorders>
          </w:tcPr>
          <w:p>
            <w:pPr>
              <w:pStyle w:val="Normal"/>
              <w:widowControl w:val="false"/>
              <w:ind w:left="72" w:right="144" w:hanging="0"/>
              <w:rPr>
                <w:color w:val="000000"/>
                <w:spacing w:val="-12"/>
                <w:sz w:val="16"/>
              </w:rPr>
            </w:pPr>
            <w:r>
              <w:rPr>
                <w:color w:val="000000"/>
                <w:spacing w:val="-12"/>
                <w:sz w:val="16"/>
              </w:rPr>
              <w:t xml:space="preserve">Hall de réception du public avec trafic important y compris paliers d'ascenseur au rez-de-chaussée et zone d'accès direct </w:t>
            </w:r>
            <w:r>
              <w:rPr>
                <w:color w:val="000000"/>
                <w:spacing w:val="-10"/>
                <w:sz w:val="16"/>
              </w:rPr>
              <w:t>de l'extérieur</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8"/>
                <w:sz w:val="16"/>
              </w:rPr>
            </w:pPr>
            <w:r>
              <w:rPr>
                <w:color w:val="000000"/>
                <w:spacing w:val="-8"/>
                <w:sz w:val="16"/>
              </w:rPr>
              <w:t>U</w:t>
            </w:r>
            <w:r>
              <w:rPr>
                <w:color w:val="000000"/>
                <w:spacing w:val="-8"/>
                <w:sz w:val="11"/>
              </w:rPr>
              <w:t>4</w:t>
            </w:r>
            <w:r>
              <w:rPr>
                <w:color w:val="000000"/>
                <w:spacing w:val="-8"/>
                <w:sz w:val="16"/>
              </w:rPr>
              <w:t>P</w:t>
            </w:r>
            <w:r>
              <w:rPr>
                <w:color w:val="000000"/>
                <w:spacing w:val="-8"/>
                <w:sz w:val="11"/>
              </w:rPr>
              <w:t>3</w:t>
            </w:r>
            <w:r>
              <w:rPr>
                <w:color w:val="000000"/>
                <w:spacing w:val="-8"/>
                <w:sz w:val="16"/>
              </w:rPr>
              <w:t>E</w:t>
            </w:r>
            <w:r>
              <w:rPr>
                <w:color w:val="000000"/>
                <w:spacing w:val="-8"/>
                <w:sz w:val="11"/>
              </w:rPr>
              <w:t>2</w:t>
            </w:r>
            <w:r>
              <w:rPr>
                <w:color w:val="000000"/>
                <w:spacing w:val="-8"/>
                <w:sz w:val="16"/>
              </w:rPr>
              <w:t>C</w:t>
            </w:r>
            <w:r>
              <w:rPr>
                <w:color w:val="000000"/>
                <w:spacing w:val="-8"/>
                <w:sz w:val="11"/>
              </w:rPr>
              <w:t>1</w:t>
            </w:r>
          </w:p>
        </w:tc>
      </w:tr>
      <w:tr>
        <w:trPr>
          <w:trHeight w:val="475"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13</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1"/>
                <w:sz w:val="16"/>
              </w:rPr>
            </w:pPr>
            <w:r>
              <w:rPr>
                <w:color w:val="000000"/>
                <w:spacing w:val="-11"/>
                <w:sz w:val="16"/>
              </w:rPr>
              <w:t>Hall de réception du public avec trafic modéré et paliers d'ascenseur au rez-de-chaussée</w:t>
            </w:r>
          </w:p>
        </w:tc>
        <w:tc>
          <w:tcPr>
            <w:tcW w:w="1497" w:type="dxa"/>
            <w:tcBorders>
              <w:top w:val="single" w:sz="8" w:space="0" w:color="000000"/>
              <w:left w:val="single" w:sz="8" w:space="0" w:color="000000"/>
              <w:bottom w:val="single" w:sz="8" w:space="0" w:color="000000"/>
              <w:right w:val="single" w:sz="8" w:space="0" w:color="000000"/>
            </w:tcBorders>
          </w:tcPr>
          <w:p>
            <w:pPr>
              <w:pStyle w:val="Normal"/>
              <w:widowControl w:val="false"/>
              <w:spacing w:lineRule="auto" w:line="276" w:before="36" w:after="0"/>
              <w:jc w:val="center"/>
              <w:rPr>
                <w:color w:val="000000"/>
                <w:spacing w:val="-6"/>
                <w:sz w:val="16"/>
              </w:rPr>
            </w:pPr>
            <w:r>
              <w:rPr>
                <w:color w:val="000000"/>
                <w:spacing w:val="-6"/>
                <w:sz w:val="16"/>
              </w:rPr>
              <w:t>U</w:t>
            </w:r>
            <w:r>
              <w:rPr>
                <w:color w:val="000000"/>
                <w:spacing w:val="-6"/>
                <w:sz w:val="11"/>
              </w:rPr>
              <w:t>3S</w:t>
            </w:r>
            <w:r>
              <w:rPr>
                <w:color w:val="000000"/>
                <w:spacing w:val="-6"/>
                <w:sz w:val="16"/>
              </w:rPr>
              <w:t>P</w:t>
            </w:r>
            <w:r>
              <w:rPr>
                <w:color w:val="000000"/>
                <w:spacing w:val="-6"/>
                <w:sz w:val="11"/>
              </w:rPr>
              <w:t>3</w:t>
            </w:r>
            <w:r>
              <w:rPr>
                <w:color w:val="000000"/>
                <w:spacing w:val="-6"/>
                <w:sz w:val="16"/>
              </w:rPr>
              <w:t>E</w:t>
            </w:r>
            <w:r>
              <w:rPr>
                <w:color w:val="000000"/>
                <w:spacing w:val="-6"/>
                <w:sz w:val="11"/>
              </w:rPr>
              <w:t>2</w:t>
            </w:r>
            <w:r>
              <w:rPr>
                <w:color w:val="000000"/>
                <w:spacing w:val="-6"/>
                <w:sz w:val="16"/>
              </w:rPr>
              <w:t>C</w:t>
            </w:r>
            <w:r>
              <w:rPr>
                <w:color w:val="000000"/>
                <w:spacing w:val="-6"/>
                <w:sz w:val="11"/>
              </w:rPr>
              <w:t>1</w:t>
            </w:r>
          </w:p>
          <w:p>
            <w:pPr>
              <w:pStyle w:val="Normal"/>
              <w:widowControl w:val="false"/>
              <w:spacing w:lineRule="auto" w:line="206" w:before="36" w:after="0"/>
              <w:jc w:val="center"/>
              <w:rPr>
                <w:color w:val="000000"/>
                <w:spacing w:val="-10"/>
                <w:sz w:val="16"/>
              </w:rPr>
            </w:pPr>
            <w:r>
              <w:rPr>
                <w:color w:val="000000"/>
                <w:spacing w:val="-10"/>
                <w:sz w:val="16"/>
              </w:rPr>
              <w:t>Nota 2</w:t>
            </w:r>
          </w:p>
        </w:tc>
      </w:tr>
      <w:tr>
        <w:trPr>
          <w:trHeight w:val="303"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14</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1"/>
                <w:sz w:val="16"/>
              </w:rPr>
            </w:pPr>
            <w:r>
              <w:rPr>
                <w:color w:val="000000"/>
                <w:spacing w:val="-11"/>
                <w:sz w:val="16"/>
              </w:rPr>
              <w:t>Couloirs, dégagements, circulations (sauf circulation dans une zone de locaux techniques)</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3S</w:t>
            </w:r>
            <w:r>
              <w:rPr>
                <w:color w:val="000000"/>
                <w:spacing w:val="-6"/>
                <w:sz w:val="16"/>
              </w:rPr>
              <w:t>P</w:t>
            </w:r>
            <w:r>
              <w:rPr>
                <w:color w:val="000000"/>
                <w:spacing w:val="-6"/>
                <w:sz w:val="11"/>
              </w:rPr>
              <w:t>3</w:t>
            </w:r>
            <w:r>
              <w:rPr>
                <w:color w:val="000000"/>
                <w:spacing w:val="-6"/>
                <w:sz w:val="16"/>
              </w:rPr>
              <w:t>E</w:t>
            </w:r>
            <w:r>
              <w:rPr>
                <w:color w:val="000000"/>
                <w:spacing w:val="-6"/>
                <w:sz w:val="11"/>
              </w:rPr>
              <w:t>1</w:t>
            </w:r>
            <w:r>
              <w:rPr>
                <w:color w:val="000000"/>
                <w:spacing w:val="-6"/>
                <w:sz w:val="16"/>
              </w:rPr>
              <w:t>C</w:t>
            </w:r>
            <w:r>
              <w:rPr>
                <w:color w:val="000000"/>
                <w:spacing w:val="-6"/>
                <w:sz w:val="11"/>
              </w:rPr>
              <w:t>0</w:t>
            </w:r>
          </w:p>
        </w:tc>
      </w:tr>
      <w:tr>
        <w:trPr>
          <w:trHeight w:val="307"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15</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2"/>
                <w:sz w:val="16"/>
              </w:rPr>
            </w:pPr>
            <w:r>
              <w:rPr>
                <w:color w:val="000000"/>
                <w:spacing w:val="-12"/>
                <w:sz w:val="16"/>
              </w:rPr>
              <w:t>Escaliers, y compris paliers</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3S</w:t>
            </w:r>
            <w:r>
              <w:rPr>
                <w:color w:val="000000"/>
                <w:spacing w:val="-6"/>
                <w:sz w:val="16"/>
              </w:rPr>
              <w:t>P</w:t>
            </w:r>
            <w:r>
              <w:rPr>
                <w:color w:val="000000"/>
                <w:spacing w:val="-6"/>
                <w:sz w:val="11"/>
              </w:rPr>
              <w:t>3</w:t>
            </w:r>
            <w:r>
              <w:rPr>
                <w:color w:val="000000"/>
                <w:spacing w:val="-6"/>
                <w:sz w:val="16"/>
              </w:rPr>
              <w:t>E</w:t>
            </w:r>
            <w:r>
              <w:rPr>
                <w:color w:val="000000"/>
                <w:spacing w:val="-6"/>
                <w:sz w:val="11"/>
              </w:rPr>
              <w:t>1</w:t>
            </w:r>
            <w:r>
              <w:rPr>
                <w:color w:val="000000"/>
                <w:spacing w:val="-6"/>
                <w:sz w:val="16"/>
              </w:rPr>
              <w:t>C</w:t>
            </w:r>
            <w:r>
              <w:rPr>
                <w:color w:val="000000"/>
                <w:spacing w:val="-6"/>
                <w:sz w:val="11"/>
              </w:rPr>
              <w:t>0</w:t>
            </w:r>
          </w:p>
        </w:tc>
      </w:tr>
      <w:tr>
        <w:trPr>
          <w:trHeight w:val="302" w:hRule="exact"/>
        </w:trPr>
        <w:tc>
          <w:tcPr>
            <w:tcW w:w="9657" w:type="dxa"/>
            <w:gridSpan w:val="3"/>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9" w:hanging="0"/>
              <w:jc w:val="right"/>
              <w:rPr>
                <w:b/>
                <w:b/>
                <w:color w:val="000000"/>
                <w:spacing w:val="-12"/>
                <w:sz w:val="16"/>
              </w:rPr>
            </w:pPr>
            <w:r>
              <w:rPr>
                <w:b/>
                <w:color w:val="000000"/>
                <w:spacing w:val="-12"/>
                <w:sz w:val="16"/>
              </w:rPr>
              <w:t>III - Locaux annexes et petits locaux techniques, y compris zones de distribution</w:t>
            </w:r>
          </w:p>
        </w:tc>
      </w:tr>
      <w:tr>
        <w:trPr>
          <w:trHeight w:val="303"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16</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1"/>
                <w:sz w:val="16"/>
              </w:rPr>
            </w:pPr>
            <w:r>
              <w:rPr>
                <w:color w:val="000000"/>
                <w:spacing w:val="-11"/>
                <w:sz w:val="16"/>
              </w:rPr>
              <w:t>Archives, locaux de classement sans trafic d'engins lourds tels que transpalettes</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w:t>
            </w:r>
            <w:r>
              <w:rPr>
                <w:color w:val="000000"/>
                <w:spacing w:val="-6"/>
                <w:sz w:val="16"/>
              </w:rPr>
              <w:t>P</w:t>
            </w:r>
            <w:r>
              <w:rPr>
                <w:color w:val="000000"/>
                <w:spacing w:val="-6"/>
                <w:sz w:val="11"/>
              </w:rPr>
              <w:t>3</w:t>
            </w:r>
            <w:r>
              <w:rPr>
                <w:color w:val="000000"/>
                <w:spacing w:val="-6"/>
                <w:sz w:val="16"/>
              </w:rPr>
              <w:t>E</w:t>
            </w:r>
            <w:r>
              <w:rPr>
                <w:color w:val="000000"/>
                <w:spacing w:val="-6"/>
                <w:sz w:val="11"/>
              </w:rPr>
              <w:t>1</w:t>
            </w:r>
            <w:r>
              <w:rPr>
                <w:color w:val="000000"/>
                <w:spacing w:val="-6"/>
                <w:sz w:val="16"/>
              </w:rPr>
              <w:t>C</w:t>
            </w:r>
            <w:r>
              <w:rPr>
                <w:color w:val="000000"/>
                <w:spacing w:val="-6"/>
                <w:sz w:val="11"/>
              </w:rPr>
              <w:t>0</w:t>
            </w:r>
          </w:p>
        </w:tc>
      </w:tr>
      <w:tr>
        <w:trPr>
          <w:trHeight w:val="302"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17</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2"/>
                <w:sz w:val="16"/>
              </w:rPr>
            </w:pPr>
            <w:r>
              <w:rPr>
                <w:color w:val="000000"/>
                <w:spacing w:val="-12"/>
                <w:sz w:val="16"/>
              </w:rPr>
              <w:t>Sanitaires</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8"/>
                <w:sz w:val="16"/>
              </w:rPr>
            </w:pPr>
            <w:r>
              <w:rPr>
                <w:color w:val="000000"/>
                <w:spacing w:val="-8"/>
                <w:sz w:val="16"/>
              </w:rPr>
              <w:t>U</w:t>
            </w:r>
            <w:r>
              <w:rPr>
                <w:color w:val="000000"/>
                <w:spacing w:val="-8"/>
                <w:sz w:val="11"/>
              </w:rPr>
              <w:t>3</w:t>
            </w:r>
            <w:r>
              <w:rPr>
                <w:color w:val="000000"/>
                <w:spacing w:val="-8"/>
                <w:sz w:val="16"/>
              </w:rPr>
              <w:t>P</w:t>
            </w:r>
            <w:r>
              <w:rPr>
                <w:color w:val="000000"/>
                <w:spacing w:val="-8"/>
                <w:sz w:val="11"/>
              </w:rPr>
              <w:t>2</w:t>
            </w:r>
            <w:r>
              <w:rPr>
                <w:color w:val="000000"/>
                <w:spacing w:val="-8"/>
                <w:sz w:val="16"/>
              </w:rPr>
              <w:t>E</w:t>
            </w:r>
            <w:r>
              <w:rPr>
                <w:color w:val="000000"/>
                <w:spacing w:val="-8"/>
                <w:sz w:val="11"/>
              </w:rPr>
              <w:t>2</w:t>
            </w:r>
            <w:r>
              <w:rPr>
                <w:color w:val="000000"/>
                <w:spacing w:val="-8"/>
                <w:sz w:val="16"/>
              </w:rPr>
              <w:t>C</w:t>
            </w:r>
            <w:r>
              <w:rPr>
                <w:color w:val="000000"/>
                <w:spacing w:val="-8"/>
                <w:sz w:val="11"/>
              </w:rPr>
              <w:t>1</w:t>
            </w:r>
          </w:p>
        </w:tc>
      </w:tr>
      <w:tr>
        <w:trPr>
          <w:trHeight w:val="302"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18</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1"/>
                <w:sz w:val="16"/>
              </w:rPr>
            </w:pPr>
            <w:r>
              <w:rPr>
                <w:color w:val="000000"/>
                <w:spacing w:val="-11"/>
                <w:sz w:val="16"/>
              </w:rPr>
              <w:t>Reprographie sans trafic d'engins lourds tels que transpalettes</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w:t>
            </w:r>
            <w:r>
              <w:rPr>
                <w:color w:val="000000"/>
                <w:spacing w:val="-6"/>
                <w:sz w:val="16"/>
              </w:rPr>
              <w:t>P</w:t>
            </w:r>
            <w:r>
              <w:rPr>
                <w:color w:val="000000"/>
                <w:spacing w:val="-6"/>
                <w:sz w:val="11"/>
              </w:rPr>
              <w:t>3</w:t>
            </w:r>
            <w:r>
              <w:rPr>
                <w:color w:val="000000"/>
                <w:spacing w:val="-6"/>
                <w:sz w:val="16"/>
              </w:rPr>
              <w:t>E</w:t>
            </w:r>
            <w:r>
              <w:rPr>
                <w:color w:val="000000"/>
                <w:spacing w:val="-6"/>
                <w:sz w:val="11"/>
              </w:rPr>
              <w:t>2</w:t>
            </w:r>
            <w:r>
              <w:rPr>
                <w:color w:val="000000"/>
                <w:spacing w:val="-6"/>
                <w:sz w:val="16"/>
              </w:rPr>
              <w:t>C</w:t>
            </w:r>
            <w:r>
              <w:rPr>
                <w:color w:val="000000"/>
                <w:spacing w:val="-6"/>
                <w:sz w:val="11"/>
              </w:rPr>
              <w:t>3</w:t>
            </w:r>
          </w:p>
        </w:tc>
      </w:tr>
      <w:tr>
        <w:trPr>
          <w:trHeight w:val="308"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19</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2"/>
                <w:sz w:val="16"/>
              </w:rPr>
            </w:pPr>
            <w:r>
              <w:rPr>
                <w:color w:val="000000"/>
                <w:spacing w:val="-12"/>
                <w:sz w:val="16"/>
              </w:rPr>
              <w:t>Locaux d'informatique</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w:t>
            </w:r>
            <w:r>
              <w:rPr>
                <w:color w:val="000000"/>
                <w:spacing w:val="-6"/>
                <w:sz w:val="16"/>
              </w:rPr>
              <w:t>P</w:t>
            </w:r>
            <w:r>
              <w:rPr>
                <w:color w:val="000000"/>
                <w:spacing w:val="-6"/>
                <w:sz w:val="11"/>
              </w:rPr>
              <w:t>3</w:t>
            </w:r>
            <w:r>
              <w:rPr>
                <w:color w:val="000000"/>
                <w:spacing w:val="-6"/>
                <w:sz w:val="16"/>
              </w:rPr>
              <w:t>E</w:t>
            </w:r>
            <w:r>
              <w:rPr>
                <w:color w:val="000000"/>
                <w:spacing w:val="-6"/>
                <w:sz w:val="11"/>
              </w:rPr>
              <w:t>1</w:t>
            </w:r>
            <w:r>
              <w:rPr>
                <w:color w:val="000000"/>
                <w:spacing w:val="-6"/>
                <w:sz w:val="16"/>
              </w:rPr>
              <w:t>C</w:t>
            </w:r>
            <w:r>
              <w:rPr>
                <w:color w:val="000000"/>
                <w:spacing w:val="-6"/>
                <w:sz w:val="11"/>
              </w:rPr>
              <w:t>0</w:t>
            </w:r>
          </w:p>
        </w:tc>
      </w:tr>
      <w:tr>
        <w:trPr>
          <w:trHeight w:val="302" w:hRule="exact"/>
        </w:trPr>
        <w:tc>
          <w:tcPr>
            <w:tcW w:w="9657" w:type="dxa"/>
            <w:gridSpan w:val="3"/>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3919" w:hanging="0"/>
              <w:jc w:val="right"/>
              <w:rPr>
                <w:b/>
                <w:b/>
                <w:color w:val="000000"/>
                <w:spacing w:val="-12"/>
                <w:sz w:val="16"/>
              </w:rPr>
            </w:pPr>
            <w:r>
              <w:rPr>
                <w:b/>
                <w:color w:val="000000"/>
                <w:spacing w:val="-12"/>
                <w:sz w:val="16"/>
              </w:rPr>
              <w:t>IV - Restaurant d'entreprise</w:t>
            </w:r>
          </w:p>
        </w:tc>
      </w:tr>
      <w:tr>
        <w:trPr>
          <w:trHeight w:val="302"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20</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1"/>
                <w:sz w:val="16"/>
              </w:rPr>
            </w:pPr>
            <w:r>
              <w:rPr>
                <w:color w:val="000000"/>
                <w:spacing w:val="-11"/>
                <w:sz w:val="16"/>
              </w:rPr>
              <w:t>Cafeteria, salle à manger, sauf la zone du comptoir de distribution</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3S</w:t>
            </w:r>
            <w:r>
              <w:rPr>
                <w:color w:val="000000"/>
                <w:spacing w:val="-6"/>
                <w:sz w:val="16"/>
              </w:rPr>
              <w:t>P</w:t>
            </w:r>
            <w:r>
              <w:rPr>
                <w:color w:val="000000"/>
                <w:spacing w:val="-6"/>
                <w:sz w:val="11"/>
              </w:rPr>
              <w:t>3</w:t>
            </w:r>
            <w:r>
              <w:rPr>
                <w:color w:val="000000"/>
                <w:spacing w:val="-6"/>
                <w:sz w:val="16"/>
              </w:rPr>
              <w:t>E</w:t>
            </w:r>
            <w:r>
              <w:rPr>
                <w:color w:val="000000"/>
                <w:spacing w:val="-6"/>
                <w:sz w:val="11"/>
              </w:rPr>
              <w:t>1</w:t>
            </w:r>
            <w:r>
              <w:rPr>
                <w:color w:val="000000"/>
                <w:spacing w:val="-6"/>
                <w:sz w:val="16"/>
              </w:rPr>
              <w:t>C</w:t>
            </w:r>
            <w:r>
              <w:rPr>
                <w:color w:val="000000"/>
                <w:spacing w:val="-6"/>
                <w:sz w:val="11"/>
              </w:rPr>
              <w:t>1</w:t>
            </w:r>
          </w:p>
        </w:tc>
      </w:tr>
      <w:tr>
        <w:trPr>
          <w:trHeight w:val="303"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pacing w:val="-4"/>
                <w:sz w:val="16"/>
              </w:rPr>
            </w:pPr>
            <w:r>
              <w:rPr>
                <w:color w:val="000000"/>
                <w:spacing w:val="-4"/>
                <w:sz w:val="16"/>
              </w:rPr>
              <w:t>B 21</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2"/>
                <w:sz w:val="16"/>
              </w:rPr>
            </w:pPr>
            <w:r>
              <w:rPr>
                <w:color w:val="000000"/>
                <w:spacing w:val="-12"/>
                <w:sz w:val="16"/>
              </w:rPr>
              <w:t>Comptoir de distribution</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4</w:t>
            </w:r>
            <w:r>
              <w:rPr>
                <w:color w:val="000000"/>
                <w:spacing w:val="-6"/>
                <w:sz w:val="16"/>
              </w:rPr>
              <w:t>P</w:t>
            </w:r>
            <w:r>
              <w:rPr>
                <w:color w:val="000000"/>
                <w:spacing w:val="-6"/>
                <w:sz w:val="11"/>
              </w:rPr>
              <w:t>3</w:t>
            </w:r>
            <w:r>
              <w:rPr>
                <w:color w:val="000000"/>
                <w:spacing w:val="-6"/>
                <w:sz w:val="16"/>
              </w:rPr>
              <w:t>E</w:t>
            </w:r>
            <w:r>
              <w:rPr>
                <w:color w:val="000000"/>
                <w:spacing w:val="-6"/>
                <w:sz w:val="11"/>
              </w:rPr>
              <w:t>2</w:t>
            </w:r>
            <w:r>
              <w:rPr>
                <w:color w:val="000000"/>
                <w:spacing w:val="-6"/>
                <w:sz w:val="16"/>
              </w:rPr>
              <w:t>C</w:t>
            </w:r>
            <w:r>
              <w:rPr>
                <w:color w:val="000000"/>
                <w:spacing w:val="-6"/>
                <w:sz w:val="11"/>
              </w:rPr>
              <w:t>2</w:t>
            </w:r>
          </w:p>
        </w:tc>
      </w:tr>
      <w:tr>
        <w:trPr>
          <w:trHeight w:val="307"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22</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2"/>
                <w:sz w:val="16"/>
              </w:rPr>
            </w:pPr>
            <w:r>
              <w:rPr>
                <w:color w:val="000000"/>
                <w:spacing w:val="-12"/>
                <w:sz w:val="16"/>
              </w:rPr>
              <w:t>Cuisine collective et annexes</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4</w:t>
            </w:r>
            <w:r>
              <w:rPr>
                <w:color w:val="000000"/>
                <w:spacing w:val="-6"/>
                <w:sz w:val="16"/>
              </w:rPr>
              <w:t>P</w:t>
            </w:r>
            <w:r>
              <w:rPr>
                <w:color w:val="000000"/>
                <w:spacing w:val="-6"/>
                <w:sz w:val="11"/>
              </w:rPr>
              <w:t>4S</w:t>
            </w:r>
            <w:r>
              <w:rPr>
                <w:color w:val="000000"/>
                <w:spacing w:val="-6"/>
                <w:sz w:val="16"/>
              </w:rPr>
              <w:t>E</w:t>
            </w:r>
            <w:r>
              <w:rPr>
                <w:color w:val="000000"/>
                <w:spacing w:val="-6"/>
                <w:sz w:val="11"/>
              </w:rPr>
              <w:t>3</w:t>
            </w:r>
            <w:r>
              <w:rPr>
                <w:color w:val="000000"/>
                <w:spacing w:val="-6"/>
                <w:sz w:val="16"/>
              </w:rPr>
              <w:t>C</w:t>
            </w:r>
            <w:r>
              <w:rPr>
                <w:color w:val="000000"/>
                <w:spacing w:val="-6"/>
                <w:sz w:val="11"/>
              </w:rPr>
              <w:t>2</w:t>
            </w:r>
          </w:p>
        </w:tc>
      </w:tr>
      <w:tr>
        <w:trPr>
          <w:trHeight w:val="302"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23</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2"/>
                <w:sz w:val="16"/>
              </w:rPr>
            </w:pPr>
            <w:r>
              <w:rPr>
                <w:color w:val="000000"/>
                <w:spacing w:val="-12"/>
                <w:sz w:val="16"/>
              </w:rPr>
              <w:t>Local de réchauffage des plats sans zone de lavage</w:t>
            </w:r>
          </w:p>
        </w:tc>
        <w:tc>
          <w:tcPr>
            <w:tcW w:w="149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jc w:val="center"/>
              <w:rPr>
                <w:color w:val="000000"/>
                <w:spacing w:val="-6"/>
                <w:sz w:val="16"/>
              </w:rPr>
            </w:pPr>
            <w:r>
              <w:rPr>
                <w:color w:val="000000"/>
                <w:spacing w:val="-6"/>
                <w:sz w:val="16"/>
              </w:rPr>
              <w:t>U</w:t>
            </w:r>
            <w:r>
              <w:rPr>
                <w:color w:val="000000"/>
                <w:spacing w:val="-6"/>
                <w:sz w:val="11"/>
              </w:rPr>
              <w:t>4</w:t>
            </w:r>
            <w:r>
              <w:rPr>
                <w:color w:val="000000"/>
                <w:spacing w:val="-6"/>
                <w:sz w:val="16"/>
              </w:rPr>
              <w:t>P</w:t>
            </w:r>
            <w:r>
              <w:rPr>
                <w:color w:val="000000"/>
                <w:spacing w:val="-6"/>
                <w:sz w:val="11"/>
              </w:rPr>
              <w:t>3</w:t>
            </w:r>
            <w:r>
              <w:rPr>
                <w:color w:val="000000"/>
                <w:spacing w:val="-6"/>
                <w:sz w:val="16"/>
              </w:rPr>
              <w:t>E</w:t>
            </w:r>
            <w:r>
              <w:rPr>
                <w:color w:val="000000"/>
                <w:spacing w:val="-6"/>
                <w:sz w:val="11"/>
              </w:rPr>
              <w:t>2</w:t>
            </w:r>
            <w:r>
              <w:rPr>
                <w:color w:val="000000"/>
                <w:spacing w:val="-6"/>
                <w:sz w:val="16"/>
              </w:rPr>
              <w:t>C</w:t>
            </w:r>
            <w:r>
              <w:rPr>
                <w:color w:val="000000"/>
                <w:spacing w:val="-6"/>
                <w:sz w:val="11"/>
              </w:rPr>
              <w:t>2</w:t>
            </w:r>
          </w:p>
        </w:tc>
      </w:tr>
      <w:tr>
        <w:trPr>
          <w:trHeight w:val="533" w:hRule="exact"/>
        </w:trPr>
        <w:tc>
          <w:tcPr>
            <w:tcW w:w="877"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right="229" w:hanging="0"/>
              <w:jc w:val="right"/>
              <w:rPr>
                <w:color w:val="000000"/>
                <w:sz w:val="16"/>
              </w:rPr>
            </w:pPr>
            <w:r>
              <w:rPr>
                <w:color w:val="000000"/>
                <w:sz w:val="16"/>
              </w:rPr>
              <w:t>B 24</w:t>
            </w:r>
          </w:p>
        </w:tc>
        <w:tc>
          <w:tcPr>
            <w:tcW w:w="7283" w:type="dxa"/>
            <w:tcBorders>
              <w:top w:val="single" w:sz="8" w:space="0" w:color="000000"/>
              <w:left w:val="single" w:sz="8" w:space="0" w:color="000000"/>
              <w:bottom w:val="single" w:sz="8" w:space="0" w:color="000000"/>
              <w:right w:val="single" w:sz="8" w:space="0" w:color="000000"/>
            </w:tcBorders>
            <w:vAlign w:val="center"/>
          </w:tcPr>
          <w:p>
            <w:pPr>
              <w:pStyle w:val="Normal"/>
              <w:widowControl w:val="false"/>
              <w:ind w:left="72" w:hanging="0"/>
              <w:rPr>
                <w:color w:val="000000"/>
                <w:spacing w:val="-12"/>
                <w:sz w:val="16"/>
              </w:rPr>
            </w:pPr>
            <w:r>
              <w:rPr>
                <w:color w:val="000000"/>
                <w:spacing w:val="-12"/>
                <w:sz w:val="16"/>
              </w:rPr>
              <w:t>Local de réchauffage des plats avec zone de lavage</w:t>
            </w:r>
          </w:p>
        </w:tc>
        <w:tc>
          <w:tcPr>
            <w:tcW w:w="1497" w:type="dxa"/>
            <w:tcBorders>
              <w:top w:val="single" w:sz="8" w:space="0" w:color="000000"/>
              <w:left w:val="single" w:sz="8" w:space="0" w:color="000000"/>
              <w:bottom w:val="single" w:sz="8" w:space="0" w:color="000000"/>
              <w:right w:val="single" w:sz="8" w:space="0" w:color="000000"/>
            </w:tcBorders>
          </w:tcPr>
          <w:p>
            <w:pPr>
              <w:pStyle w:val="Normal"/>
              <w:widowControl w:val="false"/>
              <w:spacing w:lineRule="auto" w:line="271" w:before="72" w:after="0"/>
              <w:jc w:val="center"/>
              <w:rPr>
                <w:color w:val="000000"/>
                <w:spacing w:val="-6"/>
                <w:sz w:val="16"/>
              </w:rPr>
            </w:pPr>
            <w:r>
              <w:rPr>
                <w:color w:val="000000"/>
                <w:spacing w:val="-6"/>
                <w:sz w:val="16"/>
              </w:rPr>
              <w:t>U</w:t>
            </w:r>
            <w:r>
              <w:rPr>
                <w:color w:val="000000"/>
                <w:spacing w:val="-6"/>
                <w:sz w:val="11"/>
              </w:rPr>
              <w:t>4</w:t>
            </w:r>
            <w:r>
              <w:rPr>
                <w:color w:val="000000"/>
                <w:spacing w:val="-6"/>
                <w:sz w:val="16"/>
              </w:rPr>
              <w:t>P</w:t>
            </w:r>
            <w:r>
              <w:rPr>
                <w:color w:val="000000"/>
                <w:spacing w:val="-6"/>
                <w:sz w:val="11"/>
              </w:rPr>
              <w:t>4</w:t>
            </w:r>
            <w:r>
              <w:rPr>
                <w:color w:val="000000"/>
                <w:spacing w:val="-6"/>
                <w:sz w:val="16"/>
              </w:rPr>
              <w:t>E</w:t>
            </w:r>
            <w:r>
              <w:rPr>
                <w:color w:val="000000"/>
                <w:spacing w:val="-6"/>
                <w:sz w:val="11"/>
              </w:rPr>
              <w:t>3</w:t>
            </w:r>
            <w:r>
              <w:rPr>
                <w:color w:val="000000"/>
                <w:spacing w:val="-6"/>
                <w:sz w:val="16"/>
              </w:rPr>
              <w:t>C</w:t>
            </w:r>
            <w:r>
              <w:rPr>
                <w:color w:val="000000"/>
                <w:spacing w:val="-6"/>
                <w:sz w:val="11"/>
              </w:rPr>
              <w:t>2</w:t>
            </w:r>
          </w:p>
          <w:p>
            <w:pPr>
              <w:pStyle w:val="Normal"/>
              <w:widowControl w:val="false"/>
              <w:spacing w:lineRule="auto" w:line="206" w:before="36" w:after="0"/>
              <w:jc w:val="center"/>
              <w:rPr>
                <w:color w:val="000000"/>
                <w:spacing w:val="-10"/>
                <w:sz w:val="16"/>
              </w:rPr>
            </w:pPr>
            <w:r>
              <w:rPr>
                <w:color w:val="000000"/>
                <w:spacing w:val="-10"/>
                <w:sz w:val="16"/>
              </w:rPr>
              <w:t>Nota 3</w:t>
            </w:r>
          </w:p>
        </w:tc>
      </w:tr>
      <w:tr>
        <w:trPr>
          <w:trHeight w:val="725" w:hRule="exact"/>
        </w:trPr>
        <w:tc>
          <w:tcPr>
            <w:tcW w:w="9657" w:type="dxa"/>
            <w:gridSpan w:val="3"/>
            <w:tcBorders>
              <w:top w:val="single" w:sz="8" w:space="0" w:color="000000"/>
              <w:left w:val="single" w:sz="8" w:space="0" w:color="000000"/>
              <w:bottom w:val="single" w:sz="8" w:space="0" w:color="000000"/>
              <w:right w:val="single" w:sz="8" w:space="0" w:color="000000"/>
            </w:tcBorders>
          </w:tcPr>
          <w:p>
            <w:pPr>
              <w:pStyle w:val="Normal"/>
              <w:widowControl w:val="false"/>
              <w:ind w:left="72" w:right="3564" w:hanging="0"/>
              <w:rPr>
                <w:color w:val="000000"/>
                <w:spacing w:val="-13"/>
                <w:sz w:val="16"/>
              </w:rPr>
            </w:pPr>
            <w:r>
              <w:rPr>
                <w:color w:val="000000"/>
                <w:spacing w:val="-13"/>
                <w:sz w:val="16"/>
              </w:rPr>
              <w:t>Nota 1 : compte tenu de l'expérience acquise, il s'avère qu'en céramique, un carreau U</w:t>
            </w:r>
            <w:r>
              <w:rPr>
                <w:color w:val="000000"/>
                <w:spacing w:val="-13"/>
                <w:w w:val="85"/>
                <w:sz w:val="16"/>
                <w:vertAlign w:val="subscript"/>
              </w:rPr>
              <w:t>3</w:t>
            </w:r>
            <w:r>
              <w:rPr>
                <w:color w:val="000000"/>
                <w:spacing w:val="-13"/>
                <w:sz w:val="16"/>
              </w:rPr>
              <w:t xml:space="preserve"> est nécessaire </w:t>
            </w:r>
            <w:r>
              <w:rPr>
                <w:color w:val="000000"/>
                <w:spacing w:val="-12"/>
                <w:sz w:val="16"/>
              </w:rPr>
              <w:t>Nota 2 : selon l'expérience acquise, un revêtement plastique U</w:t>
            </w:r>
            <w:r>
              <w:rPr>
                <w:color w:val="000000"/>
                <w:spacing w:val="-12"/>
                <w:w w:val="85"/>
                <w:sz w:val="16"/>
                <w:vertAlign w:val="subscript"/>
              </w:rPr>
              <w:t>3</w:t>
            </w:r>
            <w:r>
              <w:rPr>
                <w:color w:val="000000"/>
                <w:spacing w:val="-12"/>
                <w:sz w:val="16"/>
              </w:rPr>
              <w:t xml:space="preserve"> convient</w:t>
            </w:r>
          </w:p>
          <w:p>
            <w:pPr>
              <w:pStyle w:val="Normal"/>
              <w:widowControl w:val="false"/>
              <w:spacing w:lineRule="auto" w:line="264"/>
              <w:ind w:left="72" w:hanging="0"/>
              <w:rPr>
                <w:color w:val="000000"/>
                <w:spacing w:val="-11"/>
                <w:sz w:val="16"/>
              </w:rPr>
            </w:pPr>
            <w:r>
              <w:rPr>
                <w:color w:val="000000"/>
                <w:spacing w:val="-11"/>
                <w:sz w:val="16"/>
              </w:rPr>
              <w:t>Nota 3 : lorsque traités en carreaux céramiques, ces locaux nécessitent l'utilisation de carreaux P</w:t>
            </w:r>
            <w:r>
              <w:rPr>
                <w:color w:val="000000"/>
                <w:spacing w:val="-11"/>
                <w:sz w:val="11"/>
              </w:rPr>
              <w:t>4+</w:t>
            </w:r>
          </w:p>
        </w:tc>
      </w:tr>
    </w:tbl>
    <w:p>
      <w:pPr>
        <w:pStyle w:val="Corpsdetexte"/>
        <w:spacing w:before="200" w:after="0"/>
        <w:jc w:val="center"/>
        <w:rPr>
          <w:b/>
          <w:b/>
          <w:bCs/>
        </w:rPr>
      </w:pPr>
      <w:r>
        <w:rPr>
          <w:b/>
          <w:bCs/>
        </w:rPr>
        <w:t>Classement UPEC pour les Bâtiments civils et administratifs, publics et privés</w:t>
      </w:r>
    </w:p>
    <w:p>
      <w:pPr>
        <w:pStyle w:val="Corpsdetexte"/>
        <w:spacing w:before="200" w:after="0"/>
        <w:jc w:val="center"/>
        <w:rPr>
          <w:b/>
          <w:b/>
          <w:bCs/>
        </w:rPr>
      </w:pPr>
      <w:r>
        <w:rPr>
          <w:b/>
          <w:bCs/>
        </w:rPr>
      </w:r>
    </w:p>
    <w:p>
      <w:pPr>
        <w:pStyle w:val="Normal"/>
        <w:spacing w:before="0" w:after="120"/>
        <w:rPr/>
      </w:pPr>
      <w:r>
        <w:rPr/>
        <w:t>Les ouvrages seront exécutés en conformité avec les documents suivants :</w:t>
      </w:r>
    </w:p>
    <w:p>
      <w:pPr>
        <w:pStyle w:val="TEXTE"/>
        <w:numPr>
          <w:ilvl w:val="0"/>
          <w:numId w:val="27"/>
        </w:numPr>
        <w:spacing w:before="0" w:after="120"/>
        <w:ind w:left="714" w:hanging="357"/>
        <w:rPr/>
      </w:pPr>
      <w:r>
        <w:rPr/>
        <w:t>Normes Françaises AFNOR.</w:t>
      </w:r>
    </w:p>
    <w:p>
      <w:pPr>
        <w:pStyle w:val="TEXTE"/>
        <w:numPr>
          <w:ilvl w:val="0"/>
          <w:numId w:val="27"/>
        </w:numPr>
        <w:spacing w:before="0" w:after="120"/>
        <w:ind w:left="714" w:hanging="357"/>
        <w:rPr/>
      </w:pPr>
      <w:r>
        <w:rPr/>
        <w:t>Cahiers des Charges du Groupe D.T.U. dont les D.T.U. n°20 « Ouvrages en maçonnerie » n°26.2 « Chapes et dalles à base de liants hydrauliques », n°51.2 « Revêtements de sols scellés », n°55 « Revêtements muraux scellés », les Cahiers des Clauses Spéciales correspondants et n°53 « Revêtements de sols collés ».</w:t>
      </w:r>
    </w:p>
    <w:p>
      <w:pPr>
        <w:pStyle w:val="TEXTE"/>
        <w:numPr>
          <w:ilvl w:val="0"/>
          <w:numId w:val="27"/>
        </w:numPr>
        <w:spacing w:before="0" w:after="120"/>
        <w:ind w:left="714" w:hanging="357"/>
        <w:rPr/>
      </w:pPr>
      <w:r>
        <w:rPr/>
        <w:t>Cahier des Prestations techniques d’exécution des revêtements de sols en carreaux céramiques collés (Cahier CSTB 2478 Mars 1991).</w:t>
      </w:r>
    </w:p>
    <w:p>
      <w:pPr>
        <w:pStyle w:val="TEXTE"/>
        <w:numPr>
          <w:ilvl w:val="0"/>
          <w:numId w:val="27"/>
        </w:numPr>
        <w:spacing w:before="0" w:after="120"/>
        <w:ind w:left="714" w:hanging="357"/>
        <w:rPr/>
      </w:pPr>
      <w:r>
        <w:rPr/>
        <w:t>Notice sur le classement UPEC (Cahier 2183 du CSTB Septembre 1987).</w:t>
      </w:r>
    </w:p>
    <w:p>
      <w:pPr>
        <w:pStyle w:val="TEXTE"/>
        <w:numPr>
          <w:ilvl w:val="0"/>
          <w:numId w:val="27"/>
        </w:numPr>
        <w:spacing w:before="0" w:after="120"/>
        <w:ind w:left="714" w:hanging="357"/>
        <w:rPr/>
      </w:pPr>
      <w:r>
        <w:rPr/>
        <w:t>Prescriptions et notices de misse en œuvre des fabricants.</w:t>
      </w:r>
    </w:p>
    <w:p>
      <w:pPr>
        <w:pStyle w:val="TEXTE"/>
        <w:numPr>
          <w:ilvl w:val="0"/>
          <w:numId w:val="27"/>
        </w:numPr>
        <w:spacing w:before="0" w:after="120"/>
        <w:ind w:left="714" w:hanging="357"/>
        <w:rPr/>
      </w:pPr>
      <w:r>
        <w:rPr/>
        <w:t>Sols industriels à base de résine (note d’information CSTB Décembre 1981).</w:t>
      </w:r>
    </w:p>
    <w:p>
      <w:pPr>
        <w:pStyle w:val="TEXTE"/>
        <w:numPr>
          <w:ilvl w:val="0"/>
          <w:numId w:val="27"/>
        </w:numPr>
        <w:spacing w:before="0" w:after="120"/>
        <w:ind w:left="714" w:hanging="357"/>
        <w:rPr/>
      </w:pPr>
      <w:r>
        <w:rPr/>
        <w:t>Cahier des Prescriptions Techniques Générales, établis par le CSTB.</w:t>
      </w:r>
    </w:p>
    <w:p>
      <w:pPr>
        <w:pStyle w:val="TEXTE"/>
        <w:numPr>
          <w:ilvl w:val="0"/>
          <w:numId w:val="27"/>
        </w:numPr>
        <w:spacing w:before="0" w:after="120"/>
        <w:ind w:left="714" w:hanging="357"/>
        <w:rPr/>
      </w:pPr>
      <w:r>
        <w:rPr/>
        <w:t>Normes USDA.</w:t>
      </w:r>
    </w:p>
    <w:p>
      <w:pPr>
        <w:pStyle w:val="TEXTE"/>
        <w:numPr>
          <w:ilvl w:val="0"/>
          <w:numId w:val="27"/>
        </w:numPr>
        <w:spacing w:before="0" w:after="120"/>
        <w:ind w:left="714" w:hanging="357"/>
        <w:rPr/>
      </w:pPr>
      <w:r>
        <w:rPr/>
        <w:t>Circulaire du 26/10/1993 de la CNAMTS et du CNEVA intitulée : Revêtements de sols répondant aux critères Hygiène – Sécurité – Aptitude à l’utilisation.</w:t>
      </w:r>
    </w:p>
    <w:p>
      <w:pPr>
        <w:pStyle w:val="Titre3"/>
        <w:rPr/>
      </w:pPr>
      <w:bookmarkStart w:id="853" w:name="_Toc32334795"/>
      <w:r>
        <w:rPr/>
        <w:t>Moquette</w:t>
      </w:r>
      <w:bookmarkEnd w:id="853"/>
    </w:p>
    <w:p>
      <w:pPr>
        <w:pStyle w:val="Corpsdetexte"/>
        <w:spacing w:before="0" w:after="0"/>
        <w:rPr/>
      </w:pPr>
      <w:r>
        <w:rPr/>
      </w:r>
    </w:p>
    <w:p>
      <w:pPr>
        <w:pStyle w:val="TEXTE"/>
        <w:numPr>
          <w:ilvl w:val="0"/>
          <w:numId w:val="27"/>
        </w:numPr>
        <w:spacing w:before="0" w:after="120"/>
        <w:ind w:left="714" w:hanging="357"/>
        <w:rPr/>
      </w:pPr>
      <w:r>
        <w:rPr/>
        <w:t>Dalle plombante à velours bouclé, fil Econyl. Envers feutre avec polyester recyclé ;</w:t>
      </w:r>
    </w:p>
    <w:p>
      <w:pPr>
        <w:pStyle w:val="TEXTE"/>
        <w:numPr>
          <w:ilvl w:val="0"/>
          <w:numId w:val="27"/>
        </w:numPr>
        <w:spacing w:before="0" w:after="120"/>
        <w:ind w:left="714" w:hanging="357"/>
        <w:rPr/>
      </w:pPr>
      <w:r>
        <w:rPr/>
        <w:t>Velours : 100% Polyamide teint masse ;</w:t>
      </w:r>
    </w:p>
    <w:p>
      <w:pPr>
        <w:pStyle w:val="TEXTE"/>
        <w:numPr>
          <w:ilvl w:val="0"/>
          <w:numId w:val="27"/>
        </w:numPr>
        <w:spacing w:before="0" w:after="120"/>
        <w:ind w:left="714" w:hanging="357"/>
        <w:rPr/>
      </w:pPr>
      <w:r>
        <w:rPr/>
        <w:t>Poids de velours utile (g/m²)  NF ISO 8543 : 350 ;</w:t>
      </w:r>
    </w:p>
    <w:p>
      <w:pPr>
        <w:pStyle w:val="TEXTE"/>
        <w:numPr>
          <w:ilvl w:val="0"/>
          <w:numId w:val="27"/>
        </w:numPr>
        <w:spacing w:before="0" w:after="120"/>
        <w:ind w:left="714" w:hanging="357"/>
        <w:rPr/>
      </w:pPr>
      <w:r>
        <w:rPr/>
        <w:t>Epaisseur totale (mm) NF ISO 1765 : 9,3 ;</w:t>
      </w:r>
    </w:p>
    <w:p>
      <w:pPr>
        <w:pStyle w:val="TEXTE"/>
        <w:numPr>
          <w:ilvl w:val="0"/>
          <w:numId w:val="27"/>
        </w:numPr>
        <w:spacing w:before="0" w:after="120"/>
        <w:ind w:left="714" w:hanging="357"/>
        <w:rPr/>
      </w:pPr>
      <w:r>
        <w:rPr/>
        <w:t>Traitement Antistatique : permanent ;</w:t>
      </w:r>
    </w:p>
    <w:p>
      <w:pPr>
        <w:pStyle w:val="TEXTE"/>
        <w:numPr>
          <w:ilvl w:val="0"/>
          <w:numId w:val="27"/>
        </w:numPr>
        <w:spacing w:before="0" w:after="120"/>
        <w:ind w:left="714" w:hanging="357"/>
        <w:rPr/>
      </w:pPr>
      <w:r>
        <w:rPr/>
        <w:t>Isolation phonique : DLw 33 dB / aw 0,30 ;</w:t>
      </w:r>
    </w:p>
    <w:p>
      <w:pPr>
        <w:pStyle w:val="TEXTE"/>
        <w:numPr>
          <w:ilvl w:val="0"/>
          <w:numId w:val="27"/>
        </w:numPr>
        <w:spacing w:before="0" w:after="120"/>
        <w:ind w:left="714" w:hanging="357"/>
        <w:rPr/>
      </w:pPr>
      <w:r>
        <w:rPr/>
        <w:t>Dimensions : 50 x 50 cm ;</w:t>
      </w:r>
    </w:p>
    <w:p>
      <w:pPr>
        <w:pStyle w:val="TEXTE"/>
        <w:numPr>
          <w:ilvl w:val="0"/>
          <w:numId w:val="27"/>
        </w:numPr>
        <w:spacing w:before="0" w:after="120"/>
        <w:ind w:left="714" w:hanging="357"/>
        <w:rPr/>
      </w:pPr>
      <w:r>
        <w:rPr/>
        <w:t>Classement UPEC : U3P3E1C0 NF-CSTB N° 336T-007.1 ;</w:t>
      </w:r>
    </w:p>
    <w:p>
      <w:pPr>
        <w:pStyle w:val="TEXTE"/>
        <w:numPr>
          <w:ilvl w:val="0"/>
          <w:numId w:val="27"/>
        </w:numPr>
        <w:spacing w:before="0" w:after="120"/>
        <w:ind w:left="714" w:hanging="357"/>
        <w:rPr/>
      </w:pPr>
      <w:r>
        <w:rPr/>
        <w:t>Classement Européen (NF EN 1307) : 33 LC1 ;</w:t>
      </w:r>
    </w:p>
    <w:p>
      <w:pPr>
        <w:pStyle w:val="TEXTE"/>
        <w:numPr>
          <w:ilvl w:val="0"/>
          <w:numId w:val="27"/>
        </w:numPr>
        <w:spacing w:before="0" w:after="120"/>
        <w:ind w:left="714" w:hanging="357"/>
        <w:rPr/>
      </w:pPr>
      <w:r>
        <w:rPr/>
        <w:t>Classement Feu : Bfl-s1 - libre sur ciment ;</w:t>
      </w:r>
    </w:p>
    <w:p>
      <w:pPr>
        <w:pStyle w:val="TEXTE"/>
        <w:numPr>
          <w:ilvl w:val="0"/>
          <w:numId w:val="27"/>
        </w:numPr>
        <w:spacing w:before="0" w:after="120"/>
        <w:ind w:left="714" w:hanging="357"/>
        <w:rPr/>
      </w:pPr>
      <w:r>
        <w:rPr/>
        <w:t>Norme HQE : Matériau répondant aux impositions de la norme HQE selon le profil défini, notamment en ce qui concerne les COV.  Des FDES (Fiches de données environnementales et sanitaires) conformes à la NF P0110 sont également disponibles.</w:t>
      </w:r>
    </w:p>
    <w:p>
      <w:pPr>
        <w:pStyle w:val="TEXTE"/>
        <w:spacing w:before="0" w:after="120"/>
        <w:rPr/>
      </w:pPr>
      <w:r>
        <w:rPr/>
        <w:t>Les caractéristiques des dalles moquette à mettre en œuvre dans la salle d’exploitation font l’objet de l’étude d’ergonomie jointe en annexe.</w:t>
      </w:r>
    </w:p>
    <w:p>
      <w:pPr>
        <w:pStyle w:val="Titre3"/>
        <w:rPr/>
      </w:pPr>
      <w:bookmarkStart w:id="854" w:name="_Toc32334796"/>
      <w:r>
        <w:rPr/>
        <w:t>Linoleum</w:t>
      </w:r>
      <w:bookmarkEnd w:id="854"/>
    </w:p>
    <w:p>
      <w:pPr>
        <w:pStyle w:val="Corpsdetexte"/>
        <w:rPr/>
      </w:pPr>
      <w:r>
        <w:rPr/>
        <w:t>Mis en œuvre d’un revêtement de sol Linoléum naturel en lés de 2mx20m composé de matières renouvelables (huile lin, résines, liège, minéraux, pigments et toile de jute) calandrées, bénéficiant d’un traitement de surface. L'épaisseur du sol sera de 2,5mm avec une couche d'usure de 2,5mm.</w:t>
      </w:r>
    </w:p>
    <w:p>
      <w:pPr>
        <w:pStyle w:val="Corpsdetexte"/>
        <w:rPr/>
      </w:pPr>
      <w:r>
        <w:rPr/>
        <w:t>Le cordon de soudure « camouflage » rendra les raccords invisibles entre les lés. Il résiste bien à la cigarette incandescente, est antistatique et antibactérien.</w:t>
      </w:r>
    </w:p>
    <w:p>
      <w:pPr>
        <w:pStyle w:val="Corpsdetexte"/>
        <w:rPr/>
      </w:pPr>
      <w:r>
        <w:rPr/>
        <w:t>Classement UPEC U4P3E1/2C2 réaction au feu M3</w:t>
      </w:r>
    </w:p>
    <w:p>
      <w:pPr>
        <w:pStyle w:val="Corpsdetexte"/>
        <w:rPr/>
      </w:pPr>
      <w:r>
        <w:rPr/>
        <w:t>Amortissement acoustique: 4db</w:t>
      </w:r>
    </w:p>
    <w:p>
      <w:pPr>
        <w:pStyle w:val="Titre3"/>
        <w:rPr/>
      </w:pPr>
      <w:bookmarkStart w:id="855" w:name="_Toc32334797"/>
      <w:r>
        <w:rPr/>
        <w:t>Dalle plombante PVC</w:t>
      </w:r>
      <w:bookmarkEnd w:id="855"/>
    </w:p>
    <w:p>
      <w:pPr>
        <w:pStyle w:val="Corpsdetexte"/>
        <w:rPr/>
      </w:pPr>
      <w:r>
        <w:rPr/>
        <w:t>Les dalles plombantes seront de type revêtement PVC flexible, hétérogène, de 6 mm d’épaisseur, groupe T d’abrasion, obtenu par pressage et qui se présente sous forme de dalles amovibles, assemblées par collage.</w:t>
      </w:r>
    </w:p>
    <w:p>
      <w:pPr>
        <w:pStyle w:val="Corpsdetexte"/>
        <w:rPr/>
      </w:pPr>
      <w:r>
        <w:rPr/>
        <w:t>La surface de la dalle sera composée de charges renforçantes haute performance offrant une résistance inégalée aux fortes charges dynamiques et statiques ainsi qu’au ripage (classement CSTB des sols industriels R2).</w:t>
      </w:r>
    </w:p>
    <w:p>
      <w:pPr>
        <w:pStyle w:val="Corpsdetexte"/>
        <w:rPr/>
      </w:pPr>
      <w:r>
        <w:rPr/>
        <w:t xml:space="preserve">Les dalles bénéficieront d’un traitement de surface Polyuréthane (PUR+) pour faciliter l’entretien. </w:t>
      </w:r>
    </w:p>
    <w:p>
      <w:pPr>
        <w:pStyle w:val="Corpsdetexte"/>
        <w:rPr/>
      </w:pPr>
      <w:r>
        <w:rPr/>
        <w:t>Les dalles seront antistatique (&lt; 2 kV).</w:t>
      </w:r>
    </w:p>
    <w:p>
      <w:pPr>
        <w:pStyle w:val="Titre2"/>
        <w:tabs>
          <w:tab w:val="clear" w:pos="0"/>
          <w:tab w:val="clear" w:pos="8789"/>
          <w:tab w:val="left" w:pos="426" w:leader="none"/>
        </w:tabs>
        <w:ind w:left="0" w:hanging="0"/>
        <w:rPr/>
      </w:pPr>
      <w:bookmarkStart w:id="856" w:name="_Toc32334798"/>
      <w:r>
        <w:rPr/>
        <w:t>plomberie/sanitaire</w:t>
      </w:r>
      <w:bookmarkEnd w:id="856"/>
    </w:p>
    <w:p>
      <w:pPr>
        <w:pStyle w:val="Titre3"/>
        <w:rPr/>
      </w:pPr>
      <w:bookmarkStart w:id="857" w:name="_Toc32334799"/>
      <w:r>
        <w:rPr/>
        <w:t>Règlements et normes applicables</w:t>
      </w:r>
      <w:bookmarkEnd w:id="857"/>
    </w:p>
    <w:p>
      <w:pPr>
        <w:pStyle w:val="TEXTE"/>
        <w:spacing w:before="200" w:after="120"/>
        <w:rPr/>
      </w:pPr>
      <w:r>
        <w:rPr/>
        <w:t>Les ouvrages seront exécutés en conformité avec les documents suivants :</w:t>
      </w:r>
    </w:p>
    <w:p>
      <w:pPr>
        <w:pStyle w:val="TEXTE"/>
        <w:numPr>
          <w:ilvl w:val="0"/>
          <w:numId w:val="27"/>
        </w:numPr>
        <w:spacing w:before="0" w:after="120"/>
        <w:ind w:left="714" w:hanging="357"/>
        <w:rPr/>
      </w:pPr>
      <w:r>
        <w:rPr/>
        <w:t>Les documents techniques applicables aux ouvrages de Plomberie.</w:t>
      </w:r>
    </w:p>
    <w:p>
      <w:pPr>
        <w:pStyle w:val="TEXTE"/>
        <w:numPr>
          <w:ilvl w:val="0"/>
          <w:numId w:val="27"/>
        </w:numPr>
        <w:spacing w:before="0" w:after="120"/>
        <w:ind w:left="714" w:hanging="357"/>
        <w:rPr/>
      </w:pPr>
      <w:r>
        <w:rPr/>
        <w:t>Les Normes Françaises Homologuées (NF) et les Normes Européennes (EN), en particulier les normes :</w:t>
      </w:r>
    </w:p>
    <w:p>
      <w:pPr>
        <w:pStyle w:val="P2"/>
        <w:numPr>
          <w:ilvl w:val="1"/>
          <w:numId w:val="21"/>
        </w:numPr>
        <w:spacing w:before="120" w:after="120"/>
        <w:rPr>
          <w:rFonts w:eastAsia="Calibri" w:eastAsiaTheme="minorHAnsi"/>
          <w:lang w:eastAsia="en-US"/>
        </w:rPr>
      </w:pPr>
      <w:r>
        <w:rPr>
          <w:rFonts w:eastAsia="Calibri" w:eastAsiaTheme="minorHAnsi"/>
          <w:lang w:eastAsia="en-US"/>
        </w:rPr>
        <w:t>NF C 15-100/A1 Installations électriques à basse tension. – Règles.</w:t>
      </w:r>
    </w:p>
    <w:p>
      <w:pPr>
        <w:pStyle w:val="P2"/>
        <w:numPr>
          <w:ilvl w:val="1"/>
          <w:numId w:val="21"/>
        </w:numPr>
        <w:spacing w:before="120" w:after="120"/>
        <w:rPr>
          <w:rFonts w:eastAsia="Calibri" w:eastAsiaTheme="minorHAnsi"/>
          <w:lang w:eastAsia="en-US"/>
        </w:rPr>
      </w:pPr>
      <w:r>
        <w:rPr>
          <w:rFonts w:eastAsia="Calibri" w:eastAsiaTheme="minorHAnsi"/>
          <w:lang w:eastAsia="en-US"/>
        </w:rPr>
        <w:t>NF E 29-064 robinetterie - Robinet d'arrêt à soupape – Terminologie particulière à la robinetterie de bâtiment.</w:t>
      </w:r>
    </w:p>
    <w:p>
      <w:pPr>
        <w:pStyle w:val="P2"/>
        <w:numPr>
          <w:ilvl w:val="1"/>
          <w:numId w:val="21"/>
        </w:numPr>
        <w:spacing w:before="120" w:after="120"/>
        <w:rPr>
          <w:rFonts w:eastAsia="Calibri" w:eastAsiaTheme="minorHAnsi"/>
          <w:lang w:eastAsia="en-US"/>
        </w:rPr>
      </w:pPr>
      <w:r>
        <w:rPr>
          <w:rFonts w:eastAsia="Calibri" w:eastAsiaTheme="minorHAnsi"/>
          <w:lang w:eastAsia="en-US"/>
        </w:rPr>
        <w:t>NF P 41-101 distribution d'eau chaude ou froide (terminologie)</w:t>
      </w:r>
    </w:p>
    <w:p>
      <w:pPr>
        <w:pStyle w:val="P2"/>
        <w:numPr>
          <w:ilvl w:val="1"/>
          <w:numId w:val="21"/>
        </w:numPr>
        <w:spacing w:before="120" w:after="120"/>
        <w:rPr>
          <w:rFonts w:eastAsia="Calibri" w:eastAsiaTheme="minorHAnsi"/>
          <w:lang w:eastAsia="en-US"/>
        </w:rPr>
      </w:pPr>
      <w:r>
        <w:rPr>
          <w:rFonts w:eastAsia="Calibri" w:eastAsiaTheme="minorHAnsi"/>
          <w:lang w:eastAsia="en-US"/>
        </w:rPr>
        <w:t>NF P 41-102 évacuations des eaux usées (terminologie)</w:t>
      </w:r>
    </w:p>
    <w:p>
      <w:pPr>
        <w:pStyle w:val="P2"/>
        <w:numPr>
          <w:ilvl w:val="1"/>
          <w:numId w:val="21"/>
        </w:numPr>
        <w:spacing w:before="120" w:after="120"/>
        <w:rPr>
          <w:rFonts w:eastAsia="Calibri" w:eastAsiaTheme="minorHAnsi"/>
          <w:lang w:eastAsia="en-US"/>
        </w:rPr>
      </w:pPr>
      <w:r>
        <w:rPr>
          <w:rFonts w:eastAsia="Calibri" w:eastAsiaTheme="minorHAnsi"/>
          <w:lang w:eastAsia="en-US"/>
        </w:rPr>
        <w:t>NF P 41-201 code des conditions minimales d'exécution des travaux de plomberie et installations sanitaires urbaines</w:t>
      </w:r>
    </w:p>
    <w:p>
      <w:pPr>
        <w:pStyle w:val="P2"/>
        <w:numPr>
          <w:ilvl w:val="1"/>
          <w:numId w:val="21"/>
        </w:numPr>
        <w:spacing w:before="120" w:after="120"/>
        <w:rPr>
          <w:rFonts w:eastAsia="Calibri" w:eastAsiaTheme="minorHAnsi"/>
          <w:lang w:eastAsia="en-US"/>
        </w:rPr>
      </w:pPr>
      <w:r>
        <w:rPr>
          <w:rFonts w:eastAsia="Calibri" w:eastAsiaTheme="minorHAnsi"/>
          <w:lang w:eastAsia="en-US"/>
        </w:rPr>
        <w:t>NF P 43-001 robinets d'arrêt à soupape - spécifications techniques générales</w:t>
      </w:r>
    </w:p>
    <w:p>
      <w:pPr>
        <w:pStyle w:val="P2"/>
        <w:numPr>
          <w:ilvl w:val="1"/>
          <w:numId w:val="21"/>
        </w:numPr>
        <w:spacing w:before="120" w:after="120"/>
        <w:rPr>
          <w:rFonts w:eastAsia="Calibri" w:eastAsiaTheme="minorHAnsi"/>
          <w:lang w:eastAsia="en-US"/>
        </w:rPr>
      </w:pPr>
      <w:r>
        <w:rPr>
          <w:rFonts w:eastAsia="Calibri" w:eastAsiaTheme="minorHAnsi"/>
          <w:lang w:eastAsia="en-US"/>
        </w:rPr>
        <w:t>NF P 43-006 réducteurs de pression d'eau - Spécifications générales</w:t>
      </w:r>
    </w:p>
    <w:p>
      <w:pPr>
        <w:pStyle w:val="P2"/>
        <w:numPr>
          <w:ilvl w:val="1"/>
          <w:numId w:val="21"/>
        </w:numPr>
        <w:spacing w:before="120" w:after="120"/>
        <w:rPr>
          <w:rFonts w:eastAsia="Calibri" w:eastAsiaTheme="minorHAnsi"/>
          <w:lang w:eastAsia="en-US"/>
        </w:rPr>
      </w:pPr>
      <w:r>
        <w:rPr>
          <w:rFonts w:eastAsia="Calibri" w:eastAsiaTheme="minorHAnsi"/>
          <w:lang w:eastAsia="en-US"/>
        </w:rPr>
        <w:t>NF P 43-015 robinets de puisage à soupape - Spécifications techniques générales</w:t>
      </w:r>
    </w:p>
    <w:p>
      <w:pPr>
        <w:pStyle w:val="P2"/>
        <w:numPr>
          <w:ilvl w:val="1"/>
          <w:numId w:val="21"/>
        </w:numPr>
        <w:spacing w:before="120" w:after="120"/>
        <w:rPr/>
      </w:pPr>
      <w:r>
        <w:rPr>
          <w:rFonts w:eastAsia="Calibri" w:eastAsiaTheme="minorHAnsi"/>
          <w:lang w:eastAsia="en-US"/>
        </w:rPr>
        <w:t xml:space="preserve">NF P 43-018 appareillage de contrôle sur site des ensembles protection </w:t>
      </w:r>
      <w:r>
        <w:rPr>
          <w:rFonts w:cs="ArialMT" w:ascii="ArialMT" w:hAnsi="ArialMT"/>
        </w:rPr>
        <w:t>sanitaire des réseaux d'eau potable</w:t>
      </w:r>
    </w:p>
    <w:p>
      <w:pPr>
        <w:pStyle w:val="TEXTE"/>
        <w:numPr>
          <w:ilvl w:val="0"/>
          <w:numId w:val="21"/>
        </w:numPr>
        <w:spacing w:before="120" w:after="120"/>
        <w:rPr/>
      </w:pPr>
      <w:r>
        <w:rPr/>
        <w:t xml:space="preserve">Le REEF édité par le Centre Scientifique et Technique du Bâtiment (CSTB) et en particulier aux prescriptions des Cahiers des Clauses Techniques (CCT) et Cahiers des </w:t>
      </w:r>
      <w:r>
        <w:rPr>
          <w:rFonts w:cs="ArialMT" w:ascii="ArialMT" w:hAnsi="ArialMT"/>
        </w:rPr>
        <w:t>Clauses Spéciales (CCS) des normes suivantes :</w:t>
      </w:r>
    </w:p>
    <w:p>
      <w:pPr>
        <w:pStyle w:val="P2"/>
        <w:numPr>
          <w:ilvl w:val="1"/>
          <w:numId w:val="21"/>
        </w:numPr>
        <w:spacing w:before="120" w:after="120"/>
        <w:rPr>
          <w:rFonts w:eastAsia="Calibri" w:eastAsiaTheme="minorHAnsi"/>
          <w:lang w:eastAsia="en-US"/>
        </w:rPr>
      </w:pPr>
      <w:r>
        <w:rPr>
          <w:rFonts w:eastAsia="Calibri" w:eastAsiaTheme="minorHAnsi"/>
          <w:lang w:eastAsia="en-US"/>
        </w:rPr>
        <w:t>NF P 40-201 Plomberie sanitaire pour bâtiments à usage d'habitation (Référence DTU 60.1 - CC)</w:t>
      </w:r>
    </w:p>
    <w:p>
      <w:pPr>
        <w:pStyle w:val="P2"/>
        <w:numPr>
          <w:ilvl w:val="1"/>
          <w:numId w:val="21"/>
        </w:numPr>
        <w:spacing w:before="120" w:after="120"/>
        <w:rPr>
          <w:rFonts w:eastAsia="Calibri" w:eastAsiaTheme="minorHAnsi"/>
          <w:lang w:eastAsia="en-US"/>
        </w:rPr>
      </w:pPr>
      <w:r>
        <w:rPr>
          <w:rFonts w:eastAsia="Calibri" w:eastAsiaTheme="minorHAnsi"/>
          <w:lang w:eastAsia="en-US"/>
        </w:rPr>
        <w:t>NF P 41-211 Canalisations en PVC non plastifié : eau froide avec pression (Référence DTU 60.31 - CC)</w:t>
      </w:r>
    </w:p>
    <w:p>
      <w:pPr>
        <w:pStyle w:val="P2"/>
        <w:numPr>
          <w:ilvl w:val="1"/>
          <w:numId w:val="21"/>
        </w:numPr>
        <w:spacing w:before="120" w:after="120"/>
        <w:rPr>
          <w:rFonts w:eastAsia="Calibri" w:eastAsiaTheme="minorHAnsi"/>
          <w:lang w:eastAsia="en-US"/>
        </w:rPr>
      </w:pPr>
      <w:r>
        <w:rPr>
          <w:rFonts w:eastAsia="Calibri" w:eastAsiaTheme="minorHAnsi"/>
          <w:lang w:eastAsia="en-US"/>
        </w:rPr>
        <w:t>NF P 41-213 Canalisations en PVC non plastifié : évacuation d'eaux usées et d'eaux vannes (Référence DTU 60.33 - CC)</w:t>
      </w:r>
    </w:p>
    <w:p>
      <w:pPr>
        <w:pStyle w:val="P2"/>
        <w:numPr>
          <w:ilvl w:val="1"/>
          <w:numId w:val="21"/>
        </w:numPr>
        <w:spacing w:before="120" w:after="120"/>
        <w:rPr>
          <w:rFonts w:eastAsia="Calibri" w:eastAsiaTheme="minorHAnsi"/>
          <w:lang w:eastAsia="en-US"/>
        </w:rPr>
      </w:pPr>
      <w:r>
        <w:rPr>
          <w:rFonts w:eastAsia="Calibri" w:eastAsiaTheme="minorHAnsi"/>
          <w:lang w:eastAsia="en-US"/>
        </w:rPr>
        <w:t>Norme NF P 52-305-1 Canalisations d'eau chaude ou froide sous pression et canalisations d'évacuation des eaux usées et des eaux pluviales à l'intérieur des bâtiments : règles générales de mise en œuvre (Référence DTU 65.10 - CCT)</w:t>
      </w:r>
    </w:p>
    <w:p>
      <w:pPr>
        <w:pStyle w:val="TEXTE"/>
        <w:numPr>
          <w:ilvl w:val="0"/>
          <w:numId w:val="21"/>
        </w:numPr>
        <w:spacing w:before="120" w:after="120"/>
        <w:rPr/>
      </w:pPr>
      <w:r>
        <w:rPr/>
        <w:t>Les règles de sécurité éditées par le Ministère du Travail</w:t>
      </w:r>
    </w:p>
    <w:p>
      <w:pPr>
        <w:pStyle w:val="TEXTE"/>
        <w:numPr>
          <w:ilvl w:val="0"/>
          <w:numId w:val="21"/>
        </w:numPr>
        <w:spacing w:before="120" w:after="120"/>
        <w:rPr/>
      </w:pPr>
      <w:r>
        <w:rPr/>
        <w:t>Le guide technique n° 1 - hygiène publique - protection sanitaire des réseaux de distribution d'eau destinée à la consommation humaine</w:t>
      </w:r>
    </w:p>
    <w:p>
      <w:pPr>
        <w:pStyle w:val="Titre3"/>
        <w:rPr/>
      </w:pPr>
      <w:bookmarkStart w:id="858" w:name="_Toc32334800"/>
      <w:r>
        <w:rPr/>
        <w:t>Spécifications techniques des équipements</w:t>
      </w:r>
      <w:bookmarkEnd w:id="858"/>
    </w:p>
    <w:p>
      <w:pPr>
        <w:pStyle w:val="TEXTE"/>
        <w:rPr/>
      </w:pPr>
      <w:r>
        <w:rPr/>
        <w:t xml:space="preserve">Les caractéristiques des équipements font l’objet du chapitre 2.  </w:t>
      </w:r>
    </w:p>
    <w:p>
      <w:pPr>
        <w:pStyle w:val="Titre3"/>
        <w:rPr/>
      </w:pPr>
      <w:bookmarkStart w:id="859" w:name="_Toc32334801"/>
      <w:r>
        <w:rPr/>
        <w:t>Mise en œuvre</w:t>
      </w:r>
      <w:bookmarkEnd w:id="859"/>
    </w:p>
    <w:p>
      <w:pPr>
        <w:pStyle w:val="TEXTE"/>
        <w:rPr/>
      </w:pPr>
      <w:r>
        <w:rPr/>
        <w:t>Les saignées, encastrements, découpes exécutées après coup et scellements dans les cloisons seront conforme à la norme et n'affecteront en rien la solidité des ouvrages.</w:t>
      </w:r>
    </w:p>
    <w:p>
      <w:pPr>
        <w:pStyle w:val="TEXTE"/>
        <w:rPr/>
      </w:pPr>
      <w:r>
        <w:rPr/>
        <w:t>Toutes les tuyauteries seront dissimulées au maximum chaque fois que cela sera possible.</w:t>
      </w:r>
    </w:p>
    <w:p>
      <w:pPr>
        <w:pStyle w:val="Normal"/>
        <w:jc w:val="left"/>
        <w:rPr>
          <w:rFonts w:ascii="Arial-BoldMT" w:hAnsi="Arial-BoldMT" w:cs="Arial-BoldMT"/>
          <w:bCs/>
          <w:u w:val="single"/>
        </w:rPr>
      </w:pPr>
      <w:r>
        <w:rPr>
          <w:rFonts w:cs="Arial-BoldMT" w:ascii="Arial-BoldMT" w:hAnsi="Arial-BoldMT"/>
          <w:bCs/>
          <w:u w:val="single"/>
        </w:rPr>
        <w:t>Tube PER</w:t>
      </w:r>
    </w:p>
    <w:p>
      <w:pPr>
        <w:pStyle w:val="TEXTE"/>
        <w:rPr/>
      </w:pPr>
      <w:r>
        <w:rPr/>
        <w:t>Tube PER pour les parcours encastrés, sous fourreau ou gaine annelée.</w:t>
      </w:r>
    </w:p>
    <w:p>
      <w:pPr>
        <w:pStyle w:val="TEXTE"/>
        <w:spacing w:before="200" w:after="120"/>
        <w:rPr/>
      </w:pPr>
      <w:r>
        <w:rPr/>
        <w:t xml:space="preserve"> </w:t>
      </w:r>
      <w:r>
        <w:rPr/>
        <w:t>Assemblage :</w:t>
      </w:r>
    </w:p>
    <w:p>
      <w:pPr>
        <w:pStyle w:val="TEXTE"/>
        <w:numPr>
          <w:ilvl w:val="0"/>
          <w:numId w:val="21"/>
        </w:numPr>
        <w:spacing w:before="120" w:after="120"/>
        <w:rPr/>
      </w:pPr>
      <w:r>
        <w:rPr/>
        <w:t>Par raccords, tés, coudes sertis avec agrément et garantie décennale</w:t>
      </w:r>
    </w:p>
    <w:p>
      <w:pPr>
        <w:pStyle w:val="TEXTE"/>
        <w:numPr>
          <w:ilvl w:val="0"/>
          <w:numId w:val="21"/>
        </w:numPr>
        <w:spacing w:before="120" w:after="120"/>
        <w:rPr/>
      </w:pPr>
      <w:r>
        <w:rPr/>
        <w:t>Coudes mural à fixer sur le mur pour raccordement appareillage</w:t>
      </w:r>
    </w:p>
    <w:p>
      <w:pPr>
        <w:pStyle w:val="TEXTE"/>
        <w:numPr>
          <w:ilvl w:val="0"/>
          <w:numId w:val="21"/>
        </w:numPr>
        <w:spacing w:before="120" w:after="120"/>
        <w:rPr/>
      </w:pPr>
      <w:r>
        <w:rPr/>
        <w:t xml:space="preserve">Coude de cintrage à 90 ° pour la remontée depuis dalle </w:t>
      </w:r>
    </w:p>
    <w:p>
      <w:pPr>
        <w:pStyle w:val="TEXTE"/>
        <w:spacing w:before="200" w:after="120"/>
        <w:rPr/>
      </w:pPr>
      <w:r>
        <w:rPr/>
        <w:t>Fixations :</w:t>
      </w:r>
    </w:p>
    <w:p>
      <w:pPr>
        <w:pStyle w:val="TEXTE"/>
        <w:numPr>
          <w:ilvl w:val="0"/>
          <w:numId w:val="21"/>
        </w:numPr>
        <w:spacing w:before="120" w:after="120"/>
        <w:rPr/>
      </w:pPr>
      <w:r>
        <w:rPr/>
        <w:t xml:space="preserve">Par colliers "Atlas" fixés sur cheville en fibre, espacés de 1 à 1.20 m avec interposition </w:t>
      </w:r>
      <w:r>
        <w:rPr>
          <w:rFonts w:cs="ArialMT" w:ascii="ArialMT" w:hAnsi="ArialMT"/>
        </w:rPr>
        <w:t>d'un matériau résilient</w:t>
      </w:r>
    </w:p>
    <w:p>
      <w:pPr>
        <w:pStyle w:val="Normal"/>
        <w:jc w:val="left"/>
        <w:rPr>
          <w:rFonts w:ascii="Arial-BoldMT" w:hAnsi="Arial-BoldMT" w:cs="Arial-BoldMT"/>
          <w:bCs/>
          <w:u w:val="single"/>
        </w:rPr>
      </w:pPr>
      <w:r>
        <w:rPr>
          <w:rFonts w:cs="Arial-BoldMT" w:ascii="Arial-BoldMT" w:hAnsi="Arial-BoldMT"/>
          <w:bCs/>
          <w:u w:val="single"/>
        </w:rPr>
        <w:t>Tubes PVC</w:t>
      </w:r>
    </w:p>
    <w:p>
      <w:pPr>
        <w:pStyle w:val="TEXTE"/>
        <w:rPr/>
      </w:pPr>
      <w:r>
        <w:rPr/>
        <w:t>Canalisations en chlorure de polyvinyle non plastifié (PVC) qualité "écoulement" M1</w:t>
      </w:r>
    </w:p>
    <w:p>
      <w:pPr>
        <w:pStyle w:val="TEXTE"/>
        <w:spacing w:before="200" w:after="120"/>
        <w:rPr/>
      </w:pPr>
      <w:r>
        <w:rPr/>
        <w:t>Assemblage :</w:t>
      </w:r>
    </w:p>
    <w:p>
      <w:pPr>
        <w:pStyle w:val="TEXTE"/>
        <w:numPr>
          <w:ilvl w:val="0"/>
          <w:numId w:val="21"/>
        </w:numPr>
        <w:spacing w:before="120" w:after="120"/>
        <w:rPr/>
      </w:pPr>
      <w:r>
        <w:rPr/>
        <w:t>Par joint à lèvre élastomère (dilatation) et joint collé</w:t>
      </w:r>
    </w:p>
    <w:p>
      <w:pPr>
        <w:pStyle w:val="TEXTE"/>
        <w:spacing w:before="200" w:after="120"/>
        <w:rPr/>
      </w:pPr>
      <w:r>
        <w:rPr/>
        <w:t>Fixations :</w:t>
      </w:r>
    </w:p>
    <w:p>
      <w:pPr>
        <w:pStyle w:val="TEXTE"/>
        <w:numPr>
          <w:ilvl w:val="0"/>
          <w:numId w:val="21"/>
        </w:numPr>
        <w:spacing w:before="120" w:after="120"/>
        <w:rPr/>
      </w:pPr>
      <w:r>
        <w:rPr/>
        <w:t xml:space="preserve">L'écartement maximum des supports de tuyauterie devra être conforme à la norme </w:t>
      </w:r>
      <w:r>
        <w:rPr>
          <w:rFonts w:cs="ArialMT" w:ascii="ArialMT" w:hAnsi="ArialMT"/>
        </w:rPr>
        <w:t>P 41.203</w:t>
      </w:r>
    </w:p>
    <w:p>
      <w:pPr>
        <w:pStyle w:val="Normal"/>
        <w:jc w:val="left"/>
        <w:rPr>
          <w:rFonts w:ascii="Arial-BoldMT" w:hAnsi="Arial-BoldMT" w:cs="Arial-BoldMT"/>
          <w:bCs/>
          <w:u w:val="single"/>
        </w:rPr>
      </w:pPr>
      <w:r>
        <w:rPr>
          <w:rFonts w:cs="Arial-BoldMT" w:ascii="Arial-BoldMT" w:hAnsi="Arial-BoldMT"/>
          <w:bCs/>
          <w:u w:val="single"/>
        </w:rPr>
        <w:t>Appareils sanitaires</w:t>
      </w:r>
    </w:p>
    <w:p>
      <w:pPr>
        <w:pStyle w:val="TEXTE"/>
        <w:rPr/>
      </w:pPr>
      <w:r>
        <w:rPr/>
        <w:t>Les appareils sanitaires seront exclusivement de choix A et revêtus de l'étiquette d'identification correspondante. Ils seront neufs et livrés sans défauts d'aspect, sans traces diverses et sans griffures ou éclats.</w:t>
      </w:r>
    </w:p>
    <w:p>
      <w:pPr>
        <w:pStyle w:val="TEXTE"/>
        <w:rPr/>
      </w:pPr>
      <w:r>
        <w:rPr/>
        <w:t>Le matériel sera choisi parmi des marques réputées, pouvant être achetées localement.</w:t>
      </w:r>
    </w:p>
    <w:p>
      <w:pPr>
        <w:pStyle w:val="Normal"/>
        <w:jc w:val="left"/>
        <w:rPr>
          <w:rFonts w:ascii="Arial-BoldMT" w:hAnsi="Arial-BoldMT" w:cs="Arial-BoldMT"/>
          <w:bCs/>
          <w:u w:val="single"/>
        </w:rPr>
      </w:pPr>
      <w:r>
        <w:rPr>
          <w:rFonts w:cs="Arial-BoldMT" w:ascii="Arial-BoldMT" w:hAnsi="Arial-BoldMT"/>
          <w:bCs/>
          <w:u w:val="single"/>
        </w:rPr>
        <w:t>Robinetterie</w:t>
      </w:r>
    </w:p>
    <w:p>
      <w:pPr>
        <w:pStyle w:val="TEXTE"/>
        <w:rPr/>
      </w:pPr>
      <w:r>
        <w:rPr/>
        <w:t>Les robinetteries utilisées seront conformes aux normes françaises et porteront l'estampille NF avec classe acoustique 1 et avec une capacité de débit suffisante.</w:t>
      </w:r>
    </w:p>
    <w:p>
      <w:pPr>
        <w:pStyle w:val="TEXTE"/>
        <w:rPr/>
      </w:pPr>
      <w:r>
        <w:rPr/>
        <w:t>Leur classement E.A.U. sera conforme aux recommandations du C.S.T.B.</w:t>
      </w:r>
    </w:p>
    <w:p>
      <w:pPr>
        <w:pStyle w:val="TEXTE"/>
        <w:rPr/>
      </w:pPr>
      <w:r>
        <w:rPr/>
        <w:t>Toutes les robinetteries seront facilement démontables et justifier d'un classement acoustique minimum A2.</w:t>
      </w:r>
    </w:p>
    <w:p>
      <w:pPr>
        <w:pStyle w:val="TEXTE"/>
        <w:rPr/>
      </w:pPr>
      <w:r>
        <w:rPr/>
        <w:t>Les robinets à passage direct et purgeurs seront placés sur chaque circuit prenant naissance sur le collecteur principal pour permettre d'isoler et de vidanger les différentes zones d'utilisation.</w:t>
      </w:r>
    </w:p>
    <w:p>
      <w:pPr>
        <w:pStyle w:val="Normal"/>
        <w:jc w:val="left"/>
        <w:rPr>
          <w:rFonts w:ascii="Arial-BoldMT" w:hAnsi="Arial-BoldMT" w:cs="Arial-BoldMT"/>
          <w:bCs/>
          <w:u w:val="single"/>
        </w:rPr>
      </w:pPr>
      <w:r>
        <w:rPr>
          <w:rFonts w:cs="Arial-BoldMT" w:ascii="Arial-BoldMT" w:hAnsi="Arial-BoldMT"/>
          <w:bCs/>
          <w:u w:val="single"/>
        </w:rPr>
        <w:t>Echantillons</w:t>
      </w:r>
    </w:p>
    <w:p>
      <w:pPr>
        <w:pStyle w:val="TEXTE"/>
        <w:rPr/>
      </w:pPr>
      <w:r>
        <w:rPr/>
        <w:t>Avant toute commande, l'Entrepreneur soumettra à l'agrément du Maître d’œuvre et de l’Exploitant, les échantillons des appareillages et matériaux qu'il compte utiliser.</w:t>
      </w:r>
    </w:p>
    <w:p>
      <w:pPr>
        <w:pStyle w:val="Normal"/>
        <w:jc w:val="left"/>
        <w:rPr>
          <w:rFonts w:ascii="Arial-BoldMT" w:hAnsi="Arial-BoldMT" w:cs="Arial-BoldMT"/>
          <w:bCs/>
          <w:u w:val="single"/>
        </w:rPr>
      </w:pPr>
      <w:r>
        <w:rPr>
          <w:rFonts w:cs="Arial-BoldMT" w:ascii="Arial-BoldMT" w:hAnsi="Arial-BoldMT"/>
          <w:bCs/>
          <w:u w:val="single"/>
        </w:rPr>
        <w:t>Protection des appareils, robinetterie et vidange</w:t>
      </w:r>
    </w:p>
    <w:p>
      <w:pPr>
        <w:pStyle w:val="TEXTE"/>
        <w:rPr/>
      </w:pPr>
      <w:r>
        <w:rPr/>
        <w:t>L'entrepreneur prendra toutes les précautions nécessaires afin d'assurer aux matériaux leur bon état de conservation, à cet effet :</w:t>
      </w:r>
    </w:p>
    <w:p>
      <w:pPr>
        <w:pStyle w:val="TEXTE"/>
        <w:numPr>
          <w:ilvl w:val="0"/>
          <w:numId w:val="21"/>
        </w:numPr>
        <w:spacing w:before="120" w:after="120"/>
        <w:rPr/>
      </w:pPr>
      <w:r>
        <w:rPr/>
        <w:t>Tous les bords des appareils sanitaires sont au moins protégés par bande de papier fort</w:t>
      </w:r>
    </w:p>
    <w:p>
      <w:pPr>
        <w:pStyle w:val="TEXTE"/>
        <w:numPr>
          <w:ilvl w:val="0"/>
          <w:numId w:val="21"/>
        </w:numPr>
        <w:spacing w:before="120" w:after="120"/>
        <w:rPr/>
      </w:pPr>
      <w:r>
        <w:rPr/>
        <w:t>Les robinetteries chromées sont protégées par un enrobage en bande de papier fort, contre les projections diverses</w:t>
      </w:r>
    </w:p>
    <w:p>
      <w:pPr>
        <w:pStyle w:val="TEXTE"/>
        <w:numPr>
          <w:ilvl w:val="0"/>
          <w:numId w:val="21"/>
        </w:numPr>
        <w:spacing w:before="120" w:after="120"/>
        <w:rPr/>
      </w:pPr>
      <w:r>
        <w:rPr/>
        <w:t>Les orifices de vidange des appareils sanitaires sont obturés par un tampon en papier et plâtre jusqu'à la mise en service</w:t>
      </w:r>
    </w:p>
    <w:p>
      <w:pPr>
        <w:pStyle w:val="Titre2"/>
        <w:tabs>
          <w:tab w:val="clear" w:pos="0"/>
          <w:tab w:val="clear" w:pos="8789"/>
          <w:tab w:val="left" w:pos="426" w:leader="none"/>
        </w:tabs>
        <w:ind w:left="0" w:hanging="0"/>
        <w:rPr/>
      </w:pPr>
      <w:bookmarkStart w:id="860" w:name="_Toc32334802"/>
      <w:r>
        <w:rPr/>
        <w:t>Peintures</w:t>
      </w:r>
      <w:bookmarkEnd w:id="860"/>
    </w:p>
    <w:p>
      <w:pPr>
        <w:pStyle w:val="Titre3"/>
        <w:rPr/>
      </w:pPr>
      <w:bookmarkStart w:id="861" w:name="_Toc32334803"/>
      <w:r>
        <w:rPr/>
        <w:t>Règlements et normes applicables</w:t>
      </w:r>
      <w:bookmarkEnd w:id="861"/>
    </w:p>
    <w:p>
      <w:pPr>
        <w:pStyle w:val="TEXTE"/>
        <w:spacing w:before="200" w:after="120"/>
        <w:rPr/>
      </w:pPr>
      <w:r>
        <w:rPr/>
        <w:t>Les ouvrages seront exécutés en conformité avec les documents suivants :</w:t>
      </w:r>
    </w:p>
    <w:p>
      <w:pPr>
        <w:pStyle w:val="TEXTE"/>
        <w:numPr>
          <w:ilvl w:val="0"/>
          <w:numId w:val="21"/>
        </w:numPr>
        <w:spacing w:before="120" w:after="120"/>
        <w:rPr/>
      </w:pPr>
      <w:r>
        <w:rPr/>
        <w:t>Les normes AFNOR et C.E.E.</w:t>
      </w:r>
    </w:p>
    <w:p>
      <w:pPr>
        <w:pStyle w:val="TEXTE"/>
        <w:numPr>
          <w:ilvl w:val="0"/>
          <w:numId w:val="21"/>
        </w:numPr>
        <w:spacing w:before="120" w:after="120"/>
        <w:rPr/>
      </w:pPr>
      <w:r>
        <w:rPr/>
        <w:t>Le D.T.U. n</w:t>
      </w:r>
      <w:r>
        <w:rPr>
          <w:rFonts w:eastAsia="Symbol" w:cs="Symbol" w:ascii="Symbol" w:hAnsi="Symbol"/>
        </w:rPr>
        <w:t></w:t>
      </w:r>
      <w:r>
        <w:rPr/>
        <w:t> 59.1 pour travaux de peinturage, comprenant :</w:t>
      </w:r>
    </w:p>
    <w:p>
      <w:pPr>
        <w:pStyle w:val="P2"/>
        <w:numPr>
          <w:ilvl w:val="1"/>
          <w:numId w:val="21"/>
        </w:numPr>
        <w:spacing w:before="120" w:after="120"/>
        <w:rPr>
          <w:rFonts w:eastAsia="Calibri"/>
          <w:lang w:eastAsia="en-US"/>
        </w:rPr>
      </w:pPr>
      <w:r>
        <w:rPr>
          <w:rFonts w:eastAsia="Calibri"/>
          <w:lang w:eastAsia="en-US"/>
        </w:rPr>
        <w:t>Cahier des Charges.</w:t>
      </w:r>
    </w:p>
    <w:p>
      <w:pPr>
        <w:pStyle w:val="P2"/>
        <w:numPr>
          <w:ilvl w:val="1"/>
          <w:numId w:val="21"/>
        </w:numPr>
        <w:spacing w:before="120" w:after="120"/>
        <w:rPr>
          <w:rFonts w:eastAsia="Calibri"/>
          <w:lang w:eastAsia="en-US"/>
        </w:rPr>
      </w:pPr>
      <w:r>
        <w:rPr>
          <w:rFonts w:eastAsia="Calibri"/>
          <w:lang w:eastAsia="en-US"/>
        </w:rPr>
        <w:t>Cahier des Clauses Spéciales.</w:t>
      </w:r>
    </w:p>
    <w:p>
      <w:pPr>
        <w:pStyle w:val="P2"/>
        <w:numPr>
          <w:ilvl w:val="1"/>
          <w:numId w:val="21"/>
        </w:numPr>
        <w:spacing w:before="120" w:after="120"/>
        <w:rPr>
          <w:rFonts w:eastAsia="Calibri"/>
          <w:lang w:eastAsia="en-US"/>
        </w:rPr>
      </w:pPr>
      <w:r>
        <w:rPr>
          <w:rFonts w:eastAsia="Calibri"/>
          <w:lang w:eastAsia="en-US"/>
        </w:rPr>
        <w:t>Mémento.</w:t>
      </w:r>
    </w:p>
    <w:p>
      <w:pPr>
        <w:pStyle w:val="P2"/>
        <w:numPr>
          <w:ilvl w:val="1"/>
          <w:numId w:val="21"/>
        </w:numPr>
        <w:spacing w:before="120" w:after="120"/>
        <w:rPr>
          <w:rFonts w:eastAsia="Calibri"/>
          <w:lang w:eastAsia="en-US"/>
        </w:rPr>
      </w:pPr>
      <w:r>
        <w:rPr>
          <w:rFonts w:eastAsia="Calibri"/>
          <w:lang w:eastAsia="en-US"/>
        </w:rPr>
        <w:t>Les additifs éventuels.</w:t>
      </w:r>
    </w:p>
    <w:p>
      <w:pPr>
        <w:pStyle w:val="P2"/>
        <w:numPr>
          <w:ilvl w:val="1"/>
          <w:numId w:val="21"/>
        </w:numPr>
        <w:spacing w:before="120" w:after="120"/>
        <w:rPr>
          <w:rFonts w:eastAsia="Calibri"/>
          <w:lang w:eastAsia="en-US"/>
        </w:rPr>
      </w:pPr>
      <w:r>
        <w:rPr>
          <w:rFonts w:eastAsia="Calibri"/>
          <w:lang w:eastAsia="en-US"/>
        </w:rPr>
        <w:t>Les fascicules de documentation.</w:t>
      </w:r>
    </w:p>
    <w:p>
      <w:pPr>
        <w:pStyle w:val="TEXTE"/>
        <w:numPr>
          <w:ilvl w:val="0"/>
          <w:numId w:val="21"/>
        </w:numPr>
        <w:spacing w:before="120" w:after="120"/>
        <w:rPr/>
      </w:pPr>
      <w:r>
        <w:rPr/>
        <w:t>Les Spécifications de l'Union Nationale des Peintres et Vitriers de France (U.N.P.).</w:t>
      </w:r>
    </w:p>
    <w:p>
      <w:pPr>
        <w:pStyle w:val="TEXTE"/>
        <w:numPr>
          <w:ilvl w:val="0"/>
          <w:numId w:val="21"/>
        </w:numPr>
        <w:spacing w:before="120" w:after="120"/>
        <w:rPr/>
      </w:pPr>
      <w:r>
        <w:rPr/>
        <w:t>Le code de la santé publique.</w:t>
      </w:r>
    </w:p>
    <w:p>
      <w:pPr>
        <w:pStyle w:val="TEXTE"/>
        <w:numPr>
          <w:ilvl w:val="0"/>
          <w:numId w:val="21"/>
        </w:numPr>
        <w:spacing w:before="120" w:after="120"/>
        <w:rPr/>
      </w:pPr>
      <w:r>
        <w:rPr/>
        <w:t>La réglementation du travail (Hygiène et Sécurité).</w:t>
      </w:r>
    </w:p>
    <w:p>
      <w:pPr>
        <w:pStyle w:val="TEXTE"/>
        <w:numPr>
          <w:ilvl w:val="0"/>
          <w:numId w:val="21"/>
        </w:numPr>
        <w:spacing w:before="120" w:after="120"/>
        <w:rPr/>
      </w:pPr>
      <w:r>
        <w:rPr/>
        <w:t>Les règlements de sécurité contre les risques d'incendie.</w:t>
      </w:r>
    </w:p>
    <w:p>
      <w:pPr>
        <w:pStyle w:val="TEXTE"/>
        <w:numPr>
          <w:ilvl w:val="0"/>
          <w:numId w:val="21"/>
        </w:numPr>
        <w:spacing w:before="120" w:after="120"/>
        <w:rPr/>
      </w:pPr>
      <w:r>
        <w:rPr/>
        <w:t>Les avis techniques du CSTB.</w:t>
      </w:r>
    </w:p>
    <w:p>
      <w:pPr>
        <w:pStyle w:val="Corpsdetexte"/>
        <w:rPr/>
      </w:pPr>
      <w:r>
        <w:rPr/>
        <w:t>La mise en œuvre sera exécutée suivant les fiches techniques et spécifications des fabricants.</w:t>
      </w:r>
    </w:p>
    <w:p>
      <w:pPr>
        <w:pStyle w:val="Titre3"/>
        <w:rPr/>
      </w:pPr>
      <w:bookmarkStart w:id="862" w:name="_Toc32334804"/>
      <w:bookmarkStart w:id="863" w:name="_Toc401216463"/>
      <w:r>
        <w:rPr/>
        <w:t>Peinture intérieure satinée dans pièces humides</w:t>
      </w:r>
      <w:bookmarkEnd w:id="862"/>
      <w:bookmarkEnd w:id="863"/>
    </w:p>
    <w:p>
      <w:pPr>
        <w:pStyle w:val="TEXTE"/>
        <w:rPr/>
      </w:pPr>
      <w:r>
        <w:rPr/>
        <w:t xml:space="preserve">Dans les sanitaires et la future salle de pause, il sera appliqué une peinture satinée aux résines alkydes. Cette peinture très robuste et lessivable sera appliquée sur supports horizontaux ou verticaux. </w:t>
      </w:r>
    </w:p>
    <w:p>
      <w:pPr>
        <w:pStyle w:val="TEXTE"/>
        <w:rPr/>
      </w:pPr>
      <w:r>
        <w:rPr/>
        <w:t>Une préparation du support sera réalisée avant application de la peinture (égrenage, époussetage, rebouchage, enduit dégrossissage, révision des joints, enduits lissage ponçage…)</w:t>
      </w:r>
    </w:p>
    <w:p>
      <w:pPr>
        <w:pStyle w:val="TEXTE"/>
        <w:rPr/>
      </w:pPr>
      <w:r>
        <w:rPr/>
        <w:t>Plusieurs RAL seront proposés en fonction du support (mur, porte, encadrement de porte, IPN). Les dispositions projetées font l’objet de l’étude d’ergonomie jointe en annexe</w:t>
      </w:r>
    </w:p>
    <w:p>
      <w:pPr>
        <w:pStyle w:val="Titre2"/>
        <w:tabs>
          <w:tab w:val="clear" w:pos="0"/>
          <w:tab w:val="clear" w:pos="8789"/>
          <w:tab w:val="left" w:pos="426" w:leader="none"/>
        </w:tabs>
        <w:ind w:left="0" w:hanging="0"/>
        <w:rPr/>
      </w:pPr>
      <w:bookmarkStart w:id="864" w:name="_Toc32334805"/>
      <w:r>
        <w:rPr/>
        <w:t>Protections acoustiques</w:t>
      </w:r>
      <w:bookmarkEnd w:id="864"/>
    </w:p>
    <w:p>
      <w:pPr>
        <w:pStyle w:val="Titre3"/>
        <w:rPr/>
      </w:pPr>
      <w:bookmarkStart w:id="865" w:name="_Toc32334806"/>
      <w:r>
        <w:rPr/>
        <w:t>Règlements et normes applicables</w:t>
      </w:r>
      <w:bookmarkEnd w:id="865"/>
    </w:p>
    <w:p>
      <w:pPr>
        <w:pStyle w:val="Corpsdetexte"/>
        <w:rPr/>
      </w:pPr>
      <w:r>
        <w:rPr/>
        <w:t>Les principaux textes réglementaires et normatifs applicables sont :</w:t>
      </w:r>
    </w:p>
    <w:p>
      <w:pPr>
        <w:pStyle w:val="TEXTE"/>
        <w:numPr>
          <w:ilvl w:val="0"/>
          <w:numId w:val="27"/>
        </w:numPr>
        <w:spacing w:before="0" w:after="120"/>
        <w:ind w:left="714" w:hanging="357"/>
        <w:rPr/>
      </w:pPr>
      <w:r>
        <w:rPr/>
        <w:t>Arrêté du 25 avril 2003 relatif à la limitation du bruit dans les établissements d'enseignement ;</w:t>
      </w:r>
    </w:p>
    <w:p>
      <w:pPr>
        <w:pStyle w:val="TEXTE"/>
        <w:numPr>
          <w:ilvl w:val="0"/>
          <w:numId w:val="27"/>
        </w:numPr>
        <w:spacing w:before="0" w:after="120"/>
        <w:ind w:left="714" w:hanging="357"/>
        <w:rPr/>
      </w:pPr>
      <w:r>
        <w:rPr/>
        <w:t>Décret</w:t>
        <w:tab/>
        <w:t xml:space="preserve"> 95-408 du 18 avril 1995 relatif à la lutte contre les bruits de voisinage et modifiant le code de la santé publique ;</w:t>
      </w:r>
    </w:p>
    <w:p>
      <w:pPr>
        <w:pStyle w:val="TEXTE"/>
        <w:numPr>
          <w:ilvl w:val="0"/>
          <w:numId w:val="27"/>
        </w:numPr>
        <w:spacing w:before="0" w:after="120"/>
        <w:ind w:left="714" w:hanging="357"/>
        <w:rPr/>
      </w:pPr>
      <w:r>
        <w:rPr/>
        <w:t>Arrêté du 10 mai 1995 relatif aux modalités des bruits de voisinage ;</w:t>
      </w:r>
    </w:p>
    <w:p>
      <w:pPr>
        <w:pStyle w:val="TEXTE"/>
        <w:numPr>
          <w:ilvl w:val="0"/>
          <w:numId w:val="27"/>
        </w:numPr>
        <w:spacing w:before="0" w:after="120"/>
        <w:ind w:left="714" w:hanging="357"/>
        <w:rPr/>
      </w:pPr>
      <w:r>
        <w:rPr/>
        <w:t>Norme NF S 31-057, octobre 1982 "Vérification de la qualité acoustique des bâtiments".</w:t>
      </w:r>
    </w:p>
    <w:p>
      <w:pPr>
        <w:pStyle w:val="TEXTE"/>
        <w:numPr>
          <w:ilvl w:val="0"/>
          <w:numId w:val="27"/>
        </w:numPr>
        <w:spacing w:before="0" w:after="120"/>
        <w:ind w:left="714" w:hanging="357"/>
        <w:rPr/>
      </w:pPr>
      <w:r>
        <w:rPr/>
        <w:t>Norme NF EN ISO 717-1, "Évaluation de l'isolement acoustique des immeubles et des éléments de construction - partie 1 : isolement aux bruits aériens" ;</w:t>
      </w:r>
    </w:p>
    <w:p>
      <w:pPr>
        <w:pStyle w:val="TEXTE"/>
        <w:numPr>
          <w:ilvl w:val="0"/>
          <w:numId w:val="27"/>
        </w:numPr>
        <w:spacing w:before="0" w:after="120"/>
        <w:ind w:left="714" w:hanging="357"/>
        <w:rPr/>
      </w:pPr>
      <w:r>
        <w:rPr/>
        <w:t>Norme NF EN ISO 717-2, "Évaluation de l'isolement acoustique des immeubles et des éléments de construction - partie 2 : protection contre le bruit de choc".</w:t>
      </w:r>
    </w:p>
    <w:p>
      <w:pPr>
        <w:pStyle w:val="Titre3"/>
        <w:rPr/>
      </w:pPr>
      <w:bookmarkStart w:id="866" w:name="_Toc32334807"/>
      <w:r>
        <w:rPr/>
        <w:t>Isolation acoustique aux bruits aériens</w:t>
      </w:r>
      <w:bookmarkEnd w:id="866"/>
    </w:p>
    <w:p>
      <w:pPr>
        <w:pStyle w:val="Titre4"/>
        <w:rPr/>
      </w:pPr>
      <w:bookmarkStart w:id="867" w:name="_Toc32334808"/>
      <w:r>
        <w:rPr/>
        <w:t>Définition des critères acoustiques</w:t>
      </w:r>
      <w:bookmarkEnd w:id="867"/>
    </w:p>
    <w:p>
      <w:pPr>
        <w:pStyle w:val="Corpsdetexte"/>
        <w:rPr/>
      </w:pPr>
      <w:r>
        <w:rPr/>
        <w:t>Les isolements aux bruits aériens entre locaux sont normalisés par rapport à la durée de réverbération prise en compte pour le local. Celle-ci est fixée pour chacun des locaux du projet. Ils sont notés D</w:t>
      </w:r>
      <w:r>
        <w:rPr>
          <w:vertAlign w:val="subscript"/>
        </w:rPr>
        <w:t>n</w:t>
      </w:r>
      <w:r>
        <w:rPr/>
        <w:t>T,A (isolement acoustique standardisé pondéré) et sont exprimés en dB.</w:t>
      </w:r>
    </w:p>
    <w:p>
      <w:pPr>
        <w:pStyle w:val="Corpsdetexte"/>
        <w:rPr/>
      </w:pPr>
      <w:r>
        <w:rPr/>
        <w:t>Les isolements in situ seront mesurés conformément aux dispositions de la norme NF S 31-057.</w:t>
      </w:r>
    </w:p>
    <w:p>
      <w:pPr>
        <w:pStyle w:val="Titre4"/>
        <w:rPr/>
      </w:pPr>
      <w:bookmarkStart w:id="868" w:name="_Toc32334809"/>
      <w:r>
        <w:rPr/>
        <w:t>Exigences acoustiques</w:t>
      </w:r>
      <w:bookmarkEnd w:id="868"/>
    </w:p>
    <w:p>
      <w:pPr>
        <w:pStyle w:val="Corpsdetexte"/>
        <w:rPr/>
      </w:pPr>
      <w:r>
        <w:rPr/>
        <w:t>La durée de réverbération doit être comprise entre 0,8 et 0,9 seconde pour les fréquences de la parole. Des mesures seront effectuées, si nécessaire, pour des fréquences de 250 Hz, 500 Hz et 1000 Hz, le mobilier étant en place.</w:t>
      </w:r>
    </w:p>
    <w:p>
      <w:pPr>
        <w:pStyle w:val="Corpsdetexte"/>
        <w:rPr/>
      </w:pPr>
      <w:r>
        <w:rPr/>
        <w:t>La norme AFNOR X35-102 stipule que pour éviter les effets indésirables du bruit, il convient que le niveau acoustique nominal sur le lieu de travail soit aussi bas que possible afin de permettre l’exécution des tâches prévues :</w:t>
      </w:r>
    </w:p>
    <w:p>
      <w:pPr>
        <w:pStyle w:val="Corpsdetexte"/>
        <w:spacing w:before="200" w:after="120"/>
        <w:rPr/>
      </w:pPr>
      <w:r>
        <w:rPr/>
        <w:t>Dans les locaux de bureaux, le niveau acoustique continu équivalent doit se situer entre 35d(B) et 55 dB(A) sans être dépassés (ISO 11690-1)</w:t>
      </w:r>
    </w:p>
    <w:p>
      <w:pPr>
        <w:pStyle w:val="TEXTE"/>
        <w:numPr>
          <w:ilvl w:val="0"/>
          <w:numId w:val="27"/>
        </w:numPr>
        <w:spacing w:before="0" w:after="120"/>
        <w:ind w:left="714" w:hanging="357"/>
        <w:rPr/>
      </w:pPr>
      <w:r>
        <w:rPr/>
        <w:t>Dans les locaux où l’activité principale consiste en communication verbales, le niveau continu équivalent (hors communications) ne doit pas dépasser 50 dB(A) ;</w:t>
      </w:r>
    </w:p>
    <w:p>
      <w:pPr>
        <w:pStyle w:val="TEXTE"/>
        <w:numPr>
          <w:ilvl w:val="0"/>
          <w:numId w:val="27"/>
        </w:numPr>
        <w:spacing w:before="0" w:after="120"/>
        <w:ind w:left="714" w:hanging="357"/>
        <w:rPr/>
      </w:pPr>
      <w:r>
        <w:rPr/>
        <w:t>Si dans un bureau collectif, les postes de travail doivent être séparés, il est nécessaire de prévoir des cloisons isolantes modulables. Les émissions sonores artificielles destinés à masquer les autres sources de bruit doivent être évitées ;</w:t>
      </w:r>
    </w:p>
    <w:p>
      <w:pPr>
        <w:pStyle w:val="TEXTE"/>
        <w:numPr>
          <w:ilvl w:val="0"/>
          <w:numId w:val="27"/>
        </w:numPr>
        <w:spacing w:before="0" w:after="120"/>
        <w:ind w:left="714" w:hanging="357"/>
        <w:rPr/>
      </w:pPr>
      <w:r>
        <w:rPr/>
        <w:t>L’isolement acoustique entre bureaux doit être au minimum de 40 dB(A) en bruit rose (Norme NF S31-057). La durée de réverbération de (250Hz à 400Hz) doit être comprise entre 0.3 seconde et 0.8 seconde ;</w:t>
      </w:r>
    </w:p>
    <w:p>
      <w:pPr>
        <w:pStyle w:val="TEXTE"/>
        <w:numPr>
          <w:ilvl w:val="0"/>
          <w:numId w:val="27"/>
        </w:numPr>
        <w:spacing w:before="0" w:after="120"/>
        <w:ind w:left="714" w:hanging="357"/>
        <w:rPr/>
      </w:pPr>
      <w:r>
        <w:rPr/>
        <w:t>Le bruit émis par chacun des équipements (imprimante, photocopieuse…) mesurées à 1 m, ne doit pas dépasser 40dB(A).</w:t>
      </w:r>
    </w:p>
    <w:p>
      <w:pPr>
        <w:pStyle w:val="Titre3"/>
        <w:rPr/>
      </w:pPr>
      <w:bookmarkStart w:id="869" w:name="_Toc32334810"/>
      <w:r>
        <w:rPr/>
        <w:t>Caractéristiques des panneaux de correction acoustique</w:t>
      </w:r>
      <w:bookmarkEnd w:id="869"/>
    </w:p>
    <w:p>
      <w:pPr>
        <w:pStyle w:val="Corpsdetexte"/>
        <w:rPr/>
      </w:pPr>
      <w:r>
        <w:rPr/>
        <w:t xml:space="preserve">Les caractéristiques des panneaux de correction acoustique font l’objet de l’étude d’ergonomie jointe en annexe. </w:t>
      </w:r>
    </w:p>
    <w:p>
      <w:pPr>
        <w:pStyle w:val="Titre2"/>
        <w:tabs>
          <w:tab w:val="clear" w:pos="0"/>
          <w:tab w:val="clear" w:pos="8789"/>
          <w:tab w:val="left" w:pos="426" w:leader="none"/>
        </w:tabs>
        <w:ind w:left="0" w:hanging="0"/>
        <w:rPr/>
      </w:pPr>
      <w:bookmarkStart w:id="870" w:name="_Toc32334811"/>
      <w:r>
        <w:rPr/>
        <w:t>équipements d’éclairage</w:t>
      </w:r>
      <w:bookmarkEnd w:id="870"/>
    </w:p>
    <w:p>
      <w:pPr>
        <w:pStyle w:val="Titre3"/>
        <w:rPr/>
      </w:pPr>
      <w:bookmarkStart w:id="871" w:name="_Toc32334812"/>
      <w:r>
        <w:rPr/>
        <w:t>Règlements et normes applicables</w:t>
      </w:r>
      <w:bookmarkEnd w:id="871"/>
    </w:p>
    <w:p>
      <w:pPr>
        <w:pStyle w:val="Titre4"/>
        <w:rPr/>
      </w:pPr>
      <w:bookmarkStart w:id="872" w:name="_Toc32334813"/>
      <w:r>
        <w:rPr/>
        <w:t>Luminosité</w:t>
      </w:r>
      <w:bookmarkEnd w:id="872"/>
    </w:p>
    <w:p>
      <w:pPr>
        <w:pStyle w:val="Normal"/>
        <w:jc w:val="left"/>
        <w:rPr>
          <w:rFonts w:cs="Arial"/>
          <w:color w:val="000000"/>
        </w:rPr>
      </w:pPr>
      <w:r>
        <w:rPr>
          <w:rFonts w:cs="Arial"/>
          <w:color w:val="000000"/>
        </w:rPr>
      </w:r>
    </w:p>
    <w:p>
      <w:pPr>
        <w:pStyle w:val="Normal"/>
        <w:jc w:val="left"/>
        <w:rPr>
          <w:rFonts w:cs="Arial"/>
          <w:color w:val="000000"/>
        </w:rPr>
      </w:pPr>
      <w:r>
        <w:rPr>
          <w:rFonts w:cs="Arial"/>
          <w:color w:val="000000"/>
        </w:rPr>
        <w:t xml:space="preserve">Le travail sur écran lumineux nécessite une luminosité comprise entre 200 et 400 Lux, sans jamais dépasser 500 Lux (article R.232-7 du code du travail). </w:t>
      </w:r>
    </w:p>
    <w:p>
      <w:pPr>
        <w:pStyle w:val="Corpsdetexte"/>
        <w:rPr/>
      </w:pPr>
      <w:r>
        <w:rPr>
          <w:rFonts w:cs="Arial"/>
          <w:color w:val="000000"/>
        </w:rPr>
        <w:t>Des variations importantes et rapides de niveaux d’éclairement d’une zone à une autre sollicitent l’adaptation permanente du système visuel. Le code du travail précise que de telles variations ne doivent pas dépasser le rapport de 1 à 5.</w:t>
      </w:r>
    </w:p>
    <w:p>
      <w:pPr>
        <w:pStyle w:val="Titre4"/>
        <w:rPr/>
      </w:pPr>
      <w:bookmarkStart w:id="873" w:name="_Toc32334814"/>
      <w:r>
        <w:rPr/>
        <w:t>Eclairage naturel</w:t>
      </w:r>
      <w:bookmarkEnd w:id="873"/>
    </w:p>
    <w:p>
      <w:pPr>
        <w:pStyle w:val="Corpsdetexte"/>
        <w:rPr/>
      </w:pPr>
      <w:r>
        <w:rPr/>
        <w:t>Les salles d’exploitation doivent être équipées de fenêtres pour des raisons opérationnelles, psychologiques et physiologiques et non nécessairement pour l'éclairage. L’article R.235-2 du code du travail précise que « Les bâtiments doivent être conçus de manière que la lumière naturelle puisse être utilisées pour l’éclairage des locaux destinés à être affectés au travail, sauf dans des cas ou la nature technique des activités s’y oppose »</w:t>
      </w:r>
    </w:p>
    <w:p>
      <w:pPr>
        <w:pStyle w:val="Titre4"/>
        <w:rPr/>
      </w:pPr>
      <w:bookmarkStart w:id="874" w:name="_Toc32334815"/>
      <w:r>
        <w:rPr/>
        <w:t>Dispositions générales</w:t>
      </w:r>
      <w:bookmarkEnd w:id="874"/>
    </w:p>
    <w:p>
      <w:pPr>
        <w:pStyle w:val="Normal"/>
        <w:jc w:val="left"/>
        <w:rPr>
          <w:rFonts w:cs="Arial"/>
          <w:color w:val="000000"/>
        </w:rPr>
      </w:pPr>
      <w:r>
        <w:rPr>
          <w:rFonts w:cs="Arial"/>
          <w:color w:val="000000"/>
        </w:rPr>
      </w:r>
    </w:p>
    <w:p>
      <w:pPr>
        <w:pStyle w:val="Normal"/>
        <w:rPr/>
      </w:pPr>
      <w:r>
        <w:rPr>
          <w:rFonts w:cs="Arial"/>
          <w:color w:val="000000"/>
        </w:rPr>
        <w:t>Il convient d’éviter de trop grandes différences de luminosité entre les écrans de visualisation utilisés à l’intérieur de la salle d’exploitation et les fenêtres (les rapports de luminance supérieurs à 1/10</w:t>
      </w:r>
      <w:r>
        <w:rPr>
          <w:rFonts w:cs="Arial"/>
          <w:color w:val="000000"/>
          <w:sz w:val="13"/>
          <w:szCs w:val="13"/>
        </w:rPr>
        <w:t xml:space="preserve">ème </w:t>
      </w:r>
      <w:r>
        <w:rPr>
          <w:rFonts w:cs="Arial"/>
          <w:color w:val="000000"/>
        </w:rPr>
        <w:t xml:space="preserve">devront être évités). </w:t>
      </w:r>
    </w:p>
    <w:p>
      <w:pPr>
        <w:pStyle w:val="Titre4"/>
        <w:rPr/>
      </w:pPr>
      <w:bookmarkStart w:id="875" w:name="_Toc32334816"/>
      <w:r>
        <w:rPr/>
        <w:t>Eclairage artificiel</w:t>
      </w:r>
      <w:bookmarkEnd w:id="875"/>
    </w:p>
    <w:p>
      <w:pPr>
        <w:pStyle w:val="Normal"/>
        <w:jc w:val="left"/>
        <w:rPr>
          <w:rFonts w:cs="Arial"/>
          <w:color w:val="000000"/>
        </w:rPr>
      </w:pPr>
      <w:r>
        <w:rPr>
          <w:rFonts w:cs="Arial"/>
          <w:color w:val="000000"/>
        </w:rPr>
      </w:r>
    </w:p>
    <w:p>
      <w:pPr>
        <w:pStyle w:val="Normal"/>
        <w:jc w:val="left"/>
        <w:rPr>
          <w:rFonts w:cs="Arial"/>
          <w:color w:val="000000"/>
        </w:rPr>
      </w:pPr>
      <w:r>
        <w:rPr>
          <w:rFonts w:cs="Arial"/>
          <w:color w:val="000000"/>
        </w:rPr>
        <w:t xml:space="preserve">Pour l’éclairage artificiel, un système de qualité doit : </w:t>
      </w:r>
    </w:p>
    <w:p>
      <w:pPr>
        <w:pStyle w:val="Corpsdetexte"/>
        <w:numPr>
          <w:ilvl w:val="0"/>
          <w:numId w:val="23"/>
        </w:numPr>
        <w:spacing w:before="120" w:after="120"/>
        <w:ind w:left="714" w:hanging="357"/>
        <w:rPr>
          <w:rFonts w:cs="Arial"/>
        </w:rPr>
      </w:pPr>
      <w:r>
        <w:rPr>
          <w:rFonts w:cs="Arial"/>
        </w:rPr>
        <w:t>Éviter l'éblouissement ;</w:t>
      </w:r>
    </w:p>
    <w:p>
      <w:pPr>
        <w:pStyle w:val="Corpsdetexte"/>
        <w:numPr>
          <w:ilvl w:val="0"/>
          <w:numId w:val="23"/>
        </w:numPr>
        <w:spacing w:before="120" w:after="120"/>
        <w:ind w:left="714" w:hanging="357"/>
        <w:rPr>
          <w:rFonts w:cs="Arial"/>
        </w:rPr>
      </w:pPr>
      <w:r>
        <w:rPr>
          <w:rFonts w:cs="Arial"/>
        </w:rPr>
        <w:t>Restituer certaines propriétés de la lumière solaire ;</w:t>
      </w:r>
    </w:p>
    <w:p>
      <w:pPr>
        <w:pStyle w:val="Corpsdetexte"/>
        <w:numPr>
          <w:ilvl w:val="0"/>
          <w:numId w:val="23"/>
        </w:numPr>
        <w:spacing w:before="120" w:after="120"/>
        <w:ind w:left="714" w:hanging="357"/>
        <w:rPr>
          <w:rFonts w:cs="Arial"/>
        </w:rPr>
      </w:pPr>
      <w:r>
        <w:rPr>
          <w:rFonts w:cs="Arial"/>
        </w:rPr>
        <w:t>Permettre un rendu des couleurs satisfaisant ;</w:t>
      </w:r>
    </w:p>
    <w:p>
      <w:pPr>
        <w:pStyle w:val="Corpsdetexte"/>
        <w:numPr>
          <w:ilvl w:val="0"/>
          <w:numId w:val="23"/>
        </w:numPr>
        <w:spacing w:before="120" w:after="120"/>
        <w:ind w:left="714" w:hanging="357"/>
        <w:rPr>
          <w:rFonts w:cs="Arial"/>
        </w:rPr>
      </w:pPr>
      <w:r>
        <w:rPr>
          <w:rFonts w:cs="Arial"/>
        </w:rPr>
        <w:t xml:space="preserve">Etre modulable en fonction des conditions d'environnement et des besoins des utilisateurs. </w:t>
      </w:r>
    </w:p>
    <w:p>
      <w:pPr>
        <w:pStyle w:val="Normal"/>
        <w:jc w:val="left"/>
        <w:rPr>
          <w:rFonts w:cs="Arial"/>
          <w:color w:val="000000"/>
        </w:rPr>
      </w:pPr>
      <w:r>
        <w:rPr>
          <w:rFonts w:cs="Arial"/>
          <w:color w:val="000000"/>
        </w:rPr>
        <w:t xml:space="preserve">L’installation de l’éclairage ne doit pas générer de reflets ou nuire à la visibilité des équipements techniques installés. </w:t>
      </w:r>
    </w:p>
    <w:p>
      <w:pPr>
        <w:pStyle w:val="Corpsdetexte"/>
        <w:rPr/>
      </w:pPr>
      <w:r>
        <w:rPr>
          <w:rFonts w:cs="Arial"/>
          <w:color w:val="000000"/>
        </w:rPr>
        <w:t>Le système utilisé devra être muni d’un gradateur de lumière, avec fixation d’un niveau minimum d’éclairement paramétrable.</w:t>
      </w:r>
    </w:p>
    <w:p>
      <w:pPr>
        <w:pStyle w:val="Titre4"/>
        <w:rPr/>
      </w:pPr>
      <w:bookmarkStart w:id="876" w:name="_Toc32334817"/>
      <w:r>
        <w:rPr/>
        <w:t>Température de couleur</w:t>
      </w:r>
      <w:bookmarkEnd w:id="876"/>
    </w:p>
    <w:p>
      <w:pPr>
        <w:pStyle w:val="Corpsdetexte"/>
        <w:rPr/>
      </w:pPr>
      <w:r>
        <w:rPr/>
        <w:t>Plus le niveau d’éclairement requis est élevé, plus il est recommandé une température de couleur élevée. Exemples : une température inférieure à 3300°K (teintes chaudes) sera adaptée pour une luminosité inférieure à 150 lux ; une température supérieure à 5300°K (teintes froides) sera adapté pour une luminosité supérieure à 520 lux.</w:t>
      </w:r>
    </w:p>
    <w:p>
      <w:pPr>
        <w:pStyle w:val="Titre4"/>
        <w:rPr/>
      </w:pPr>
      <w:bookmarkStart w:id="877" w:name="_Toc32334818"/>
      <w:r>
        <w:rPr/>
        <w:t>Disposition des luminaires</w:t>
      </w:r>
      <w:bookmarkEnd w:id="877"/>
    </w:p>
    <w:p>
      <w:pPr>
        <w:pStyle w:val="Corpsdetexte"/>
        <w:rPr/>
      </w:pPr>
      <w:r>
        <w:rPr/>
        <w:t>Afin d’éviter l’éblouissement : il convient pour cela d’implanter le luminaire de sorte que la lampe ne soit pas visible en position assise dans un angle inférieur à 30° par rapport au regard horizontal, à défaut, de le munir de grilles de défilement.</w:t>
      </w:r>
    </w:p>
    <w:p>
      <w:pPr>
        <w:pStyle w:val="Titre4"/>
        <w:rPr/>
      </w:pPr>
      <w:bookmarkStart w:id="878" w:name="_Toc32334819"/>
      <w:r>
        <w:rPr/>
        <w:t>Accès aux organes de commandes</w:t>
      </w:r>
      <w:bookmarkEnd w:id="878"/>
    </w:p>
    <w:p>
      <w:pPr>
        <w:pStyle w:val="Corpsdetexte"/>
        <w:rPr/>
      </w:pPr>
      <w:r>
        <w:rPr/>
        <w:t>Les organes de commandes d’éclairage doivent être d’accès facile, placés au voisinage des issues ou à proximité des zones de circulation. (C.11avril 1984).</w:t>
      </w:r>
    </w:p>
    <w:p>
      <w:pPr>
        <w:pStyle w:val="Titre4"/>
        <w:rPr/>
      </w:pPr>
      <w:bookmarkStart w:id="879" w:name="_Toc32334820"/>
      <w:r>
        <w:rPr/>
        <w:t>Exigence pour un confort visuel convenable</w:t>
      </w:r>
      <w:bookmarkEnd w:id="879"/>
    </w:p>
    <w:p>
      <w:pPr>
        <w:pStyle w:val="Corpsdetexte"/>
        <w:rPr/>
      </w:pPr>
      <w:r>
        <w:rPr/>
        <w:t xml:space="preserve">Pour un confort visuel convenable la faible luminance (flux lumineux émis ou réfléchi par unité de surface) des écrans nécessite (C. du 11 avril 1984) : </w:t>
      </w:r>
    </w:p>
    <w:p>
      <w:pPr>
        <w:pStyle w:val="Corpsdetexte"/>
        <w:numPr>
          <w:ilvl w:val="0"/>
          <w:numId w:val="23"/>
        </w:numPr>
        <w:spacing w:before="120" w:after="120"/>
        <w:ind w:left="714" w:hanging="357"/>
        <w:rPr>
          <w:rFonts w:cs="Arial"/>
        </w:rPr>
      </w:pPr>
      <w:r>
        <w:rPr>
          <w:rFonts w:cs="Arial"/>
        </w:rPr>
        <w:t xml:space="preserve">Qu’aucune surface à luminance élevée ne se trouve dans le champ visuel de l’opérateur ou ne provoque sur l’écran des reflets visibles par l’opérateur ; </w:t>
      </w:r>
    </w:p>
    <w:p>
      <w:pPr>
        <w:pStyle w:val="Corpsdetexte"/>
        <w:numPr>
          <w:ilvl w:val="0"/>
          <w:numId w:val="23"/>
        </w:numPr>
        <w:spacing w:before="120" w:after="120"/>
        <w:ind w:left="714" w:hanging="357"/>
        <w:rPr>
          <w:rFonts w:cs="Arial"/>
        </w:rPr>
      </w:pPr>
      <w:r>
        <w:rPr>
          <w:rFonts w:cs="Arial"/>
        </w:rPr>
        <w:t xml:space="preserve">Que la luminance moyenne dans le champ visuel de l’opérateur soit faible. </w:t>
      </w:r>
    </w:p>
    <w:p>
      <w:pPr>
        <w:pStyle w:val="Corpsdetexte"/>
        <w:rPr>
          <w:rFonts w:cs="Arial"/>
          <w:color w:val="000000"/>
        </w:rPr>
      </w:pPr>
      <w:r>
        <w:rPr>
          <w:rFonts w:cs="Arial"/>
          <w:color w:val="000000"/>
        </w:rPr>
        <w:t>Ces impératifs conduisent (C.du 11 avril 1984) :</w:t>
      </w:r>
    </w:p>
    <w:p>
      <w:pPr>
        <w:pStyle w:val="Corpsdetexte"/>
        <w:numPr>
          <w:ilvl w:val="0"/>
          <w:numId w:val="23"/>
        </w:numPr>
        <w:spacing w:before="120" w:after="120"/>
        <w:ind w:left="714" w:hanging="357"/>
        <w:rPr>
          <w:rFonts w:cs="Arial"/>
        </w:rPr>
      </w:pPr>
      <w:r>
        <w:rPr>
          <w:rFonts w:cs="Arial"/>
        </w:rPr>
        <w:t xml:space="preserve">A un niveau d’éclairement général faible (de l’ordre de 200-400 lux) et de préférence modulaire et réglable ; </w:t>
      </w:r>
    </w:p>
    <w:p>
      <w:pPr>
        <w:pStyle w:val="Corpsdetexte"/>
        <w:numPr>
          <w:ilvl w:val="0"/>
          <w:numId w:val="23"/>
        </w:numPr>
        <w:spacing w:before="120" w:after="120"/>
        <w:ind w:left="714" w:hanging="357"/>
        <w:rPr>
          <w:rFonts w:cs="Arial"/>
        </w:rPr>
      </w:pPr>
      <w:r>
        <w:rPr>
          <w:rFonts w:cs="Arial"/>
        </w:rPr>
        <w:t>A veiller à l’orientation des écrans par rapport aux prises de jours et à installer des protections permettant de régler la pénétration de la lumière ;</w:t>
      </w:r>
    </w:p>
    <w:p>
      <w:pPr>
        <w:pStyle w:val="Corpsdetexte"/>
        <w:numPr>
          <w:ilvl w:val="0"/>
          <w:numId w:val="23"/>
        </w:numPr>
        <w:spacing w:before="120" w:after="120"/>
        <w:ind w:left="714" w:hanging="357"/>
        <w:rPr>
          <w:rFonts w:cs="Arial"/>
        </w:rPr>
      </w:pPr>
      <w:r>
        <w:rPr>
          <w:rFonts w:cs="Arial"/>
        </w:rPr>
        <w:t xml:space="preserve">Enfin il faut éviter en général toute surface brillante pour les revêtements des parois, des sols, des plafonds, du mobilier, des équipements et les couleurs très claires pour les sols, le mobilier et les équipements. </w:t>
      </w:r>
    </w:p>
    <w:p>
      <w:pPr>
        <w:pStyle w:val="Titre3"/>
        <w:rPr/>
      </w:pPr>
      <w:bookmarkStart w:id="880" w:name="_Toc32334821"/>
      <w:r>
        <w:rPr/>
        <w:t>Caractéristiques des luminaires</w:t>
      </w:r>
      <w:bookmarkEnd w:id="880"/>
    </w:p>
    <w:p>
      <w:pPr>
        <w:pStyle w:val="Normal"/>
        <w:jc w:val="left"/>
        <w:rPr/>
      </w:pPr>
      <w:r>
        <w:rPr/>
      </w:r>
    </w:p>
    <w:p>
      <w:pPr>
        <w:pStyle w:val="Normal"/>
        <w:jc w:val="left"/>
        <w:rPr/>
      </w:pPr>
      <w:r>
        <w:rPr/>
        <w:t>Les caractéristiques des luminaires font l’objet de l’étude d’ergonomie jointe en annexe.</w:t>
      </w:r>
    </w:p>
    <w:p>
      <w:pPr>
        <w:pStyle w:val="Normal"/>
        <w:jc w:val="left"/>
        <w:rPr/>
      </w:pPr>
      <w:r>
        <w:rPr/>
      </w:r>
    </w:p>
    <w:p>
      <w:pPr>
        <w:pStyle w:val="Titre2"/>
        <w:tabs>
          <w:tab w:val="clear" w:pos="0"/>
          <w:tab w:val="clear" w:pos="8789"/>
          <w:tab w:val="left" w:pos="426" w:leader="none"/>
        </w:tabs>
        <w:ind w:left="0" w:hanging="0"/>
        <w:rPr/>
      </w:pPr>
      <w:bookmarkStart w:id="881" w:name="_Toc32334822"/>
      <w:r>
        <w:rPr/>
        <w:t>Mise en œuvre des câbles</w:t>
      </w:r>
      <w:bookmarkEnd w:id="881"/>
    </w:p>
    <w:p>
      <w:pPr>
        <w:pStyle w:val="Titre3"/>
        <w:rPr>
          <w:color w:val="000000"/>
        </w:rPr>
      </w:pPr>
      <w:bookmarkStart w:id="882" w:name="_Toc32334823"/>
      <w:r>
        <w:rPr>
          <w:color w:val="000000"/>
        </w:rPr>
        <w:t>Câbles</w:t>
      </w:r>
      <w:bookmarkEnd w:id="882"/>
    </w:p>
    <w:p>
      <w:pPr>
        <w:pStyle w:val="Liste2"/>
        <w:numPr>
          <w:ilvl w:val="0"/>
          <w:numId w:val="51"/>
        </w:numPr>
        <w:spacing w:before="200" w:after="80"/>
        <w:ind w:left="714" w:hanging="357"/>
        <w:contextualSpacing w:val="false"/>
        <w:rPr/>
      </w:pPr>
      <w:r>
        <w:rPr/>
        <w:t>La longueur de câble non supportée par chemin de câble, conduit ou porteur, n'excédera pas 50 cm; pour les jarretières des longueurs de 2 ou 3 mètres sont tolérées,</w:t>
      </w:r>
    </w:p>
    <w:p>
      <w:pPr>
        <w:pStyle w:val="Liste"/>
        <w:numPr>
          <w:ilvl w:val="0"/>
          <w:numId w:val="20"/>
        </w:numPr>
        <w:rPr/>
      </w:pPr>
      <w:r>
        <w:rPr/>
        <w:t>En sortie des chemins de câbles, fourreaux, caniveaux ou tubes, les câbles seront protégés des arêtes vives par des embouts isolants,</w:t>
      </w:r>
    </w:p>
    <w:p>
      <w:pPr>
        <w:pStyle w:val="Liste"/>
        <w:numPr>
          <w:ilvl w:val="0"/>
          <w:numId w:val="20"/>
        </w:numPr>
        <w:rPr/>
      </w:pPr>
      <w:r>
        <w:rPr/>
        <w:t>Chaque fois que cela sera possible, les arrivées des câbles se feront dans la partie inférieure des armoires et coffrets,</w:t>
      </w:r>
    </w:p>
    <w:p>
      <w:pPr>
        <w:pStyle w:val="Liste"/>
        <w:numPr>
          <w:ilvl w:val="0"/>
          <w:numId w:val="20"/>
        </w:numPr>
        <w:rPr/>
      </w:pPr>
      <w:r>
        <w:rPr/>
        <w:t>Les cosses employées seront en cuivre, de type tubulaire à section,</w:t>
      </w:r>
    </w:p>
    <w:p>
      <w:pPr>
        <w:pStyle w:val="Liste"/>
        <w:numPr>
          <w:ilvl w:val="0"/>
          <w:numId w:val="20"/>
        </w:numPr>
        <w:rPr/>
      </w:pPr>
      <w:r>
        <w:rPr/>
        <w:t>Toutes les connexions des câbles devront être rendues indésserrables : les vis à métaux, boulons et écrous seront complétés par des rondelles élastiques de type éventail,</w:t>
      </w:r>
    </w:p>
    <w:p>
      <w:pPr>
        <w:pStyle w:val="Liste"/>
        <w:numPr>
          <w:ilvl w:val="0"/>
          <w:numId w:val="20"/>
        </w:numPr>
        <w:rPr/>
      </w:pPr>
      <w:r>
        <w:rPr/>
        <w:t>Les câbles doivent être maintenus pour éliminer les contraintes aux points de pénétration,</w:t>
      </w:r>
    </w:p>
    <w:p>
      <w:pPr>
        <w:pStyle w:val="Liste"/>
        <w:numPr>
          <w:ilvl w:val="0"/>
          <w:numId w:val="20"/>
        </w:numPr>
        <w:rPr/>
      </w:pPr>
      <w:r>
        <w:rPr/>
        <w:t>Les précautions à respecter doivent se conformer aux recommandations des fabricants de câbles,</w:t>
      </w:r>
    </w:p>
    <w:p>
      <w:pPr>
        <w:pStyle w:val="Liste"/>
        <w:numPr>
          <w:ilvl w:val="0"/>
          <w:numId w:val="20"/>
        </w:numPr>
        <w:rPr/>
      </w:pPr>
      <w:r>
        <w:rPr/>
        <w:t>Lorsque la température ambiante sera inférieure ou égale à -5° C, il sera nécessaire de placer pendant 24 heures les tourets de câbles avant de les dérouler dans un lieu où la température est supérieure à 10° C,</w:t>
      </w:r>
    </w:p>
    <w:p>
      <w:pPr>
        <w:pStyle w:val="Liste"/>
        <w:numPr>
          <w:ilvl w:val="0"/>
          <w:numId w:val="20"/>
        </w:numPr>
        <w:rPr/>
      </w:pPr>
      <w:r>
        <w:rPr/>
        <w:t>Le rayon de courbure minimum des câbles sera supérieur à la valeur minimale indiqué par le fabricant,</w:t>
      </w:r>
    </w:p>
    <w:p>
      <w:pPr>
        <w:pStyle w:val="Liste"/>
        <w:numPr>
          <w:ilvl w:val="0"/>
          <w:numId w:val="20"/>
        </w:numPr>
        <w:rPr/>
      </w:pPr>
      <w:r>
        <w:rPr/>
        <w:t>Si les câbles électriques doivent croiser les installations d'eau, de gaz, etc., toutes les prescriptions réglementaires relatives à une mise sous tension accidentelle doivent être respectées,</w:t>
      </w:r>
    </w:p>
    <w:p>
      <w:pPr>
        <w:pStyle w:val="Liste"/>
        <w:numPr>
          <w:ilvl w:val="0"/>
          <w:numId w:val="20"/>
        </w:numPr>
        <w:rPr/>
      </w:pPr>
      <w:r>
        <w:rPr/>
        <w:t>L'effort de traction exercé sur les câbles ne doit pas être supérieur aux valeurs limites spécifiées par les câbliers, le choix de la méthode est laissé à l'appréciation du Titulaire,</w:t>
      </w:r>
    </w:p>
    <w:p>
      <w:pPr>
        <w:pStyle w:val="Liste"/>
        <w:numPr>
          <w:ilvl w:val="0"/>
          <w:numId w:val="20"/>
        </w:numPr>
        <w:rPr/>
      </w:pPr>
      <w:r>
        <w:rPr/>
        <w:t>Les câbles sont, de préférence, des câbles ronds (pas de câbles plats) et aboutissent dans tous les cas sur des connecteurs ou des borniers de raccordements,</w:t>
      </w:r>
    </w:p>
    <w:p>
      <w:pPr>
        <w:pStyle w:val="Liste"/>
        <w:numPr>
          <w:ilvl w:val="0"/>
          <w:numId w:val="20"/>
        </w:numPr>
        <w:rPr/>
      </w:pPr>
      <w:r>
        <w:rPr/>
        <w:t>Les jonctions de câbles étant spécifiques à chaque nature de câbles, celles-ci sont définies pour chaque sous-système,</w:t>
      </w:r>
    </w:p>
    <w:p>
      <w:pPr>
        <w:pStyle w:val="Liste"/>
        <w:numPr>
          <w:ilvl w:val="0"/>
          <w:numId w:val="20"/>
        </w:numPr>
        <w:rPr/>
      </w:pPr>
      <w:r>
        <w:rPr/>
        <w:t>Les jonctions de câbles (manchons) sont interdites dans les fourreaux, elles doivent être d'une étanchéité parfaite et être susceptibles de séjourner dans l'eau ou en terrain corrosif. En cas de nécessité, elles seront limitées et réalisées dans les chambres de tirage, la longueur minimale dans ce cas entre les jonctions sera de 100 m,</w:t>
      </w:r>
    </w:p>
    <w:p>
      <w:pPr>
        <w:pStyle w:val="Liste"/>
        <w:numPr>
          <w:ilvl w:val="0"/>
          <w:numId w:val="20"/>
        </w:numPr>
        <w:rPr/>
      </w:pPr>
      <w:r>
        <w:rPr/>
        <w:t>Les câbles courants faibles doivent être séparés des câbles énergie pour respecter la CEM.</w:t>
      </w:r>
    </w:p>
    <w:p>
      <w:pPr>
        <w:pStyle w:val="Titre3"/>
        <w:rPr/>
      </w:pPr>
      <w:bookmarkStart w:id="883" w:name="_Toc32334824"/>
      <w:r>
        <w:rPr/>
        <w:t>Repérage des câbles</w:t>
      </w:r>
      <w:bookmarkEnd w:id="883"/>
    </w:p>
    <w:p>
      <w:pPr>
        <w:pStyle w:val="TEXTE"/>
        <w:rPr/>
      </w:pPr>
      <w:r>
        <w:rPr/>
        <w:t>Tous les câbles inclus au présent marché devront être repérés suivant les règles de l’art.</w:t>
      </w:r>
    </w:p>
    <w:p>
      <w:pPr>
        <w:pStyle w:val="TEXTE"/>
        <w:rPr/>
      </w:pPr>
      <w:r>
        <w:rPr/>
        <w:t>Chaque tenant et aboutissant sera repéré de manière identique et les symboles utilisés devront permettre de reconnaître aisément les différents circuits. Le repérage sera répétitif pour les grandes longueurs, les changements de direction, aux débouchés des fourreaux et des buses, etc.</w:t>
      </w:r>
    </w:p>
    <w:p>
      <w:pPr>
        <w:pStyle w:val="TEXTE"/>
        <w:rPr/>
      </w:pPr>
      <w:r>
        <w:rPr/>
        <w:t>Les moyens et modes de réglage seront soumis à l’agrément du Maître d’Œuvre avant exécution.</w:t>
      </w:r>
    </w:p>
    <w:p>
      <w:pPr>
        <w:pStyle w:val="Titre3"/>
        <w:rPr/>
      </w:pPr>
      <w:bookmarkStart w:id="884" w:name="_Toc32334825"/>
      <w:r>
        <w:rPr/>
        <w:t>Cheminement des câbles</w:t>
      </w:r>
      <w:bookmarkEnd w:id="884"/>
    </w:p>
    <w:p>
      <w:pPr>
        <w:pStyle w:val="TEXTE"/>
        <w:rPr/>
      </w:pPr>
      <w:r>
        <w:rPr/>
        <w:t>A l’intérieur des locaux, les câbles chemineront dans le faux plancher, sur chemins de câbles ou sous tube IRO.</w:t>
      </w:r>
    </w:p>
    <w:p>
      <w:pPr>
        <w:pStyle w:val="Titre3"/>
        <w:rPr/>
      </w:pPr>
      <w:bookmarkStart w:id="885" w:name="_Toc32334826"/>
      <w:r>
        <w:rPr/>
        <w:t>Pose sur chemins de câbles</w:t>
      </w:r>
      <w:bookmarkEnd w:id="885"/>
    </w:p>
    <w:p>
      <w:pPr>
        <w:pStyle w:val="TEXTE"/>
        <w:rPr/>
      </w:pPr>
      <w:r>
        <w:rPr/>
        <w:t>Outre le respect des rayons de courbure, la pose sur chemin de câble devra permettre une dissipation satisfaisante des pertes thermiques, y compris en cas de défaut sur les circuits d’énergie. Une liaison équipotentielle est à réaliser entre les différents éléments de chemin de câbles et avec toutes les pièces métalliques avoisinantes</w:t>
      </w:r>
    </w:p>
    <w:p>
      <w:pPr>
        <w:pStyle w:val="TEXTE"/>
        <w:rPr/>
      </w:pPr>
      <w:r>
        <w:rPr/>
        <w:t>La pose des câbles et leur fixation devront être réalisées pour supporter les dilatations thermiques des câbles et des chemins, éviter les ondulations anormales, éviter la reptation du câble lorsque la liaison est dénivelée. La fixation devra aussi être adaptée à l’effort électrodynamique, en cas de court-circuit sur les câbles d’énergie. Les câbles seront fixés au chemin de câbles au moins tous les mètres dans les parcours horizontaux, tous les cinquante centimètres dans les parcours dont la pente est supérieure à 45°.</w:t>
      </w:r>
    </w:p>
    <w:p>
      <w:pPr>
        <w:pStyle w:val="TEXTE"/>
        <w:rPr/>
      </w:pPr>
      <w:r>
        <w:rPr/>
        <w:t>L’emploi des attaches métalliques dont l’élasticité est insuffisante et blessante pour les câbles, ou des bandes synthétiques susceptibles de se détendre et casser, est proscrit, au profit des bandes souples imputrescibles.</w:t>
      </w:r>
    </w:p>
    <w:p>
      <w:pPr>
        <w:pStyle w:val="TEXTE"/>
        <w:rPr/>
      </w:pPr>
      <w:r>
        <w:rPr/>
        <w:t>Les câbles supportant des classes de tension différentes (BT et TBT/télécommunication) pourront être posés dans un même chemin de câble à condition d’être séparés par des cornières de séparation rigides.</w:t>
      </w:r>
    </w:p>
    <w:p>
      <w:pPr>
        <w:pStyle w:val="Titre3"/>
        <w:rPr/>
      </w:pPr>
      <w:bookmarkStart w:id="886" w:name="_Toc32334827"/>
      <w:r>
        <w:rPr/>
        <w:t>Chemin de câbles</w:t>
      </w:r>
      <w:bookmarkEnd w:id="886"/>
    </w:p>
    <w:p>
      <w:pPr>
        <w:pStyle w:val="TEXTE"/>
        <w:rPr/>
      </w:pPr>
      <w:r>
        <w:rPr/>
        <w:t>Les chemins de câbles seront toujours façonnés sur place par découpe.</w:t>
      </w:r>
    </w:p>
    <w:p>
      <w:pPr>
        <w:pStyle w:val="TEXTE"/>
        <w:rPr/>
      </w:pPr>
      <w:r>
        <w:rPr/>
        <w:t>Les différentes longueurs découpées seront assemblées par éclissage, les éclisses étant celles préconisées par le fournisseur de chemins de câbles.</w:t>
      </w:r>
    </w:p>
    <w:p>
      <w:pPr>
        <w:pStyle w:val="TEXTE"/>
        <w:rPr/>
      </w:pPr>
      <w:r>
        <w:rPr/>
        <w:t>Les chemins de câbles, quelle que soit leur largeur, et leur mode de fixation seront dimensionnés afin qu’une force de 100 daN, appliquée perpendiculairement au plan de pose des câbles et en tout point, amène une flèche inférieure ou égale à 5 mm.</w:t>
      </w:r>
    </w:p>
    <w:p>
      <w:pPr>
        <w:pStyle w:val="TEXTE"/>
        <w:spacing w:before="200" w:after="120"/>
        <w:rPr/>
      </w:pPr>
      <w:r>
        <w:rPr/>
        <w:t>Sauf spécifications particulières ou avis contraire des normes relatives au domaine d’utilisation, les chemins de câbles seront toujours mis à la terre :</w:t>
      </w:r>
    </w:p>
    <w:p>
      <w:pPr>
        <w:pStyle w:val="F1"/>
        <w:numPr>
          <w:ilvl w:val="0"/>
          <w:numId w:val="51"/>
        </w:numPr>
        <w:rPr/>
      </w:pPr>
      <w:r>
        <w:rPr/>
        <w:t>Soit à l’aide d’un conducteur de terre posé à l’extérieur de ceux-ci.</w:t>
      </w:r>
    </w:p>
    <w:p>
      <w:pPr>
        <w:pStyle w:val="F1"/>
        <w:numPr>
          <w:ilvl w:val="0"/>
          <w:numId w:val="51"/>
        </w:numPr>
        <w:rPr/>
      </w:pPr>
      <w:r>
        <w:rPr/>
        <w:t>Soit le matériel proposé assurera la continuité de la terre.</w:t>
      </w:r>
    </w:p>
    <w:p>
      <w:pPr>
        <w:pStyle w:val="TEXTE"/>
        <w:rPr/>
      </w:pPr>
      <w:r>
        <w:rPr/>
        <w:t>Le conducteur de terre est fixé solidairement à chaque longueur de chemin de câble par l’intermédiaire d’un dispositif recommandé par le fournisseur.</w:t>
      </w:r>
    </w:p>
    <w:p>
      <w:pPr>
        <w:pStyle w:val="TEXTE"/>
        <w:rPr/>
      </w:pPr>
      <w:r>
        <w:rPr/>
        <w:t>L’usage de rondelle bimétallique est en général nécessaire pour assurer la fixation du conducteur en cuivre sur le dispositif de fixation en acier galvanisé afin d’éviter la corrosion de l’assemblage par effet du couple électrochimique Cu-Zn.</w:t>
      </w:r>
    </w:p>
    <w:p>
      <w:pPr>
        <w:pStyle w:val="Titre2"/>
        <w:tabs>
          <w:tab w:val="clear" w:pos="0"/>
          <w:tab w:val="clear" w:pos="8789"/>
          <w:tab w:val="left" w:pos="426" w:leader="none"/>
        </w:tabs>
        <w:ind w:left="0" w:hanging="0"/>
        <w:rPr/>
      </w:pPr>
      <w:bookmarkStart w:id="887" w:name="_Toc32334828"/>
      <w:r>
        <w:rPr/>
        <w:t>Identification des équipements</w:t>
      </w:r>
      <w:bookmarkEnd w:id="887"/>
    </w:p>
    <w:p>
      <w:pPr>
        <w:pStyle w:val="TEXTE"/>
        <w:rPr/>
      </w:pPr>
      <w:r>
        <w:rPr/>
        <w:t>Chaque support et équipement sera muni de deux plaques d’identité : une sur l’équipement et une sur le support.</w:t>
      </w:r>
    </w:p>
    <w:p>
      <w:pPr>
        <w:pStyle w:val="TEXTE"/>
        <w:rPr/>
      </w:pPr>
      <w:r>
        <w:rPr/>
        <w:t>Ces plaques seront, pour l’une l’identifiant constructeur, pour l’autre l’identifiant fonctionnel créé par l’exploitant.</w:t>
      </w:r>
    </w:p>
    <w:p>
      <w:pPr>
        <w:pStyle w:val="TEXTE"/>
        <w:rPr/>
      </w:pPr>
      <w:r>
        <w:rPr/>
        <w:t>L’identifiant constructeur devra comporter au minimum les informations suivantes :</w:t>
      </w:r>
    </w:p>
    <w:p>
      <w:pPr>
        <w:pStyle w:val="F1"/>
        <w:numPr>
          <w:ilvl w:val="0"/>
          <w:numId w:val="51"/>
        </w:numPr>
        <w:rPr/>
      </w:pPr>
      <w:r>
        <w:rPr/>
        <w:t>Nom du constructeur,</w:t>
      </w:r>
    </w:p>
    <w:p>
      <w:pPr>
        <w:pStyle w:val="F1"/>
        <w:numPr>
          <w:ilvl w:val="0"/>
          <w:numId w:val="51"/>
        </w:numPr>
        <w:rPr/>
      </w:pPr>
      <w:r>
        <w:rPr/>
        <w:t>Numéro de série,</w:t>
      </w:r>
    </w:p>
    <w:p>
      <w:pPr>
        <w:pStyle w:val="F1"/>
        <w:numPr>
          <w:ilvl w:val="0"/>
          <w:numId w:val="51"/>
        </w:numPr>
        <w:rPr/>
      </w:pPr>
      <w:r>
        <w:rPr/>
        <w:t>Référence du marché,</w:t>
      </w:r>
    </w:p>
    <w:p>
      <w:pPr>
        <w:pStyle w:val="F1"/>
        <w:numPr>
          <w:ilvl w:val="0"/>
          <w:numId w:val="51"/>
        </w:numPr>
        <w:rPr/>
      </w:pPr>
      <w:r>
        <w:rPr/>
        <w:t>Date de fabrication.</w:t>
      </w:r>
    </w:p>
    <w:p>
      <w:pPr>
        <w:pStyle w:val="TEXTE"/>
        <w:rPr/>
      </w:pPr>
      <w:r>
        <w:rPr/>
        <w:t>L’identifiant fonctionnel aura les caractéristiques définies selon les spécifications de l’exploitant, et seront collées sur une plaque d’aluminium dont l’épaisseur ne sera pas inférieure à 0,8mm, cerclée inox.</w:t>
      </w:r>
    </w:p>
    <w:p>
      <w:pPr>
        <w:pStyle w:val="Normal"/>
        <w:jc w:val="left"/>
        <w:rPr/>
      </w:pPr>
      <w:r>
        <w:rPr/>
      </w:r>
      <w:r>
        <w:br w:type="page"/>
      </w:r>
    </w:p>
    <w:p>
      <w:pPr>
        <w:pStyle w:val="Normal"/>
        <w:jc w:val="left"/>
        <w:rPr/>
      </w:pPr>
      <w:r>
        <w:rPr/>
      </w:r>
    </w:p>
    <w:p>
      <w:pPr>
        <w:pStyle w:val="Titre1"/>
        <w:rPr/>
      </w:pPr>
      <w:bookmarkStart w:id="888" w:name="_Toc32334829"/>
      <w:r>
        <w:rPr/>
        <w:t>Conditions générales d’exécution</w:t>
      </w:r>
      <w:bookmarkEnd w:id="888"/>
      <w:r>
        <w:rPr/>
        <w:t xml:space="preserve"> </w:t>
      </w:r>
    </w:p>
    <w:p>
      <w:pPr>
        <w:pStyle w:val="Titre2"/>
        <w:tabs>
          <w:tab w:val="clear" w:pos="0"/>
          <w:tab w:val="clear" w:pos="8789"/>
          <w:tab w:val="left" w:pos="426" w:leader="none"/>
        </w:tabs>
        <w:ind w:left="0" w:hanging="0"/>
        <w:rPr/>
      </w:pPr>
      <w:bookmarkStart w:id="889" w:name="_Toc32334830"/>
      <w:r>
        <w:rPr/>
        <w:t>Organisation des travaux</w:t>
      </w:r>
      <w:bookmarkEnd w:id="889"/>
    </w:p>
    <w:p>
      <w:pPr>
        <w:pStyle w:val="Titre3"/>
        <w:rPr/>
      </w:pPr>
      <w:bookmarkStart w:id="890" w:name="_Toc32334831"/>
      <w:r>
        <w:rPr/>
        <w:t>Contraintes et obligations</w:t>
      </w:r>
      <w:bookmarkEnd w:id="890"/>
    </w:p>
    <w:p>
      <w:pPr>
        <w:pStyle w:val="Titre4"/>
        <w:rPr/>
      </w:pPr>
      <w:bookmarkStart w:id="891" w:name="_Toc32334832"/>
      <w:r>
        <w:rPr/>
        <w:t>Ordonnancement, pilotage et coordination</w:t>
      </w:r>
      <w:bookmarkEnd w:id="891"/>
    </w:p>
    <w:p>
      <w:pPr>
        <w:pStyle w:val="Corpsdetexte"/>
        <w:rPr/>
      </w:pPr>
      <w:r>
        <w:rPr/>
        <w:t>La réalisation des prestations relatives à l'Ordonnancement, au Pilotage et à la Coordination du chantier est confiée au titulaire du marché de travaux.</w:t>
      </w:r>
    </w:p>
    <w:p>
      <w:pPr>
        <w:pStyle w:val="Titre4"/>
        <w:rPr/>
      </w:pPr>
      <w:bookmarkStart w:id="892" w:name="_Toc32334833"/>
      <w:r>
        <w:rPr/>
        <w:t>Modalités d’intervention sur l’existant</w:t>
      </w:r>
      <w:bookmarkEnd w:id="892"/>
    </w:p>
    <w:p>
      <w:pPr>
        <w:pStyle w:val="Texte1"/>
        <w:rPr/>
      </w:pPr>
      <w:r>
        <w:rPr/>
      </w:r>
    </w:p>
    <w:p>
      <w:pPr>
        <w:pStyle w:val="Texte1"/>
        <w:rPr/>
      </w:pPr>
      <w:r>
        <w:rPr/>
        <w:t>Les systèmes informatiques et équipements hébergés au PCTT, participent pour la plupart à la sécurité des usagers des voies rapides de l’ouest de l’Ile de France.</w:t>
      </w:r>
    </w:p>
    <w:p>
      <w:pPr>
        <w:pStyle w:val="Texte1"/>
        <w:rPr/>
      </w:pPr>
      <w:r>
        <w:rPr/>
      </w:r>
    </w:p>
    <w:p>
      <w:pPr>
        <w:pStyle w:val="Texte1"/>
        <w:rPr/>
      </w:pPr>
      <w:r>
        <w:rPr/>
        <w:t>A ce titre, et compte-tenu des contraintes vis-à-vis de la continuité d’exploitation, il n’est pas envisageable d’intervenir sur le fonctionnement des équipements du PCTT sans avoir au préalable obtenu l’accord de l’Exploitant. Par conséquent, toute consignation électrique ou mise hors service d'un système en exploitation fera l’objet d’une demande d’autorisation d’intervention, à rédiger par l’Entrepreneur.</w:t>
      </w:r>
    </w:p>
    <w:p>
      <w:pPr>
        <w:pStyle w:val="Texte1"/>
        <w:rPr/>
      </w:pPr>
      <w:r>
        <w:rPr/>
      </w:r>
    </w:p>
    <w:p>
      <w:pPr>
        <w:pStyle w:val="Texte1"/>
        <w:rPr/>
      </w:pPr>
      <w:r>
        <w:rPr/>
        <w:t xml:space="preserve">Cette demande est désignée NIP (Note d’Information Préalable) et devra préciser les éléments suivants :  </w:t>
      </w:r>
    </w:p>
    <w:p>
      <w:pPr>
        <w:pStyle w:val="TEXTE"/>
        <w:numPr>
          <w:ilvl w:val="0"/>
          <w:numId w:val="27"/>
        </w:numPr>
        <w:spacing w:before="0" w:after="120"/>
        <w:ind w:left="714" w:hanging="357"/>
        <w:rPr/>
      </w:pPr>
      <w:r>
        <w:rPr/>
        <w:t xml:space="preserve">L'équipement concerné (désigné par son tatouage, s’il existe) ; </w:t>
      </w:r>
    </w:p>
    <w:p>
      <w:pPr>
        <w:pStyle w:val="TEXTE"/>
        <w:numPr>
          <w:ilvl w:val="0"/>
          <w:numId w:val="27"/>
        </w:numPr>
        <w:spacing w:before="0" w:after="120"/>
        <w:ind w:left="714" w:hanging="357"/>
        <w:rPr/>
      </w:pPr>
      <w:r>
        <w:rPr/>
        <w:t xml:space="preserve">La période de mise hors exploitation, durée totale, date et heure prévue, par système (avec les équipements correspondants le cas échéant, pour chaque départ BT) ; </w:t>
      </w:r>
    </w:p>
    <w:p>
      <w:pPr>
        <w:pStyle w:val="TEXTE"/>
        <w:numPr>
          <w:ilvl w:val="0"/>
          <w:numId w:val="27"/>
        </w:numPr>
        <w:spacing w:before="0" w:after="120"/>
        <w:ind w:left="714" w:hanging="357"/>
        <w:rPr/>
      </w:pPr>
      <w:r>
        <w:rPr/>
        <w:t xml:space="preserve">La nature de l'intervention et les raisons qui rendent nécessaire cette interruption ; </w:t>
      </w:r>
    </w:p>
    <w:p>
      <w:pPr>
        <w:pStyle w:val="TEXTE"/>
        <w:numPr>
          <w:ilvl w:val="0"/>
          <w:numId w:val="27"/>
        </w:numPr>
        <w:spacing w:before="0" w:after="240"/>
        <w:ind w:left="714" w:hanging="357"/>
        <w:rPr/>
      </w:pPr>
      <w:r>
        <w:rPr/>
        <w:t>Les mesures conservatoires prises pour le retour à l'exploitation.</w:t>
      </w:r>
    </w:p>
    <w:p>
      <w:pPr>
        <w:pStyle w:val="Texte1"/>
        <w:rPr/>
      </w:pPr>
      <w:r>
        <w:rPr/>
        <w:t xml:space="preserve">Ce projet de NIP devra être visé par le Maître d'œuvre et soumis à la DiRIF, pour validation, au minimum deux (2) semaines avant la date prévue pour l'arrêt d'exploitation. </w:t>
      </w:r>
    </w:p>
    <w:p>
      <w:pPr>
        <w:pStyle w:val="Texte1"/>
        <w:rPr/>
      </w:pPr>
      <w:r>
        <w:rPr/>
        <w:t>L’Entrepreneur devra se conformer aux procédures de la DiRIF en vigueur, et utiliser les cadres qui lui seront fournis.</w:t>
      </w:r>
    </w:p>
    <w:p>
      <w:pPr>
        <w:pStyle w:val="Titre4"/>
        <w:rPr/>
      </w:pPr>
      <w:bookmarkStart w:id="893" w:name="_Toc32334834"/>
      <w:bookmarkStart w:id="894" w:name="_Toc306199976"/>
      <w:bookmarkStart w:id="895" w:name="_Toc305779758"/>
      <w:bookmarkEnd w:id="895"/>
      <w:r>
        <w:rPr/>
        <w:t>Incident sur équipement en exploitation</w:t>
      </w:r>
      <w:bookmarkEnd w:id="893"/>
      <w:bookmarkEnd w:id="894"/>
    </w:p>
    <w:p>
      <w:pPr>
        <w:pStyle w:val="Texte1"/>
        <w:rPr/>
      </w:pPr>
      <w:r>
        <w:rPr/>
      </w:r>
    </w:p>
    <w:p>
      <w:pPr>
        <w:pStyle w:val="Texte1"/>
        <w:rPr/>
      </w:pPr>
      <w:r>
        <w:rPr/>
        <w:t>Si, pendant le déroulement du chantier, un équipement en cours d'exploitation par la DiRIF est accidentellement mis hors d'exploitation, du fait d'un incident, l’Entrepreneur et/ou le Maître d'œuvre devra s'assurer que l’Opérateur Sécurité Trafic (OST) du PCTT soit effectivement informé. Ce type d'informations fera l'objet d'une main courante.</w:t>
      </w:r>
    </w:p>
    <w:p>
      <w:pPr>
        <w:pStyle w:val="Titre4"/>
        <w:rPr/>
      </w:pPr>
      <w:bookmarkStart w:id="896" w:name="_Toc32334835"/>
      <w:r>
        <w:rPr/>
        <w:t>Astreintes</w:t>
      </w:r>
      <w:bookmarkEnd w:id="896"/>
    </w:p>
    <w:p>
      <w:pPr>
        <w:pStyle w:val="Corpsdetexte"/>
        <w:spacing w:before="200" w:after="120"/>
        <w:rPr/>
      </w:pPr>
      <w:r>
        <w:rPr/>
        <w:t>L’Entrepreneur devra assurer une astreinte :</w:t>
      </w:r>
    </w:p>
    <w:p>
      <w:pPr>
        <w:pStyle w:val="F1"/>
        <w:numPr>
          <w:ilvl w:val="0"/>
          <w:numId w:val="30"/>
        </w:numPr>
        <w:rPr/>
      </w:pPr>
      <w:r>
        <w:rPr/>
        <w:t>Pendant et après les travaux sensibles de transferts provisoires et définitives des équipements (systèmes informatiques, local technique, local TGBT, armoire de distribution électrique) ;</w:t>
      </w:r>
    </w:p>
    <w:p>
      <w:pPr>
        <w:pStyle w:val="F1"/>
        <w:numPr>
          <w:ilvl w:val="0"/>
          <w:numId w:val="30"/>
        </w:numPr>
        <w:rPr/>
      </w:pPr>
      <w:r>
        <w:rPr/>
        <w:t>Pendant la période de garantie des équipements concernés par les Conditions Minimales d’Exploitation, la réglementation des Systèmes de Sécurité Incendie et la réglementation des appareils élévateurs.</w:t>
      </w:r>
    </w:p>
    <w:p>
      <w:pPr>
        <w:pStyle w:val="Corpsdetexte"/>
        <w:rPr/>
      </w:pPr>
      <w:r>
        <w:rPr/>
        <w:t>L’Entrepreneur doit pouvoir être présent à tout moment, 24h/24, pendant la période de chantier, y compris les nuits, les jours de congés de fin de semaine (week-end), les jours fériés et les nuits.</w:t>
      </w:r>
    </w:p>
    <w:p>
      <w:pPr>
        <w:pStyle w:val="Corpsdetexte"/>
        <w:rPr/>
      </w:pPr>
      <w:r>
        <w:rPr/>
        <w:t>Le Maître d’œuvre doit pouvoir bénéficier de l'expertise et des avis de l’Entrepreneur en cas de problème sur l'exploitation, notamment en cas d'interruption des systèmes concernés par les travaux,</w:t>
      </w:r>
    </w:p>
    <w:p>
      <w:pPr>
        <w:pStyle w:val="Corpsdetexte"/>
        <w:spacing w:before="200" w:after="120"/>
        <w:rPr/>
      </w:pPr>
      <w:r>
        <w:rPr/>
        <w:t>L’Entrepreneur devra donc mettre en place un système d'astreinte avec un numéro unique qui lui permettra d’être présent sur site dans les conditions suivantes :</w:t>
      </w:r>
    </w:p>
    <w:p>
      <w:pPr>
        <w:pStyle w:val="ListParagraph"/>
        <w:numPr>
          <w:ilvl w:val="0"/>
          <w:numId w:val="103"/>
        </w:numPr>
        <w:spacing w:before="119" w:after="120"/>
        <w:contextualSpacing w:val="false"/>
        <w:rPr/>
      </w:pPr>
      <w:r>
        <w:rPr/>
        <w:t xml:space="preserve">Pour les équipements concernés par les CME du PCTT : Intervention sur site, sur appel d’un TDM du PCTT, dans un délai de 1h30 7j/7 et 24h/24, y compris les congés de fin de semaines et les jours féries. </w:t>
      </w:r>
    </w:p>
    <w:p>
      <w:pPr>
        <w:pStyle w:val="ListParagraph"/>
        <w:numPr>
          <w:ilvl w:val="0"/>
          <w:numId w:val="103"/>
        </w:numPr>
        <w:spacing w:before="119" w:after="120"/>
        <w:contextualSpacing w:val="false"/>
        <w:rPr/>
      </w:pPr>
      <w:r>
        <w:rPr/>
        <w:t>Pour les équipements du SSI : Intervention sur site, sur appel d’un représentant du Maître d’Ouvrage ou du Maître d'œuvre, dans un délai de 4h 7j/7 et 24h/24, y compris les congés de fin de semaines et les jours fériés. Astreinte téléphonique avec rappel dans les 4 heures.</w:t>
      </w:r>
    </w:p>
    <w:p>
      <w:pPr>
        <w:pStyle w:val="ListParagraph"/>
        <w:numPr>
          <w:ilvl w:val="0"/>
          <w:numId w:val="103"/>
        </w:numPr>
        <w:spacing w:before="119" w:after="0"/>
        <w:ind w:left="714" w:hanging="357"/>
        <w:contextualSpacing w:val="false"/>
        <w:rPr/>
      </w:pPr>
      <w:r>
        <w:rPr/>
        <w:t xml:space="preserve">La maintenance accélérée : Intervention sur site, sur appel d’un représentant du Maître d’Ouvrage ou du Maître d'œuvre, dans un délai de 72 h. La maintenance accélérée concerne les réparations déclenchées suite à la constatation d’anomalies ayant dépassées les Conditions Minimales d’Exploitations. </w:t>
      </w:r>
    </w:p>
    <w:p>
      <w:pPr>
        <w:pStyle w:val="Normal"/>
        <w:jc w:val="left"/>
        <w:rPr>
          <w:rFonts w:ascii="TimesNewRomanPSMT" w:hAnsi="TimesNewRomanPSMT" w:cs="TimesNewRomanPSMT"/>
          <w:sz w:val="24"/>
          <w:szCs w:val="24"/>
        </w:rPr>
      </w:pPr>
      <w:r>
        <w:rPr>
          <w:rFonts w:cs="TimesNewRomanPSMT" w:ascii="TimesNewRomanPSMT" w:hAnsi="TimesNewRomanPSMT"/>
          <w:sz w:val="24"/>
          <w:szCs w:val="24"/>
        </w:rPr>
      </w:r>
    </w:p>
    <w:p>
      <w:pPr>
        <w:pStyle w:val="Normal"/>
        <w:spacing w:before="0" w:after="120"/>
        <w:rPr/>
      </w:pPr>
      <w:r>
        <w:rPr/>
        <w:t xml:space="preserve">L’astreinte pendant le délai d’exécution et la maintenance pendant la période de garantie donnent lieu à deux rémunérations forfaitaires spécifiques. </w:t>
      </w:r>
    </w:p>
    <w:p>
      <w:pPr>
        <w:sectPr>
          <w:headerReference w:type="default" r:id="rId28"/>
          <w:footerReference w:type="default" r:id="rId29"/>
          <w:type w:val="nextPage"/>
          <w:pgSz w:w="11906" w:h="16838"/>
          <w:pgMar w:left="1985" w:right="1134" w:gutter="0" w:header="454" w:top="2268" w:footer="454" w:bottom="1418"/>
          <w:pgNumType w:fmt="decimal"/>
          <w:formProt w:val="false"/>
          <w:textDirection w:val="lrTb"/>
          <w:docGrid w:type="default" w:linePitch="272" w:charSpace="8192"/>
        </w:sectPr>
        <w:pStyle w:val="Normal"/>
        <w:spacing w:before="0" w:after="120"/>
        <w:rPr/>
      </w:pPr>
      <w:r>
        <w:rPr/>
        <w:t>Le logigramme suivant décrit le fonctionnement de l’astreinte des équipements d’exploitation.</w:t>
      </w:r>
    </w:p>
    <w:p>
      <w:pPr>
        <w:pStyle w:val="Normal"/>
        <w:rPr/>
      </w:pPr>
      <w:r>
        <w:rPr/>
        <w:drawing>
          <wp:inline distT="0" distB="0" distL="0" distR="0">
            <wp:extent cx="8712200" cy="9150985"/>
            <wp:effectExtent l="0" t="0" r="0" b="0"/>
            <wp:docPr id="23" name="Image 21" descr="M:\FR\ANT\L\L4\494 0043 - Reamenagement PCTT DIRIF\9-PRO\ReprisePROseptembre2015\Copie (1) de logigramme astrein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1" descr="M:\FR\ANT\L\L4\494 0043 - Reamenagement PCTT DIRIF\9-PRO\ReprisePROseptembre2015\Copie (1) de logigramme astreinte.png"/>
                    <pic:cNvPicPr>
                      <a:picLocks noChangeAspect="1" noChangeArrowheads="1"/>
                    </pic:cNvPicPr>
                  </pic:nvPicPr>
                  <pic:blipFill>
                    <a:blip r:embed="rId30"/>
                    <a:stretch>
                      <a:fillRect/>
                    </a:stretch>
                  </pic:blipFill>
                  <pic:spPr bwMode="auto">
                    <a:xfrm>
                      <a:off x="0" y="0"/>
                      <a:ext cx="8712200" cy="9150985"/>
                    </a:xfrm>
                    <a:prstGeom prst="rect">
                      <a:avLst/>
                    </a:prstGeom>
                  </pic:spPr>
                </pic:pic>
              </a:graphicData>
            </a:graphic>
          </wp:inline>
        </w:drawing>
      </w:r>
    </w:p>
    <w:p>
      <w:pPr>
        <w:pStyle w:val="Normal"/>
        <w:rPr/>
      </w:pPr>
      <w:r>
        <w:rPr/>
      </w:r>
    </w:p>
    <w:p>
      <w:pPr>
        <w:pStyle w:val="Normal"/>
        <w:rPr/>
      </w:pPr>
      <w:r>
        <w:rPr/>
        <w:t>*En fait plusieurs types d’astreintes sont actuellement actifs à la DIRIF. La liste ci-dessous les récapitule :</w:t>
      </w:r>
    </w:p>
    <w:p>
      <w:pPr>
        <w:pStyle w:val="ListParagraph"/>
        <w:numPr>
          <w:ilvl w:val="0"/>
          <w:numId w:val="119"/>
        </w:numPr>
        <w:rPr/>
      </w:pPr>
      <w:r>
        <w:rPr/>
        <w:t>Astreinte équipements informatique hors réseau : entreprise ACTEMIUM</w:t>
      </w:r>
    </w:p>
    <w:p>
      <w:pPr>
        <w:pStyle w:val="ListParagraph"/>
        <w:numPr>
          <w:ilvl w:val="0"/>
          <w:numId w:val="119"/>
        </w:numPr>
        <w:rPr/>
      </w:pPr>
      <w:r>
        <w:rPr/>
        <w:t>Astreinte marché réseaux hors réseau bureautique : entreprise AXIANS</w:t>
      </w:r>
    </w:p>
    <w:p>
      <w:pPr>
        <w:pStyle w:val="ListParagraph"/>
        <w:numPr>
          <w:ilvl w:val="0"/>
          <w:numId w:val="119"/>
        </w:numPr>
        <w:rPr/>
      </w:pPr>
      <w:r>
        <w:rPr/>
        <w:t>Réseau bureautique non soumis à l’astreinte géré par la DiRIF (CSR)</w:t>
      </w:r>
    </w:p>
    <w:p>
      <w:pPr>
        <w:pStyle w:val="ListParagraph"/>
        <w:numPr>
          <w:ilvl w:val="0"/>
          <w:numId w:val="119"/>
        </w:numPr>
        <w:rPr/>
      </w:pPr>
      <w:r>
        <w:rPr/>
        <w:t>Astreinte mur d’image+ périphériques associés : En cours de consultation</w:t>
      </w:r>
    </w:p>
    <w:p>
      <w:pPr>
        <w:pStyle w:val="ListParagraph"/>
        <w:numPr>
          <w:ilvl w:val="0"/>
          <w:numId w:val="119"/>
        </w:numPr>
        <w:rPr/>
      </w:pPr>
      <w:r>
        <w:rPr/>
        <w:t>Machines informatiques non virtualisées et équipements terrain : groupement MES (SATELEC/SDEL).</w:t>
      </w:r>
    </w:p>
    <w:p>
      <w:pPr>
        <w:pStyle w:val="Normal"/>
        <w:spacing w:before="0" w:after="120"/>
        <w:rPr/>
      </w:pPr>
      <w:r>
        <w:rPr/>
      </w:r>
    </w:p>
    <w:p>
      <w:pPr>
        <w:pStyle w:val="Normal"/>
        <w:spacing w:before="0" w:after="120"/>
        <w:rPr/>
      </w:pPr>
      <w:r>
        <w:rPr/>
        <w:t>En cas d’absolu nécessité la DIRIF se réserve le droit d’intervenir sans que cela ne rende caduc le délai de garantie du nouvel équipement installé.</w:t>
      </w:r>
    </w:p>
    <w:p>
      <w:pPr>
        <w:sectPr>
          <w:headerReference w:type="default" r:id="rId31"/>
          <w:footerReference w:type="default" r:id="rId32"/>
          <w:type w:val="nextPage"/>
          <w:pgSz w:w="16838" w:h="23811"/>
          <w:pgMar w:left="1985" w:right="1134" w:gutter="0" w:header="454" w:top="2268" w:footer="454" w:bottom="1418"/>
          <w:pgNumType w:fmt="decimal"/>
          <w:formProt w:val="false"/>
          <w:textDirection w:val="lrTb"/>
          <w:docGrid w:type="default" w:linePitch="272" w:charSpace="8192"/>
        </w:sectPr>
        <w:pStyle w:val="Normal"/>
        <w:spacing w:before="0" w:after="120"/>
        <w:rPr/>
      </w:pPr>
      <w:r>
        <w:rPr/>
      </w:r>
    </w:p>
    <w:p>
      <w:pPr>
        <w:pStyle w:val="Normal"/>
        <w:spacing w:before="0" w:after="120"/>
        <w:rPr/>
      </w:pPr>
      <w:r>
        <w:rPr/>
      </w:r>
    </w:p>
    <w:p>
      <w:pPr>
        <w:pStyle w:val="Titre4"/>
        <w:rPr/>
      </w:pPr>
      <w:bookmarkStart w:id="897" w:name="_Toc32334836"/>
      <w:r>
        <w:rPr/>
        <w:t>Accès au Bâtiment</w:t>
      </w:r>
      <w:bookmarkEnd w:id="897"/>
    </w:p>
    <w:p>
      <w:pPr>
        <w:pStyle w:val="Corpsdetexte"/>
        <w:spacing w:before="200" w:after="120"/>
        <w:rPr>
          <w:rStyle w:val="St"/>
          <w:rFonts w:cs="Arial"/>
          <w:color w:val="222222"/>
        </w:rPr>
      </w:pPr>
      <w:r>
        <w:rPr>
          <w:rStyle w:val="St"/>
          <w:rFonts w:cs="Arial"/>
          <w:color w:val="222222"/>
        </w:rPr>
        <w:t xml:space="preserve">En présence du plan </w:t>
      </w:r>
      <w:r>
        <w:rPr>
          <w:rStyle w:val="Accentuation"/>
          <w:color w:val="222222"/>
        </w:rPr>
        <w:t>Vigipirate</w:t>
      </w:r>
      <w:r>
        <w:rPr>
          <w:rStyle w:val="St"/>
          <w:rFonts w:cs="Arial"/>
          <w:color w:val="222222"/>
        </w:rPr>
        <w:t xml:space="preserve"> renforcé, l’Entrepreneur devra se soumettre aux contrôles systématiques de l’accès au bâtiment. La procédure peut prévoir :</w:t>
      </w:r>
    </w:p>
    <w:p>
      <w:pPr>
        <w:pStyle w:val="F1"/>
        <w:numPr>
          <w:ilvl w:val="0"/>
          <w:numId w:val="30"/>
        </w:numPr>
        <w:rPr/>
      </w:pPr>
      <w:r>
        <w:rPr/>
        <w:t>L’inspection des sacs, paquets, bagages à main, et aux palpations de sécurité ;</w:t>
      </w:r>
    </w:p>
    <w:p>
      <w:pPr>
        <w:pStyle w:val="F1"/>
        <w:numPr>
          <w:ilvl w:val="0"/>
          <w:numId w:val="30"/>
        </w:numPr>
        <w:rPr/>
      </w:pPr>
      <w:r>
        <w:rPr/>
        <w:t>Le contrôle des entrées des personnels des sociétés ou entreprises intervenant dans le bâtiment ;</w:t>
      </w:r>
    </w:p>
    <w:p>
      <w:pPr>
        <w:pStyle w:val="F1"/>
        <w:numPr>
          <w:ilvl w:val="0"/>
          <w:numId w:val="30"/>
        </w:numPr>
        <w:rPr/>
      </w:pPr>
      <w:r>
        <w:rPr/>
        <w:t>Le contrôle des livraisons et de la légitimité des véhicules à accéder dans l’emprise du PCTT (autorisation, identification) ;</w:t>
      </w:r>
    </w:p>
    <w:p>
      <w:pPr>
        <w:pStyle w:val="F1"/>
        <w:numPr>
          <w:ilvl w:val="0"/>
          <w:numId w:val="30"/>
        </w:numPr>
        <w:rPr/>
      </w:pPr>
      <w:r>
        <w:rPr/>
        <w:t>D’éviter toute accumulation d'objets (cartons, palettes, sacs) à l'intérieur ou à proximité des bâtiments.</w:t>
      </w:r>
    </w:p>
    <w:p>
      <w:pPr>
        <w:pStyle w:val="Titre3"/>
        <w:rPr/>
      </w:pPr>
      <w:bookmarkStart w:id="898" w:name="_Toc32334837"/>
      <w:r>
        <w:rPr/>
        <w:t>Période de préparation</w:t>
      </w:r>
      <w:bookmarkEnd w:id="898"/>
    </w:p>
    <w:p>
      <w:pPr>
        <w:pStyle w:val="Titre4"/>
        <w:rPr/>
      </w:pPr>
      <w:bookmarkStart w:id="899" w:name="_Toc32334838"/>
      <w:r>
        <w:rPr/>
        <w:t>Généralités</w:t>
      </w:r>
      <w:bookmarkEnd w:id="899"/>
    </w:p>
    <w:p>
      <w:pPr>
        <w:pStyle w:val="F1"/>
        <w:spacing w:before="0" w:after="0"/>
        <w:rPr/>
      </w:pPr>
      <w:r>
        <w:rPr/>
      </w:r>
    </w:p>
    <w:p>
      <w:pPr>
        <w:pStyle w:val="F1"/>
        <w:rPr/>
      </w:pPr>
      <w:r>
        <w:rPr/>
        <w:t>Il est fixé une période de préparation dont la durée est de 2 mois.</w:t>
      </w:r>
    </w:p>
    <w:p>
      <w:pPr>
        <w:pStyle w:val="F1"/>
        <w:rPr/>
      </w:pPr>
      <w:r>
        <w:rPr/>
        <w:t>Durant cette période, l’Entrepreneur établi et présente au visa du Maître d’</w:t>
      </w:r>
      <w:r>
        <w:rPr>
          <w:rFonts w:ascii="Calibri" w:hAnsi="Calibri"/>
        </w:rPr>
        <w:t>Œ</w:t>
      </w:r>
      <w:r>
        <w:rPr/>
        <w:t>uvre les documents suivants :</w:t>
      </w:r>
    </w:p>
    <w:p>
      <w:pPr>
        <w:pStyle w:val="TEXTE"/>
        <w:numPr>
          <w:ilvl w:val="0"/>
          <w:numId w:val="33"/>
        </w:numPr>
        <w:tabs>
          <w:tab w:val="clear" w:pos="8789"/>
        </w:tabs>
        <w:overflowPunct w:val="true"/>
        <w:spacing w:before="0" w:after="120"/>
        <w:textAlignment w:val="baseline"/>
        <w:rPr/>
      </w:pPr>
      <w:r>
        <w:rPr/>
        <w:t>PAQ des études d’exécution ;</w:t>
      </w:r>
    </w:p>
    <w:p>
      <w:pPr>
        <w:pStyle w:val="TEXTE"/>
        <w:numPr>
          <w:ilvl w:val="0"/>
          <w:numId w:val="33"/>
        </w:numPr>
        <w:tabs>
          <w:tab w:val="clear" w:pos="8789"/>
        </w:tabs>
        <w:overflowPunct w:val="true"/>
        <w:spacing w:before="0" w:after="120"/>
        <w:textAlignment w:val="baseline"/>
        <w:rPr/>
      </w:pPr>
      <w:r>
        <w:rPr/>
        <w:t>PAQ des travaux ;</w:t>
      </w:r>
    </w:p>
    <w:p>
      <w:pPr>
        <w:pStyle w:val="TEXTE"/>
        <w:numPr>
          <w:ilvl w:val="0"/>
          <w:numId w:val="33"/>
        </w:numPr>
        <w:tabs>
          <w:tab w:val="clear" w:pos="8789"/>
        </w:tabs>
        <w:overflowPunct w:val="true"/>
        <w:spacing w:before="0" w:after="120"/>
        <w:textAlignment w:val="baseline"/>
        <w:rPr/>
      </w:pPr>
      <w:r>
        <w:rPr/>
        <w:t>Projet des installations de chantier ;</w:t>
      </w:r>
    </w:p>
    <w:p>
      <w:pPr>
        <w:pStyle w:val="TEXTE"/>
        <w:numPr>
          <w:ilvl w:val="0"/>
          <w:numId w:val="33"/>
        </w:numPr>
        <w:tabs>
          <w:tab w:val="clear" w:pos="8789"/>
        </w:tabs>
        <w:overflowPunct w:val="true"/>
        <w:spacing w:before="0" w:after="120"/>
        <w:textAlignment w:val="baseline"/>
        <w:rPr/>
      </w:pPr>
      <w:r>
        <w:rPr/>
        <w:t>PAE ;</w:t>
      </w:r>
    </w:p>
    <w:p>
      <w:pPr>
        <w:pStyle w:val="TEXTE"/>
        <w:numPr>
          <w:ilvl w:val="0"/>
          <w:numId w:val="33"/>
        </w:numPr>
        <w:tabs>
          <w:tab w:val="clear" w:pos="8789"/>
        </w:tabs>
        <w:overflowPunct w:val="true"/>
        <w:spacing w:before="0" w:after="120"/>
        <w:textAlignment w:val="baseline"/>
        <w:rPr/>
      </w:pPr>
      <w:r>
        <w:rPr/>
        <w:t>PPSPS ;</w:t>
      </w:r>
    </w:p>
    <w:p>
      <w:pPr>
        <w:pStyle w:val="TEXTE"/>
        <w:numPr>
          <w:ilvl w:val="0"/>
          <w:numId w:val="33"/>
        </w:numPr>
        <w:tabs>
          <w:tab w:val="clear" w:pos="8789"/>
        </w:tabs>
        <w:overflowPunct w:val="true"/>
        <w:spacing w:before="0" w:after="120"/>
        <w:textAlignment w:val="baseline"/>
        <w:rPr/>
      </w:pPr>
      <w:r>
        <w:rPr/>
        <w:t>SOGED ;</w:t>
      </w:r>
    </w:p>
    <w:p>
      <w:pPr>
        <w:pStyle w:val="TEXTE"/>
        <w:numPr>
          <w:ilvl w:val="0"/>
          <w:numId w:val="33"/>
        </w:numPr>
        <w:tabs>
          <w:tab w:val="clear" w:pos="8789"/>
        </w:tabs>
        <w:overflowPunct w:val="true"/>
        <w:spacing w:before="0" w:after="120"/>
        <w:textAlignment w:val="baseline"/>
        <w:rPr/>
      </w:pPr>
      <w:r>
        <w:rPr/>
        <w:t>Programmes, méthodes et hypothèses d’études d’exécution, avec liste détaillée des plans, des notes de calculs et des études de détail nécessaires pour le début des travaux ;</w:t>
      </w:r>
    </w:p>
    <w:p>
      <w:pPr>
        <w:pStyle w:val="TEXTE"/>
        <w:numPr>
          <w:ilvl w:val="0"/>
          <w:numId w:val="33"/>
        </w:numPr>
        <w:tabs>
          <w:tab w:val="clear" w:pos="8789"/>
        </w:tabs>
        <w:overflowPunct w:val="true"/>
        <w:spacing w:before="0" w:after="120"/>
        <w:textAlignment w:val="baseline"/>
        <w:rPr/>
      </w:pPr>
      <w:r>
        <w:rPr/>
        <w:t>Déclarations d’ouverture de chantier aux services concernés (Inspection du travail, Médecine du Travail, CRAM, OPPBTP…) ;</w:t>
      </w:r>
    </w:p>
    <w:p>
      <w:pPr>
        <w:pStyle w:val="TEXTE"/>
        <w:numPr>
          <w:ilvl w:val="0"/>
          <w:numId w:val="33"/>
        </w:numPr>
        <w:tabs>
          <w:tab w:val="clear" w:pos="8789"/>
        </w:tabs>
        <w:overflowPunct w:val="true"/>
        <w:spacing w:before="0" w:after="120"/>
        <w:textAlignment w:val="baseline"/>
        <w:rPr/>
      </w:pPr>
      <w:r>
        <w:rPr/>
        <w:t>Relevés sur sites nécessaires à l’établissement des études :</w:t>
      </w:r>
    </w:p>
    <w:p>
      <w:pPr>
        <w:pStyle w:val="TEXTE"/>
        <w:numPr>
          <w:ilvl w:val="0"/>
          <w:numId w:val="33"/>
        </w:numPr>
        <w:tabs>
          <w:tab w:val="clear" w:pos="8789"/>
        </w:tabs>
        <w:overflowPunct w:val="true"/>
        <w:spacing w:before="0" w:after="120"/>
        <w:textAlignment w:val="baseline"/>
        <w:rPr/>
      </w:pPr>
      <w:r>
        <w:rPr/>
        <w:t>Les plans et les documents d’exécution ;</w:t>
      </w:r>
    </w:p>
    <w:p>
      <w:pPr>
        <w:pStyle w:val="TEXTE"/>
        <w:numPr>
          <w:ilvl w:val="0"/>
          <w:numId w:val="33"/>
        </w:numPr>
        <w:tabs>
          <w:tab w:val="clear" w:pos="8789"/>
        </w:tabs>
        <w:overflowPunct w:val="true"/>
        <w:spacing w:before="0" w:after="120"/>
        <w:textAlignment w:val="baseline"/>
        <w:rPr/>
      </w:pPr>
      <w:r>
        <w:rPr/>
        <w:t>La fourniture et la présentation des échantillons ;</w:t>
      </w:r>
    </w:p>
    <w:p>
      <w:pPr>
        <w:pStyle w:val="TEXTE"/>
        <w:numPr>
          <w:ilvl w:val="0"/>
          <w:numId w:val="33"/>
        </w:numPr>
        <w:tabs>
          <w:tab w:val="clear" w:pos="8789"/>
        </w:tabs>
        <w:overflowPunct w:val="true"/>
        <w:spacing w:before="0" w:after="120"/>
        <w:textAlignment w:val="baseline"/>
        <w:rPr/>
      </w:pPr>
      <w:r>
        <w:rPr/>
        <w:t>Le planning détaillé comprenant le phasage des travaux ;</w:t>
      </w:r>
    </w:p>
    <w:p>
      <w:pPr>
        <w:pStyle w:val="TEXTE"/>
        <w:numPr>
          <w:ilvl w:val="0"/>
          <w:numId w:val="33"/>
        </w:numPr>
        <w:tabs>
          <w:tab w:val="clear" w:pos="8789"/>
        </w:tabs>
        <w:overflowPunct w:val="true"/>
        <w:spacing w:before="0" w:after="120"/>
        <w:textAlignment w:val="baseline"/>
        <w:rPr/>
      </w:pPr>
      <w:r>
        <w:rPr/>
        <w:t>Les procédures de migration pour chacun des systèmes avec durée de chaque phase ;</w:t>
      </w:r>
    </w:p>
    <w:p>
      <w:pPr>
        <w:pStyle w:val="TEXTE"/>
        <w:numPr>
          <w:ilvl w:val="0"/>
          <w:numId w:val="33"/>
        </w:numPr>
        <w:tabs>
          <w:tab w:val="clear" w:pos="8789"/>
        </w:tabs>
        <w:overflowPunct w:val="true"/>
        <w:spacing w:before="0" w:after="120"/>
        <w:textAlignment w:val="baseline"/>
        <w:rPr/>
      </w:pPr>
      <w:r>
        <w:rPr/>
        <w:t>Le programme financier.</w:t>
      </w:r>
    </w:p>
    <w:p>
      <w:pPr>
        <w:pStyle w:val="F1"/>
        <w:rPr/>
      </w:pPr>
      <w:r>
        <w:rPr/>
        <w:t>L’absence de présentation au visa du Maître d’Œuvre d’un ou de plusieurs documents décrits ci-dessus fait obstacle à l’exécution proprement dite des travaux.</w:t>
      </w:r>
    </w:p>
    <w:p>
      <w:pPr>
        <w:pStyle w:val="Titre4"/>
        <w:rPr/>
      </w:pPr>
      <w:bookmarkStart w:id="900" w:name="_Toc32334839"/>
      <w:r>
        <w:rPr/>
        <w:t>Reconnaissance préalables des installations</w:t>
      </w:r>
      <w:bookmarkEnd w:id="900"/>
    </w:p>
    <w:p>
      <w:pPr>
        <w:pStyle w:val="TEXTE"/>
        <w:rPr/>
      </w:pPr>
      <w:r>
        <w:rPr/>
        <w:t>Avant d’entreprendre ses études, l’Entrepreneur devra effectuer la reconnaissance des lieux et des matériels existants afin de bien maîtriser l’environnement et les interfaces propres à ses travaux.</w:t>
      </w:r>
    </w:p>
    <w:p>
      <w:pPr>
        <w:pStyle w:val="TEXTE"/>
        <w:spacing w:before="200" w:after="120"/>
        <w:rPr/>
      </w:pPr>
      <w:r>
        <w:rPr/>
        <w:t>Seront vérifiés principalement les points suivants (liste indicative non exhaustive) :</w:t>
      </w:r>
    </w:p>
    <w:p>
      <w:pPr>
        <w:pStyle w:val="Puceniveau1"/>
        <w:keepNext w:val="false"/>
        <w:numPr>
          <w:ilvl w:val="0"/>
          <w:numId w:val="43"/>
        </w:numPr>
        <w:ind w:left="499" w:hanging="357"/>
        <w:rPr/>
      </w:pPr>
      <w:r>
        <w:rPr/>
        <w:t>Les volumes des locaux à équiper ;</w:t>
      </w:r>
    </w:p>
    <w:p>
      <w:pPr>
        <w:pStyle w:val="Puceniveau1"/>
        <w:keepNext w:val="false"/>
        <w:numPr>
          <w:ilvl w:val="0"/>
          <w:numId w:val="43"/>
        </w:numPr>
        <w:ind w:left="499" w:hanging="357"/>
        <w:rPr/>
      </w:pPr>
      <w:r>
        <w:rPr/>
        <w:t>Les modalités d’accès aux parties concernées par les travaux (aménagement intérieur, façade, toiture/terrasse, sous-sol, etc…) ;</w:t>
      </w:r>
    </w:p>
    <w:p>
      <w:pPr>
        <w:pStyle w:val="Puceniveau1"/>
        <w:keepNext w:val="false"/>
        <w:numPr>
          <w:ilvl w:val="0"/>
          <w:numId w:val="43"/>
        </w:numPr>
        <w:ind w:left="499" w:hanging="357"/>
        <w:rPr/>
      </w:pPr>
      <w:r>
        <w:rPr/>
        <w:t>Les modalités d’évacuation des détritus et/ou matériaux ;</w:t>
      </w:r>
    </w:p>
    <w:p>
      <w:pPr>
        <w:pStyle w:val="Puceniveau1"/>
        <w:keepNext w:val="false"/>
        <w:numPr>
          <w:ilvl w:val="0"/>
          <w:numId w:val="43"/>
        </w:numPr>
        <w:ind w:left="499" w:hanging="357"/>
        <w:rPr/>
      </w:pPr>
      <w:r>
        <w:rPr/>
        <w:t>Les modalités de stockage ;</w:t>
      </w:r>
    </w:p>
    <w:p>
      <w:pPr>
        <w:pStyle w:val="Puceniveau1"/>
        <w:keepNext w:val="false"/>
        <w:numPr>
          <w:ilvl w:val="0"/>
          <w:numId w:val="43"/>
        </w:numPr>
        <w:ind w:left="499" w:hanging="357"/>
        <w:rPr/>
      </w:pPr>
      <w:r>
        <w:rPr/>
        <w:t>La localisation et l’identification des réseaux de câbles existants ;</w:t>
      </w:r>
    </w:p>
    <w:p>
      <w:pPr>
        <w:pStyle w:val="Puceniveau1"/>
        <w:keepNext w:val="false"/>
        <w:numPr>
          <w:ilvl w:val="0"/>
          <w:numId w:val="43"/>
        </w:numPr>
        <w:ind w:left="499" w:hanging="357"/>
        <w:rPr/>
      </w:pPr>
      <w:r>
        <w:rPr/>
        <w:t>La localisation et l’identification des cheminements existants ;</w:t>
      </w:r>
    </w:p>
    <w:p>
      <w:pPr>
        <w:pStyle w:val="Puceniveau1"/>
        <w:keepNext w:val="false"/>
        <w:numPr>
          <w:ilvl w:val="0"/>
          <w:numId w:val="43"/>
        </w:numPr>
        <w:ind w:left="499" w:hanging="357"/>
        <w:rPr/>
      </w:pPr>
      <w:r>
        <w:rPr/>
        <w:t>Les disponibilités de réserves dans les chemins de câbles existants ;</w:t>
      </w:r>
    </w:p>
    <w:p>
      <w:pPr>
        <w:pStyle w:val="Puceniveau1"/>
        <w:keepNext w:val="false"/>
        <w:numPr>
          <w:ilvl w:val="0"/>
          <w:numId w:val="43"/>
        </w:numPr>
        <w:ind w:left="499" w:hanging="357"/>
        <w:rPr/>
      </w:pPr>
      <w:r>
        <w:rPr/>
        <w:t>Le recensement et la localisation des canalisations, équipements, entretoise, poutre, etc… dans les parties non visibles (faux-plafond, faux-plancher, ….).</w:t>
      </w:r>
    </w:p>
    <w:p>
      <w:pPr>
        <w:pStyle w:val="TEXTE"/>
        <w:rPr/>
      </w:pPr>
      <w:r>
        <w:rPr/>
        <w:t xml:space="preserve">Ces dispositions sont complémentaires aux visites préalables obligatoires que l’Entrepreneur aura réalisées dans le cadre de l’établissement de son offre. </w:t>
      </w:r>
    </w:p>
    <w:p>
      <w:pPr>
        <w:pStyle w:val="Titre4"/>
        <w:rPr/>
      </w:pPr>
      <w:bookmarkStart w:id="901" w:name="_Toc32334840"/>
      <w:r>
        <w:rPr/>
        <w:t>Echantillon</w:t>
      </w:r>
      <w:bookmarkEnd w:id="901"/>
    </w:p>
    <w:p>
      <w:pPr>
        <w:pStyle w:val="TEXTE"/>
        <w:rPr>
          <w:rFonts w:ascii="ArialMT" w:hAnsi="ArialMT" w:cs="ArialMT"/>
        </w:rPr>
      </w:pPr>
      <w:r>
        <w:rPr/>
        <w:t xml:space="preserve">Pour chacun des types de matériaux, l'Entrepreneur présentera, en début de chantier, pendant la période de préparation, les échantillons et prototypes montés sur place et équipés de tous leurs </w:t>
      </w:r>
      <w:r>
        <w:rPr>
          <w:rFonts w:cs="ArialMT" w:ascii="ArialMT" w:hAnsi="ArialMT"/>
        </w:rPr>
        <w:t>accessoires éventuels.</w:t>
      </w:r>
    </w:p>
    <w:p>
      <w:pPr>
        <w:pStyle w:val="TEXTE"/>
        <w:rPr/>
      </w:pPr>
      <w:r>
        <w:rPr/>
        <w:t>L’approvisionnement des matériels et matériaux ne sera lancé qu'après accord du Maître d'œuvre sur les échantillons présentés ; ceci après d’éventuelles modifications ou adaptations, selon les directives du Maître d'œuvre et/ou du Maître d’ouvrage.</w:t>
      </w:r>
    </w:p>
    <w:p>
      <w:pPr>
        <w:pStyle w:val="TEXTE"/>
        <w:rPr/>
      </w:pPr>
      <w:r>
        <w:rPr/>
        <w:t>L'ensemble des prestations et obligations mentionnées ci-dessus devra être inclus dans l'offre de l'Entrepreneur qui ne saurait prétendre à aucune plus-value sur son marché, à ce titre.</w:t>
      </w:r>
    </w:p>
    <w:p>
      <w:pPr>
        <w:pStyle w:val="Titre3"/>
        <w:rPr/>
      </w:pPr>
      <w:bookmarkStart w:id="902" w:name="_Toc32334841"/>
      <w:bookmarkStart w:id="903" w:name="_Toc419980354"/>
      <w:r>
        <w:rPr/>
        <w:t>Conduite des travaux</w:t>
      </w:r>
      <w:bookmarkEnd w:id="902"/>
      <w:bookmarkEnd w:id="903"/>
    </w:p>
    <w:p>
      <w:pPr>
        <w:pStyle w:val="Corpsdetexte"/>
        <w:rPr/>
      </w:pPr>
      <w:r>
        <w:rPr/>
        <w:t>L’Entrepreneur devra mettre en œuvre des moyens matériels et en personnels suffisants pour assurer un avancement des travaux compatible avec les délais fixés.</w:t>
      </w:r>
    </w:p>
    <w:p>
      <w:pPr>
        <w:pStyle w:val="F1"/>
        <w:rPr/>
      </w:pPr>
      <w:r>
        <w:rPr/>
        <w:t>L’Entrepreneur devra surveiller personnellement les travaux de façon suivie et devra maintenir en permanence sur le chantier un Directeur de Chantier qui devra être soumis à l’agrément du Maître d’Œuvre.</w:t>
      </w:r>
    </w:p>
    <w:p>
      <w:pPr>
        <w:pStyle w:val="F1"/>
        <w:rPr/>
      </w:pPr>
      <w:r>
        <w:rPr/>
        <w:t>Le Directeur de Chantier sera habilité à recevoir tous les Ordres de Services ou toutes instructions, accepter les constats, et d’une manière générale, assurer les relations avec le Maître d’Œuvre comme s’il s’agissait de l’Entrepreneur lui-même.</w:t>
      </w:r>
    </w:p>
    <w:p>
      <w:pPr>
        <w:pStyle w:val="Corpsdetexte"/>
        <w:rPr/>
      </w:pPr>
      <w:r>
        <w:rPr/>
        <w:t>La coordination des travaux entre les différents corps d’état sera assurée par le Mandataire. A cet effet, il assurera toutes les interfaces techniques ou/et administratives avec et entre les différents intervenants, et veillera en particulier au respect des engagements de toutes les entreprises sur les PAQ, PAE, et PPSPS.</w:t>
      </w:r>
    </w:p>
    <w:p>
      <w:pPr>
        <w:pStyle w:val="Titre3"/>
        <w:rPr/>
      </w:pPr>
      <w:bookmarkStart w:id="904" w:name="_Toc32334842"/>
      <w:bookmarkStart w:id="905" w:name="_Toc419980355"/>
      <w:bookmarkStart w:id="906" w:name="_Toc409021071"/>
      <w:r>
        <w:rPr/>
        <w:t>Établissement et suivi du calendrier d’exécution des travaux</w:t>
      </w:r>
      <w:bookmarkEnd w:id="904"/>
      <w:bookmarkEnd w:id="905"/>
      <w:bookmarkEnd w:id="906"/>
    </w:p>
    <w:p>
      <w:pPr>
        <w:pStyle w:val="F1"/>
        <w:rPr/>
      </w:pPr>
      <w:r>
        <w:rPr/>
      </w:r>
    </w:p>
    <w:p>
      <w:pPr>
        <w:pStyle w:val="F1"/>
        <w:rPr/>
      </w:pPr>
      <w:r>
        <w:rPr/>
        <w:t>Ce calendrier est décomposé par phases principales, présenté sous forme de planning « à barres » et mettant en évidence :</w:t>
      </w:r>
    </w:p>
    <w:p>
      <w:pPr>
        <w:pStyle w:val="F1"/>
        <w:numPr>
          <w:ilvl w:val="0"/>
          <w:numId w:val="30"/>
        </w:numPr>
        <w:rPr/>
      </w:pPr>
      <w:r>
        <w:rPr/>
        <w:t>Le délai global, les délais partiels éventuels et les Ordres de Service de démarrage des travaux correspondants ;</w:t>
      </w:r>
    </w:p>
    <w:p>
      <w:pPr>
        <w:pStyle w:val="F1"/>
        <w:numPr>
          <w:ilvl w:val="0"/>
          <w:numId w:val="30"/>
        </w:numPr>
        <w:rPr/>
      </w:pPr>
      <w:r>
        <w:rPr/>
        <w:t>Les tâches de chaque corps d’état à accomplir pour exécuter les travaux avec notamment les précisions suivantes :</w:t>
      </w:r>
    </w:p>
    <w:p>
      <w:pPr>
        <w:pStyle w:val="F1"/>
        <w:numPr>
          <w:ilvl w:val="0"/>
          <w:numId w:val="31"/>
        </w:numPr>
        <w:rPr/>
      </w:pPr>
      <w:r>
        <w:rPr/>
        <w:t>Les enchaînements entre tâches ;</w:t>
      </w:r>
    </w:p>
    <w:p>
      <w:pPr>
        <w:pStyle w:val="F1"/>
        <w:numPr>
          <w:ilvl w:val="0"/>
          <w:numId w:val="31"/>
        </w:numPr>
        <w:rPr/>
      </w:pPr>
      <w:r>
        <w:rPr/>
        <w:t>Les liaisons entre tâches ;</w:t>
      </w:r>
    </w:p>
    <w:p>
      <w:pPr>
        <w:pStyle w:val="F1"/>
        <w:numPr>
          <w:ilvl w:val="0"/>
          <w:numId w:val="31"/>
        </w:numPr>
        <w:rPr/>
      </w:pPr>
      <w:r>
        <w:rPr/>
        <w:t>La durée minimale prévisible pour chacune des tâches ;</w:t>
      </w:r>
    </w:p>
    <w:p>
      <w:pPr>
        <w:pStyle w:val="F1"/>
        <w:numPr>
          <w:ilvl w:val="0"/>
          <w:numId w:val="31"/>
        </w:numPr>
        <w:rPr/>
      </w:pPr>
      <w:r>
        <w:rPr/>
        <w:t>La date prévue pour leur achèvement ;</w:t>
      </w:r>
    </w:p>
    <w:p>
      <w:pPr>
        <w:pStyle w:val="F1"/>
        <w:numPr>
          <w:ilvl w:val="0"/>
          <w:numId w:val="31"/>
        </w:numPr>
        <w:rPr/>
      </w:pPr>
      <w:r>
        <w:rPr/>
        <w:t>La marge de temps disponible pour leur exécution ;</w:t>
      </w:r>
    </w:p>
    <w:p>
      <w:pPr>
        <w:pStyle w:val="F1"/>
        <w:numPr>
          <w:ilvl w:val="0"/>
          <w:numId w:val="31"/>
        </w:numPr>
        <w:rPr/>
      </w:pPr>
      <w:r>
        <w:rPr/>
        <w:t>Les interfaces entre les différents corps d’état et les contraintes de phasage ;</w:t>
      </w:r>
    </w:p>
    <w:p>
      <w:pPr>
        <w:pStyle w:val="F1"/>
        <w:numPr>
          <w:ilvl w:val="0"/>
          <w:numId w:val="31"/>
        </w:numPr>
        <w:rPr/>
      </w:pPr>
      <w:r>
        <w:rPr/>
        <w:t>Les dates limites de délivrance de la mention « bon pour exécution » des plans d’exécution, telles qu’elles figurent sur le calendrier prévisionnel de production des documents d’exécution ;</w:t>
      </w:r>
    </w:p>
    <w:p>
      <w:pPr>
        <w:pStyle w:val="F1"/>
        <w:numPr>
          <w:ilvl w:val="0"/>
          <w:numId w:val="31"/>
        </w:numPr>
        <w:rPr/>
      </w:pPr>
      <w:r>
        <w:rPr/>
        <w:t>Le phasage des travaux provisoires et définitifs avec identification des périodes sensibles de transferts des équipements et systèmes.</w:t>
      </w:r>
    </w:p>
    <w:p>
      <w:pPr>
        <w:pStyle w:val="F1"/>
        <w:numPr>
          <w:ilvl w:val="0"/>
          <w:numId w:val="32"/>
        </w:numPr>
        <w:rPr/>
      </w:pPr>
      <w:r>
        <w:rPr/>
        <w:t>Le chemin critique ;</w:t>
      </w:r>
    </w:p>
    <w:p>
      <w:pPr>
        <w:pStyle w:val="F1"/>
        <w:rPr/>
      </w:pPr>
      <w:r>
        <w:rPr/>
        <w:t xml:space="preserve">Le calendrier prévisionnel d’exécution de l’ensemble des travaux devra notamment tenir compte des délais d’établissement et de vérification des documents d’exécution, de l’agrément et de la fourniture des matériaux, et de la disponibilité des matériels. </w:t>
      </w:r>
    </w:p>
    <w:p>
      <w:pPr>
        <w:pStyle w:val="F1"/>
        <w:rPr/>
      </w:pPr>
      <w:r>
        <w:rPr/>
        <w:t>Il sera réexaminé et mis à jour toutes les semaines par l’Entrepreneur, de façon notamment à résorber tous les éventuels retards constatés, et sera transmis au Maître d’</w:t>
      </w:r>
      <w:r>
        <w:rPr>
          <w:rFonts w:ascii="Calibri" w:hAnsi="Calibri"/>
        </w:rPr>
        <w:t>Œ</w:t>
      </w:r>
      <w:r>
        <w:rPr/>
        <w:t>uvre sur simple demande de ce dernier.</w:t>
      </w:r>
    </w:p>
    <w:p>
      <w:pPr>
        <w:pStyle w:val="F1"/>
        <w:rPr/>
      </w:pPr>
      <w:r>
        <w:rPr/>
        <w:t xml:space="preserve">En cas d’observation du Maître d’Œuvre, ce calendrier devra être rectifié et retourné sous 5 jours par l’Entrepreneur. </w:t>
      </w:r>
    </w:p>
    <w:p>
      <w:pPr>
        <w:pStyle w:val="Titre3"/>
        <w:rPr/>
      </w:pPr>
      <w:bookmarkStart w:id="907" w:name="_Toc32334843"/>
      <w:bookmarkStart w:id="908" w:name="_Toc419980356"/>
      <w:r>
        <w:rPr/>
        <w:t>Suivi de l’exécution des travaux</w:t>
      </w:r>
      <w:bookmarkEnd w:id="907"/>
      <w:bookmarkEnd w:id="908"/>
    </w:p>
    <w:p>
      <w:pPr>
        <w:pStyle w:val="F1"/>
        <w:spacing w:before="0" w:after="0"/>
        <w:rPr/>
      </w:pPr>
      <w:r>
        <w:rPr/>
      </w:r>
    </w:p>
    <w:p>
      <w:pPr>
        <w:pStyle w:val="F1"/>
        <w:rPr/>
      </w:pPr>
      <w:r>
        <w:rPr/>
        <w:t>L’Entrepreneur établira et tiendra à jour un graphique constatant l’avancement effectif des travaux. Le graphique aura une forme analogue au programme général prévisionnel.</w:t>
      </w:r>
    </w:p>
    <w:p>
      <w:pPr>
        <w:pStyle w:val="F1"/>
        <w:rPr/>
      </w:pPr>
      <w:r>
        <w:rPr/>
        <w:t>Des tirages, en 3 exemplaires, de ce graphique seront transmis au Maitre d’</w:t>
      </w:r>
      <w:r>
        <w:rPr>
          <w:rFonts w:ascii="Calibri" w:hAnsi="Calibri"/>
        </w:rPr>
        <w:t>Œ</w:t>
      </w:r>
      <w:r>
        <w:rPr/>
        <w:t>uvre la veille de la réunion de chantier et au minimum tous les mois en vue de l’examen détaillé et la mise au point du programme général d’exécution.</w:t>
      </w:r>
    </w:p>
    <w:p>
      <w:pPr>
        <w:pStyle w:val="Titre2"/>
        <w:tabs>
          <w:tab w:val="clear" w:pos="0"/>
          <w:tab w:val="clear" w:pos="8789"/>
          <w:tab w:val="left" w:pos="426" w:leader="none"/>
        </w:tabs>
        <w:ind w:left="0" w:hanging="0"/>
        <w:rPr/>
      </w:pPr>
      <w:bookmarkStart w:id="909" w:name="_Toc32334844"/>
      <w:bookmarkStart w:id="910" w:name="_Toc408408663"/>
      <w:r>
        <w:rPr/>
        <w:t>Conditions d’exécution</w:t>
      </w:r>
      <w:bookmarkEnd w:id="910"/>
      <w:r>
        <w:rPr/>
        <w:t xml:space="preserve"> Projetées</w:t>
      </w:r>
      <w:bookmarkEnd w:id="909"/>
    </w:p>
    <w:p>
      <w:pPr>
        <w:pStyle w:val="Titre3"/>
        <w:rPr/>
      </w:pPr>
      <w:bookmarkStart w:id="911" w:name="_Toc32334845"/>
      <w:bookmarkStart w:id="912" w:name="_Toc408408664"/>
      <w:bookmarkStart w:id="913" w:name="_Toc377390013"/>
      <w:bookmarkStart w:id="914" w:name="_Toc363054271"/>
      <w:r>
        <w:rPr/>
        <w:t>Généralités</w:t>
      </w:r>
      <w:bookmarkEnd w:id="911"/>
      <w:bookmarkEnd w:id="912"/>
      <w:bookmarkEnd w:id="913"/>
      <w:bookmarkEnd w:id="914"/>
    </w:p>
    <w:p>
      <w:pPr>
        <w:pStyle w:val="TEXTE"/>
        <w:rPr/>
      </w:pPr>
      <w:bookmarkStart w:id="915" w:name="_Toc408408665"/>
      <w:bookmarkStart w:id="916" w:name="_Toc377390014"/>
      <w:bookmarkStart w:id="917" w:name="_Toc363054272"/>
      <w:r>
        <w:rPr/>
        <w:t>L’entreprise devra tenir compte des conditions d’environnement particulières d’exécution des travaux que représentent le PCTT en activité permanente, occupé 7/7 jour et 24/24 heures par le personnel de la DRIEA IF et du Ministère de l’Intérieur.</w:t>
      </w:r>
    </w:p>
    <w:p>
      <w:pPr>
        <w:pStyle w:val="TEXTE"/>
        <w:spacing w:before="200" w:after="120"/>
        <w:rPr/>
      </w:pPr>
      <w:r>
        <w:rPr/>
        <w:t>Il devra admettre les contraintes liées :</w:t>
      </w:r>
    </w:p>
    <w:p>
      <w:pPr>
        <w:pStyle w:val="Corpsdetexte"/>
        <w:numPr>
          <w:ilvl w:val="0"/>
          <w:numId w:val="22"/>
        </w:numPr>
        <w:spacing w:before="0" w:after="120"/>
        <w:ind w:left="714" w:hanging="357"/>
        <w:rPr/>
      </w:pPr>
      <w:r>
        <w:rPr/>
        <w:t>Aux heures et jours possibles d’intervention dans les ouvrages,</w:t>
      </w:r>
    </w:p>
    <w:p>
      <w:pPr>
        <w:pStyle w:val="Corpsdetexte"/>
        <w:numPr>
          <w:ilvl w:val="0"/>
          <w:numId w:val="22"/>
        </w:numPr>
        <w:spacing w:before="0" w:after="120"/>
        <w:ind w:left="714" w:hanging="357"/>
        <w:rPr/>
      </w:pPr>
      <w:r>
        <w:rPr/>
        <w:t>Aux possibilités de travaux de nuits, jours fériés et jours de congé de fin de semaine (samedis et dimanches) ;</w:t>
      </w:r>
    </w:p>
    <w:p>
      <w:pPr>
        <w:pStyle w:val="Corpsdetexte"/>
        <w:numPr>
          <w:ilvl w:val="0"/>
          <w:numId w:val="22"/>
        </w:numPr>
        <w:spacing w:before="0" w:after="120"/>
        <w:ind w:left="714" w:hanging="357"/>
        <w:rPr/>
      </w:pPr>
      <w:r>
        <w:rPr/>
        <w:t>Aux conditions et aux possibilités d’amenée à pieds d’œuvre et de stockage des matériels et outillages,</w:t>
      </w:r>
    </w:p>
    <w:p>
      <w:pPr>
        <w:pStyle w:val="Corpsdetexte"/>
        <w:numPr>
          <w:ilvl w:val="0"/>
          <w:numId w:val="22"/>
        </w:numPr>
        <w:spacing w:before="0" w:after="120"/>
        <w:ind w:left="714" w:hanging="357"/>
        <w:rPr/>
      </w:pPr>
      <w:r>
        <w:rPr/>
        <w:t>À la présence permanente de personnel travaillant sur le même site.</w:t>
      </w:r>
    </w:p>
    <w:p>
      <w:pPr>
        <w:pStyle w:val="TEXTE"/>
        <w:rPr/>
      </w:pPr>
      <w:r>
        <w:rPr/>
        <w:t>L’Entrepreneur devra également tenir compte des conséquences du phasage, de l’échelonnement et du fractionnement des travaux, des nécessaires vérifications de fonctionnement, pour organiser ses interventions en conséquence.</w:t>
      </w:r>
    </w:p>
    <w:p>
      <w:pPr>
        <w:pStyle w:val="TEXTE"/>
        <w:rPr/>
      </w:pPr>
      <w:r>
        <w:rPr/>
        <w:t>Les travaux seront exécutés conformément aux conditions techniques, normes et règlements ainsi qu'aux lois, décrets, arrêtés, circulaires ministérielles en vigueur à la date de signature du marché travaux.</w:t>
      </w:r>
    </w:p>
    <w:p>
      <w:pPr>
        <w:pStyle w:val="TEXTE"/>
        <w:rPr/>
      </w:pPr>
      <w:r>
        <w:rPr/>
        <w:t>L'Entrepreneur devra maintenir en tout temps le chantier, y compris les aires de stockage, libres d'accumulation de détritus ou matériaux détériorés ou rebutés. Les matériels, installations et matériaux non indispensables à la poursuite des travaux devront être évacués du chantier.</w:t>
      </w:r>
    </w:p>
    <w:p>
      <w:pPr>
        <w:pStyle w:val="TEXTE"/>
        <w:rPr/>
      </w:pPr>
      <w:r>
        <w:rPr/>
        <w:t>Il devra procéder à la remise en état de toutes les constructions, objets, lieux, qui auraient souffert du fait de ses travaux, tant lors de la réalisation des ouvrages que lors des interventions de maintenance.</w:t>
      </w:r>
    </w:p>
    <w:p>
      <w:pPr>
        <w:pStyle w:val="TEXTE"/>
        <w:rPr/>
      </w:pPr>
      <w:r>
        <w:rPr/>
        <w:t>Les dépenses qui devront être faites par l'administration au lieu et place de l'entrepreneur défaillant seront déduites du montant des sommes lui restant dues.</w:t>
      </w:r>
    </w:p>
    <w:p>
      <w:pPr>
        <w:pStyle w:val="TEXTE"/>
        <w:rPr/>
      </w:pPr>
      <w:r>
        <w:rPr/>
        <w:t>Les prix des prestations de l’entreprise sont réputés prévoir toutes les contraintes d’exécution ; aucune indemnité, aucun report de délai ne pourra donc être envisagé.</w:t>
      </w:r>
    </w:p>
    <w:p>
      <w:pPr>
        <w:pStyle w:val="TEXTE"/>
        <w:rPr/>
      </w:pPr>
      <w:r>
        <w:rPr/>
        <w:t>Aucun des travaux ne pourra débuter tant que le Maître d’</w:t>
      </w:r>
      <w:r>
        <w:rPr>
          <w:rFonts w:ascii="Calibri" w:hAnsi="Calibri"/>
        </w:rPr>
        <w:t>Œ</w:t>
      </w:r>
      <w:r>
        <w:rPr/>
        <w:t>uvre ou son représentant n’auront pas visé les études d’exécution effectuées par l'Entrepreneur avec un avis favorable et que l'entrepreneur n'aura pas diffusé les plans Bon Pour Exécution.</w:t>
      </w:r>
    </w:p>
    <w:p>
      <w:pPr>
        <w:pStyle w:val="Titre3"/>
        <w:rPr/>
      </w:pPr>
      <w:bookmarkStart w:id="918" w:name="_Toc408408665"/>
      <w:bookmarkStart w:id="919" w:name="_Toc377390014"/>
      <w:bookmarkStart w:id="920" w:name="_Toc363054272"/>
      <w:bookmarkStart w:id="921" w:name="_Toc32334846"/>
      <w:r>
        <w:rPr/>
        <w:t>Installations de chantier</w:t>
      </w:r>
      <w:bookmarkEnd w:id="918"/>
      <w:bookmarkEnd w:id="919"/>
      <w:bookmarkEnd w:id="920"/>
      <w:bookmarkEnd w:id="921"/>
    </w:p>
    <w:p>
      <w:pPr>
        <w:pStyle w:val="Corpsdetexte"/>
        <w:rPr/>
      </w:pPr>
      <w:r>
        <w:rPr/>
        <w:t>Les installations seront décrites dans la phase DCE, conformément aux dispositions prévues par le Coordonnateur dans le PGCSPS.</w:t>
      </w:r>
    </w:p>
    <w:p>
      <w:pPr>
        <w:pStyle w:val="Titre3"/>
        <w:rPr/>
      </w:pPr>
      <w:bookmarkStart w:id="922" w:name="_Toc32334847"/>
      <w:bookmarkStart w:id="923" w:name="_Toc408408666"/>
      <w:bookmarkStart w:id="924" w:name="_Toc377390015"/>
      <w:bookmarkStart w:id="925" w:name="_Toc363054273"/>
      <w:bookmarkStart w:id="926" w:name="_Toc344889580"/>
      <w:r>
        <w:rPr/>
        <w:t>Etat des lieux</w:t>
      </w:r>
      <w:bookmarkEnd w:id="922"/>
      <w:bookmarkEnd w:id="923"/>
      <w:bookmarkEnd w:id="924"/>
      <w:bookmarkEnd w:id="925"/>
      <w:bookmarkEnd w:id="926"/>
    </w:p>
    <w:p>
      <w:pPr>
        <w:pStyle w:val="Normal"/>
        <w:widowControl w:val="false"/>
        <w:rPr>
          <w:highlight w:val="yellow"/>
        </w:rPr>
      </w:pPr>
      <w:r>
        <w:rPr>
          <w:highlight w:val="yellow"/>
        </w:rPr>
      </w:r>
      <w:bookmarkStart w:id="927" w:name="_Toc3362497"/>
      <w:bookmarkStart w:id="928" w:name="_Toc3362497"/>
    </w:p>
    <w:p>
      <w:pPr>
        <w:pStyle w:val="Normal"/>
        <w:rPr/>
      </w:pPr>
      <w:r>
        <w:rPr>
          <w:rFonts w:cs="Arial"/>
        </w:rPr>
        <w:t>Préalablement aux travaux, il sera établi un constat contradictoire des lieux en présence du Maître d’</w:t>
      </w:r>
      <w:r>
        <w:rPr>
          <w:rFonts w:cs="Arial" w:ascii="Calibri" w:hAnsi="Calibri"/>
        </w:rPr>
        <w:t>Œ</w:t>
      </w:r>
      <w:r>
        <w:rPr>
          <w:rFonts w:cs="Arial"/>
        </w:rPr>
        <w:t>uvre, d’un représentant désigné par le Maître d’Ouvrage et de l’Entrepreneur. En l’absence de ce constat, les lieux seront réputés comme étant en bon état d’entretien et aucune réclamation ne sera admise par la suite.</w:t>
      </w:r>
    </w:p>
    <w:p>
      <w:pPr>
        <w:pStyle w:val="Normal"/>
        <w:rPr/>
      </w:pPr>
      <w:r>
        <w:rPr/>
      </w:r>
    </w:p>
    <w:p>
      <w:pPr>
        <w:pStyle w:val="Normal"/>
        <w:rPr/>
      </w:pPr>
      <w:r>
        <w:rPr/>
        <w:t>Au terme des travaux, un état des lieux sera réalisé dans les mêmes conditions que celui dressé contradictoirement avant les travaux.</w:t>
      </w:r>
    </w:p>
    <w:p>
      <w:pPr>
        <w:pStyle w:val="Normal"/>
        <w:rPr/>
      </w:pPr>
      <w:r>
        <w:rPr/>
      </w:r>
    </w:p>
    <w:p>
      <w:pPr>
        <w:pStyle w:val="Normal"/>
        <w:rPr/>
      </w:pPr>
      <w:r>
        <w:rPr/>
        <w:t>L’Entrepreneur peut, sous sa responsabilité et à ses frais, faire établir un constat d’état des lieux par huissier ou expert judiciaire.</w:t>
      </w:r>
    </w:p>
    <w:p>
      <w:pPr>
        <w:pStyle w:val="Normal"/>
        <w:rPr/>
      </w:pPr>
      <w:r>
        <w:rPr/>
      </w:r>
    </w:p>
    <w:p>
      <w:pPr>
        <w:pStyle w:val="Normal"/>
        <w:rPr>
          <w:highlight w:val="yellow"/>
        </w:rPr>
      </w:pPr>
      <w:r>
        <w:rPr/>
        <w:t>Il est précisé que l’état des lieux ne se limite pas au périmètre géographique des travaux, il concerne également les abords du bâtiment, les accès, les couloirs, la zone réservée aux installations de chantier de l’Entrepreneur.</w:t>
      </w:r>
      <w:bookmarkStart w:id="929" w:name="_Toc408408667"/>
      <w:bookmarkStart w:id="930" w:name="_Toc377390016"/>
      <w:bookmarkStart w:id="931" w:name="_Toc363054274"/>
      <w:bookmarkStart w:id="932" w:name="_Toc344889581"/>
    </w:p>
    <w:p>
      <w:pPr>
        <w:pStyle w:val="Titre3"/>
        <w:rPr/>
      </w:pPr>
      <w:bookmarkStart w:id="933" w:name="_Toc32334848"/>
      <w:r>
        <w:rPr/>
        <w:t>Nettoyage des lieux</w:t>
      </w:r>
      <w:bookmarkEnd w:id="933"/>
      <w:r>
        <w:rPr/>
        <w:t xml:space="preserve"> </w:t>
      </w:r>
    </w:p>
    <w:p>
      <w:pPr>
        <w:pStyle w:val="TEXTE"/>
        <w:rPr/>
      </w:pPr>
      <w:r>
        <w:rPr/>
        <w:t>Le chantier devra être constamment tenu en état de propreté. L’Entreprise attributaire devra quotidiennement et à ses frais, le nettoyage de ses gravats et déchets qui seront triés suivant leur nature (classe 1, 2 ou 3), conformément à la loi du 13 juillet 1992.</w:t>
      </w:r>
    </w:p>
    <w:p>
      <w:pPr>
        <w:pStyle w:val="TEXTE"/>
        <w:rPr/>
      </w:pPr>
      <w:r>
        <w:rPr/>
        <w:t>Ces gravats seront enlevés par ses soins et transportés aux décharges publiques qu’elle aura choisies. Si la consigne de nettoyage n’est pas suivi d’effet, le Maître d’Ouvrage fera réaliser les travaux par une tierce entreprise aux frais du défaillant.</w:t>
      </w:r>
    </w:p>
    <w:p>
      <w:pPr>
        <w:pStyle w:val="TEXTE"/>
        <w:rPr/>
      </w:pPr>
      <w:r>
        <w:rPr/>
        <w:t xml:space="preserve">Si des matériaux sont répandus accidentellement, l'Entrepreneur sera tenu de procéder immédiatement et obligatoirement, sous la direction du Maître d'Œuvre, au nettoyage des lieux. </w:t>
      </w:r>
    </w:p>
    <w:p>
      <w:pPr>
        <w:pStyle w:val="Titre3"/>
        <w:rPr/>
      </w:pPr>
      <w:bookmarkStart w:id="934" w:name="_Toc3362497"/>
      <w:bookmarkStart w:id="935" w:name="_Toc32334849"/>
      <w:r>
        <w:rPr/>
        <w:t>Responsabilité de l’Entrepreneur</w:t>
      </w:r>
      <w:bookmarkEnd w:id="934"/>
      <w:bookmarkEnd w:id="929"/>
      <w:bookmarkEnd w:id="930"/>
      <w:bookmarkEnd w:id="931"/>
      <w:bookmarkEnd w:id="932"/>
      <w:bookmarkEnd w:id="935"/>
    </w:p>
    <w:p>
      <w:pPr>
        <w:pStyle w:val="Normal"/>
        <w:widowControl w:val="false"/>
        <w:rPr>
          <w:highlight w:val="yellow"/>
        </w:rPr>
      </w:pPr>
      <w:r>
        <w:rPr>
          <w:highlight w:val="yellow"/>
        </w:rPr>
      </w:r>
    </w:p>
    <w:p>
      <w:pPr>
        <w:pStyle w:val="Normal"/>
        <w:widowControl w:val="false"/>
        <w:rPr/>
      </w:pPr>
      <w:r>
        <w:rPr/>
        <w:t>L’Entrepreneur est responsable de la fourniture des matériaux et de leur mise en œuvre, il conserve le droit de refuser l’emploi de matériaux ou composants préconisés par le Maître d’</w:t>
      </w:r>
      <w:r>
        <w:rPr>
          <w:rFonts w:cs="Arial"/>
        </w:rPr>
        <w:t>Œ</w:t>
      </w:r>
      <w:r>
        <w:rPr/>
        <w:t>uvre, s’il juge ne pas pouvoir en prendre la responsabilité.</w:t>
      </w:r>
    </w:p>
    <w:p>
      <w:pPr>
        <w:pStyle w:val="Normal"/>
        <w:widowControl w:val="false"/>
        <w:rPr/>
      </w:pPr>
      <w:r>
        <w:rPr/>
      </w:r>
    </w:p>
    <w:p>
      <w:pPr>
        <w:pStyle w:val="Normal"/>
        <w:rPr/>
      </w:pPr>
      <w:r>
        <w:rPr/>
        <w:t>Il devra alors justifier son refus par écrit avec toutes justifications à l’appui.</w:t>
      </w:r>
    </w:p>
    <w:p>
      <w:pPr>
        <w:pStyle w:val="Titre3"/>
        <w:rPr/>
      </w:pPr>
      <w:bookmarkStart w:id="936" w:name="_Toc32334850"/>
      <w:bookmarkStart w:id="937" w:name="_Toc408408684"/>
      <w:bookmarkStart w:id="938" w:name="_Toc379273686"/>
      <w:bookmarkStart w:id="939" w:name="_Toc215656904"/>
      <w:r>
        <w:rPr/>
        <w:t>Hygiène et sécurité</w:t>
      </w:r>
      <w:bookmarkEnd w:id="936"/>
      <w:bookmarkEnd w:id="937"/>
      <w:bookmarkEnd w:id="938"/>
      <w:bookmarkEnd w:id="939"/>
    </w:p>
    <w:p>
      <w:pPr>
        <w:pStyle w:val="F1"/>
        <w:spacing w:before="0" w:after="0"/>
        <w:rPr/>
      </w:pPr>
      <w:r>
        <w:rPr/>
      </w:r>
    </w:p>
    <w:p>
      <w:pPr>
        <w:pStyle w:val="F1"/>
        <w:rPr/>
      </w:pPr>
      <w:r>
        <w:rPr/>
        <w:t>L’Entrepreneur prendra en compte dans son planning toutes les dispositions prévues pour assurer l’hygiène et la sécurité.</w:t>
      </w:r>
    </w:p>
    <w:p>
      <w:pPr>
        <w:pStyle w:val="Titre3"/>
        <w:rPr/>
      </w:pPr>
      <w:bookmarkStart w:id="940" w:name="_Toc32334851"/>
      <w:bookmarkStart w:id="941" w:name="_Toc408408685"/>
      <w:bookmarkStart w:id="942" w:name="_Toc379273687"/>
      <w:bookmarkStart w:id="943" w:name="_Toc215656905"/>
      <w:r>
        <w:rPr/>
        <w:t>Journal de chantier</w:t>
      </w:r>
      <w:bookmarkEnd w:id="940"/>
      <w:bookmarkEnd w:id="941"/>
      <w:bookmarkEnd w:id="942"/>
      <w:bookmarkEnd w:id="943"/>
    </w:p>
    <w:p>
      <w:pPr>
        <w:pStyle w:val="F1"/>
        <w:spacing w:before="0" w:after="0"/>
        <w:rPr/>
      </w:pPr>
      <w:r>
        <w:rPr/>
      </w:r>
    </w:p>
    <w:p>
      <w:pPr>
        <w:pStyle w:val="F1"/>
        <w:rPr/>
      </w:pPr>
      <w:r>
        <w:rPr/>
        <w:t>Un journal de chantier sera établi quotidiennement sur le chantier par l’Entrepreneur et soumis au Maître d’</w:t>
      </w:r>
      <w:r>
        <w:rPr>
          <w:rFonts w:ascii="Calibri" w:hAnsi="Calibri"/>
        </w:rPr>
        <w:t>Œ</w:t>
      </w:r>
      <w:r>
        <w:rPr/>
        <w:t>uvre.</w:t>
      </w:r>
    </w:p>
    <w:p>
      <w:pPr>
        <w:pStyle w:val="F1"/>
        <w:rPr/>
      </w:pPr>
      <w:r>
        <w:rPr/>
        <w:t>Sur ce journal, seront consignés, chaque jour :</w:t>
      </w:r>
    </w:p>
    <w:p>
      <w:pPr>
        <w:pStyle w:val="F1"/>
        <w:numPr>
          <w:ilvl w:val="0"/>
          <w:numId w:val="34"/>
        </w:numPr>
        <w:rPr/>
      </w:pPr>
      <w:r>
        <w:rPr/>
        <w:t>Les travaux réalisés ;</w:t>
      </w:r>
    </w:p>
    <w:p>
      <w:pPr>
        <w:pStyle w:val="F1"/>
        <w:numPr>
          <w:ilvl w:val="0"/>
          <w:numId w:val="34"/>
        </w:numPr>
        <w:rPr/>
      </w:pPr>
      <w:r>
        <w:rPr/>
        <w:t>Les opérations administratives relatives à l’exécution ainsi qu’au règlement du Marché, telles que notifications d’Ordre de Service, visas et approbation des plans d’exécution… ;</w:t>
      </w:r>
    </w:p>
    <w:p>
      <w:pPr>
        <w:pStyle w:val="F1"/>
        <w:numPr>
          <w:ilvl w:val="0"/>
          <w:numId w:val="34"/>
        </w:numPr>
        <w:rPr/>
      </w:pPr>
      <w:r>
        <w:rPr/>
        <w:t>Les incidents ou détails présentant quelque intérêt du point de vue de la tenue ultérieure des ouvrages, du calcul des prix de revient et de la durée réelle des travaux ;</w:t>
      </w:r>
    </w:p>
    <w:p>
      <w:pPr>
        <w:pStyle w:val="F1"/>
        <w:numPr>
          <w:ilvl w:val="0"/>
          <w:numId w:val="34"/>
        </w:numPr>
        <w:rPr/>
      </w:pPr>
      <w:r>
        <w:rPr/>
        <w:t>Les observations faites et les prescriptions imposées à l’Entrepreneur sur le plan technique ;</w:t>
      </w:r>
    </w:p>
    <w:p>
      <w:pPr>
        <w:pStyle w:val="F1"/>
        <w:numPr>
          <w:ilvl w:val="0"/>
          <w:numId w:val="34"/>
        </w:numPr>
        <w:rPr/>
      </w:pPr>
      <w:r>
        <w:rPr/>
        <w:t>Les résultats des différents essais et contrôles in situ ou en laboratoire ;</w:t>
      </w:r>
    </w:p>
    <w:p>
      <w:pPr>
        <w:pStyle w:val="F1"/>
        <w:numPr>
          <w:ilvl w:val="0"/>
          <w:numId w:val="34"/>
        </w:numPr>
        <w:rPr/>
      </w:pPr>
      <w:r>
        <w:rPr/>
        <w:t>Les observations ou prescriptions du Maître d’Œuvre concernant la sécurité.</w:t>
      </w:r>
    </w:p>
    <w:p>
      <w:pPr>
        <w:pStyle w:val="F1"/>
        <w:rPr/>
      </w:pPr>
      <w:r>
        <w:rPr/>
        <w:t>A ce journal sera annexé chaque jour un compte-rendu détaillé (rapport journalier), établi par un représentant de l’Entrepreneur, sur lequel seront notamment indiqués par poste de travail :</w:t>
      </w:r>
    </w:p>
    <w:p>
      <w:pPr>
        <w:pStyle w:val="F1"/>
        <w:numPr>
          <w:ilvl w:val="0"/>
          <w:numId w:val="35"/>
        </w:numPr>
        <w:rPr/>
      </w:pPr>
      <w:r>
        <w:rPr/>
        <w:t>Les horaires de travail, l’effectif et la qualification du personnel ;</w:t>
      </w:r>
    </w:p>
    <w:p>
      <w:pPr>
        <w:pStyle w:val="F1"/>
        <w:numPr>
          <w:ilvl w:val="0"/>
          <w:numId w:val="35"/>
        </w:numPr>
        <w:rPr/>
      </w:pPr>
      <w:r>
        <w:rPr/>
        <w:t>Le matériel présent sur le chantier, son temps de marche et les réglages particuliers associés ;</w:t>
      </w:r>
    </w:p>
    <w:p>
      <w:pPr>
        <w:pStyle w:val="F1"/>
        <w:numPr>
          <w:ilvl w:val="0"/>
          <w:numId w:val="35"/>
        </w:numPr>
        <w:rPr/>
      </w:pPr>
      <w:r>
        <w:rPr/>
        <w:t>La durée et la cause des arrêts de chantier ;</w:t>
      </w:r>
    </w:p>
    <w:p>
      <w:pPr>
        <w:pStyle w:val="F1"/>
        <w:numPr>
          <w:ilvl w:val="0"/>
          <w:numId w:val="35"/>
        </w:numPr>
        <w:rPr/>
      </w:pPr>
      <w:r>
        <w:rPr/>
        <w:t>L’évaluation des quantités de travaux effectués chaque jour avec le zonage et les implantations correspondantes ;</w:t>
      </w:r>
    </w:p>
    <w:p>
      <w:pPr>
        <w:pStyle w:val="F1"/>
        <w:numPr>
          <w:ilvl w:val="0"/>
          <w:numId w:val="35"/>
        </w:numPr>
        <w:rPr/>
      </w:pPr>
      <w:r>
        <w:rPr/>
        <w:t>Tout incident de chantier susceptible de donner lieu à réclamation de la part de l’Entrepreneur ;</w:t>
      </w:r>
    </w:p>
    <w:p>
      <w:pPr>
        <w:pStyle w:val="F1"/>
        <w:numPr>
          <w:ilvl w:val="0"/>
          <w:numId w:val="35"/>
        </w:numPr>
        <w:rPr/>
      </w:pPr>
      <w:r>
        <w:rPr/>
        <w:t>Les travaux dont la rémunération n’est pas prévue dans le DPGF ;</w:t>
      </w:r>
    </w:p>
    <w:p>
      <w:pPr>
        <w:pStyle w:val="F1"/>
        <w:numPr>
          <w:ilvl w:val="0"/>
          <w:numId w:val="35"/>
        </w:numPr>
        <w:rPr/>
      </w:pPr>
      <w:r>
        <w:rPr/>
        <w:t>Tout incident concernant la sécurité ;</w:t>
      </w:r>
    </w:p>
    <w:p>
      <w:pPr>
        <w:pStyle w:val="F1"/>
        <w:numPr>
          <w:ilvl w:val="0"/>
          <w:numId w:val="35"/>
        </w:numPr>
        <w:rPr/>
      </w:pPr>
      <w:r>
        <w:rPr/>
        <w:t>Tout accident de travail, matériel ou corporel.</w:t>
      </w:r>
    </w:p>
    <w:p>
      <w:pPr>
        <w:pStyle w:val="F1"/>
        <w:rPr/>
      </w:pPr>
      <w:r>
        <w:rPr/>
        <w:t>Il pourra être annexé à ce journal tous documents venant en complément des informations qui y sont consignées (photographies, résultats d’essais, Procès-Verbaux de constat…). Les éléments suivants devront notamment être annexés chaque jour au journal de chantier :</w:t>
      </w:r>
    </w:p>
    <w:p>
      <w:pPr>
        <w:pStyle w:val="F1"/>
        <w:numPr>
          <w:ilvl w:val="0"/>
          <w:numId w:val="36"/>
        </w:numPr>
        <w:rPr/>
      </w:pPr>
      <w:r>
        <w:rPr/>
        <w:t>Copie des bordereaux de suivi des déchets de chantier conformément au plan de gestion des déchets du SOGED ;</w:t>
      </w:r>
    </w:p>
    <w:p>
      <w:pPr>
        <w:pStyle w:val="F1"/>
        <w:numPr>
          <w:ilvl w:val="0"/>
          <w:numId w:val="36"/>
        </w:numPr>
        <w:rPr/>
      </w:pPr>
      <w:r>
        <w:rPr/>
        <w:t>Planning prévisionnel des travaux de la semaine suivante ;</w:t>
      </w:r>
    </w:p>
    <w:p>
      <w:pPr>
        <w:pStyle w:val="F1"/>
        <w:numPr>
          <w:ilvl w:val="0"/>
          <w:numId w:val="36"/>
        </w:numPr>
        <w:rPr/>
      </w:pPr>
      <w:r>
        <w:rPr/>
        <w:t>Un état récapitulatif mensuel du personnel opérant en atelier ou/et sur le site ainsi que du matériel et des engins utilisés, basé sur les éléments fournis par l’Entrepreneur, sera de plus dressé par le Maître d’œuvre, sous forme de tableau, chaque fin de mois. Ce tableau sera annexé au journal de chantier réalisé le jour de son édition.</w:t>
      </w:r>
    </w:p>
    <w:p>
      <w:pPr>
        <w:pStyle w:val="Titre3"/>
        <w:rPr/>
      </w:pPr>
      <w:bookmarkStart w:id="944" w:name="_Toc32334852"/>
      <w:bookmarkStart w:id="945" w:name="_Toc419980381"/>
      <w:r>
        <w:rPr/>
        <w:t>Réunions de chantier – réunions de concertation</w:t>
      </w:r>
      <w:bookmarkEnd w:id="944"/>
      <w:bookmarkEnd w:id="945"/>
    </w:p>
    <w:p>
      <w:pPr>
        <w:pStyle w:val="F1"/>
        <w:spacing w:before="0" w:after="0"/>
        <w:rPr/>
      </w:pPr>
      <w:r>
        <w:rPr/>
      </w:r>
    </w:p>
    <w:p>
      <w:pPr>
        <w:pStyle w:val="F1"/>
        <w:rPr/>
      </w:pPr>
      <w:r>
        <w:rPr/>
        <w:t>Il est prévu pendant toute la durée des travaux, une réunion de chantier hebdomadaire, organisée par le Maître d’</w:t>
      </w:r>
      <w:r>
        <w:rPr>
          <w:rFonts w:ascii="Calibri" w:hAnsi="Calibri"/>
        </w:rPr>
        <w:t>Œ</w:t>
      </w:r>
      <w:r>
        <w:rPr/>
        <w:t>uvre.</w:t>
      </w:r>
    </w:p>
    <w:p>
      <w:pPr>
        <w:pStyle w:val="F1"/>
        <w:rPr/>
      </w:pPr>
      <w:r>
        <w:rPr/>
        <w:t>Ces réunions feront l’objet d’un compte-rendu établi par le Maître d’</w:t>
      </w:r>
      <w:r>
        <w:rPr>
          <w:rFonts w:ascii="Calibri" w:hAnsi="Calibri"/>
        </w:rPr>
        <w:t>Œ</w:t>
      </w:r>
      <w:r>
        <w:rPr/>
        <w:t>uvre et soumis à la signature du représentant de l’Entrepreneur, qui explicitera éventuellement ses réserves lors de la réunion suivante. Celles-ci seront alors portées dans le compte-rendu correspondant.</w:t>
      </w:r>
    </w:p>
    <w:p>
      <w:pPr>
        <w:pStyle w:val="F1"/>
        <w:rPr/>
      </w:pPr>
      <w:r>
        <w:rPr/>
        <w:t>En cas de nécessité, des réunions supplémentaires occasionnelles pourront être ajoutées (réunion technique spécifique, réunion qualité, réunion récolement, réunion étude…).</w:t>
      </w:r>
    </w:p>
    <w:p>
      <w:pPr>
        <w:pStyle w:val="Corpsdetexte"/>
        <w:rPr/>
      </w:pPr>
      <w:r>
        <w:rPr/>
        <w:t>Ces réunions sont indépendantes des réunions de pilotage et de coordination inter-entreprises.</w:t>
      </w:r>
    </w:p>
    <w:p>
      <w:pPr>
        <w:pStyle w:val="Titre3"/>
        <w:rPr/>
      </w:pPr>
      <w:bookmarkStart w:id="946" w:name="_Toc32334853"/>
      <w:r>
        <w:rPr/>
        <w:t>Constats de travaux</w:t>
      </w:r>
      <w:bookmarkEnd w:id="946"/>
    </w:p>
    <w:p>
      <w:pPr>
        <w:pStyle w:val="F1"/>
        <w:spacing w:before="0" w:after="0"/>
        <w:rPr/>
      </w:pPr>
      <w:r>
        <w:rPr/>
      </w:r>
    </w:p>
    <w:p>
      <w:pPr>
        <w:pStyle w:val="F1"/>
        <w:rPr/>
      </w:pPr>
      <w:r>
        <w:rPr/>
        <w:t>La constatation, faite contradictoirement entre le représentant de la Maîtrise d’œuvre et celui de l’Entrepreneur, permet d’enregistrer des faits ou des circonstances risquant d’entraîner des conséquences financières (éventuellement extérieures au marché).</w:t>
      </w:r>
    </w:p>
    <w:p>
      <w:pPr>
        <w:pStyle w:val="F1"/>
        <w:rPr/>
      </w:pPr>
      <w:r>
        <w:rPr/>
        <w:t>La constatation a trait :</w:t>
      </w:r>
    </w:p>
    <w:p>
      <w:pPr>
        <w:pStyle w:val="F1"/>
        <w:numPr>
          <w:ilvl w:val="0"/>
          <w:numId w:val="35"/>
        </w:numPr>
        <w:rPr/>
      </w:pPr>
      <w:r>
        <w:rPr/>
        <w:t>Soit à des mesures d’ouvrages ou de parties d’ouvrages ;</w:t>
      </w:r>
    </w:p>
    <w:p>
      <w:pPr>
        <w:pStyle w:val="F1"/>
        <w:numPr>
          <w:ilvl w:val="0"/>
          <w:numId w:val="35"/>
        </w:numPr>
        <w:rPr/>
      </w:pPr>
      <w:r>
        <w:rPr/>
        <w:t>Soit à une estimation des degrés d’avancement ou des quantités ;</w:t>
      </w:r>
    </w:p>
    <w:p>
      <w:pPr>
        <w:pStyle w:val="F1"/>
        <w:numPr>
          <w:ilvl w:val="0"/>
          <w:numId w:val="35"/>
        </w:numPr>
        <w:rPr/>
      </w:pPr>
      <w:r>
        <w:rPr/>
        <w:t>Soit à un constat des événements susceptibles d’influer sur l’économie du chantier.</w:t>
      </w:r>
    </w:p>
    <w:p>
      <w:pPr>
        <w:pStyle w:val="F1"/>
        <w:rPr/>
      </w:pPr>
      <w:r>
        <w:rPr/>
        <w:t>Le journal de chantier ne remplace pas la constatation.</w:t>
      </w:r>
    </w:p>
    <w:p>
      <w:pPr>
        <w:pStyle w:val="Titre4"/>
        <w:rPr/>
      </w:pPr>
      <w:bookmarkStart w:id="947" w:name="_Toc32334854"/>
      <w:r>
        <w:rPr/>
        <w:t>Les différentes catégories de constatations</w:t>
      </w:r>
      <w:bookmarkEnd w:id="947"/>
    </w:p>
    <w:p>
      <w:pPr>
        <w:pStyle w:val="F1"/>
        <w:spacing w:before="0" w:after="0"/>
        <w:rPr/>
      </w:pPr>
      <w:r>
        <w:rPr/>
      </w:r>
    </w:p>
    <w:p>
      <w:pPr>
        <w:pStyle w:val="F1"/>
        <w:rPr/>
      </w:pPr>
      <w:r>
        <w:rPr/>
        <w:t>Les constatations portent notamment sur :</w:t>
      </w:r>
    </w:p>
    <w:p>
      <w:pPr>
        <w:pStyle w:val="F1"/>
        <w:numPr>
          <w:ilvl w:val="0"/>
          <w:numId w:val="35"/>
        </w:numPr>
        <w:rPr/>
      </w:pPr>
      <w:r>
        <w:rPr/>
        <w:t>Les quantités de prestations exécutées dans la période et mesurées exactement ;</w:t>
      </w:r>
    </w:p>
    <w:p>
      <w:pPr>
        <w:pStyle w:val="F1"/>
        <w:numPr>
          <w:ilvl w:val="0"/>
          <w:numId w:val="35"/>
        </w:numPr>
        <w:rPr/>
      </w:pPr>
      <w:r>
        <w:rPr/>
        <w:t>Le degré d’avancement des ouvrages (pourcentage d’exécution d'un lot technique, par exemple) ;</w:t>
      </w:r>
    </w:p>
    <w:p>
      <w:pPr>
        <w:pStyle w:val="F1"/>
        <w:numPr>
          <w:ilvl w:val="0"/>
          <w:numId w:val="35"/>
        </w:numPr>
        <w:rPr/>
      </w:pPr>
      <w:r>
        <w:rPr/>
        <w:t>Les circonstances (conditions atmosphériques, intempéries, nappe phréatique, qualité du sol, interruption de circulation, etc.) ;</w:t>
      </w:r>
    </w:p>
    <w:p>
      <w:pPr>
        <w:pStyle w:val="F1"/>
        <w:numPr>
          <w:ilvl w:val="0"/>
          <w:numId w:val="35"/>
        </w:numPr>
        <w:rPr/>
      </w:pPr>
      <w:r>
        <w:rPr/>
        <w:t>Les moyens employés par le titulaire (personnel, matériel) ;</w:t>
      </w:r>
    </w:p>
    <w:p>
      <w:pPr>
        <w:pStyle w:val="F1"/>
        <w:numPr>
          <w:ilvl w:val="0"/>
          <w:numId w:val="35"/>
        </w:numPr>
        <w:rPr/>
      </w:pPr>
      <w:r>
        <w:rPr/>
        <w:t>La qualité des prestations et les performances atteintes (densité, dosage, charge de rupture, etc.).</w:t>
      </w:r>
    </w:p>
    <w:p>
      <w:pPr>
        <w:pStyle w:val="F1"/>
        <w:rPr/>
      </w:pPr>
      <w:r>
        <w:rPr/>
        <w:t>Lorsqu’elle porte sur des estimations ou des événements, la constatation peut, en fonction des moyens de mesure disponibles, être effectuée avec un niveau de précision plus ou moins grand. Par exemple, dans le cas d’un événement :</w:t>
      </w:r>
    </w:p>
    <w:p>
      <w:pPr>
        <w:pStyle w:val="F1"/>
        <w:numPr>
          <w:ilvl w:val="0"/>
          <w:numId w:val="35"/>
        </w:numPr>
        <w:rPr/>
      </w:pPr>
      <w:r>
        <w:rPr/>
        <w:t>Le simple énoncé de l’existence du fait (il pleut ...) ;</w:t>
      </w:r>
    </w:p>
    <w:p>
      <w:pPr>
        <w:pStyle w:val="F1"/>
        <w:numPr>
          <w:ilvl w:val="0"/>
          <w:numId w:val="35"/>
        </w:numPr>
        <w:rPr/>
      </w:pPr>
      <w:r>
        <w:rPr/>
        <w:t>La description qualitative du fait (il pleut abondamment : il est impossible aux engins de travailler) ;</w:t>
      </w:r>
    </w:p>
    <w:p>
      <w:pPr>
        <w:pStyle w:val="F1"/>
        <w:numPr>
          <w:ilvl w:val="0"/>
          <w:numId w:val="35"/>
        </w:numPr>
        <w:rPr/>
      </w:pPr>
      <w:r>
        <w:rPr/>
        <w:t>L’évaluation approchée de la mesure (il est tombé entre 20 et 30 mm d’eau) ;</w:t>
      </w:r>
    </w:p>
    <w:p>
      <w:pPr>
        <w:pStyle w:val="F1"/>
        <w:numPr>
          <w:ilvl w:val="0"/>
          <w:numId w:val="35"/>
        </w:numPr>
        <w:rPr/>
      </w:pPr>
      <w:r>
        <w:rPr/>
        <w:t>Le relevé exact de la mesure (la hauteur lue au pluviomètre est de 23 mm d’eau).</w:t>
      </w:r>
    </w:p>
    <w:p>
      <w:pPr>
        <w:pStyle w:val="Titre4"/>
        <w:rPr/>
      </w:pPr>
      <w:r>
        <w:rPr/>
        <w:t xml:space="preserve"> </w:t>
      </w:r>
      <w:bookmarkStart w:id="948" w:name="_Toc32334855"/>
      <w:r>
        <w:rPr/>
        <w:t>L’organisation des constatations</w:t>
      </w:r>
      <w:bookmarkEnd w:id="948"/>
    </w:p>
    <w:p>
      <w:pPr>
        <w:pStyle w:val="F1"/>
        <w:spacing w:before="0" w:after="0"/>
        <w:rPr/>
      </w:pPr>
      <w:r>
        <w:rPr/>
      </w:r>
    </w:p>
    <w:p>
      <w:pPr>
        <w:pStyle w:val="F1"/>
        <w:rPr/>
      </w:pPr>
      <w:r>
        <w:rPr/>
        <w:t>Le Maître d’œuvre doit satisfaire aux demandes de constatations formulées par les Entreprises de travaux, le Maître d'ouvrage ou la conduite d'opération. La date des constations ne peut être postérieure de plus de 8 jours à celle de la demande.</w:t>
      </w:r>
    </w:p>
    <w:p>
      <w:pPr>
        <w:pStyle w:val="F1"/>
        <w:rPr/>
      </w:pPr>
      <w:r>
        <w:rPr/>
        <w:t>L’Entrepreneur doit prendre toutes dispositions pour éviter, autant que possible, toute rupture dans l’exécution des travaux et demander la constatation de tout événement inopiné ou fugace.</w:t>
      </w:r>
    </w:p>
    <w:p>
      <w:pPr>
        <w:pStyle w:val="Titre4"/>
        <w:rPr/>
      </w:pPr>
      <w:bookmarkStart w:id="949" w:name="_Toc32334856"/>
      <w:r>
        <w:rPr/>
        <w:t>La date des constatations</w:t>
      </w:r>
      <w:bookmarkEnd w:id="949"/>
    </w:p>
    <w:p>
      <w:pPr>
        <w:pStyle w:val="F1"/>
        <w:spacing w:before="0" w:after="0"/>
        <w:rPr/>
      </w:pPr>
      <w:r>
        <w:rPr/>
      </w:r>
    </w:p>
    <w:p>
      <w:pPr>
        <w:pStyle w:val="F1"/>
        <w:rPr/>
      </w:pPr>
      <w:r>
        <w:rPr/>
        <w:t>Il faut procéder à des constatations :</w:t>
      </w:r>
    </w:p>
    <w:p>
      <w:pPr>
        <w:pStyle w:val="F1"/>
        <w:numPr>
          <w:ilvl w:val="0"/>
          <w:numId w:val="35"/>
        </w:numPr>
        <w:rPr/>
      </w:pPr>
      <w:r>
        <w:rPr/>
        <w:t>Lorsqu’une phase d’exécution des travaux est achevée ;</w:t>
      </w:r>
    </w:p>
    <w:p>
      <w:pPr>
        <w:pStyle w:val="F1"/>
        <w:numPr>
          <w:ilvl w:val="0"/>
          <w:numId w:val="35"/>
        </w:numPr>
        <w:rPr/>
      </w:pPr>
      <w:r>
        <w:rPr/>
        <w:t>Lorsqu’un ouvrage ou une partie d’ouvrage faisant l’objet d’un prix forfaitaire est achevé ;</w:t>
      </w:r>
    </w:p>
    <w:p>
      <w:pPr>
        <w:pStyle w:val="F1"/>
        <w:numPr>
          <w:ilvl w:val="0"/>
          <w:numId w:val="35"/>
        </w:numPr>
        <w:rPr/>
      </w:pPr>
      <w:r>
        <w:rPr/>
        <w:t>Lorsqu’un événement imprévu ou notable se produit sur le chantier (phénomène climatique particulier, interruption exceptionnelle du chantier).</w:t>
      </w:r>
    </w:p>
    <w:p>
      <w:pPr>
        <w:pStyle w:val="F1"/>
        <w:rPr/>
      </w:pPr>
      <w:r>
        <w:rPr/>
        <w:t>En tout état de cause, les constatations doivent être faites :</w:t>
      </w:r>
    </w:p>
    <w:p>
      <w:pPr>
        <w:pStyle w:val="F1"/>
        <w:numPr>
          <w:ilvl w:val="0"/>
          <w:numId w:val="35"/>
        </w:numPr>
        <w:rPr/>
      </w:pPr>
      <w:r>
        <w:rPr/>
        <w:t>Avant que des ouvrages ou parties d’ouvrage ne se trouvent cachés ou inaccessibles dans le déroulement du chantier ;</w:t>
      </w:r>
    </w:p>
    <w:p>
      <w:pPr>
        <w:pStyle w:val="F1"/>
        <w:numPr>
          <w:ilvl w:val="0"/>
          <w:numId w:val="35"/>
        </w:numPr>
        <w:rPr/>
      </w:pPr>
      <w:r>
        <w:rPr/>
        <w:t>Périodiquement, pour faire le point des travaux et préciser les estimations correspondant aux quantités non encore mesurées ; cette périodicité est fonction des circonstances, de la nature des travaux, de leur importance et de leur avancement.</w:t>
      </w:r>
    </w:p>
    <w:p>
      <w:pPr>
        <w:pStyle w:val="Titre4"/>
        <w:rPr/>
      </w:pPr>
      <w:bookmarkStart w:id="950" w:name="_Toc32334857"/>
      <w:r>
        <w:rPr/>
        <w:t>Les constats</w:t>
      </w:r>
      <w:bookmarkEnd w:id="950"/>
    </w:p>
    <w:p>
      <w:pPr>
        <w:pStyle w:val="F1"/>
        <w:spacing w:before="0" w:after="0"/>
        <w:rPr/>
      </w:pPr>
      <w:r>
        <w:rPr/>
      </w:r>
    </w:p>
    <w:p>
      <w:pPr>
        <w:pStyle w:val="F1"/>
        <w:rPr/>
      </w:pPr>
      <w:r>
        <w:rPr/>
        <w:t>Les constats sont la transcription exacte des constatations.</w:t>
      </w:r>
    </w:p>
    <w:p>
      <w:pPr>
        <w:pStyle w:val="F1"/>
        <w:rPr/>
      </w:pPr>
      <w:r>
        <w:rPr/>
        <w:t>Ils ne peuvent en aucun cas être la simple reproduction de données chiffrées extraites des documents du marché tels qu’avant métrés, dessins d’exécution, détail estimatif, état de prix forfaitaire, …</w:t>
      </w:r>
    </w:p>
    <w:p>
      <w:pPr>
        <w:pStyle w:val="Titre5"/>
        <w:rPr/>
      </w:pPr>
      <w:r>
        <w:rPr/>
        <w:t>Portée des constats</w:t>
      </w:r>
    </w:p>
    <w:p>
      <w:pPr>
        <w:pStyle w:val="F1"/>
        <w:spacing w:before="0" w:after="0"/>
        <w:rPr/>
      </w:pPr>
      <w:r>
        <w:rPr/>
      </w:r>
    </w:p>
    <w:p>
      <w:pPr>
        <w:pStyle w:val="F1"/>
        <w:rPr/>
      </w:pPr>
      <w:r>
        <w:rPr/>
        <w:t>Les constats servent à deux fins :</w:t>
      </w:r>
    </w:p>
    <w:p>
      <w:pPr>
        <w:pStyle w:val="F1"/>
        <w:numPr>
          <w:ilvl w:val="0"/>
          <w:numId w:val="35"/>
        </w:numPr>
        <w:rPr/>
      </w:pPr>
      <w:r>
        <w:rPr/>
        <w:t>D’une part, ils attestent la réalité d’un fait et servent de base au règlement du marché. Le droit à paiement de l’Entreprise de travaux au titre de leur marché.</w:t>
      </w:r>
    </w:p>
    <w:p>
      <w:pPr>
        <w:pStyle w:val="F1"/>
        <w:numPr>
          <w:ilvl w:val="0"/>
          <w:numId w:val="35"/>
        </w:numPr>
        <w:rPr/>
      </w:pPr>
      <w:r>
        <w:rPr/>
        <w:t>D’autre part, ils déterminent notamment les mesures des prestations effectuées par les Entreprises de travaux et servent à contrôler les projets de décompte. Ils sont établis soit en quantités mesurées exactement durant la période soit en quantités estimées cumulées depuis l’origine du marché.</w:t>
      </w:r>
    </w:p>
    <w:p>
      <w:pPr>
        <w:pStyle w:val="Titre5"/>
        <w:rPr/>
      </w:pPr>
      <w:r>
        <w:rPr/>
        <w:t>L’établissement des constats</w:t>
      </w:r>
    </w:p>
    <w:p>
      <w:pPr>
        <w:pStyle w:val="F1"/>
        <w:rPr/>
      </w:pPr>
      <w:r>
        <w:rPr/>
      </w:r>
    </w:p>
    <w:p>
      <w:pPr>
        <w:pStyle w:val="F1"/>
        <w:rPr/>
      </w:pPr>
      <w:r>
        <w:rPr/>
        <w:t>a) Rédaction et signature des constats</w:t>
      </w:r>
    </w:p>
    <w:p>
      <w:pPr>
        <w:pStyle w:val="F1"/>
        <w:rPr/>
      </w:pPr>
      <w:r>
        <w:rPr/>
        <w:t>Les constats sont établis et signés sur le chantier sans délai à la suite des constatations. Le constat est rédigé par le représentant du Maître d’œuvre en présence du représentant de l'Entreprise.</w:t>
      </w:r>
    </w:p>
    <w:p>
      <w:pPr>
        <w:pStyle w:val="F1"/>
        <w:rPr/>
      </w:pPr>
      <w:r>
        <w:rPr/>
        <w:t>Dans les cas très particulier de faits inopinés ou fugaces ou de mesures effectuées par des spécialistes au moyen d’instruments qui leur sont propres, un signataire de constat peut ne pas être à même de vérifier directement l’exactitude des faits relevés. Il doit alors vérifier, par tout moyen à sa disposition, l’authenticité des éléments recueillis, préciser dans le constat qu’il n’a pas procédé lui-même à la constatation et en indiquer l’auteur et les circonstances.</w:t>
      </w:r>
    </w:p>
    <w:p>
      <w:pPr>
        <w:pStyle w:val="F1"/>
        <w:rPr/>
      </w:pPr>
      <w:r>
        <w:rPr/>
        <w:t>Chaque exemplaire du constat est daté par le représentant du Maître d’œuvre qui y appose, de même que le représentant de l'Entreprise de travaux, son nom, qualité et signature.</w:t>
      </w:r>
    </w:p>
    <w:p>
      <w:pPr>
        <w:pStyle w:val="F1"/>
        <w:rPr/>
      </w:pPr>
      <w:r>
        <w:rPr/>
        <w:t>Une fois signé, le constat ne peut être modifié que par un autre constat sauf si, avant transmission, des erreurs évidentes pour les deux parties apparaissent. Les rectifications doivent alors être clairement mises en évidence (couleur rouge, astérisque, ...) et doivent faire l’objet d’une mention explicite (“ nous disons ”) comportant la signature des deux parties.</w:t>
      </w:r>
    </w:p>
    <w:p>
      <w:pPr>
        <w:pStyle w:val="F1"/>
        <w:rPr/>
      </w:pPr>
      <w:r>
        <w:rPr/>
        <w:t>Le représentant du Maître d’œuvre n’a aucun motif de refuser de rédiger et de signer un constat dès lors que celui-ci traduit un fait constaté. Si le représentant de l'Entreprise de travaux refuse de signer le constat, les circonstances du refus sont expressément notées dans celui-ci par le représentant du titulaire.</w:t>
      </w:r>
    </w:p>
    <w:p>
      <w:pPr>
        <w:pStyle w:val="F1"/>
        <w:rPr/>
      </w:pPr>
      <w:r>
        <w:rPr/>
        <w:t>b) Contenu des constats</w:t>
      </w:r>
    </w:p>
    <w:p>
      <w:pPr>
        <w:pStyle w:val="F1"/>
        <w:rPr/>
      </w:pPr>
      <w:r>
        <w:rPr/>
        <w:t>Chaque constat est muni d’un intitulé et de toutes indications permettant de l’affecter sans ambiguïté au chantier et à l’ouvrage concernés par la mesure effectuée ou par l’événement enregistré. Il comprend les croquis nécessaires à sa compréhension.</w:t>
      </w:r>
    </w:p>
    <w:p>
      <w:pPr>
        <w:pStyle w:val="F1"/>
        <w:rPr/>
      </w:pPr>
      <w:r>
        <w:rPr/>
        <w:t>Il doit comporter notamment un rattachement précis au terrain permettant, si le besoin s’en fait sentir et en tout état de cause à l’occasion des contrôles par la maîtrise d'ouvrage ou la conduite d'opération, de retrouver et de vérifier soit par examen visuel direct soit par tout autre procédé d’investigation les mesures ou les caractéristiques des prestations faisant l’objet du constat. A cette occasion, le Maître d'œuvre prendra soin, par une mention explicite, d’éviter tout risque de confusion avec des ouvrages similaires, non concernés par le marché, existant à proximité.</w:t>
      </w:r>
    </w:p>
    <w:p>
      <w:pPr>
        <w:pStyle w:val="F1"/>
        <w:rPr/>
      </w:pPr>
      <w:r>
        <w:rPr/>
        <w:t>Chaque constat mentionne les pièces annexes ayant servi de base aux mesures enregistrées. Au titre de ces pièces annexes, les bons de livraison des mobiliers feront l’objet des dispositions suivantes :</w:t>
      </w:r>
    </w:p>
    <w:p>
      <w:pPr>
        <w:pStyle w:val="F1"/>
        <w:numPr>
          <w:ilvl w:val="0"/>
          <w:numId w:val="35"/>
        </w:numPr>
        <w:rPr/>
      </w:pPr>
      <w:r>
        <w:rPr/>
        <w:t>Le constat doit les rappeler par leur identification et en particulier par leur numéro et leur date ;</w:t>
      </w:r>
    </w:p>
    <w:p>
      <w:pPr>
        <w:pStyle w:val="F1"/>
        <w:numPr>
          <w:ilvl w:val="0"/>
          <w:numId w:val="35"/>
        </w:numPr>
        <w:rPr/>
      </w:pPr>
      <w:r>
        <w:rPr/>
        <w:t>Réciproquement, ces bons doivent être soigneusement conservés dans des enveloppes rattachées aux dates et rubrique des constats.</w:t>
      </w:r>
    </w:p>
    <w:p>
      <w:pPr>
        <w:pStyle w:val="F1"/>
        <w:rPr/>
      </w:pPr>
      <w:r>
        <w:rPr/>
        <w:t xml:space="preserve">Les bons de livraison des mobiliers doivent être contrôlés et vérifiés par le représentant du Maître d'œuvre. </w:t>
      </w:r>
    </w:p>
    <w:p>
      <w:pPr>
        <w:pStyle w:val="Normal"/>
        <w:jc w:val="left"/>
        <w:rPr/>
      </w:pPr>
      <w:r>
        <w:rPr/>
      </w:r>
      <w:r>
        <w:br w:type="page"/>
      </w:r>
    </w:p>
    <w:p>
      <w:pPr>
        <w:pStyle w:val="F1"/>
        <w:rPr/>
      </w:pPr>
      <w:r>
        <w:rPr/>
      </w:r>
    </w:p>
    <w:p>
      <w:pPr>
        <w:pStyle w:val="Titre1"/>
        <w:rPr/>
      </w:pPr>
      <w:bookmarkStart w:id="951" w:name="_Toc32334858"/>
      <w:bookmarkStart w:id="952" w:name="_Toc430104023"/>
      <w:bookmarkStart w:id="953" w:name="_Toc419980482"/>
      <w:r>
        <w:rPr/>
        <w:t>ETUDES ET DOCUMENTATIONS</w:t>
      </w:r>
      <w:bookmarkEnd w:id="951"/>
      <w:bookmarkEnd w:id="952"/>
      <w:bookmarkEnd w:id="953"/>
    </w:p>
    <w:p>
      <w:pPr>
        <w:pStyle w:val="Normal"/>
        <w:jc w:val="left"/>
        <w:rPr/>
      </w:pPr>
      <w:r>
        <w:rPr/>
      </w:r>
    </w:p>
    <w:p>
      <w:pPr>
        <w:pStyle w:val="Titre2"/>
        <w:tabs>
          <w:tab w:val="clear" w:pos="0"/>
          <w:tab w:val="clear" w:pos="8789"/>
          <w:tab w:val="left" w:pos="426" w:leader="none"/>
        </w:tabs>
        <w:ind w:left="0" w:hanging="0"/>
        <w:rPr/>
      </w:pPr>
      <w:bookmarkStart w:id="954" w:name="_Toc32334859"/>
      <w:bookmarkStart w:id="955" w:name="_Toc430104024"/>
      <w:bookmarkStart w:id="956" w:name="_Toc422843732"/>
      <w:bookmarkStart w:id="957" w:name="_Toc419980483"/>
      <w:r>
        <w:rPr/>
        <w:t>Echéancier de remise des documents</w:t>
      </w:r>
      <w:bookmarkEnd w:id="954"/>
      <w:bookmarkEnd w:id="955"/>
      <w:bookmarkEnd w:id="956"/>
      <w:bookmarkEnd w:id="957"/>
    </w:p>
    <w:p>
      <w:pPr>
        <w:pStyle w:val="F1"/>
        <w:rPr/>
      </w:pPr>
      <w:r>
        <w:rPr/>
      </w:r>
    </w:p>
    <w:p>
      <w:pPr>
        <w:pStyle w:val="F1"/>
        <w:rPr/>
      </w:pPr>
      <w:r>
        <w:rPr/>
        <w:t>Le tableau suivant indique les principaux documents que l’Entrepreneur est tenu de présenter à l’approbation ou au visa du Maître d’Œuvre ainsi que le délai maximal d’établissement correspondant.</w:t>
      </w:r>
    </w:p>
    <w:tbl>
      <w:tblPr>
        <w:tblW w:w="8829" w:type="dxa"/>
        <w:jc w:val="center"/>
        <w:tblInd w:w="0" w:type="dxa"/>
        <w:tblLayout w:type="fixed"/>
        <w:tblCellMar>
          <w:top w:w="0" w:type="dxa"/>
          <w:left w:w="70" w:type="dxa"/>
          <w:bottom w:w="0" w:type="dxa"/>
          <w:right w:w="70" w:type="dxa"/>
        </w:tblCellMar>
        <w:tblLook w:firstRow="0" w:noVBand="0" w:lastRow="0" w:firstColumn="0" w:lastColumn="0" w:noHBand="0" w:val="0000"/>
      </w:tblPr>
      <w:tblGrid>
        <w:gridCol w:w="872"/>
        <w:gridCol w:w="3965"/>
        <w:gridCol w:w="1134"/>
        <w:gridCol w:w="2857"/>
      </w:tblGrid>
      <w:tr>
        <w:trPr>
          <w:trHeight w:val="65" w:hRule="atLeast"/>
          <w:cantSplit w:val="true"/>
        </w:trPr>
        <w:tc>
          <w:tcPr>
            <w:tcW w:w="872" w:type="dxa"/>
            <w:tcBorders>
              <w:top w:val="single" w:sz="12" w:space="0" w:color="000000"/>
              <w:left w:val="single" w:sz="12" w:space="0" w:color="000000"/>
              <w:bottom w:val="single" w:sz="12" w:space="0" w:color="000000"/>
              <w:right w:val="single" w:sz="6" w:space="0" w:color="000000"/>
            </w:tcBorders>
            <w:shd w:color="auto" w:fill="808080" w:val="clear"/>
          </w:tcPr>
          <w:p>
            <w:pPr>
              <w:pStyle w:val="F1"/>
              <w:widowControl w:val="false"/>
              <w:spacing w:before="0" w:after="120"/>
              <w:rPr>
                <w:b/>
                <w:b/>
              </w:rPr>
            </w:pPr>
            <w:r>
              <w:rPr>
                <w:b/>
              </w:rPr>
              <w:t>Phases</w:t>
            </w:r>
          </w:p>
        </w:tc>
        <w:tc>
          <w:tcPr>
            <w:tcW w:w="3965" w:type="dxa"/>
            <w:tcBorders>
              <w:top w:val="single" w:sz="12" w:space="0" w:color="000000"/>
              <w:left w:val="single" w:sz="6" w:space="0" w:color="000000"/>
              <w:bottom w:val="single" w:sz="12" w:space="0" w:color="000000"/>
              <w:right w:val="single" w:sz="6" w:space="0" w:color="000000"/>
            </w:tcBorders>
            <w:shd w:color="auto" w:fill="808080" w:val="clear"/>
          </w:tcPr>
          <w:p>
            <w:pPr>
              <w:pStyle w:val="F1"/>
              <w:widowControl w:val="false"/>
              <w:spacing w:before="0" w:after="120"/>
              <w:rPr>
                <w:b/>
                <w:b/>
              </w:rPr>
            </w:pPr>
            <w:r>
              <w:rPr>
                <w:b/>
              </w:rPr>
              <w:t>Documents/Réunions</w:t>
            </w:r>
          </w:p>
        </w:tc>
        <w:tc>
          <w:tcPr>
            <w:tcW w:w="1134" w:type="dxa"/>
            <w:tcBorders>
              <w:top w:val="single" w:sz="12" w:space="0" w:color="000000"/>
              <w:left w:val="single" w:sz="6" w:space="0" w:color="000000"/>
              <w:bottom w:val="single" w:sz="12" w:space="0" w:color="000000"/>
              <w:right w:val="single" w:sz="6" w:space="0" w:color="000000"/>
            </w:tcBorders>
            <w:shd w:color="auto" w:fill="808080" w:val="clear"/>
          </w:tcPr>
          <w:p>
            <w:pPr>
              <w:pStyle w:val="F1"/>
              <w:widowControl w:val="false"/>
              <w:spacing w:before="0" w:after="120"/>
              <w:rPr>
                <w:b/>
                <w:b/>
              </w:rPr>
            </w:pPr>
            <w:r>
              <w:rPr>
                <w:b/>
              </w:rPr>
              <w:t>Délais</w:t>
            </w:r>
          </w:p>
        </w:tc>
        <w:tc>
          <w:tcPr>
            <w:tcW w:w="2857" w:type="dxa"/>
            <w:tcBorders>
              <w:top w:val="single" w:sz="12" w:space="0" w:color="000000"/>
              <w:left w:val="single" w:sz="6" w:space="0" w:color="000000"/>
              <w:bottom w:val="single" w:sz="12" w:space="0" w:color="000000"/>
              <w:right w:val="single" w:sz="12" w:space="0" w:color="000000"/>
            </w:tcBorders>
            <w:shd w:color="auto" w:fill="808080" w:val="clear"/>
          </w:tcPr>
          <w:p>
            <w:pPr>
              <w:pStyle w:val="F1"/>
              <w:widowControl w:val="false"/>
              <w:spacing w:before="0" w:after="120"/>
              <w:rPr>
                <w:b/>
                <w:b/>
              </w:rPr>
            </w:pPr>
            <w:r>
              <w:rPr>
                <w:b/>
              </w:rPr>
              <w:t>Références</w:t>
            </w:r>
          </w:p>
        </w:tc>
      </w:tr>
      <w:tr>
        <w:trPr>
          <w:cantSplit w:val="true"/>
        </w:trPr>
        <w:tc>
          <w:tcPr>
            <w:tcW w:w="872" w:type="dxa"/>
            <w:tcBorders>
              <w:top w:val="single" w:sz="12" w:space="0" w:color="000000"/>
              <w:left w:val="single" w:sz="12" w:space="0" w:color="000000"/>
              <w:bottom w:val="dotted" w:sz="4" w:space="0" w:color="000000"/>
              <w:right w:val="single" w:sz="6" w:space="0" w:color="000000"/>
            </w:tcBorders>
          </w:tcPr>
          <w:p>
            <w:pPr>
              <w:pStyle w:val="F1"/>
              <w:widowControl w:val="false"/>
              <w:spacing w:before="0" w:after="120"/>
              <w:rPr>
                <w:b/>
                <w:b/>
              </w:rPr>
            </w:pPr>
            <w:r>
              <w:rPr>
                <w:b/>
              </w:rPr>
              <w:t>1</w:t>
            </w:r>
          </w:p>
        </w:tc>
        <w:tc>
          <w:tcPr>
            <w:tcW w:w="7956" w:type="dxa"/>
            <w:gridSpan w:val="3"/>
            <w:tcBorders>
              <w:top w:val="single" w:sz="12" w:space="0" w:color="000000"/>
              <w:left w:val="single" w:sz="6" w:space="0" w:color="000000"/>
              <w:bottom w:val="dotted" w:sz="4" w:space="0" w:color="000000"/>
              <w:right w:val="single" w:sz="12" w:space="0" w:color="000000"/>
            </w:tcBorders>
          </w:tcPr>
          <w:p>
            <w:pPr>
              <w:pStyle w:val="F1"/>
              <w:widowControl w:val="false"/>
              <w:spacing w:before="0" w:after="120"/>
              <w:rPr>
                <w:b/>
                <w:b/>
              </w:rPr>
            </w:pPr>
            <w:r>
              <w:rPr>
                <w:b/>
              </w:rPr>
              <w:t>Programme prévisionnel et coordination</w:t>
            </w:r>
          </w:p>
        </w:tc>
      </w:tr>
      <w:tr>
        <w:trPr>
          <w:cantSplit w:val="true"/>
        </w:trPr>
        <w:tc>
          <w:tcPr>
            <w:tcW w:w="872" w:type="dxa"/>
            <w:tcBorders>
              <w:left w:val="single" w:sz="12" w:space="0" w:color="000000"/>
              <w:right w:val="single" w:sz="6" w:space="0" w:color="000000"/>
            </w:tcBorders>
          </w:tcPr>
          <w:p>
            <w:pPr>
              <w:pStyle w:val="F1"/>
              <w:widowControl w:val="false"/>
              <w:spacing w:before="0" w:after="120"/>
              <w:rPr/>
            </w:pPr>
            <w:r>
              <w:rPr/>
            </w:r>
          </w:p>
        </w:tc>
        <w:tc>
          <w:tcPr>
            <w:tcW w:w="3965" w:type="dxa"/>
            <w:tcBorders>
              <w:left w:val="single" w:sz="6" w:space="0" w:color="000000"/>
              <w:right w:val="single" w:sz="6" w:space="0" w:color="000000"/>
            </w:tcBorders>
          </w:tcPr>
          <w:p>
            <w:pPr>
              <w:pStyle w:val="F1"/>
              <w:widowControl w:val="false"/>
              <w:spacing w:before="0" w:after="120"/>
              <w:rPr/>
            </w:pPr>
            <w:r>
              <w:rPr/>
              <w:t>Liste des documents d’exécution (plans, notes de calculs, méthodes, …)</w:t>
            </w:r>
          </w:p>
        </w:tc>
        <w:tc>
          <w:tcPr>
            <w:tcW w:w="1134" w:type="dxa"/>
            <w:tcBorders>
              <w:left w:val="single" w:sz="6" w:space="0" w:color="000000"/>
              <w:right w:val="single" w:sz="6" w:space="0" w:color="000000"/>
            </w:tcBorders>
          </w:tcPr>
          <w:p>
            <w:pPr>
              <w:pStyle w:val="F1"/>
              <w:widowControl w:val="false"/>
              <w:spacing w:before="0" w:after="120"/>
              <w:rPr/>
            </w:pPr>
            <w:r>
              <w:rPr/>
              <w:t>20 jours</w:t>
            </w:r>
          </w:p>
        </w:tc>
        <w:tc>
          <w:tcPr>
            <w:tcW w:w="2857" w:type="dxa"/>
            <w:vMerge w:val="restart"/>
            <w:tcBorders>
              <w:left w:val="single" w:sz="6" w:space="0" w:color="000000"/>
              <w:bottom w:val="single" w:sz="6" w:space="0" w:color="000000"/>
              <w:right w:val="single" w:sz="12" w:space="0" w:color="000000"/>
            </w:tcBorders>
          </w:tcPr>
          <w:p>
            <w:pPr>
              <w:pStyle w:val="F1"/>
              <w:widowControl w:val="false"/>
              <w:rPr/>
            </w:pPr>
            <w:r>
              <w:rPr/>
              <w:t>après ordre de service prescrivant le début de la période de préparation</w:t>
            </w:r>
          </w:p>
          <w:p>
            <w:pPr>
              <w:pStyle w:val="F1"/>
              <w:widowControl w:val="false"/>
              <w:rPr/>
            </w:pPr>
            <w:r>
              <w:rPr/>
            </w:r>
          </w:p>
          <w:p>
            <w:pPr>
              <w:pStyle w:val="F1"/>
              <w:widowControl w:val="false"/>
              <w:rPr/>
            </w:pPr>
            <w:r>
              <w:rPr/>
            </w:r>
          </w:p>
          <w:p>
            <w:pPr>
              <w:pStyle w:val="F1"/>
              <w:widowControl w:val="false"/>
              <w:rPr/>
            </w:pPr>
            <w:r>
              <w:rPr/>
            </w:r>
          </w:p>
          <w:p>
            <w:pPr>
              <w:pStyle w:val="F1"/>
              <w:widowControl w:val="false"/>
              <w:rPr/>
            </w:pPr>
            <w:r>
              <w:rPr/>
            </w:r>
          </w:p>
          <w:p>
            <w:pPr>
              <w:pStyle w:val="F1"/>
              <w:widowControl w:val="false"/>
              <w:rPr/>
            </w:pPr>
            <w:r>
              <w:rPr/>
            </w:r>
          </w:p>
          <w:p>
            <w:pPr>
              <w:pStyle w:val="F1"/>
              <w:widowControl w:val="false"/>
              <w:rPr/>
            </w:pPr>
            <w:r>
              <w:rPr/>
            </w:r>
          </w:p>
          <w:p>
            <w:pPr>
              <w:pStyle w:val="F1"/>
              <w:widowControl w:val="false"/>
              <w:rPr/>
            </w:pPr>
            <w:r>
              <w:rPr/>
            </w:r>
          </w:p>
          <w:p>
            <w:pPr>
              <w:pStyle w:val="F1"/>
              <w:widowControl w:val="false"/>
              <w:rPr/>
            </w:pPr>
            <w:r>
              <w:rPr/>
            </w:r>
          </w:p>
          <w:p>
            <w:pPr>
              <w:pStyle w:val="F1"/>
              <w:widowControl w:val="false"/>
              <w:rPr/>
            </w:pPr>
            <w:r>
              <w:rPr/>
            </w:r>
          </w:p>
          <w:p>
            <w:pPr>
              <w:pStyle w:val="F1"/>
              <w:widowControl w:val="false"/>
              <w:rPr/>
            </w:pPr>
            <w:r>
              <w:rPr/>
            </w:r>
          </w:p>
          <w:p>
            <w:pPr>
              <w:pStyle w:val="F1"/>
              <w:widowControl w:val="false"/>
              <w:spacing w:before="0" w:after="120"/>
              <w:rPr/>
            </w:pPr>
            <w:r>
              <w:rPr/>
            </w:r>
          </w:p>
        </w:tc>
      </w:tr>
      <w:tr>
        <w:trPr>
          <w:cantSplit w:val="true"/>
        </w:trPr>
        <w:tc>
          <w:tcPr>
            <w:tcW w:w="872" w:type="dxa"/>
            <w:tcBorders>
              <w:left w:val="single" w:sz="12" w:space="0" w:color="000000"/>
              <w:right w:val="single" w:sz="6" w:space="0" w:color="000000"/>
            </w:tcBorders>
          </w:tcPr>
          <w:p>
            <w:pPr>
              <w:pStyle w:val="F1"/>
              <w:widowControl w:val="false"/>
              <w:spacing w:before="0" w:after="120"/>
              <w:rPr/>
            </w:pPr>
            <w:r>
              <w:rPr/>
            </w:r>
          </w:p>
        </w:tc>
        <w:tc>
          <w:tcPr>
            <w:tcW w:w="3965" w:type="dxa"/>
            <w:tcBorders>
              <w:left w:val="single" w:sz="6" w:space="0" w:color="000000"/>
              <w:right w:val="single" w:sz="6" w:space="0" w:color="000000"/>
            </w:tcBorders>
          </w:tcPr>
          <w:p>
            <w:pPr>
              <w:pStyle w:val="F1"/>
              <w:widowControl w:val="false"/>
              <w:rPr/>
            </w:pPr>
            <w:r>
              <w:rPr/>
              <w:t>Calendrier des études</w:t>
            </w:r>
          </w:p>
          <w:p>
            <w:pPr>
              <w:pStyle w:val="F1"/>
              <w:widowControl w:val="false"/>
              <w:spacing w:before="0" w:after="120"/>
              <w:rPr/>
            </w:pPr>
            <w:r>
              <w:rPr/>
              <w:t>calendrier des travaux provisoires et définitifs</w:t>
            </w:r>
          </w:p>
        </w:tc>
        <w:tc>
          <w:tcPr>
            <w:tcW w:w="1134" w:type="dxa"/>
            <w:tcBorders>
              <w:left w:val="single" w:sz="6" w:space="0" w:color="000000"/>
              <w:right w:val="single" w:sz="6" w:space="0" w:color="000000"/>
            </w:tcBorders>
          </w:tcPr>
          <w:p>
            <w:pPr>
              <w:pStyle w:val="F1"/>
              <w:widowControl w:val="false"/>
              <w:rPr/>
            </w:pPr>
            <w:r>
              <w:rPr/>
              <w:t>20 jours</w:t>
            </w:r>
          </w:p>
          <w:p>
            <w:pPr>
              <w:pStyle w:val="F1"/>
              <w:widowControl w:val="false"/>
              <w:spacing w:before="0" w:after="120"/>
              <w:rPr/>
            </w:pPr>
            <w:r>
              <w:rPr/>
              <w:t>28 jours</w:t>
            </w:r>
          </w:p>
        </w:tc>
        <w:tc>
          <w:tcPr>
            <w:tcW w:w="2857" w:type="dxa"/>
            <w:vMerge w:val="continue"/>
            <w:tcBorders>
              <w:top w:val="single" w:sz="6" w:space="0" w:color="000000"/>
              <w:left w:val="single" w:sz="6" w:space="0" w:color="000000"/>
              <w:bottom w:val="single" w:sz="6" w:space="0" w:color="000000"/>
              <w:right w:val="single" w:sz="12" w:space="0" w:color="000000"/>
            </w:tcBorders>
          </w:tcPr>
          <w:p>
            <w:pPr>
              <w:pStyle w:val="F1"/>
              <w:widowControl w:val="false"/>
              <w:spacing w:before="0" w:after="120"/>
              <w:rPr/>
            </w:pPr>
            <w:r>
              <w:rPr/>
            </w:r>
          </w:p>
        </w:tc>
      </w:tr>
      <w:tr>
        <w:trPr>
          <w:cantSplit w:val="true"/>
        </w:trPr>
        <w:tc>
          <w:tcPr>
            <w:tcW w:w="872" w:type="dxa"/>
            <w:tcBorders>
              <w:left w:val="single" w:sz="12" w:space="0" w:color="000000"/>
              <w:right w:val="single" w:sz="6" w:space="0" w:color="000000"/>
            </w:tcBorders>
          </w:tcPr>
          <w:p>
            <w:pPr>
              <w:pStyle w:val="F1"/>
              <w:widowControl w:val="false"/>
              <w:spacing w:before="0" w:after="120"/>
              <w:rPr/>
            </w:pPr>
            <w:r>
              <w:rPr/>
            </w:r>
          </w:p>
        </w:tc>
        <w:tc>
          <w:tcPr>
            <w:tcW w:w="3965" w:type="dxa"/>
            <w:tcBorders>
              <w:left w:val="single" w:sz="6" w:space="0" w:color="000000"/>
              <w:right w:val="single" w:sz="6" w:space="0" w:color="000000"/>
            </w:tcBorders>
          </w:tcPr>
          <w:p>
            <w:pPr>
              <w:pStyle w:val="F1"/>
              <w:widowControl w:val="false"/>
              <w:spacing w:before="0" w:after="120"/>
              <w:rPr/>
            </w:pPr>
            <w:r>
              <w:rPr/>
              <w:t>PAQ du ou des bureau(s) d’étude</w:t>
            </w:r>
          </w:p>
        </w:tc>
        <w:tc>
          <w:tcPr>
            <w:tcW w:w="1134" w:type="dxa"/>
            <w:tcBorders>
              <w:left w:val="single" w:sz="6" w:space="0" w:color="000000"/>
              <w:right w:val="single" w:sz="6" w:space="0" w:color="000000"/>
            </w:tcBorders>
          </w:tcPr>
          <w:p>
            <w:pPr>
              <w:pStyle w:val="F1"/>
              <w:widowControl w:val="false"/>
              <w:spacing w:before="0" w:after="120"/>
              <w:rPr/>
            </w:pPr>
            <w:r>
              <w:rPr/>
              <w:t>20 jours</w:t>
            </w:r>
          </w:p>
        </w:tc>
        <w:tc>
          <w:tcPr>
            <w:tcW w:w="2857" w:type="dxa"/>
            <w:vMerge w:val="continue"/>
            <w:tcBorders>
              <w:top w:val="single" w:sz="6" w:space="0" w:color="000000"/>
              <w:left w:val="single" w:sz="6" w:space="0" w:color="000000"/>
              <w:bottom w:val="single" w:sz="6" w:space="0" w:color="000000"/>
              <w:right w:val="single" w:sz="12" w:space="0" w:color="000000"/>
            </w:tcBorders>
          </w:tcPr>
          <w:p>
            <w:pPr>
              <w:pStyle w:val="F1"/>
              <w:widowControl w:val="false"/>
              <w:spacing w:before="0" w:after="120"/>
              <w:rPr/>
            </w:pPr>
            <w:r>
              <w:rPr/>
            </w:r>
          </w:p>
        </w:tc>
      </w:tr>
      <w:tr>
        <w:trPr>
          <w:cantSplit w:val="true"/>
        </w:trPr>
        <w:tc>
          <w:tcPr>
            <w:tcW w:w="872" w:type="dxa"/>
            <w:tcBorders>
              <w:left w:val="single" w:sz="12" w:space="0" w:color="000000"/>
              <w:right w:val="single" w:sz="6" w:space="0" w:color="000000"/>
            </w:tcBorders>
          </w:tcPr>
          <w:p>
            <w:pPr>
              <w:pStyle w:val="F1"/>
              <w:widowControl w:val="false"/>
              <w:spacing w:before="0" w:after="120"/>
              <w:rPr/>
            </w:pPr>
            <w:r>
              <w:rPr/>
            </w:r>
          </w:p>
        </w:tc>
        <w:tc>
          <w:tcPr>
            <w:tcW w:w="3965" w:type="dxa"/>
            <w:tcBorders>
              <w:left w:val="single" w:sz="6" w:space="0" w:color="000000"/>
              <w:right w:val="single" w:sz="6" w:space="0" w:color="000000"/>
            </w:tcBorders>
          </w:tcPr>
          <w:p>
            <w:pPr>
              <w:pStyle w:val="F1"/>
              <w:widowControl w:val="false"/>
              <w:spacing w:before="0" w:after="120"/>
              <w:rPr/>
            </w:pPr>
            <w:r>
              <w:rPr/>
              <w:t>Projet des installations de chantier</w:t>
            </w:r>
          </w:p>
        </w:tc>
        <w:tc>
          <w:tcPr>
            <w:tcW w:w="1134" w:type="dxa"/>
            <w:tcBorders>
              <w:left w:val="single" w:sz="6" w:space="0" w:color="000000"/>
              <w:right w:val="single" w:sz="6" w:space="0" w:color="000000"/>
            </w:tcBorders>
          </w:tcPr>
          <w:p>
            <w:pPr>
              <w:pStyle w:val="F1"/>
              <w:widowControl w:val="false"/>
              <w:spacing w:before="0" w:after="120"/>
              <w:rPr/>
            </w:pPr>
            <w:r>
              <w:rPr/>
              <w:t>20 jours</w:t>
            </w:r>
          </w:p>
        </w:tc>
        <w:tc>
          <w:tcPr>
            <w:tcW w:w="2857" w:type="dxa"/>
            <w:vMerge w:val="continue"/>
            <w:tcBorders>
              <w:top w:val="single" w:sz="6" w:space="0" w:color="000000"/>
              <w:left w:val="single" w:sz="6" w:space="0" w:color="000000"/>
              <w:bottom w:val="single" w:sz="6" w:space="0" w:color="000000"/>
              <w:right w:val="single" w:sz="12" w:space="0" w:color="000000"/>
            </w:tcBorders>
          </w:tcPr>
          <w:p>
            <w:pPr>
              <w:pStyle w:val="F1"/>
              <w:widowControl w:val="false"/>
              <w:spacing w:before="0" w:after="120"/>
              <w:rPr/>
            </w:pPr>
            <w:r>
              <w:rPr/>
            </w:r>
          </w:p>
        </w:tc>
      </w:tr>
      <w:tr>
        <w:trPr>
          <w:trHeight w:val="313" w:hRule="atLeast"/>
          <w:cantSplit w:val="true"/>
        </w:trPr>
        <w:tc>
          <w:tcPr>
            <w:tcW w:w="872" w:type="dxa"/>
            <w:tcBorders>
              <w:left w:val="single" w:sz="12" w:space="0" w:color="000000"/>
              <w:right w:val="single" w:sz="6" w:space="0" w:color="000000"/>
            </w:tcBorders>
          </w:tcPr>
          <w:p>
            <w:pPr>
              <w:pStyle w:val="F1"/>
              <w:widowControl w:val="false"/>
              <w:spacing w:before="0" w:after="120"/>
              <w:rPr/>
            </w:pPr>
            <w:r>
              <w:rPr/>
            </w:r>
          </w:p>
        </w:tc>
        <w:tc>
          <w:tcPr>
            <w:tcW w:w="3965" w:type="dxa"/>
            <w:tcBorders>
              <w:left w:val="single" w:sz="6" w:space="0" w:color="000000"/>
              <w:right w:val="single" w:sz="6" w:space="0" w:color="000000"/>
            </w:tcBorders>
          </w:tcPr>
          <w:p>
            <w:pPr>
              <w:pStyle w:val="F1"/>
              <w:widowControl w:val="false"/>
              <w:spacing w:before="0" w:after="120"/>
              <w:rPr/>
            </w:pPr>
            <w:r>
              <w:rPr/>
              <w:t>Réunion de démarrage des études</w:t>
            </w:r>
          </w:p>
        </w:tc>
        <w:tc>
          <w:tcPr>
            <w:tcW w:w="1134" w:type="dxa"/>
            <w:tcBorders>
              <w:left w:val="single" w:sz="6" w:space="0" w:color="000000"/>
              <w:right w:val="single" w:sz="6" w:space="0" w:color="000000"/>
            </w:tcBorders>
          </w:tcPr>
          <w:p>
            <w:pPr>
              <w:pStyle w:val="F1"/>
              <w:widowControl w:val="false"/>
              <w:spacing w:before="0" w:after="120"/>
              <w:rPr/>
            </w:pPr>
            <w:r>
              <w:rPr/>
              <w:t>20 jours</w:t>
            </w:r>
          </w:p>
        </w:tc>
        <w:tc>
          <w:tcPr>
            <w:tcW w:w="2857" w:type="dxa"/>
            <w:vMerge w:val="continue"/>
            <w:tcBorders>
              <w:top w:val="single" w:sz="6" w:space="0" w:color="000000"/>
              <w:left w:val="single" w:sz="6" w:space="0" w:color="000000"/>
              <w:bottom w:val="single" w:sz="6" w:space="0" w:color="000000"/>
              <w:right w:val="single" w:sz="12" w:space="0" w:color="000000"/>
            </w:tcBorders>
          </w:tcPr>
          <w:p>
            <w:pPr>
              <w:pStyle w:val="F1"/>
              <w:widowControl w:val="false"/>
              <w:spacing w:before="0" w:after="120"/>
              <w:rPr/>
            </w:pPr>
            <w:r>
              <w:rPr/>
            </w:r>
          </w:p>
        </w:tc>
      </w:tr>
      <w:tr>
        <w:trPr>
          <w:cantSplit w:val="true"/>
        </w:trPr>
        <w:tc>
          <w:tcPr>
            <w:tcW w:w="872" w:type="dxa"/>
            <w:tcBorders>
              <w:left w:val="single" w:sz="12" w:space="0" w:color="000000"/>
              <w:right w:val="single" w:sz="6" w:space="0" w:color="000000"/>
            </w:tcBorders>
          </w:tcPr>
          <w:p>
            <w:pPr>
              <w:pStyle w:val="F1"/>
              <w:widowControl w:val="false"/>
              <w:spacing w:before="0" w:after="120"/>
              <w:rPr/>
            </w:pPr>
            <w:r>
              <w:rPr/>
            </w:r>
          </w:p>
        </w:tc>
        <w:tc>
          <w:tcPr>
            <w:tcW w:w="3965" w:type="dxa"/>
            <w:tcBorders>
              <w:left w:val="single" w:sz="6" w:space="0" w:color="000000"/>
              <w:right w:val="single" w:sz="6" w:space="0" w:color="000000"/>
            </w:tcBorders>
          </w:tcPr>
          <w:p>
            <w:pPr>
              <w:pStyle w:val="F1"/>
              <w:widowControl w:val="false"/>
              <w:spacing w:before="0" w:after="120"/>
              <w:rPr/>
            </w:pPr>
            <w:r>
              <w:rPr/>
              <w:t>PPSPS,</w:t>
            </w:r>
          </w:p>
        </w:tc>
        <w:tc>
          <w:tcPr>
            <w:tcW w:w="1134" w:type="dxa"/>
            <w:tcBorders>
              <w:left w:val="single" w:sz="6" w:space="0" w:color="000000"/>
              <w:right w:val="single" w:sz="6" w:space="0" w:color="000000"/>
            </w:tcBorders>
          </w:tcPr>
          <w:p>
            <w:pPr>
              <w:pStyle w:val="F1"/>
              <w:widowControl w:val="false"/>
              <w:spacing w:before="0" w:after="120"/>
              <w:rPr/>
            </w:pPr>
            <w:r>
              <w:rPr/>
              <w:t>20 jours</w:t>
            </w:r>
          </w:p>
        </w:tc>
        <w:tc>
          <w:tcPr>
            <w:tcW w:w="2857" w:type="dxa"/>
            <w:vMerge w:val="continue"/>
            <w:tcBorders>
              <w:top w:val="single" w:sz="6" w:space="0" w:color="000000"/>
              <w:left w:val="single" w:sz="6" w:space="0" w:color="000000"/>
              <w:bottom w:val="single" w:sz="6" w:space="0" w:color="000000"/>
              <w:right w:val="single" w:sz="12" w:space="0" w:color="000000"/>
            </w:tcBorders>
          </w:tcPr>
          <w:p>
            <w:pPr>
              <w:pStyle w:val="F1"/>
              <w:widowControl w:val="false"/>
              <w:spacing w:before="0" w:after="120"/>
              <w:rPr/>
            </w:pPr>
            <w:r>
              <w:rPr/>
            </w:r>
          </w:p>
        </w:tc>
      </w:tr>
      <w:tr>
        <w:trPr>
          <w:cantSplit w:val="true"/>
        </w:trPr>
        <w:tc>
          <w:tcPr>
            <w:tcW w:w="872" w:type="dxa"/>
            <w:tcBorders>
              <w:left w:val="single" w:sz="12" w:space="0" w:color="000000"/>
              <w:bottom w:val="single" w:sz="6" w:space="0" w:color="000000"/>
              <w:right w:val="single" w:sz="6" w:space="0" w:color="000000"/>
            </w:tcBorders>
          </w:tcPr>
          <w:p>
            <w:pPr>
              <w:pStyle w:val="F1"/>
              <w:widowControl w:val="false"/>
              <w:spacing w:before="0" w:after="120"/>
              <w:rPr/>
            </w:pPr>
            <w:r>
              <w:rPr/>
            </w:r>
          </w:p>
        </w:tc>
        <w:tc>
          <w:tcPr>
            <w:tcW w:w="3965" w:type="dxa"/>
            <w:tcBorders>
              <w:left w:val="single" w:sz="6" w:space="0" w:color="000000"/>
              <w:bottom w:val="single" w:sz="6" w:space="0" w:color="000000"/>
              <w:right w:val="single" w:sz="6" w:space="0" w:color="000000"/>
            </w:tcBorders>
          </w:tcPr>
          <w:p>
            <w:pPr>
              <w:pStyle w:val="F1"/>
              <w:widowControl w:val="false"/>
              <w:rPr/>
            </w:pPr>
            <w:r>
              <w:rPr/>
              <w:t>Procédure de migration des systèmes</w:t>
            </w:r>
          </w:p>
          <w:p>
            <w:pPr>
              <w:pStyle w:val="F1"/>
              <w:widowControl w:val="false"/>
              <w:rPr/>
            </w:pPr>
            <w:r>
              <w:rPr/>
              <w:t>Dossier issu des investigations approfondies</w:t>
            </w:r>
          </w:p>
          <w:p>
            <w:pPr>
              <w:pStyle w:val="F1"/>
              <w:widowControl w:val="false"/>
              <w:spacing w:before="0" w:after="120"/>
              <w:rPr/>
            </w:pPr>
            <w:r>
              <w:rPr/>
              <w:t>Sommaire type et contenu du dossier de récolement</w:t>
            </w:r>
          </w:p>
        </w:tc>
        <w:tc>
          <w:tcPr>
            <w:tcW w:w="1134" w:type="dxa"/>
            <w:tcBorders>
              <w:left w:val="single" w:sz="6" w:space="0" w:color="000000"/>
              <w:bottom w:val="single" w:sz="6" w:space="0" w:color="000000"/>
              <w:right w:val="single" w:sz="6" w:space="0" w:color="000000"/>
            </w:tcBorders>
          </w:tcPr>
          <w:p>
            <w:pPr>
              <w:pStyle w:val="F1"/>
              <w:widowControl w:val="false"/>
              <w:rPr/>
            </w:pPr>
            <w:r>
              <w:rPr/>
              <w:t>28 mois</w:t>
            </w:r>
          </w:p>
          <w:p>
            <w:pPr>
              <w:pStyle w:val="F1"/>
              <w:widowControl w:val="false"/>
              <w:rPr/>
            </w:pPr>
            <w:r>
              <w:rPr/>
            </w:r>
          </w:p>
          <w:p>
            <w:pPr>
              <w:pStyle w:val="F1"/>
              <w:widowControl w:val="false"/>
              <w:rPr/>
            </w:pPr>
            <w:r>
              <w:rPr/>
              <w:t>28 mois</w:t>
            </w:r>
          </w:p>
          <w:p>
            <w:pPr>
              <w:pStyle w:val="F1"/>
              <w:widowControl w:val="false"/>
              <w:spacing w:before="0" w:after="120"/>
              <w:rPr/>
            </w:pPr>
            <w:r>
              <w:rPr/>
              <w:t>28 mois</w:t>
            </w:r>
          </w:p>
        </w:tc>
        <w:tc>
          <w:tcPr>
            <w:tcW w:w="2857" w:type="dxa"/>
            <w:vMerge w:val="continue"/>
            <w:tcBorders>
              <w:top w:val="single" w:sz="6" w:space="0" w:color="000000"/>
              <w:left w:val="single" w:sz="6" w:space="0" w:color="000000"/>
              <w:bottom w:val="single" w:sz="6" w:space="0" w:color="000000"/>
              <w:right w:val="single" w:sz="12" w:space="0" w:color="000000"/>
            </w:tcBorders>
          </w:tcPr>
          <w:p>
            <w:pPr>
              <w:pStyle w:val="F1"/>
              <w:widowControl w:val="false"/>
              <w:spacing w:before="0" w:after="120"/>
              <w:rPr/>
            </w:pPr>
            <w:r>
              <w:rPr/>
            </w:r>
          </w:p>
        </w:tc>
      </w:tr>
    </w:tbl>
    <w:p>
      <w:pPr>
        <w:pStyle w:val="Normal"/>
        <w:rPr/>
      </w:pPr>
      <w:r>
        <w:rPr/>
      </w:r>
      <w:r>
        <w:br w:type="page"/>
      </w:r>
    </w:p>
    <w:tbl>
      <w:tblPr>
        <w:tblW w:w="8829" w:type="dxa"/>
        <w:jc w:val="center"/>
        <w:tblInd w:w="0" w:type="dxa"/>
        <w:tblLayout w:type="fixed"/>
        <w:tblCellMar>
          <w:top w:w="0" w:type="dxa"/>
          <w:left w:w="70" w:type="dxa"/>
          <w:bottom w:w="0" w:type="dxa"/>
          <w:right w:w="70" w:type="dxa"/>
        </w:tblCellMar>
        <w:tblLook w:firstRow="0" w:noVBand="0" w:lastRow="0" w:firstColumn="0" w:lastColumn="0" w:noHBand="0" w:val="0000"/>
      </w:tblPr>
      <w:tblGrid>
        <w:gridCol w:w="872"/>
        <w:gridCol w:w="3965"/>
        <w:gridCol w:w="1134"/>
        <w:gridCol w:w="2857"/>
      </w:tblGrid>
      <w:tr>
        <w:trPr>
          <w:trHeight w:val="65" w:hRule="atLeast"/>
          <w:cantSplit w:val="true"/>
        </w:trPr>
        <w:tc>
          <w:tcPr>
            <w:tcW w:w="872" w:type="dxa"/>
            <w:tcBorders>
              <w:top w:val="single" w:sz="12" w:space="0" w:color="000000"/>
              <w:left w:val="single" w:sz="12" w:space="0" w:color="000000"/>
              <w:bottom w:val="single" w:sz="12" w:space="0" w:color="000000"/>
              <w:right w:val="single" w:sz="6" w:space="0" w:color="000000"/>
            </w:tcBorders>
            <w:shd w:color="auto" w:fill="808080" w:val="clear"/>
          </w:tcPr>
          <w:p>
            <w:pPr>
              <w:pStyle w:val="F1"/>
              <w:pageBreakBefore/>
              <w:widowControl w:val="false"/>
              <w:spacing w:before="0" w:after="120"/>
              <w:rPr>
                <w:b/>
                <w:b/>
              </w:rPr>
            </w:pPr>
            <w:r>
              <w:rPr>
                <w:b/>
              </w:rPr>
              <w:t>Phases</w:t>
            </w:r>
          </w:p>
        </w:tc>
        <w:tc>
          <w:tcPr>
            <w:tcW w:w="3965" w:type="dxa"/>
            <w:tcBorders>
              <w:top w:val="single" w:sz="12" w:space="0" w:color="000000"/>
              <w:left w:val="single" w:sz="6" w:space="0" w:color="000000"/>
              <w:bottom w:val="single" w:sz="12" w:space="0" w:color="000000"/>
              <w:right w:val="single" w:sz="6" w:space="0" w:color="000000"/>
            </w:tcBorders>
            <w:shd w:color="auto" w:fill="808080" w:val="clear"/>
          </w:tcPr>
          <w:p>
            <w:pPr>
              <w:pStyle w:val="F1"/>
              <w:widowControl w:val="false"/>
              <w:spacing w:before="0" w:after="120"/>
              <w:rPr>
                <w:b/>
                <w:b/>
              </w:rPr>
            </w:pPr>
            <w:r>
              <w:rPr>
                <w:b/>
              </w:rPr>
              <w:t>Documents/Réunions</w:t>
            </w:r>
          </w:p>
        </w:tc>
        <w:tc>
          <w:tcPr>
            <w:tcW w:w="1134" w:type="dxa"/>
            <w:tcBorders>
              <w:top w:val="single" w:sz="12" w:space="0" w:color="000000"/>
              <w:left w:val="single" w:sz="6" w:space="0" w:color="000000"/>
              <w:bottom w:val="single" w:sz="12" w:space="0" w:color="000000"/>
              <w:right w:val="single" w:sz="6" w:space="0" w:color="000000"/>
            </w:tcBorders>
            <w:shd w:color="auto" w:fill="808080" w:val="clear"/>
          </w:tcPr>
          <w:p>
            <w:pPr>
              <w:pStyle w:val="F1"/>
              <w:widowControl w:val="false"/>
              <w:spacing w:before="0" w:after="120"/>
              <w:rPr>
                <w:b/>
                <w:b/>
              </w:rPr>
            </w:pPr>
            <w:r>
              <w:rPr>
                <w:b/>
              </w:rPr>
              <w:t>Délais</w:t>
            </w:r>
          </w:p>
        </w:tc>
        <w:tc>
          <w:tcPr>
            <w:tcW w:w="2857" w:type="dxa"/>
            <w:tcBorders>
              <w:top w:val="single" w:sz="12" w:space="0" w:color="000000"/>
              <w:left w:val="single" w:sz="6" w:space="0" w:color="000000"/>
              <w:bottom w:val="single" w:sz="12" w:space="0" w:color="000000"/>
              <w:right w:val="single" w:sz="12" w:space="0" w:color="000000"/>
            </w:tcBorders>
            <w:shd w:color="auto" w:fill="808080" w:val="clear"/>
          </w:tcPr>
          <w:p>
            <w:pPr>
              <w:pStyle w:val="F1"/>
              <w:widowControl w:val="false"/>
              <w:spacing w:before="0" w:after="120"/>
              <w:rPr>
                <w:b/>
                <w:b/>
              </w:rPr>
            </w:pPr>
            <w:r>
              <w:rPr>
                <w:b/>
              </w:rPr>
              <w:t>Références</w:t>
            </w:r>
          </w:p>
        </w:tc>
      </w:tr>
      <w:tr>
        <w:trPr>
          <w:cantSplit w:val="true"/>
        </w:trPr>
        <w:tc>
          <w:tcPr>
            <w:tcW w:w="872" w:type="dxa"/>
            <w:tcBorders>
              <w:top w:val="single" w:sz="6" w:space="0" w:color="000000"/>
              <w:left w:val="single" w:sz="12" w:space="0" w:color="000000"/>
              <w:bottom w:val="dotted" w:sz="4" w:space="0" w:color="000000"/>
              <w:right w:val="single" w:sz="6" w:space="0" w:color="000000"/>
            </w:tcBorders>
          </w:tcPr>
          <w:p>
            <w:pPr>
              <w:pStyle w:val="F1"/>
              <w:widowControl w:val="false"/>
              <w:spacing w:before="0" w:after="120"/>
              <w:rPr>
                <w:b/>
                <w:b/>
              </w:rPr>
            </w:pPr>
            <w:r>
              <w:rPr>
                <w:b/>
              </w:rPr>
              <w:t>3</w:t>
            </w:r>
          </w:p>
        </w:tc>
        <w:tc>
          <w:tcPr>
            <w:tcW w:w="7956" w:type="dxa"/>
            <w:gridSpan w:val="3"/>
            <w:tcBorders>
              <w:top w:val="single" w:sz="6" w:space="0" w:color="000000"/>
              <w:left w:val="single" w:sz="6" w:space="0" w:color="000000"/>
              <w:bottom w:val="dotted" w:sz="4" w:space="0" w:color="000000"/>
              <w:right w:val="single" w:sz="12" w:space="0" w:color="000000"/>
            </w:tcBorders>
          </w:tcPr>
          <w:p>
            <w:pPr>
              <w:pStyle w:val="F1"/>
              <w:widowControl w:val="false"/>
              <w:spacing w:before="0" w:after="120"/>
              <w:rPr>
                <w:b/>
                <w:b/>
              </w:rPr>
            </w:pPr>
            <w:r>
              <w:rPr>
                <w:b/>
              </w:rPr>
              <w:t>Dossier de récolement</w:t>
            </w:r>
          </w:p>
        </w:tc>
      </w:tr>
      <w:tr>
        <w:trPr>
          <w:cantSplit w:val="true"/>
        </w:trPr>
        <w:tc>
          <w:tcPr>
            <w:tcW w:w="872" w:type="dxa"/>
            <w:tcBorders>
              <w:top w:val="dotted" w:sz="4" w:space="0" w:color="000000"/>
              <w:left w:val="single" w:sz="12" w:space="0" w:color="000000"/>
              <w:bottom w:val="single" w:sz="12" w:space="0" w:color="000000"/>
              <w:right w:val="single" w:sz="6" w:space="0" w:color="000000"/>
            </w:tcBorders>
          </w:tcPr>
          <w:p>
            <w:pPr>
              <w:pStyle w:val="F1"/>
              <w:widowControl w:val="false"/>
              <w:spacing w:before="0" w:after="120"/>
              <w:rPr/>
            </w:pPr>
            <w:r>
              <w:rPr/>
            </w:r>
          </w:p>
        </w:tc>
        <w:tc>
          <w:tcPr>
            <w:tcW w:w="3965" w:type="dxa"/>
            <w:tcBorders>
              <w:top w:val="dotted" w:sz="4" w:space="0" w:color="000000"/>
              <w:left w:val="single" w:sz="6" w:space="0" w:color="000000"/>
              <w:bottom w:val="single" w:sz="12" w:space="0" w:color="000000"/>
              <w:right w:val="single" w:sz="6" w:space="0" w:color="000000"/>
            </w:tcBorders>
          </w:tcPr>
          <w:p>
            <w:pPr>
              <w:pStyle w:val="F1"/>
              <w:widowControl w:val="false"/>
              <w:rPr/>
            </w:pPr>
            <w:r>
              <w:rPr/>
            </w:r>
          </w:p>
          <w:p>
            <w:pPr>
              <w:pStyle w:val="F1"/>
              <w:widowControl w:val="false"/>
              <w:rPr/>
            </w:pPr>
            <w:r>
              <w:rPr/>
              <w:t>Dossier provisoire</w:t>
            </w:r>
          </w:p>
          <w:p>
            <w:pPr>
              <w:pStyle w:val="F1"/>
              <w:widowControl w:val="false"/>
              <w:rPr/>
            </w:pPr>
            <w:r>
              <w:rPr/>
            </w:r>
          </w:p>
          <w:p>
            <w:pPr>
              <w:pStyle w:val="F1"/>
              <w:widowControl w:val="false"/>
              <w:rPr/>
            </w:pPr>
            <w:r>
              <w:rPr/>
            </w:r>
          </w:p>
          <w:p>
            <w:pPr>
              <w:pStyle w:val="F1"/>
              <w:widowControl w:val="false"/>
              <w:spacing w:before="0" w:after="120"/>
              <w:rPr>
                <w:b/>
                <w:b/>
              </w:rPr>
            </w:pPr>
            <w:r>
              <w:rPr/>
              <w:t>Dossier définitif</w:t>
            </w:r>
          </w:p>
        </w:tc>
        <w:tc>
          <w:tcPr>
            <w:tcW w:w="1134" w:type="dxa"/>
            <w:tcBorders>
              <w:top w:val="dotted" w:sz="4" w:space="0" w:color="000000"/>
              <w:left w:val="single" w:sz="6" w:space="0" w:color="000000"/>
              <w:bottom w:val="single" w:sz="12" w:space="0" w:color="000000"/>
              <w:right w:val="single" w:sz="6" w:space="0" w:color="000000"/>
            </w:tcBorders>
          </w:tcPr>
          <w:p>
            <w:pPr>
              <w:pStyle w:val="F1"/>
              <w:widowControl w:val="false"/>
              <w:rPr/>
            </w:pPr>
            <w:r>
              <w:rPr/>
            </w:r>
          </w:p>
          <w:p>
            <w:pPr>
              <w:pStyle w:val="F1"/>
              <w:widowControl w:val="false"/>
              <w:rPr/>
            </w:pPr>
            <w:r>
              <w:rPr/>
              <w:t>A la demande de réception</w:t>
            </w:r>
          </w:p>
          <w:p>
            <w:pPr>
              <w:pStyle w:val="F1"/>
              <w:widowControl w:val="false"/>
              <w:spacing w:before="0" w:after="120"/>
              <w:rPr/>
            </w:pPr>
            <w:r>
              <w:rPr/>
              <w:t>1 mois après la décision de réception des ouvrages</w:t>
            </w:r>
          </w:p>
        </w:tc>
        <w:tc>
          <w:tcPr>
            <w:tcW w:w="2857" w:type="dxa"/>
            <w:tcBorders>
              <w:top w:val="dotted" w:sz="4" w:space="0" w:color="000000"/>
              <w:left w:val="single" w:sz="6" w:space="0" w:color="000000"/>
              <w:bottom w:val="single" w:sz="12" w:space="0" w:color="000000"/>
              <w:right w:val="single" w:sz="12" w:space="0" w:color="000000"/>
            </w:tcBorders>
          </w:tcPr>
          <w:p>
            <w:pPr>
              <w:pStyle w:val="F1"/>
              <w:widowControl w:val="false"/>
              <w:spacing w:before="0" w:after="120"/>
              <w:rPr/>
            </w:pPr>
            <w:r>
              <w:rPr/>
            </w:r>
          </w:p>
        </w:tc>
      </w:tr>
    </w:tbl>
    <w:p>
      <w:pPr>
        <w:pStyle w:val="F1"/>
        <w:rPr/>
      </w:pPr>
      <w:r>
        <w:rPr/>
      </w:r>
    </w:p>
    <w:p>
      <w:pPr>
        <w:pStyle w:val="F1"/>
        <w:rPr/>
      </w:pPr>
      <w:r>
        <w:rPr/>
        <w:t>Un document ne pourra être visé qu’accompagné de tous les documents complémentaires indispensables.</w:t>
      </w:r>
    </w:p>
    <w:p>
      <w:pPr>
        <w:pStyle w:val="F1"/>
        <w:rPr/>
      </w:pPr>
      <w:r>
        <w:rPr/>
        <w:t>Les plans non munis du visa du Maître d’</w:t>
      </w:r>
      <w:r>
        <w:rPr>
          <w:rFonts w:ascii="Calibri" w:hAnsi="Calibri"/>
        </w:rPr>
        <w:t>Œ</w:t>
      </w:r>
      <w:r>
        <w:rPr/>
        <w:t>uvre ne seront pas exécutoires. Au cas où l’Entrepreneur passerait outre cette prescription, la réalisation de l’ouvrage ou de l’installation correspondant ne saurait donner lieu à rémunération et la dépose des installations serait à la charge de l’Entrepreneur.</w:t>
      </w:r>
    </w:p>
    <w:p>
      <w:pPr>
        <w:pStyle w:val="Titre2"/>
        <w:tabs>
          <w:tab w:val="clear" w:pos="0"/>
          <w:tab w:val="clear" w:pos="8789"/>
          <w:tab w:val="left" w:pos="426" w:leader="none"/>
        </w:tabs>
        <w:ind w:left="0" w:hanging="0"/>
        <w:rPr/>
      </w:pPr>
      <w:bookmarkStart w:id="958" w:name="_Toc32334860"/>
      <w:bookmarkStart w:id="959" w:name="_Toc430104025"/>
      <w:bookmarkStart w:id="960" w:name="_Toc422843733"/>
      <w:bookmarkStart w:id="961" w:name="_Toc419980484"/>
      <w:r>
        <w:rPr/>
        <w:t>Etudes d’exécution</w:t>
      </w:r>
      <w:bookmarkEnd w:id="958"/>
      <w:bookmarkEnd w:id="959"/>
      <w:bookmarkEnd w:id="960"/>
      <w:bookmarkEnd w:id="961"/>
    </w:p>
    <w:p>
      <w:pPr>
        <w:pStyle w:val="Titre3"/>
        <w:rPr/>
      </w:pPr>
      <w:bookmarkStart w:id="962" w:name="_Toc32334861"/>
      <w:bookmarkStart w:id="963" w:name="_Toc430104026"/>
      <w:bookmarkStart w:id="964" w:name="_Toc422843734"/>
      <w:bookmarkStart w:id="965" w:name="_Toc419980485"/>
      <w:r>
        <w:rPr/>
        <w:t>Dispositions générales</w:t>
      </w:r>
      <w:bookmarkEnd w:id="962"/>
      <w:bookmarkEnd w:id="963"/>
      <w:bookmarkEnd w:id="964"/>
      <w:bookmarkEnd w:id="965"/>
    </w:p>
    <w:p>
      <w:pPr>
        <w:pStyle w:val="F1"/>
        <w:spacing w:before="0" w:after="0"/>
        <w:rPr/>
      </w:pPr>
      <w:r>
        <w:rPr/>
      </w:r>
    </w:p>
    <w:p>
      <w:pPr>
        <w:pStyle w:val="F1"/>
        <w:rPr/>
      </w:pPr>
      <w:r>
        <w:rPr/>
        <w:t>Le présent chapitre a pour objet de définir les prescriptions particulières relatives aux études d’exécution que doit mener l’Entrepreneur. Ces prescriptions complètent notamment les dispositions du Fascicule n° 65 A, Chapitre 3 du CCTG applicables aux marchés publics de travaux</w:t>
      </w:r>
    </w:p>
    <w:p>
      <w:pPr>
        <w:pStyle w:val="F1"/>
        <w:rPr/>
      </w:pPr>
      <w:r>
        <w:rPr/>
        <w:t>Les études d’exécution comportent :</w:t>
      </w:r>
    </w:p>
    <w:p>
      <w:pPr>
        <w:pStyle w:val="F1"/>
        <w:numPr>
          <w:ilvl w:val="0"/>
          <w:numId w:val="38"/>
        </w:numPr>
        <w:rPr/>
      </w:pPr>
      <w:r>
        <w:rPr/>
        <w:t>Le programme des études d’exécution calé sur le programme d’exécution des travaux ;</w:t>
      </w:r>
    </w:p>
    <w:p>
      <w:pPr>
        <w:pStyle w:val="F1"/>
        <w:numPr>
          <w:ilvl w:val="0"/>
          <w:numId w:val="38"/>
        </w:numPr>
        <w:rPr/>
      </w:pPr>
      <w:r>
        <w:rPr/>
        <w:t>Les notes de calculs justifiant la stabilité et la résistance des ouvrages ;</w:t>
      </w:r>
    </w:p>
    <w:p>
      <w:pPr>
        <w:pStyle w:val="F1"/>
        <w:numPr>
          <w:ilvl w:val="0"/>
          <w:numId w:val="38"/>
        </w:numPr>
        <w:rPr/>
      </w:pPr>
      <w:r>
        <w:rPr/>
        <w:t>Les reconnaissances de l’existant et le report sur plan des ouvrages ;</w:t>
      </w:r>
    </w:p>
    <w:p>
      <w:pPr>
        <w:pStyle w:val="F1"/>
        <w:numPr>
          <w:ilvl w:val="0"/>
          <w:numId w:val="38"/>
        </w:numPr>
        <w:rPr/>
      </w:pPr>
      <w:r>
        <w:rPr/>
        <w:t>Les plans d’aménagement des locaux ;</w:t>
      </w:r>
    </w:p>
    <w:p>
      <w:pPr>
        <w:pStyle w:val="F1"/>
        <w:numPr>
          <w:ilvl w:val="0"/>
          <w:numId w:val="38"/>
        </w:numPr>
        <w:rPr/>
      </w:pPr>
      <w:r>
        <w:rPr/>
        <w:t>Les plans d’ensemble et de détails nécessaires à l’exécution des travaux (plans de méthodes et plans d’exécution) ;</w:t>
      </w:r>
    </w:p>
    <w:p>
      <w:pPr>
        <w:pStyle w:val="F1"/>
        <w:numPr>
          <w:ilvl w:val="0"/>
          <w:numId w:val="38"/>
        </w:numPr>
        <w:rPr/>
      </w:pPr>
      <w:r>
        <w:rPr/>
        <w:t>Les nomenclatures des matériels et des matériaux ;</w:t>
      </w:r>
    </w:p>
    <w:p>
      <w:pPr>
        <w:pStyle w:val="F1"/>
        <w:numPr>
          <w:ilvl w:val="0"/>
          <w:numId w:val="38"/>
        </w:numPr>
        <w:rPr/>
      </w:pPr>
      <w:r>
        <w:rPr/>
        <w:t>Les méthodes de transfert des systèmes informatiques et des équipements dans les phases provisoires et définitives ;</w:t>
      </w:r>
    </w:p>
    <w:p>
      <w:pPr>
        <w:pStyle w:val="F1"/>
        <w:numPr>
          <w:ilvl w:val="0"/>
          <w:numId w:val="38"/>
        </w:numPr>
        <w:rPr/>
      </w:pPr>
      <w:r>
        <w:rPr/>
        <w:t>Les méthodes de remplacement des TGBT ;</w:t>
      </w:r>
    </w:p>
    <w:p>
      <w:pPr>
        <w:pStyle w:val="F1"/>
        <w:numPr>
          <w:ilvl w:val="0"/>
          <w:numId w:val="38"/>
        </w:numPr>
        <w:rPr/>
      </w:pPr>
      <w:r>
        <w:rPr/>
        <w:t>Les plans des mobiliers ;</w:t>
      </w:r>
    </w:p>
    <w:p>
      <w:pPr>
        <w:pStyle w:val="F1"/>
        <w:numPr>
          <w:ilvl w:val="0"/>
          <w:numId w:val="38"/>
        </w:numPr>
        <w:rPr/>
      </w:pPr>
      <w:r>
        <w:rPr/>
        <w:t>Les cahiers de tests des différents systèmes ;</w:t>
      </w:r>
    </w:p>
    <w:p>
      <w:pPr>
        <w:pStyle w:val="F1"/>
        <w:numPr>
          <w:ilvl w:val="0"/>
          <w:numId w:val="38"/>
        </w:numPr>
        <w:rPr/>
      </w:pPr>
      <w:r>
        <w:rPr/>
        <w:t>Les carnets de câbles ;</w:t>
      </w:r>
    </w:p>
    <w:p>
      <w:pPr>
        <w:pStyle w:val="F1"/>
        <w:numPr>
          <w:ilvl w:val="0"/>
          <w:numId w:val="38"/>
        </w:numPr>
        <w:rPr/>
      </w:pPr>
      <w:r>
        <w:rPr/>
        <w:t>La fourniture du dossier des ouvrages conforme à l’exécution (dossier de récolement).</w:t>
      </w:r>
    </w:p>
    <w:p>
      <w:pPr>
        <w:pStyle w:val="F1"/>
        <w:rPr/>
      </w:pPr>
      <w:r>
        <w:rPr/>
        <w:t>Il est demandé à l’Entrepreneur de fournir et administrer une armoire à plan électronique, type site FTP ou autre, pour stocker les versions informatiques des documents et permettre l’accès des différents intervenants à ces documents.</w:t>
      </w:r>
    </w:p>
    <w:p>
      <w:pPr>
        <w:pStyle w:val="F1"/>
        <w:rPr/>
      </w:pPr>
      <w:r>
        <w:rPr/>
        <w:t>Le système prévu et son organisation feront l’objet d’une validation par le Maitre d’</w:t>
      </w:r>
      <w:r>
        <w:rPr>
          <w:rFonts w:ascii="Calibri" w:hAnsi="Calibri"/>
        </w:rPr>
        <w:t>Œ</w:t>
      </w:r>
      <w:r>
        <w:rPr/>
        <w:t xml:space="preserve">uvre. </w:t>
      </w:r>
    </w:p>
    <w:p>
      <w:pPr>
        <w:pStyle w:val="Titre3"/>
        <w:rPr/>
      </w:pPr>
      <w:bookmarkStart w:id="966" w:name="_Toc32334862"/>
      <w:bookmarkStart w:id="967" w:name="_Toc430104027"/>
      <w:bookmarkStart w:id="968" w:name="_Toc422843735"/>
      <w:bookmarkStart w:id="969" w:name="_Toc419980486"/>
      <w:r>
        <w:rPr/>
        <w:t>Responsable des études et des méthodes d’exécution</w:t>
      </w:r>
      <w:bookmarkEnd w:id="966"/>
      <w:bookmarkEnd w:id="967"/>
      <w:bookmarkEnd w:id="968"/>
      <w:bookmarkEnd w:id="969"/>
    </w:p>
    <w:p>
      <w:pPr>
        <w:pStyle w:val="F1"/>
        <w:rPr/>
      </w:pPr>
      <w:r>
        <w:rPr/>
      </w:r>
    </w:p>
    <w:p>
      <w:pPr>
        <w:pStyle w:val="F1"/>
        <w:rPr/>
      </w:pPr>
      <w:r>
        <w:rPr/>
        <w:t>L’Entrepreneur proposera à l’agrément du Maître d’</w:t>
      </w:r>
      <w:r>
        <w:rPr>
          <w:rFonts w:ascii="Calibri" w:hAnsi="Calibri"/>
        </w:rPr>
        <w:t>Œ</w:t>
      </w:r>
      <w:r>
        <w:rPr/>
        <w:t>uvre, un ingénieur chargé de la coordination de toutes les études d’exécution et procédures d’exécution nécessaires à l’ensemble des travaux, objet du projet.</w:t>
      </w:r>
    </w:p>
    <w:p>
      <w:pPr>
        <w:pStyle w:val="F1"/>
        <w:rPr/>
      </w:pPr>
      <w:r>
        <w:rPr/>
        <w:t>Cet ingénieur en charge des études d’exécution aura la responsabilité directe de l’élaboration et de la mise à jour du programme des études d’exécution.</w:t>
      </w:r>
    </w:p>
    <w:p>
      <w:pPr>
        <w:pStyle w:val="F1"/>
        <w:rPr/>
      </w:pPr>
      <w:r>
        <w:rPr/>
        <w:t>Il aura à sa charge :</w:t>
      </w:r>
    </w:p>
    <w:p>
      <w:pPr>
        <w:pStyle w:val="F1"/>
        <w:numPr>
          <w:ilvl w:val="0"/>
          <w:numId w:val="38"/>
        </w:numPr>
        <w:rPr/>
      </w:pPr>
      <w:r>
        <w:rPr/>
        <w:t>D’une part, la coordination de l’ensemble des intervenants dans la production des notes méthodologiques et des études d’exécution ;</w:t>
      </w:r>
    </w:p>
    <w:p>
      <w:pPr>
        <w:pStyle w:val="F1"/>
        <w:numPr>
          <w:ilvl w:val="0"/>
          <w:numId w:val="38"/>
        </w:numPr>
        <w:rPr/>
      </w:pPr>
      <w:r>
        <w:rPr/>
        <w:t>Et, d’autre part, la vérification des contrôles intérieurs des études d’exécution.</w:t>
      </w:r>
    </w:p>
    <w:p>
      <w:pPr>
        <w:pStyle w:val="F1"/>
        <w:rPr/>
      </w:pPr>
      <w:r>
        <w:rPr/>
        <w:t>Pour la présentation du programme des études d’exécution, le Responsable des études et des méthodes d’exécution sera l’unique interlocuteur du Maître d’</w:t>
      </w:r>
      <w:r>
        <w:rPr>
          <w:rFonts w:ascii="Calibri" w:hAnsi="Calibri"/>
        </w:rPr>
        <w:t>Œ</w:t>
      </w:r>
      <w:r>
        <w:rPr/>
        <w:t>uvre.</w:t>
      </w:r>
    </w:p>
    <w:p>
      <w:pPr>
        <w:pStyle w:val="Titre3"/>
        <w:rPr/>
      </w:pPr>
      <w:bookmarkStart w:id="970" w:name="_Toc32334863"/>
      <w:bookmarkStart w:id="971" w:name="_Toc430104028"/>
      <w:bookmarkStart w:id="972" w:name="_Toc422843736"/>
      <w:bookmarkStart w:id="973" w:name="_Toc419980487"/>
      <w:r>
        <w:rPr/>
        <w:t>Réunions d’études</w:t>
      </w:r>
      <w:bookmarkEnd w:id="970"/>
      <w:bookmarkEnd w:id="971"/>
      <w:bookmarkEnd w:id="972"/>
      <w:bookmarkEnd w:id="973"/>
    </w:p>
    <w:p>
      <w:pPr>
        <w:pStyle w:val="F1"/>
        <w:rPr/>
      </w:pPr>
      <w:r>
        <w:rPr/>
      </w:r>
    </w:p>
    <w:p>
      <w:pPr>
        <w:pStyle w:val="F1"/>
        <w:rPr/>
      </w:pPr>
      <w:r>
        <w:rPr/>
        <w:t>Des réunions d’études seront organisées toutes les semaines pendant toute la phase de mise au point des plans de méthodes et d’exécution. Elles se tiendront de préférence sur site (dans chaque PCTT), à Créteil dans les locaux du Maître d’Ouvrage ou à Paris dans les bureaux de la conduite d’opération. Pour les réunions de chantier, l’entreprise en charge des travaux devra mettre à disposition une salle de réunion dans les installations de chantier.</w:t>
      </w:r>
    </w:p>
    <w:p>
      <w:pPr>
        <w:pStyle w:val="Titre3"/>
        <w:rPr/>
      </w:pPr>
      <w:bookmarkStart w:id="974" w:name="_Toc32334864"/>
      <w:bookmarkStart w:id="975" w:name="_Toc430104029"/>
      <w:bookmarkStart w:id="976" w:name="_Toc422843737"/>
      <w:bookmarkStart w:id="977" w:name="_Toc419980488"/>
      <w:r>
        <w:rPr/>
        <w:t>Programme des études d’exécution</w:t>
      </w:r>
      <w:bookmarkEnd w:id="974"/>
      <w:bookmarkEnd w:id="975"/>
      <w:bookmarkEnd w:id="976"/>
      <w:bookmarkEnd w:id="977"/>
    </w:p>
    <w:p>
      <w:pPr>
        <w:pStyle w:val="Titre4"/>
        <w:rPr/>
      </w:pPr>
      <w:bookmarkStart w:id="978" w:name="_Toc409021138"/>
      <w:bookmarkStart w:id="979" w:name="_Toc32334865"/>
      <w:bookmarkStart w:id="980" w:name="_Toc430104030"/>
      <w:bookmarkStart w:id="981" w:name="_Toc422843738"/>
      <w:bookmarkStart w:id="982" w:name="_Toc419980489"/>
      <w:bookmarkEnd w:id="978"/>
      <w:r>
        <w:rPr/>
        <w:t>Généralités</w:t>
      </w:r>
      <w:bookmarkEnd w:id="979"/>
      <w:bookmarkEnd w:id="980"/>
      <w:bookmarkEnd w:id="981"/>
      <w:bookmarkEnd w:id="982"/>
    </w:p>
    <w:p>
      <w:pPr>
        <w:pStyle w:val="F1"/>
        <w:spacing w:before="0" w:after="0"/>
        <w:rPr/>
      </w:pPr>
      <w:r>
        <w:rPr/>
      </w:r>
    </w:p>
    <w:p>
      <w:pPr>
        <w:pStyle w:val="F1"/>
        <w:rPr/>
      </w:pPr>
      <w:r>
        <w:rPr/>
        <w:t>Lors de la période de préparation, l’Entrepreneur fournira, une liste prévisionnelle des documents d’exécution qu’il doit réaliser au cours de ses études ainsi qu’un programme des études et des procédures d’exécution. L’entrepreneur établira le calendrier prévisionnel de remise des documents sous la forme d’un diagramme à barres faisant ressortir tous les chemins critiques et toutes les marges et tenant compte de l’enchaînement a minima des tâches suivantes :</w:t>
      </w:r>
    </w:p>
    <w:p>
      <w:pPr>
        <w:pStyle w:val="F1"/>
        <w:numPr>
          <w:ilvl w:val="0"/>
          <w:numId w:val="38"/>
        </w:numPr>
        <w:rPr/>
      </w:pPr>
      <w:r>
        <w:rPr/>
        <w:t>Les études d’exécution ;</w:t>
      </w:r>
    </w:p>
    <w:p>
      <w:pPr>
        <w:pStyle w:val="F1"/>
        <w:numPr>
          <w:ilvl w:val="0"/>
          <w:numId w:val="38"/>
        </w:numPr>
        <w:rPr/>
      </w:pPr>
      <w:r>
        <w:rPr/>
        <w:t>Les contrôles intérieurs de l’Entrepreneur ;</w:t>
      </w:r>
    </w:p>
    <w:p>
      <w:pPr>
        <w:pStyle w:val="F1"/>
        <w:numPr>
          <w:ilvl w:val="0"/>
          <w:numId w:val="38"/>
        </w:numPr>
        <w:rPr/>
      </w:pPr>
      <w:r>
        <w:rPr/>
        <w:t>Les contrôles du Maître d’</w:t>
      </w:r>
      <w:r>
        <w:rPr>
          <w:rFonts w:ascii="Calibri" w:hAnsi="Calibri"/>
        </w:rPr>
        <w:t>Œ</w:t>
      </w:r>
      <w:r>
        <w:rPr/>
        <w:t>uvre et du Contrôleur technique ;</w:t>
      </w:r>
    </w:p>
    <w:p>
      <w:pPr>
        <w:pStyle w:val="F1"/>
        <w:numPr>
          <w:ilvl w:val="0"/>
          <w:numId w:val="38"/>
        </w:numPr>
        <w:rPr/>
      </w:pPr>
      <w:r>
        <w:rPr/>
        <w:t>Les reprises éventuelles ;</w:t>
      </w:r>
    </w:p>
    <w:p>
      <w:pPr>
        <w:pStyle w:val="F1"/>
        <w:numPr>
          <w:ilvl w:val="0"/>
          <w:numId w:val="38"/>
        </w:numPr>
        <w:rPr/>
      </w:pPr>
      <w:r>
        <w:rPr/>
        <w:t>La préparation des travaux ;</w:t>
      </w:r>
    </w:p>
    <w:p>
      <w:pPr>
        <w:pStyle w:val="F1"/>
        <w:numPr>
          <w:ilvl w:val="0"/>
          <w:numId w:val="38"/>
        </w:numPr>
        <w:rPr/>
      </w:pPr>
      <w:r>
        <w:rPr/>
        <w:t>L’exécution des travaux, en cohérence avec le planning général des travaux.</w:t>
      </w:r>
    </w:p>
    <w:p>
      <w:pPr>
        <w:pStyle w:val="F1"/>
        <w:rPr/>
      </w:pPr>
      <w:r>
        <w:rPr/>
        <w:t>Le programme des études et des méthodes d’exécution fera l’objet de mises à jour successives en fonction de l’avancement des travaux.</w:t>
      </w:r>
    </w:p>
    <w:p>
      <w:pPr>
        <w:pStyle w:val="F1"/>
        <w:rPr/>
      </w:pPr>
      <w:r>
        <w:rPr/>
        <w:t>Le visa ou l’avis du Maître d’Œuvre sera donné phase par phase.</w:t>
      </w:r>
    </w:p>
    <w:p>
      <w:pPr>
        <w:pStyle w:val="F1"/>
        <w:rPr/>
      </w:pPr>
      <w:r>
        <w:rPr/>
        <w:t>Si l’un des documents énumérés dans la liste n’est pas fourni, le visa des documents de la phase concernée ne sera pas donné par le Maître d’Œuvre. Le retard en découlant est à la charge de l’Entrepreneur.</w:t>
      </w:r>
    </w:p>
    <w:p>
      <w:pPr>
        <w:pStyle w:val="F1"/>
        <w:rPr/>
      </w:pPr>
      <w:r>
        <w:rPr/>
        <w:t>Une réunion préliminaire de coordination, dite de « démarrage des études », permettra au Bureau d’Etudes d’exécution de commencer l’élaboration documents d’études.</w:t>
      </w:r>
    </w:p>
    <w:p>
      <w:pPr>
        <w:pStyle w:val="Titre4"/>
        <w:rPr/>
      </w:pPr>
      <w:bookmarkStart w:id="983" w:name="_Toc32334866"/>
      <w:bookmarkStart w:id="984" w:name="_Toc430104031"/>
      <w:bookmarkStart w:id="985" w:name="_Toc422843739"/>
      <w:bookmarkStart w:id="986" w:name="_Toc419980490"/>
      <w:r>
        <w:rPr/>
        <w:t>Phasage des études</w:t>
      </w:r>
      <w:bookmarkEnd w:id="983"/>
      <w:bookmarkEnd w:id="984"/>
      <w:bookmarkEnd w:id="985"/>
      <w:bookmarkEnd w:id="986"/>
    </w:p>
    <w:p>
      <w:pPr>
        <w:pStyle w:val="F1"/>
        <w:spacing w:before="0" w:after="0"/>
        <w:rPr/>
      </w:pPr>
      <w:r>
        <w:rPr/>
      </w:r>
    </w:p>
    <w:p>
      <w:pPr>
        <w:pStyle w:val="F1"/>
        <w:rPr/>
      </w:pPr>
      <w:r>
        <w:rPr/>
        <w:t>Les études d’exécution des ouvrages seront scindées en trois phases. Les détails d’organisation de l’étude seront définis dans le PAQ de l’Entrepreneur.</w:t>
      </w:r>
    </w:p>
    <w:p>
      <w:pPr>
        <w:pStyle w:val="F1"/>
        <w:rPr/>
      </w:pPr>
      <w:r>
        <w:rPr/>
        <w:t>Tous les documents d’exécution devront impérativement être présentés dans l’ordre des phases d’études suivantes :</w:t>
      </w:r>
    </w:p>
    <w:p>
      <w:pPr>
        <w:pStyle w:val="F1"/>
        <w:numPr>
          <w:ilvl w:val="0"/>
          <w:numId w:val="38"/>
        </w:numPr>
        <w:jc w:val="left"/>
        <w:rPr/>
      </w:pPr>
      <w:r>
        <w:rPr/>
        <w:t>Phase 1 : Programme prévisionnel et coordination ;</w:t>
      </w:r>
    </w:p>
    <w:p>
      <w:pPr>
        <w:pStyle w:val="F1"/>
        <w:numPr>
          <w:ilvl w:val="0"/>
          <w:numId w:val="38"/>
        </w:numPr>
        <w:jc w:val="left"/>
        <w:rPr/>
      </w:pPr>
      <w:r>
        <w:rPr/>
        <w:t>Phase 2 : Dimensionnement, définition détaillée des ouvrages et plans d’exécution des travaux ;</w:t>
      </w:r>
    </w:p>
    <w:p>
      <w:pPr>
        <w:pStyle w:val="F1"/>
        <w:numPr>
          <w:ilvl w:val="0"/>
          <w:numId w:val="38"/>
        </w:numPr>
        <w:jc w:val="left"/>
        <w:rPr/>
      </w:pPr>
      <w:r>
        <w:rPr/>
        <w:t>Phase 3 : Dossier de récolement.</w:t>
      </w:r>
    </w:p>
    <w:p>
      <w:pPr>
        <w:pStyle w:val="Titre5"/>
        <w:rPr/>
      </w:pPr>
      <w:r>
        <w:rPr/>
        <w:t>1ère phase : Programme prévisionnel et coordination</w:t>
      </w:r>
    </w:p>
    <w:p>
      <w:pPr>
        <w:pStyle w:val="F1"/>
        <w:spacing w:before="0" w:after="0"/>
        <w:rPr/>
      </w:pPr>
      <w:r>
        <w:rPr/>
      </w:r>
    </w:p>
    <w:p>
      <w:pPr>
        <w:pStyle w:val="F1"/>
        <w:rPr/>
      </w:pPr>
      <w:r>
        <w:rPr/>
        <w:t>L’Entrepreneur devra soumettre à l’acceptation du Maître d’Œuvre les éléments listés ci-après :</w:t>
      </w:r>
    </w:p>
    <w:p>
      <w:pPr>
        <w:pStyle w:val="F1"/>
        <w:numPr>
          <w:ilvl w:val="0"/>
          <w:numId w:val="40"/>
        </w:numPr>
        <w:rPr/>
      </w:pPr>
      <w:r>
        <w:rPr/>
        <w:t>La liste prévisionnelle des notes de calculs et des plans avec leur date prévisionnelle de remise conformément au programme des études ;</w:t>
      </w:r>
    </w:p>
    <w:p>
      <w:pPr>
        <w:pStyle w:val="F1"/>
        <w:numPr>
          <w:ilvl w:val="0"/>
          <w:numId w:val="40"/>
        </w:numPr>
        <w:rPr/>
      </w:pPr>
      <w:r>
        <w:rPr/>
        <w:t>Les propositions techniques éventuelles nécessaires pour compléter les indications des documents contractuels du Marché ;</w:t>
      </w:r>
    </w:p>
    <w:p>
      <w:pPr>
        <w:pStyle w:val="F1"/>
        <w:numPr>
          <w:ilvl w:val="0"/>
          <w:numId w:val="40"/>
        </w:numPr>
        <w:rPr/>
      </w:pPr>
      <w:r>
        <w:rPr/>
        <w:t>Un rapport sur la méthodologie d’exécution des travaux explicitant l’enchaînement des tâches et les contraintes particulières ;</w:t>
      </w:r>
    </w:p>
    <w:p>
      <w:pPr>
        <w:pStyle w:val="F1"/>
        <w:numPr>
          <w:ilvl w:val="0"/>
          <w:numId w:val="40"/>
        </w:numPr>
        <w:rPr/>
      </w:pPr>
      <w:r>
        <w:rPr/>
        <w:t>Le PAQ du Bureau d’Etudes d’Exécution :</w:t>
      </w:r>
    </w:p>
    <w:p>
      <w:pPr>
        <w:pStyle w:val="F1"/>
        <w:ind w:left="708" w:hanging="0"/>
        <w:rPr/>
      </w:pPr>
      <w:r>
        <w:rPr/>
        <w:t>Il sera régulièrement mis à jour au fur et à mesure du déroulement du chantier ;</w:t>
      </w:r>
    </w:p>
    <w:p>
      <w:pPr>
        <w:pStyle w:val="F1"/>
        <w:ind w:left="708" w:hanging="0"/>
        <w:rPr/>
      </w:pPr>
      <w:r>
        <w:rPr/>
        <w:t>Il devra intégrer le PAQ d’éventuels bureaux d’études sous-traitants.</w:t>
      </w:r>
    </w:p>
    <w:p>
      <w:pPr>
        <w:pStyle w:val="F1"/>
        <w:numPr>
          <w:ilvl w:val="0"/>
          <w:numId w:val="40"/>
        </w:numPr>
        <w:rPr/>
      </w:pPr>
      <w:r>
        <w:rPr/>
        <w:t>Le calendrier détaillé de réalisation des études d’exécution, appelé « planning Etudes/Travaux », en isolant les phases d’études correspondant aux phases principales de travaux :</w:t>
      </w:r>
    </w:p>
    <w:p>
      <w:pPr>
        <w:pStyle w:val="F1"/>
        <w:ind w:left="708" w:hanging="0"/>
        <w:rPr/>
      </w:pPr>
      <w:r>
        <w:rPr/>
        <w:t>Le calendrier devra clairement faire apparaître :</w:t>
      </w:r>
    </w:p>
    <w:p>
      <w:pPr>
        <w:pStyle w:val="F1"/>
        <w:numPr>
          <w:ilvl w:val="0"/>
          <w:numId w:val="45"/>
        </w:numPr>
        <w:rPr/>
      </w:pPr>
      <w:r>
        <w:rPr/>
        <w:t>Pour les études, la période d’élaboration par le Bureau d’Etudes de l’Entrepreneur, la date d’envoi des pièces au Maître d’Œuvre, la période de contrôle et la date prévisionnelle prévue ou souhaitée pour l’obtention du visa ;</w:t>
      </w:r>
    </w:p>
    <w:p>
      <w:pPr>
        <w:pStyle w:val="F1"/>
        <w:numPr>
          <w:ilvl w:val="0"/>
          <w:numId w:val="45"/>
        </w:numPr>
        <w:rPr/>
      </w:pPr>
      <w:r>
        <w:rPr/>
        <w:t>Pour les travaux, la date de début d’exécution des phases provisoires et définitves et leurs durées ;</w:t>
      </w:r>
    </w:p>
    <w:p>
      <w:pPr>
        <w:pStyle w:val="F1"/>
        <w:ind w:left="720" w:hanging="0"/>
        <w:rPr/>
      </w:pPr>
      <w:r>
        <w:rPr/>
        <w:t>Et ce, dans le respect des délais contractuels, tant en ce qui concerne l’enchaînement des plans que la mise à jour du calendrier.</w:t>
      </w:r>
    </w:p>
    <w:p>
      <w:pPr>
        <w:pStyle w:val="F1"/>
        <w:numPr>
          <w:ilvl w:val="0"/>
          <w:numId w:val="39"/>
        </w:numPr>
        <w:rPr/>
      </w:pPr>
      <w:r>
        <w:rPr/>
        <w:t>Le dossier issu de la reconnaissance approfondie des installations existantes ;</w:t>
      </w:r>
    </w:p>
    <w:p>
      <w:pPr>
        <w:pStyle w:val="F1"/>
        <w:numPr>
          <w:ilvl w:val="0"/>
          <w:numId w:val="39"/>
        </w:numPr>
        <w:rPr/>
      </w:pPr>
      <w:r>
        <w:rPr/>
        <w:t>Le projet des installations de chantier ;</w:t>
      </w:r>
    </w:p>
    <w:p>
      <w:pPr>
        <w:pStyle w:val="F1"/>
        <w:numPr>
          <w:ilvl w:val="0"/>
          <w:numId w:val="39"/>
        </w:numPr>
        <w:rPr/>
      </w:pPr>
      <w:r>
        <w:rPr/>
        <w:t>Les PPSPS des intervenants ;</w:t>
      </w:r>
    </w:p>
    <w:p>
      <w:pPr>
        <w:pStyle w:val="F1"/>
        <w:numPr>
          <w:ilvl w:val="0"/>
          <w:numId w:val="39"/>
        </w:numPr>
        <w:rPr/>
      </w:pPr>
      <w:r>
        <w:rPr/>
        <w:t>Les fiches produit et la présentation des échantillons ;</w:t>
      </w:r>
    </w:p>
    <w:p>
      <w:pPr>
        <w:pStyle w:val="F1"/>
        <w:numPr>
          <w:ilvl w:val="0"/>
          <w:numId w:val="39"/>
        </w:numPr>
        <w:rPr/>
      </w:pPr>
      <w:r>
        <w:rPr/>
        <w:t>Le sommaire type et le contenu du dossier de récolement ;</w:t>
      </w:r>
    </w:p>
    <w:p>
      <w:pPr>
        <w:pStyle w:val="Titre5"/>
        <w:rPr/>
      </w:pPr>
      <w:r>
        <w:rPr/>
        <w:t>2ème phase : Dimensionnement, définition détaillée des ouvrages et plans d’exécution des travaux</w:t>
      </w:r>
    </w:p>
    <w:p>
      <w:pPr>
        <w:pStyle w:val="F1"/>
        <w:spacing w:before="0" w:after="0"/>
        <w:rPr/>
      </w:pPr>
      <w:r>
        <w:rPr/>
      </w:r>
    </w:p>
    <w:p>
      <w:pPr>
        <w:pStyle w:val="F1"/>
        <w:rPr/>
      </w:pPr>
      <w:r>
        <w:rPr/>
        <w:t>L’Entrepreneur devra soumettre à l’acceptation du Maître d’Œuvre les éléments suivants :</w:t>
      </w:r>
    </w:p>
    <w:p>
      <w:pPr>
        <w:pStyle w:val="F1"/>
        <w:numPr>
          <w:ilvl w:val="0"/>
          <w:numId w:val="28"/>
        </w:numPr>
        <w:rPr/>
      </w:pPr>
      <w:r>
        <w:rPr/>
        <w:t>Les notes de calculs justifiant la stabilité et la résistance des ouvrages ;</w:t>
      </w:r>
    </w:p>
    <w:p>
      <w:pPr>
        <w:pStyle w:val="F1"/>
        <w:numPr>
          <w:ilvl w:val="0"/>
          <w:numId w:val="28"/>
        </w:numPr>
        <w:rPr/>
      </w:pPr>
      <w:r>
        <w:rPr/>
        <w:t>Les nomenclatures des matériels et des matériaux ;</w:t>
      </w:r>
    </w:p>
    <w:p>
      <w:pPr>
        <w:pStyle w:val="F1"/>
        <w:numPr>
          <w:ilvl w:val="0"/>
          <w:numId w:val="28"/>
        </w:numPr>
        <w:rPr/>
      </w:pPr>
      <w:r>
        <w:rPr/>
        <w:t>Les méthodes de transfert des systèmes informatiques et des équipements dans les phases provisoires et définitives ;</w:t>
      </w:r>
    </w:p>
    <w:p>
      <w:pPr>
        <w:pStyle w:val="F1"/>
        <w:numPr>
          <w:ilvl w:val="0"/>
          <w:numId w:val="28"/>
        </w:numPr>
        <w:rPr/>
      </w:pPr>
      <w:r>
        <w:rPr/>
        <w:t>Les méthodes de remplacement des TGBT et des installations électriques;</w:t>
      </w:r>
    </w:p>
    <w:p>
      <w:pPr>
        <w:pStyle w:val="F1"/>
        <w:numPr>
          <w:ilvl w:val="0"/>
          <w:numId w:val="28"/>
        </w:numPr>
        <w:rPr/>
      </w:pPr>
      <w:r>
        <w:rPr/>
        <w:t>Les fiches produit des mobiliers y compris la présentation des échantillons ;</w:t>
      </w:r>
    </w:p>
    <w:p>
      <w:pPr>
        <w:pStyle w:val="F1"/>
        <w:numPr>
          <w:ilvl w:val="0"/>
          <w:numId w:val="28"/>
        </w:numPr>
        <w:rPr/>
      </w:pPr>
      <w:r>
        <w:rPr/>
        <w:t>Les fiches produit des matériaux et équipements y compris la présentation des échantillons ;</w:t>
      </w:r>
    </w:p>
    <w:p>
      <w:pPr>
        <w:pStyle w:val="F1"/>
        <w:numPr>
          <w:ilvl w:val="0"/>
          <w:numId w:val="28"/>
        </w:numPr>
        <w:rPr/>
      </w:pPr>
      <w:r>
        <w:rPr/>
        <w:t>Les cahiers de tests des différents systèmes ;</w:t>
      </w:r>
    </w:p>
    <w:p>
      <w:pPr>
        <w:pStyle w:val="F1"/>
        <w:numPr>
          <w:ilvl w:val="0"/>
          <w:numId w:val="28"/>
        </w:numPr>
        <w:rPr/>
      </w:pPr>
      <w:r>
        <w:rPr/>
        <w:t>Les carnets de câbles ;</w:t>
      </w:r>
    </w:p>
    <w:p>
      <w:pPr>
        <w:pStyle w:val="P1"/>
        <w:numPr>
          <w:ilvl w:val="0"/>
          <w:numId w:val="28"/>
        </w:numPr>
        <w:tabs>
          <w:tab w:val="clear" w:pos="8789"/>
        </w:tabs>
        <w:spacing w:before="0" w:after="120"/>
        <w:ind w:left="714" w:hanging="357"/>
        <w:rPr>
          <w:lang w:val="fr-FR"/>
        </w:rPr>
      </w:pPr>
      <w:r>
        <w:rPr>
          <w:lang w:val="fr-FR"/>
        </w:rPr>
        <w:t>La fourniture en temps utile des notices techniques des produits utilisés ;</w:t>
      </w:r>
    </w:p>
    <w:p>
      <w:pPr>
        <w:pStyle w:val="P1"/>
        <w:numPr>
          <w:ilvl w:val="0"/>
          <w:numId w:val="28"/>
        </w:numPr>
        <w:tabs>
          <w:tab w:val="clear" w:pos="8789"/>
        </w:tabs>
        <w:spacing w:before="0" w:after="120"/>
        <w:ind w:left="714" w:hanging="357"/>
        <w:rPr>
          <w:lang w:val="fr-FR"/>
        </w:rPr>
      </w:pPr>
      <w:r>
        <w:rPr>
          <w:lang w:val="fr-FR"/>
        </w:rPr>
        <w:t>Une attestation de mise en œuvre des matériels et matériaux spécifiant la localisation sur plans, le degré de réaction ou de résistance au feu et la référence du P.V. d’essai ou marquage C.E ;</w:t>
      </w:r>
    </w:p>
    <w:p>
      <w:pPr>
        <w:pStyle w:val="P1"/>
        <w:numPr>
          <w:ilvl w:val="0"/>
          <w:numId w:val="28"/>
        </w:numPr>
        <w:tabs>
          <w:tab w:val="clear" w:pos="8789"/>
        </w:tabs>
        <w:spacing w:before="0" w:after="120"/>
        <w:ind w:left="714" w:hanging="357"/>
        <w:rPr>
          <w:lang w:val="fr-FR"/>
        </w:rPr>
      </w:pPr>
      <w:r>
        <w:rPr>
          <w:lang w:val="fr-FR"/>
        </w:rPr>
        <w:t>L’établissement des NIP.</w:t>
      </w:r>
    </w:p>
    <w:p>
      <w:pPr>
        <w:pStyle w:val="P1"/>
        <w:numPr>
          <w:ilvl w:val="0"/>
          <w:numId w:val="20"/>
        </w:numPr>
        <w:spacing w:before="200" w:after="120"/>
        <w:rPr/>
      </w:pPr>
      <w:r>
        <w:rPr/>
        <w:t>Les dossiers graphiques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Dossier de plans de masse et de situation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Dossier de plans du 1</w:t>
      </w:r>
      <w:r>
        <w:rPr>
          <w:rFonts w:eastAsia="Calibri" w:eastAsiaTheme="minorHAnsi"/>
          <w:vertAlign w:val="superscript"/>
          <w:lang w:eastAsia="en-US"/>
        </w:rPr>
        <w:t>er</w:t>
      </w:r>
      <w:r>
        <w:rPr>
          <w:rFonts w:eastAsia="Calibri" w:eastAsiaTheme="minorHAnsi"/>
          <w:lang w:eastAsia="en-US"/>
        </w:rPr>
        <w:t xml:space="preserve"> niveau au 1/50éme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Structure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Plans des structures reprises au 1/50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Caractéristique des ouvrages et localisation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Coupes et détails 1/50 ou 1/20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Clos et couvert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Dossier de plans des façades au 1/50</w:t>
      </w:r>
      <w:r>
        <w:rPr>
          <w:rFonts w:eastAsia="Calibri" w:eastAsiaTheme="minorHAnsi"/>
          <w:vertAlign w:val="superscript"/>
          <w:lang w:eastAsia="en-US"/>
        </w:rPr>
        <w:t> </w:t>
      </w:r>
      <w:r>
        <w:rPr>
          <w:rFonts w:eastAsia="Calibri" w:eastAsiaTheme="minorHAnsi"/>
          <w:lang w:eastAsia="en-US"/>
        </w:rPr>
        <w:t>;</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Coupes et détails des façades 1/50 ou 1/20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Plans généraux de repérage au 1/50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Aménagements intérieurs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Plans des aménagements intérieurs au 1/50 comprenant : Cloisons, menuiseries intérieures, faux plafonds, faux planchers, revêtements muraux et sols, serrureries intérieures, peintures, équipement mobilier intégré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Installations d’accueil temporaire 24h /24 pendant la durée des travaux : Cloisons, menuiseries intérieures, faux plafonds, faux planchers, revêtements muraux et sols, serrureries intérieures, peintures, équipement mobilier intégré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Equipements thermiques, ventilation et désenfumage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Plans d’équipement thermiques de ventilation et de désenfumage au 1/50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Schémas généraux de la climatisation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Plans de tracés des gaines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Plan de principe de positionnement des équipements et locaux techniques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 xml:space="preserve">Plan d’implantation des terminaux ;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Plomberie et sanitaires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tracé des principaux réseaux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plan d’implantation des matériels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Electricité, Eclairage et Courants faibles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schéma d’architecture HT/BT de l’installation existante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schéma d’architecture HT/BT de l’installation provisoire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schéma d’architecture HT/BT de l’installation définitive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Les plans d’implantation des armoires électriques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Les tracés des chemins de câbles courant fort et courant faible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L’implantation des équipements dans les locaux (prises de courant, centrale SSI, équipements SSI, contrôle d’accès, téléphones, …)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L’implantation de l’installation d’éclairage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Appareils élévateurs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plan de positionnement avec définition des encombrements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Coupes et détails 1/50 ou 1/20 ;</w:t>
      </w:r>
    </w:p>
    <w:p>
      <w:pPr>
        <w:pStyle w:val="P2"/>
        <w:numPr>
          <w:ilvl w:val="1"/>
          <w:numId w:val="20"/>
        </w:numPr>
        <w:spacing w:before="120" w:after="120"/>
        <w:ind w:left="1434" w:hanging="357"/>
        <w:rPr>
          <w:rFonts w:eastAsia="Calibri" w:eastAsiaTheme="minorHAnsi"/>
          <w:lang w:eastAsia="en-US"/>
        </w:rPr>
      </w:pPr>
      <w:r>
        <w:rPr>
          <w:rFonts w:eastAsia="Calibri" w:eastAsiaTheme="minorHAnsi"/>
          <w:lang w:eastAsia="en-US"/>
        </w:rPr>
        <w:t>Mobiliers :</w:t>
      </w:r>
    </w:p>
    <w:p>
      <w:pPr>
        <w:pStyle w:val="F3"/>
        <w:ind w:left="1418" w:hanging="0"/>
        <w:rPr/>
      </w:pPr>
      <w:r>
        <w:rPr/>
        <w:t>Les plans des mobiliers au 1/20eme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 plan de repérage de leur emplacement et encombrement précis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Les plans de détail spécifique de conception ;</w:t>
      </w:r>
    </w:p>
    <w:p>
      <w:pPr>
        <w:pStyle w:val="P2"/>
        <w:numPr>
          <w:ilvl w:val="0"/>
          <w:numId w:val="29"/>
        </w:numPr>
        <w:spacing w:before="120" w:after="120"/>
        <w:ind w:left="1843" w:hanging="142"/>
        <w:rPr>
          <w:rFonts w:eastAsia="Calibri" w:eastAsiaTheme="minorHAnsi"/>
          <w:lang w:eastAsia="en-US"/>
        </w:rPr>
      </w:pPr>
      <w:r>
        <w:rPr>
          <w:rFonts w:eastAsia="Calibri" w:eastAsiaTheme="minorHAnsi"/>
          <w:lang w:eastAsia="en-US"/>
        </w:rPr>
        <w:t>Pour les installations provisoires pour un fonctionnement 24h/24 pendant les travaux :</w:t>
      </w:r>
    </w:p>
    <w:p>
      <w:pPr>
        <w:pStyle w:val="P2"/>
        <w:numPr>
          <w:ilvl w:val="0"/>
          <w:numId w:val="29"/>
        </w:numPr>
        <w:spacing w:before="120" w:after="120"/>
        <w:ind w:left="2552" w:hanging="142"/>
        <w:rPr>
          <w:rFonts w:eastAsia="Calibri" w:eastAsiaTheme="minorHAnsi"/>
          <w:lang w:eastAsia="en-US"/>
        </w:rPr>
      </w:pPr>
      <w:r>
        <w:rPr>
          <w:rFonts w:eastAsia="Calibri" w:eastAsiaTheme="minorHAnsi"/>
          <w:lang w:eastAsia="en-US"/>
        </w:rPr>
        <w:t>Les plans de repérage de leur emplacement et encombrement précis ;</w:t>
      </w:r>
    </w:p>
    <w:p>
      <w:pPr>
        <w:pStyle w:val="P2"/>
        <w:numPr>
          <w:ilvl w:val="0"/>
          <w:numId w:val="29"/>
        </w:numPr>
        <w:spacing w:before="120" w:after="120"/>
        <w:ind w:left="2552" w:hanging="142"/>
        <w:rPr>
          <w:rFonts w:eastAsia="Calibri" w:eastAsiaTheme="minorHAnsi"/>
          <w:lang w:eastAsia="en-US"/>
        </w:rPr>
      </w:pPr>
      <w:r>
        <w:rPr>
          <w:rFonts w:eastAsia="Calibri" w:eastAsiaTheme="minorHAnsi"/>
          <w:lang w:eastAsia="en-US"/>
        </w:rPr>
        <w:t>Les plans des détails spécifiques de conception.</w:t>
      </w:r>
    </w:p>
    <w:p>
      <w:pPr>
        <w:pStyle w:val="Titre5"/>
        <w:rPr/>
      </w:pPr>
      <w:r>
        <w:rPr/>
        <w:t>3ème phase : Dossier de récolement</w:t>
      </w:r>
    </w:p>
    <w:p>
      <w:pPr>
        <w:pStyle w:val="F1"/>
        <w:spacing w:before="0" w:after="0"/>
        <w:rPr/>
      </w:pPr>
      <w:r>
        <w:rPr/>
      </w:r>
    </w:p>
    <w:p>
      <w:pPr>
        <w:pStyle w:val="F1"/>
        <w:rPr/>
      </w:pPr>
      <w:r>
        <w:rPr/>
        <w:t>Cette phase devra être anticipée dès la période de préparation du chantier.</w:t>
      </w:r>
    </w:p>
    <w:p>
      <w:pPr>
        <w:pStyle w:val="F1"/>
        <w:rPr/>
      </w:pPr>
      <w:r>
        <w:rPr/>
        <w:t xml:space="preserve">Avec une réelle volonté d'homogénéiser et d'améliorer la qualité de la documentation technique des installations qu'elle gère, la DiRIF s'est constitué un ensemble de spécifications applicables à la documentation et à sa gestion. </w:t>
      </w:r>
    </w:p>
    <w:p>
      <w:pPr>
        <w:pStyle w:val="F1"/>
        <w:rPr/>
      </w:pPr>
      <w:r>
        <w:rPr/>
        <w:t>La documentation fournie devra respecter le cadre documentaire de la médiathèque de la DiRIF en vigueur au moment de l'intégration et du traitement de la documentation, selon les dispositions du présent CCTP et de ses annexes.</w:t>
      </w:r>
    </w:p>
    <w:p>
      <w:pPr>
        <w:pStyle w:val="Titre3"/>
        <w:keepNext w:val="false"/>
        <w:tabs>
          <w:tab w:val="clear" w:pos="0"/>
          <w:tab w:val="clear" w:pos="8789"/>
          <w:tab w:val="left" w:pos="992" w:leader="none"/>
        </w:tabs>
        <w:spacing w:before="240" w:after="240"/>
        <w:ind w:left="992" w:hanging="992"/>
        <w:jc w:val="both"/>
        <w:rPr/>
      </w:pPr>
      <w:bookmarkStart w:id="987" w:name="_Toc32334867"/>
      <w:bookmarkStart w:id="988" w:name="_Toc430104032"/>
      <w:bookmarkStart w:id="989" w:name="_Toc422843740"/>
      <w:bookmarkStart w:id="990" w:name="_Toc419980491"/>
      <w:r>
        <w:rPr/>
        <w:t>Gestion des documents</w:t>
      </w:r>
      <w:bookmarkEnd w:id="987"/>
      <w:bookmarkEnd w:id="988"/>
      <w:bookmarkEnd w:id="989"/>
      <w:bookmarkEnd w:id="990"/>
    </w:p>
    <w:p>
      <w:pPr>
        <w:pStyle w:val="Titre4"/>
        <w:keepNext w:val="false"/>
        <w:tabs>
          <w:tab w:val="clear" w:pos="0"/>
          <w:tab w:val="clear" w:pos="8789"/>
          <w:tab w:val="left" w:pos="1276" w:leader="none"/>
        </w:tabs>
        <w:spacing w:before="240" w:after="120"/>
        <w:ind w:left="1276" w:hanging="1276"/>
        <w:rPr/>
      </w:pPr>
      <w:bookmarkStart w:id="991" w:name="_Toc32334868"/>
      <w:bookmarkStart w:id="992" w:name="_Toc430104033"/>
      <w:bookmarkStart w:id="993" w:name="_Toc422843741"/>
      <w:bookmarkStart w:id="994" w:name="_Toc419980492"/>
      <w:r>
        <w:rPr/>
        <w:t>Circulation des documents</w:t>
      </w:r>
      <w:bookmarkEnd w:id="991"/>
      <w:bookmarkEnd w:id="992"/>
      <w:bookmarkEnd w:id="993"/>
      <w:bookmarkEnd w:id="994"/>
    </w:p>
    <w:p>
      <w:pPr>
        <w:pStyle w:val="F1"/>
        <w:rPr/>
      </w:pPr>
      <w:r>
        <w:rPr/>
        <w:t>Le circuit de transmission des documents sera confirmé lors de la réunion de démarrage des études.</w:t>
      </w:r>
    </w:p>
    <w:p>
      <w:pPr>
        <w:pStyle w:val="F1"/>
        <w:rPr/>
      </w:pPr>
      <w:r>
        <w:rPr/>
        <w:t>Les plans d’exécution sont établis par l’Entrepreneur et sont soumis, avec les notes de calculs correspondantes, au visa ou à l’observation du Maître d’Œuvre et du Contrôleur technique. L’ensemble de tous les documents constituant les études d’exécution seront remis au Maître d’Œuvre par groupes formant des parties d’études homogènes et contenant tous les éléments nécessaires à leur vérification.</w:t>
      </w:r>
    </w:p>
    <w:p>
      <w:pPr>
        <w:pStyle w:val="F1"/>
        <w:rPr/>
      </w:pPr>
      <w:r>
        <w:rPr/>
        <w:t>La date de remise des documents sera fonction du programme d’exécution, en tenant compte des délais nécessaires aux contrôles et aux modifications éventuelles.</w:t>
      </w:r>
    </w:p>
    <w:p>
      <w:pPr>
        <w:pStyle w:val="F1"/>
        <w:rPr/>
      </w:pPr>
      <w:r>
        <w:rPr/>
        <w:t>L’Entrepreneur transmet d’abord un premier envoi des documents d’exécution de chaque ouvrage ou installations aux intervenants suivants :</w:t>
      </w:r>
    </w:p>
    <w:p>
      <w:pPr>
        <w:pStyle w:val="F1"/>
        <w:numPr>
          <w:ilvl w:val="0"/>
          <w:numId w:val="39"/>
        </w:numPr>
        <w:rPr/>
      </w:pPr>
      <w:r>
        <w:rPr/>
        <w:t>1 exemplaire au Maître d’Ouvrage ;</w:t>
      </w:r>
    </w:p>
    <w:p>
      <w:pPr>
        <w:pStyle w:val="F1"/>
        <w:numPr>
          <w:ilvl w:val="0"/>
          <w:numId w:val="39"/>
        </w:numPr>
        <w:rPr/>
      </w:pPr>
      <w:r>
        <w:rPr/>
        <w:t>1 exemplaire pour la Conduite d’Opération (COP) ;</w:t>
      </w:r>
    </w:p>
    <w:p>
      <w:pPr>
        <w:pStyle w:val="F1"/>
        <w:numPr>
          <w:ilvl w:val="0"/>
          <w:numId w:val="39"/>
        </w:numPr>
        <w:rPr/>
      </w:pPr>
      <w:r>
        <w:rPr/>
        <w:t>1 exemplaire à l’Exploitant ;</w:t>
      </w:r>
    </w:p>
    <w:p>
      <w:pPr>
        <w:pStyle w:val="F1"/>
        <w:numPr>
          <w:ilvl w:val="0"/>
          <w:numId w:val="39"/>
        </w:numPr>
        <w:rPr/>
      </w:pPr>
      <w:r>
        <w:rPr/>
        <w:t>1 exemplaire au Maître d’</w:t>
      </w:r>
      <w:r>
        <w:rPr>
          <w:rFonts w:ascii="Calibri" w:hAnsi="Calibri"/>
        </w:rPr>
        <w:t>Œ</w:t>
      </w:r>
      <w:r>
        <w:rPr/>
        <w:t>uvre ;</w:t>
      </w:r>
    </w:p>
    <w:p>
      <w:pPr>
        <w:pStyle w:val="F1"/>
        <w:numPr>
          <w:ilvl w:val="0"/>
          <w:numId w:val="39"/>
        </w:numPr>
        <w:rPr/>
      </w:pPr>
      <w:r>
        <w:rPr/>
        <w:t>1 exemplaire au Contrôleur Technique ;</w:t>
      </w:r>
    </w:p>
    <w:p>
      <w:pPr>
        <w:pStyle w:val="F1"/>
        <w:numPr>
          <w:ilvl w:val="0"/>
          <w:numId w:val="39"/>
        </w:numPr>
        <w:rPr/>
      </w:pPr>
      <w:r>
        <w:rPr/>
        <w:t>1 exemplaire au Coordonnateur Sécurité et Protection de la Santé (hors notes de calculs et plans d’exécution).</w:t>
      </w:r>
    </w:p>
    <w:p>
      <w:pPr>
        <w:pStyle w:val="F1"/>
        <w:rPr/>
      </w:pPr>
      <w:r>
        <w:rPr/>
        <w:t>En parallèle de cet envoi au format papier, l’Entrepreneur déposera les documents sur un site informatique dédié, de type armoire à plan électronique, dont il aura précédemment fourni au Maitre d’Ouvrage, à l’Exploitant, au Maitre d’</w:t>
      </w:r>
      <w:r>
        <w:rPr>
          <w:rFonts w:ascii="Calibri" w:hAnsi="Calibri"/>
        </w:rPr>
        <w:t>Œ</w:t>
      </w:r>
      <w:r>
        <w:rPr/>
        <w:t>uvre, à la conduite d’opération, au Contrôleur Technique et au Coordonnateur SPS les codes d’accès. Le format informatique (format reproductible) sera communiqué à l’Entrepreneur au démarrage de la période de préparation.</w:t>
      </w:r>
    </w:p>
    <w:p>
      <w:pPr>
        <w:pStyle w:val="F1"/>
        <w:rPr/>
      </w:pPr>
      <w:r>
        <w:rPr/>
        <w:t>Le Maître d’Œuvre ainsi que les autres intervenants ont un délai maximal de 7 jours après ce premier envoi de documents d’exécution pour retourner à l’Entrepreneur une note dans laquelle sont consignées ses observations. Aucun document d’exécution n’est annoté. Seuls des extraits peuvent être joints à la note. Le maître d’œuvre s’assurera de la cohérence des différents avis.</w:t>
      </w:r>
    </w:p>
    <w:p>
      <w:pPr>
        <w:pStyle w:val="F1"/>
        <w:rPr/>
      </w:pPr>
      <w:r>
        <w:rPr/>
        <w:t>Dans le cas d’un visa « avec observation », l’Entrepreneur dispose d’une semaine pour reprendre ses documents et les transmettre au Maître d’</w:t>
      </w:r>
      <w:r>
        <w:rPr>
          <w:rFonts w:ascii="Calibri" w:hAnsi="Calibri"/>
        </w:rPr>
        <w:t>Œ</w:t>
      </w:r>
      <w:r>
        <w:rPr/>
        <w:t>uvre et autres intervenants, qui disposent à leur tour de 7 jours pour réémettre une nouvelle note d’observations. Le cycle continue, avec des indices successifs des documents, tant que le visa « sans observation » n’a pas été délivré.</w:t>
      </w:r>
    </w:p>
    <w:p>
      <w:pPr>
        <w:pStyle w:val="F1"/>
        <w:rPr/>
      </w:pPr>
      <w:r>
        <w:rPr/>
        <w:t>Dans le cas d’un visa « refusé » (non-conforme : document ne permettant pas l’exécution et le suivi des travaux), le cycle complet sera réinitialisé. Les documents seront alors retournés selon les mêmes modalités que celles décrites ci-avant.</w:t>
      </w:r>
    </w:p>
    <w:p>
      <w:pPr>
        <w:pStyle w:val="F1"/>
        <w:rPr/>
      </w:pPr>
      <w:r>
        <w:rPr/>
        <w:t>En aucun cas l’Entrepreneur ne pourra réaliser des travaux si les documents transmis ne sont pas visés « sans observation » par le Maître d’Œuvre.</w:t>
      </w:r>
    </w:p>
    <w:p>
      <w:pPr>
        <w:pStyle w:val="F1"/>
        <w:rPr/>
      </w:pPr>
      <w:r>
        <w:rPr/>
        <w:t>Dans le cas d’un visa des documents d’exécution « sans observation », l’Entrepreneur les réémet à l’indice supérieur en apposant la mention « bon pour exécution ». Les plans ainsi visés sont ensuite transmis selon le principe suivant :</w:t>
      </w:r>
    </w:p>
    <w:p>
      <w:pPr>
        <w:pStyle w:val="F1"/>
        <w:numPr>
          <w:ilvl w:val="0"/>
          <w:numId w:val="39"/>
        </w:numPr>
        <w:rPr/>
      </w:pPr>
      <w:r>
        <w:rPr/>
        <w:t>1 exemplaire au Maître d’Ouvrage ;</w:t>
      </w:r>
    </w:p>
    <w:p>
      <w:pPr>
        <w:pStyle w:val="F1"/>
        <w:numPr>
          <w:ilvl w:val="0"/>
          <w:numId w:val="39"/>
        </w:numPr>
        <w:rPr/>
      </w:pPr>
      <w:r>
        <w:rPr/>
        <w:t>1 exemplaire pour le Maitre d’</w:t>
      </w:r>
      <w:r>
        <w:rPr>
          <w:rFonts w:ascii="Calibri" w:hAnsi="Calibri"/>
        </w:rPr>
        <w:t>Œ</w:t>
      </w:r>
      <w:r>
        <w:rPr/>
        <w:t>uvre ;</w:t>
      </w:r>
    </w:p>
    <w:p>
      <w:pPr>
        <w:pStyle w:val="F1"/>
        <w:numPr>
          <w:ilvl w:val="0"/>
          <w:numId w:val="39"/>
        </w:numPr>
        <w:rPr/>
      </w:pPr>
      <w:r>
        <w:rPr/>
        <w:t>1 exemplaire au Contrôleur Technique.</w:t>
      </w:r>
    </w:p>
    <w:p>
      <w:pPr>
        <w:pStyle w:val="F1"/>
        <w:numPr>
          <w:ilvl w:val="0"/>
          <w:numId w:val="39"/>
        </w:numPr>
        <w:rPr/>
      </w:pPr>
      <w:r>
        <w:rPr/>
        <w:t>1 exemplaire informatique déposé sur un site informatique dédié.</w:t>
      </w:r>
    </w:p>
    <w:p>
      <w:pPr>
        <w:pStyle w:val="F1"/>
        <w:rPr/>
      </w:pPr>
      <w:r>
        <w:rPr/>
        <w:t>Lorsque les notes de calculs font l’objet d’un « sans observation » de la part du Contrôleur Technique et du Maître d’</w:t>
      </w:r>
      <w:r>
        <w:rPr>
          <w:rFonts w:ascii="Calibri" w:hAnsi="Calibri"/>
        </w:rPr>
        <w:t>Œ</w:t>
      </w:r>
      <w:r>
        <w:rPr/>
        <w:t>uvre, l’Entrepreneur les transmet en 1 exemplaire au Maitre d’</w:t>
      </w:r>
      <w:r>
        <w:rPr>
          <w:rFonts w:ascii="Calibri" w:hAnsi="Calibri"/>
        </w:rPr>
        <w:t>Œ</w:t>
      </w:r>
      <w:r>
        <w:rPr/>
        <w:t>uvre.</w:t>
      </w:r>
    </w:p>
    <w:p>
      <w:pPr>
        <w:pStyle w:val="F1"/>
        <w:rPr/>
      </w:pPr>
      <w:r>
        <w:rPr/>
        <w:t>L'Entrepreneur tiendra à jour un tableau de suivi des documents en cours de contrôle, mentionnant pour chacun des indices successifs :</w:t>
      </w:r>
    </w:p>
    <w:p>
      <w:pPr>
        <w:pStyle w:val="F1"/>
        <w:numPr>
          <w:ilvl w:val="0"/>
          <w:numId w:val="39"/>
        </w:numPr>
        <w:rPr/>
      </w:pPr>
      <w:r>
        <w:rPr/>
        <w:t>La date d'établissement ;</w:t>
      </w:r>
    </w:p>
    <w:p>
      <w:pPr>
        <w:pStyle w:val="F1"/>
        <w:numPr>
          <w:ilvl w:val="0"/>
          <w:numId w:val="39"/>
        </w:numPr>
        <w:rPr/>
      </w:pPr>
      <w:r>
        <w:rPr/>
        <w:t>Les dates d'envoi au Maître d'</w:t>
      </w:r>
      <w:r>
        <w:rPr>
          <w:rFonts w:ascii="Calibri" w:hAnsi="Calibri"/>
        </w:rPr>
        <w:t>Œ</w:t>
      </w:r>
      <w:r>
        <w:rPr/>
        <w:t>uvre, au Contrôleur Technique et au Coordonnateur SPS ;</w:t>
      </w:r>
    </w:p>
    <w:p>
      <w:pPr>
        <w:pStyle w:val="F1"/>
        <w:numPr>
          <w:ilvl w:val="0"/>
          <w:numId w:val="39"/>
        </w:numPr>
        <w:rPr/>
      </w:pPr>
      <w:r>
        <w:rPr/>
        <w:t>Les dates de retour et les numéros des fiches de contrôle correspondants.</w:t>
      </w:r>
    </w:p>
    <w:p>
      <w:pPr>
        <w:pStyle w:val="F1"/>
        <w:numPr>
          <w:ilvl w:val="0"/>
          <w:numId w:val="39"/>
        </w:numPr>
        <w:rPr/>
      </w:pPr>
      <w:r>
        <w:rPr/>
        <w:t>L’Entrepreneur adressera régulièrement ce tableau au Maître d'</w:t>
      </w:r>
      <w:r>
        <w:rPr>
          <w:rFonts w:ascii="Calibri" w:hAnsi="Calibri"/>
        </w:rPr>
        <w:t>Œ</w:t>
      </w:r>
      <w:r>
        <w:rPr/>
        <w:t>uvre.</w:t>
      </w:r>
    </w:p>
    <w:p>
      <w:pPr>
        <w:pStyle w:val="F1"/>
        <w:rPr/>
      </w:pPr>
      <w:r>
        <w:rPr/>
        <w:t>L’Entrepreneur a, à sa charge, l’établissement et la mise à jour des fiches d’état navette des documents d’exécution destinées à préciser l’état d’avancement des études d’exécution et dont le modèle sera proposé par l’Entrepreneur à l’agrément du Maître d’Œuvre. La mise à jour de ces fiches se fera préalablement à chaque réunion de chantier.</w:t>
      </w:r>
    </w:p>
    <w:p>
      <w:pPr>
        <w:pStyle w:val="F1"/>
        <w:rPr/>
      </w:pPr>
      <w:r>
        <w:rPr/>
        <w:t>Toute transmission tardive de la part de l’Entrepreneur entraîne dans le planning général le décalage des travaux correspondants. Les éventuelles conséquences sur les délais d’exécution sont obligatoirement imputables à l’Entrepreneur.</w:t>
      </w:r>
    </w:p>
    <w:p>
      <w:pPr>
        <w:pStyle w:val="Titre4"/>
        <w:keepNext w:val="false"/>
        <w:tabs>
          <w:tab w:val="clear" w:pos="0"/>
          <w:tab w:val="clear" w:pos="8789"/>
          <w:tab w:val="left" w:pos="1276" w:leader="none"/>
        </w:tabs>
        <w:spacing w:before="240" w:after="120"/>
        <w:ind w:left="1276" w:hanging="1276"/>
        <w:rPr/>
      </w:pPr>
      <w:bookmarkStart w:id="995" w:name="_Toc32334869"/>
      <w:bookmarkStart w:id="996" w:name="_Toc430104034"/>
      <w:bookmarkStart w:id="997" w:name="_Toc422843742"/>
      <w:bookmarkStart w:id="998" w:name="_Toc419980493"/>
      <w:r>
        <w:rPr/>
        <w:t>Présentation des documents</w:t>
      </w:r>
      <w:bookmarkEnd w:id="995"/>
      <w:bookmarkEnd w:id="996"/>
      <w:bookmarkEnd w:id="997"/>
      <w:bookmarkEnd w:id="998"/>
    </w:p>
    <w:p>
      <w:pPr>
        <w:pStyle w:val="F1"/>
        <w:rPr/>
      </w:pPr>
      <w:r>
        <w:rPr/>
        <w:t xml:space="preserve">La présentation des documents respectera les spécifications documentaires de la DiRIF jointes en annexe. </w:t>
      </w:r>
    </w:p>
    <w:p>
      <w:pPr>
        <w:pStyle w:val="F1"/>
        <w:rPr/>
      </w:pPr>
      <w:r>
        <w:rPr/>
        <w:t xml:space="preserve">L'ensemble de ces documents sera rédigé en langue française, y compris les notices "constructeur" correspondant aux matériels importés. </w:t>
      </w:r>
    </w:p>
    <w:p>
      <w:pPr>
        <w:pStyle w:val="F1"/>
        <w:rPr/>
      </w:pPr>
      <w:r>
        <w:rPr/>
        <w:t>L'usage de la couleur est recommandé lorsqu'il contribue à l'amélioration de la lisibilité, par exemple dans les schémas ou plans dont les tracés multiples se chevauchent.</w:t>
      </w:r>
    </w:p>
    <w:p>
      <w:pPr>
        <w:pStyle w:val="F1"/>
        <w:numPr>
          <w:ilvl w:val="2"/>
          <w:numId w:val="41"/>
        </w:numPr>
        <w:rPr>
          <w:b/>
          <w:b/>
        </w:rPr>
      </w:pPr>
      <w:r>
        <w:rPr>
          <w:b/>
        </w:rPr>
        <w:t>Formats des documents</w:t>
      </w:r>
    </w:p>
    <w:p>
      <w:pPr>
        <w:pStyle w:val="F1"/>
        <w:rPr/>
      </w:pPr>
      <w:r>
        <w:rPr/>
        <w:t>Les documents seront exécutés de préférence sur format A4 pour les notes et notices, A3 pour les cahiers de détail et les plans qui le permettent, A1 ou A0 pour les plans nécessitant ces formats. Le format A1 sera systématiquement préféré lorsqu’il permettra une définition suffisante des parties d’ouvrages concernées.</w:t>
      </w:r>
    </w:p>
    <w:p>
      <w:pPr>
        <w:pStyle w:val="F1"/>
        <w:rPr/>
      </w:pPr>
      <w:r>
        <w:rPr/>
        <w:t>Tous les documents seront équipés d’échelle graphique de réduction et devront être réductibles au format A3 pour les plans.</w:t>
      </w:r>
    </w:p>
    <w:p>
      <w:pPr>
        <w:pStyle w:val="F1"/>
        <w:rPr/>
      </w:pPr>
      <w:r>
        <w:rPr/>
        <w:t>Les caractères d’écriture sont conformes à la norme ISO 3098/1 et sont droits.</w:t>
      </w:r>
    </w:p>
    <w:p>
      <w:pPr>
        <w:pStyle w:val="F1"/>
        <w:rPr/>
      </w:pPr>
      <w:r>
        <w:rPr/>
        <w:t>Pour les plans exécutés exceptionnellement sur format A0, les caractères seront choisis de telle façon qu’ils demeurent lisibles lorsqu’ils sont réduits au format A3.</w:t>
      </w:r>
    </w:p>
    <w:p>
      <w:pPr>
        <w:pStyle w:val="F1"/>
        <w:numPr>
          <w:ilvl w:val="2"/>
          <w:numId w:val="41"/>
        </w:numPr>
        <w:rPr>
          <w:b/>
          <w:b/>
        </w:rPr>
      </w:pPr>
      <w:r>
        <w:rPr>
          <w:b/>
        </w:rPr>
        <w:t>Cartouches</w:t>
      </w:r>
    </w:p>
    <w:p>
      <w:pPr>
        <w:pStyle w:val="F1"/>
        <w:rPr/>
      </w:pPr>
      <w:r>
        <w:rPr/>
        <w:t>Le cartouche des documents types sera soumis à l’approbation du Maître d’Œuvre lors de la réunion de démarrage des études. Il doit notamment permettre le visa du contrôle intérieur (interne et externe) à chaque indice.</w:t>
      </w:r>
    </w:p>
    <w:p>
      <w:pPr>
        <w:pStyle w:val="F1"/>
        <w:numPr>
          <w:ilvl w:val="2"/>
          <w:numId w:val="41"/>
        </w:numPr>
        <w:rPr>
          <w:b/>
          <w:b/>
        </w:rPr>
      </w:pPr>
      <w:r>
        <w:rPr>
          <w:b/>
        </w:rPr>
        <w:t>Suivi des modifications</w:t>
      </w:r>
    </w:p>
    <w:p>
      <w:pPr>
        <w:pStyle w:val="F1"/>
        <w:rPr/>
      </w:pPr>
      <w:r>
        <w:rPr/>
        <w:t>Chaque page de garde ou cartouche comprendra un cadre de levé des modifications.</w:t>
      </w:r>
    </w:p>
    <w:p>
      <w:pPr>
        <w:pStyle w:val="Titre3"/>
        <w:keepNext w:val="false"/>
        <w:tabs>
          <w:tab w:val="clear" w:pos="0"/>
          <w:tab w:val="clear" w:pos="8789"/>
          <w:tab w:val="left" w:pos="992" w:leader="none"/>
        </w:tabs>
        <w:spacing w:before="240" w:after="240"/>
        <w:ind w:left="992" w:hanging="992"/>
        <w:rPr/>
      </w:pPr>
      <w:bookmarkStart w:id="999" w:name="_Toc32334870"/>
      <w:bookmarkStart w:id="1000" w:name="_Toc430104035"/>
      <w:bookmarkStart w:id="1001" w:name="_Toc422843743"/>
      <w:bookmarkStart w:id="1002" w:name="_Toc419980494"/>
      <w:r>
        <w:rPr/>
        <w:t>Plan d’Assurance de la Qualité des études</w:t>
      </w:r>
      <w:bookmarkEnd w:id="999"/>
      <w:bookmarkEnd w:id="1000"/>
      <w:bookmarkEnd w:id="1001"/>
      <w:bookmarkEnd w:id="1002"/>
    </w:p>
    <w:p>
      <w:pPr>
        <w:pStyle w:val="F1"/>
        <w:rPr/>
      </w:pPr>
      <w:r>
        <w:rPr/>
        <w:t>Le PAQ des études d’exécution présente les dispositions de moyens et d’organisation proposées par l’Entrepreneur pour atteindre la qualité requise. Il traite :</w:t>
      </w:r>
    </w:p>
    <w:p>
      <w:pPr>
        <w:pStyle w:val="F1"/>
        <w:numPr>
          <w:ilvl w:val="0"/>
          <w:numId w:val="42"/>
        </w:numPr>
        <w:rPr/>
      </w:pPr>
      <w:r>
        <w:rPr/>
        <w:t>Des facteurs contribuant à l’obtention de la qualité :</w:t>
      </w:r>
    </w:p>
    <w:p>
      <w:pPr>
        <w:pStyle w:val="F1"/>
        <w:numPr>
          <w:ilvl w:val="0"/>
          <w:numId w:val="42"/>
        </w:numPr>
        <w:rPr/>
      </w:pPr>
      <w:r>
        <w:rPr/>
        <w:t>Affectation des tâches, moyens en personnel ;</w:t>
      </w:r>
    </w:p>
    <w:p>
      <w:pPr>
        <w:pStyle w:val="F1"/>
        <w:numPr>
          <w:ilvl w:val="0"/>
          <w:numId w:val="42"/>
        </w:numPr>
        <w:rPr/>
      </w:pPr>
      <w:r>
        <w:rPr/>
        <w:t>Choix des logiciels de calcul et de dessin ;</w:t>
      </w:r>
    </w:p>
    <w:p>
      <w:pPr>
        <w:pStyle w:val="F1"/>
        <w:numPr>
          <w:ilvl w:val="0"/>
          <w:numId w:val="42"/>
        </w:numPr>
        <w:rPr/>
      </w:pPr>
      <w:r>
        <w:rPr/>
        <w:t>Méthodes, en coordination avec le chantier, et points sensibles de l’exécution ;</w:t>
      </w:r>
    </w:p>
    <w:p>
      <w:pPr>
        <w:pStyle w:val="F1"/>
        <w:numPr>
          <w:ilvl w:val="0"/>
          <w:numId w:val="42"/>
        </w:numPr>
        <w:rPr/>
      </w:pPr>
      <w:r>
        <w:rPr/>
        <w:t>Coordination avec l’Entrepreneur et le Maître d’</w:t>
      </w:r>
      <w:r>
        <w:rPr>
          <w:rFonts w:ascii="Calibri" w:hAnsi="Calibri"/>
        </w:rPr>
        <w:t>Œ</w:t>
      </w:r>
      <w:r>
        <w:rPr/>
        <w:t>uvre ;</w:t>
      </w:r>
    </w:p>
    <w:p>
      <w:pPr>
        <w:pStyle w:val="F1"/>
        <w:numPr>
          <w:ilvl w:val="0"/>
          <w:numId w:val="42"/>
        </w:numPr>
        <w:rPr/>
      </w:pPr>
      <w:r>
        <w:rPr/>
        <w:t>Gestion des documents ;</w:t>
      </w:r>
    </w:p>
    <w:p>
      <w:pPr>
        <w:pStyle w:val="F1"/>
        <w:rPr/>
      </w:pPr>
      <w:r>
        <w:rPr/>
        <w:t>Du contrôle intérieur :</w:t>
      </w:r>
    </w:p>
    <w:p>
      <w:pPr>
        <w:pStyle w:val="F1"/>
        <w:numPr>
          <w:ilvl w:val="0"/>
          <w:numId w:val="42"/>
        </w:numPr>
        <w:rPr/>
      </w:pPr>
      <w:r>
        <w:rPr/>
        <w:t>Contrôle interne ;</w:t>
      </w:r>
    </w:p>
    <w:p>
      <w:pPr>
        <w:pStyle w:val="F1"/>
        <w:numPr>
          <w:ilvl w:val="0"/>
          <w:numId w:val="42"/>
        </w:numPr>
        <w:rPr/>
      </w:pPr>
      <w:r>
        <w:rPr/>
        <w:t>Contrôle externe.</w:t>
      </w:r>
    </w:p>
    <w:p>
      <w:pPr>
        <w:pStyle w:val="F1"/>
        <w:rPr/>
      </w:pPr>
      <w:r>
        <w:rPr/>
        <w:t>Chaque indice des plans devra être revêtu de la signature manuscrite des personnes chargées de ces contrôles.</w:t>
      </w:r>
    </w:p>
    <w:p>
      <w:pPr>
        <w:pStyle w:val="F1"/>
        <w:rPr/>
      </w:pPr>
      <w:r>
        <w:rPr/>
        <w:t>Le chargé des études d’exécution sera responsable du bon fonctionnement du contrôle interne au Bureau d’Etude d’exécution.</w:t>
      </w:r>
    </w:p>
    <w:p>
      <w:pPr>
        <w:pStyle w:val="F1"/>
        <w:rPr/>
      </w:pPr>
      <w:r>
        <w:rPr/>
        <w:t>Le PAQ est constitué :</w:t>
      </w:r>
    </w:p>
    <w:p>
      <w:pPr>
        <w:pStyle w:val="F1"/>
        <w:numPr>
          <w:ilvl w:val="0"/>
          <w:numId w:val="42"/>
        </w:numPr>
        <w:rPr/>
      </w:pPr>
      <w:r>
        <w:rPr/>
        <w:t>D’un document d’organisation générale ;</w:t>
      </w:r>
    </w:p>
    <w:p>
      <w:pPr>
        <w:pStyle w:val="F1"/>
        <w:numPr>
          <w:ilvl w:val="0"/>
          <w:numId w:val="42"/>
        </w:numPr>
        <w:rPr/>
      </w:pPr>
      <w:r>
        <w:rPr/>
        <w:t>D’un ou plusieurs documents particuliers d’exécution (procédures d’exécution) ;</w:t>
      </w:r>
    </w:p>
    <w:p>
      <w:pPr>
        <w:pStyle w:val="F1"/>
        <w:numPr>
          <w:ilvl w:val="0"/>
          <w:numId w:val="42"/>
        </w:numPr>
        <w:rPr/>
      </w:pPr>
      <w:r>
        <w:rPr/>
        <w:t>Des cadres des documents de suivi.</w:t>
      </w:r>
    </w:p>
    <w:p>
      <w:pPr>
        <w:pStyle w:val="F1"/>
        <w:spacing w:before="0" w:after="0"/>
        <w:rPr/>
      </w:pPr>
      <w:r>
        <w:rPr/>
        <w:t>En cas de mauvais fonctionnement du contrôle intérieur, l’Entrepreneur en supportera toutes les conséquences (incidents ou retards dans la réalisation des travaux) étant bien entendu que le contrôle extérieur exercé par le Maître d’Œuvre ne se substituera en rien à celui-ci.</w:t>
      </w:r>
    </w:p>
    <w:p>
      <w:pPr>
        <w:pStyle w:val="Titre2"/>
        <w:tabs>
          <w:tab w:val="clear" w:pos="0"/>
          <w:tab w:val="clear" w:pos="8789"/>
          <w:tab w:val="left" w:pos="426" w:leader="none"/>
        </w:tabs>
        <w:ind w:left="0" w:hanging="0"/>
        <w:rPr/>
      </w:pPr>
      <w:bookmarkStart w:id="1003" w:name="_Toc32334871"/>
      <w:bookmarkStart w:id="1004" w:name="_Toc430104036"/>
      <w:bookmarkStart w:id="1005" w:name="_Toc422843744"/>
      <w:bookmarkStart w:id="1006" w:name="_Toc419980495"/>
      <w:r>
        <w:rPr/>
        <w:t>Gestion et assurance de la qualité</w:t>
      </w:r>
      <w:bookmarkEnd w:id="1003"/>
      <w:bookmarkEnd w:id="1004"/>
      <w:bookmarkEnd w:id="1005"/>
      <w:bookmarkEnd w:id="1006"/>
    </w:p>
    <w:p>
      <w:pPr>
        <w:pStyle w:val="Titre3"/>
        <w:rPr/>
      </w:pPr>
      <w:bookmarkStart w:id="1007" w:name="_Toc32334872"/>
      <w:bookmarkStart w:id="1008" w:name="_Toc430104037"/>
      <w:bookmarkStart w:id="1009" w:name="_Toc422843745"/>
      <w:bookmarkStart w:id="1010" w:name="_Toc419980496"/>
      <w:r>
        <w:rPr/>
        <w:t>Principes des contrôles de conformité</w:t>
      </w:r>
      <w:bookmarkEnd w:id="1007"/>
      <w:bookmarkEnd w:id="1008"/>
      <w:bookmarkEnd w:id="1009"/>
      <w:bookmarkEnd w:id="1010"/>
    </w:p>
    <w:p>
      <w:pPr>
        <w:pStyle w:val="F1"/>
        <w:spacing w:before="0" w:after="0"/>
        <w:rPr/>
      </w:pPr>
      <w:r>
        <w:rPr/>
      </w:r>
    </w:p>
    <w:p>
      <w:pPr>
        <w:pStyle w:val="F1"/>
        <w:rPr/>
      </w:pPr>
      <w:r>
        <w:rPr/>
        <w:t>Les principes généraux des dispositions en matière de la qualité se traduisent sous forme de :</w:t>
      </w:r>
    </w:p>
    <w:p>
      <w:pPr>
        <w:pStyle w:val="F1"/>
        <w:numPr>
          <w:ilvl w:val="0"/>
          <w:numId w:val="44"/>
        </w:numPr>
        <w:rPr/>
      </w:pPr>
      <w:r>
        <w:rPr/>
        <w:t>Prescriptions (exigences de moyens) qui font l’objet de contrôles au cours de la production (acceptation de matériel, dispositions pratiques…) ;</w:t>
      </w:r>
    </w:p>
    <w:p>
      <w:pPr>
        <w:pStyle w:val="F1"/>
        <w:numPr>
          <w:ilvl w:val="0"/>
          <w:numId w:val="44"/>
        </w:numPr>
        <w:rPr/>
      </w:pPr>
      <w:r>
        <w:rPr/>
        <w:t>Spécifications (exigences de résultats) qui font l’objet des contrôles de conformité qui comportent :</w:t>
      </w:r>
    </w:p>
    <w:p>
      <w:pPr>
        <w:pStyle w:val="F1"/>
        <w:numPr>
          <w:ilvl w:val="0"/>
          <w:numId w:val="45"/>
        </w:numPr>
        <w:rPr/>
      </w:pPr>
      <w:r>
        <w:rPr/>
        <w:t>Des contrôles intérieurs au chantier (contrôles internes et contrôles externes) ;</w:t>
      </w:r>
    </w:p>
    <w:p>
      <w:pPr>
        <w:pStyle w:val="F1"/>
        <w:numPr>
          <w:ilvl w:val="0"/>
          <w:numId w:val="45"/>
        </w:numPr>
        <w:rPr/>
      </w:pPr>
      <w:r>
        <w:rPr/>
        <w:t>Des contrôles extérieurs au chantier.</w:t>
      </w:r>
    </w:p>
    <w:p>
      <w:pPr>
        <w:pStyle w:val="F1"/>
        <w:spacing w:before="0" w:after="0"/>
        <w:rPr/>
      </w:pPr>
      <w:r>
        <w:rPr/>
        <w:t>Le présent document défini l’objet et les contraintes des contrôles, internes, externes et extérieurs, ainsi que les points critiques et les points d’arrêt correspondants.</w:t>
      </w:r>
    </w:p>
    <w:p>
      <w:pPr>
        <w:pStyle w:val="Titre3"/>
        <w:rPr/>
      </w:pPr>
      <w:bookmarkStart w:id="1011" w:name="_Toc32334873"/>
      <w:bookmarkStart w:id="1012" w:name="_Toc430104038"/>
      <w:bookmarkStart w:id="1013" w:name="_Toc422843746"/>
      <w:bookmarkStart w:id="1014" w:name="_Toc419980497"/>
      <w:r>
        <w:rPr/>
        <w:t>Contrôles intérieurs</w:t>
      </w:r>
      <w:bookmarkEnd w:id="1011"/>
      <w:bookmarkEnd w:id="1012"/>
      <w:bookmarkEnd w:id="1013"/>
      <w:bookmarkEnd w:id="1014"/>
    </w:p>
    <w:p>
      <w:pPr>
        <w:pStyle w:val="F1"/>
        <w:spacing w:before="0" w:after="0"/>
        <w:rPr/>
      </w:pPr>
      <w:r>
        <w:rPr/>
      </w:r>
    </w:p>
    <w:p>
      <w:pPr>
        <w:pStyle w:val="F1"/>
        <w:rPr/>
      </w:pPr>
      <w:r>
        <w:rPr/>
        <w:t>L’organisation des contrôles intérieurs est explicitée par un PAQ, établi par l’Entrepreneur et soumis au visa du Maître d’</w:t>
      </w:r>
      <w:r>
        <w:rPr>
          <w:rFonts w:ascii="Calibri" w:hAnsi="Calibri"/>
        </w:rPr>
        <w:t>Œ</w:t>
      </w:r>
      <w:r>
        <w:rPr/>
        <w:t>uvre.</w:t>
      </w:r>
    </w:p>
    <w:p>
      <w:pPr>
        <w:pStyle w:val="F1"/>
        <w:rPr/>
      </w:pPr>
      <w:r>
        <w:rPr/>
        <w:t>A partir des prescriptions contractuelles et réglementaires en matière de contrôle intérieur, ce PAQ fixe notamment les modalités d’organisation du contrôle interne à la chaîne de production, intégré à la conduite du chantier. Il fixe également, à partir des prescriptions du présent projet, les conditions de l’assurance externe de la qualité au sens de la norme ISO 9001 dont l’organisation est indépendante de la Direction de Chantier.</w:t>
      </w:r>
    </w:p>
    <w:p>
      <w:pPr>
        <w:pStyle w:val="F1"/>
        <w:rPr/>
      </w:pPr>
      <w:r>
        <w:rPr/>
        <w:t>Les contenus des contrôles internes et des contrôles externes de la qualité seront détaillés dans les PAQ particuliers.</w:t>
      </w:r>
    </w:p>
    <w:p>
      <w:pPr>
        <w:pStyle w:val="Titre4"/>
        <w:rPr/>
      </w:pPr>
      <w:bookmarkStart w:id="1015" w:name="_Toc32334874"/>
      <w:bookmarkStart w:id="1016" w:name="_Toc430104039"/>
      <w:bookmarkStart w:id="1017" w:name="_Toc422843747"/>
      <w:bookmarkStart w:id="1018" w:name="_Toc419980498"/>
      <w:r>
        <w:rPr/>
        <w:t>Contrôles internes</w:t>
      </w:r>
      <w:bookmarkEnd w:id="1015"/>
      <w:bookmarkEnd w:id="1016"/>
      <w:bookmarkEnd w:id="1017"/>
      <w:bookmarkEnd w:id="1018"/>
    </w:p>
    <w:p>
      <w:pPr>
        <w:pStyle w:val="F1"/>
        <w:spacing w:before="0" w:after="0"/>
        <w:rPr/>
      </w:pPr>
      <w:r>
        <w:rPr/>
      </w:r>
    </w:p>
    <w:p>
      <w:pPr>
        <w:pStyle w:val="F1"/>
        <w:rPr/>
      </w:pPr>
      <w:r>
        <w:rPr/>
        <w:t>Il s’agit de l’ensemble des opérations de surveillance, de vérification et d’essais, qui sont exercées sous l’autorité du (ou des) responsable(s) de la fabrication ou de l’exécution, dans les conditions définies par le PAQ.</w:t>
      </w:r>
    </w:p>
    <w:p>
      <w:pPr>
        <w:pStyle w:val="Titre4"/>
        <w:rPr/>
      </w:pPr>
      <w:bookmarkStart w:id="1019" w:name="_Toc32334875"/>
      <w:bookmarkStart w:id="1020" w:name="_Toc430104040"/>
      <w:bookmarkStart w:id="1021" w:name="_Toc422843748"/>
      <w:bookmarkStart w:id="1022" w:name="_Toc419980499"/>
      <w:r>
        <w:rPr/>
        <w:t>Contrôles externes</w:t>
      </w:r>
      <w:bookmarkEnd w:id="1019"/>
      <w:bookmarkEnd w:id="1020"/>
      <w:bookmarkEnd w:id="1021"/>
      <w:bookmarkEnd w:id="1022"/>
    </w:p>
    <w:p>
      <w:pPr>
        <w:pStyle w:val="F1"/>
        <w:spacing w:before="0" w:after="0"/>
        <w:rPr/>
      </w:pPr>
      <w:r>
        <w:rPr/>
      </w:r>
    </w:p>
    <w:p>
      <w:pPr>
        <w:pStyle w:val="F1"/>
        <w:rPr/>
      </w:pPr>
      <w:r>
        <w:rPr/>
        <w:t>Il s’agit de l’ensemble des opérations de surveillance et d’essais exercées sous l’autorité ou/et à la demande d’un responsable indépendant de la chaîne de production ou du chantier, mandaté par la direction de l’intervenant.</w:t>
      </w:r>
    </w:p>
    <w:p>
      <w:pPr>
        <w:pStyle w:val="F1"/>
        <w:spacing w:before="0" w:after="0"/>
        <w:rPr/>
      </w:pPr>
      <w:r>
        <w:rPr/>
        <w:t>Ces contrôles, effectués indépendamment de la chaîne de production de l’Entrepreneur, peuvent être confiés par lui à un ou plusieurs intervenants proposés au préalable au Maître d’</w:t>
      </w:r>
      <w:r>
        <w:rPr>
          <w:rFonts w:ascii="Calibri" w:hAnsi="Calibri"/>
        </w:rPr>
        <w:t>Œ</w:t>
      </w:r>
      <w:r>
        <w:rPr/>
        <w:t>uvre dans le PAQ.</w:t>
      </w:r>
    </w:p>
    <w:p>
      <w:pPr>
        <w:pStyle w:val="Titre3"/>
        <w:rPr/>
      </w:pPr>
      <w:bookmarkStart w:id="1023" w:name="_Toc32334876"/>
      <w:bookmarkStart w:id="1024" w:name="_Toc430104041"/>
      <w:bookmarkStart w:id="1025" w:name="_Toc422843749"/>
      <w:bookmarkStart w:id="1026" w:name="_Toc419980500"/>
      <w:r>
        <w:rPr/>
        <w:t>Contrôles extérieurs</w:t>
      </w:r>
      <w:bookmarkEnd w:id="1023"/>
      <w:bookmarkEnd w:id="1024"/>
      <w:bookmarkEnd w:id="1025"/>
      <w:bookmarkEnd w:id="1026"/>
    </w:p>
    <w:p>
      <w:pPr>
        <w:pStyle w:val="F1"/>
        <w:spacing w:before="0" w:after="0"/>
        <w:rPr/>
      </w:pPr>
      <w:r>
        <w:rPr/>
      </w:r>
    </w:p>
    <w:p>
      <w:pPr>
        <w:pStyle w:val="F1"/>
        <w:rPr/>
      </w:pPr>
      <w:r>
        <w:rPr/>
        <w:t>Le contrôle extérieur sera exercé à la diligence du Maître d’</w:t>
      </w:r>
      <w:r>
        <w:rPr>
          <w:rFonts w:ascii="Calibri" w:hAnsi="Calibri"/>
        </w:rPr>
        <w:t>Œ</w:t>
      </w:r>
      <w:r>
        <w:rPr/>
        <w:t>uvre, aux frais du Maître d’Ouvrage et comprend notamment :</w:t>
      </w:r>
    </w:p>
    <w:p>
      <w:pPr>
        <w:pStyle w:val="F1"/>
        <w:numPr>
          <w:ilvl w:val="0"/>
          <w:numId w:val="46"/>
        </w:numPr>
        <w:rPr/>
      </w:pPr>
      <w:r>
        <w:rPr/>
        <w:t>La vérification du respect du PAQ ;</w:t>
      </w:r>
    </w:p>
    <w:p>
      <w:pPr>
        <w:pStyle w:val="F1"/>
        <w:numPr>
          <w:ilvl w:val="0"/>
          <w:numId w:val="46"/>
        </w:numPr>
        <w:rPr/>
      </w:pPr>
      <w:r>
        <w:rPr/>
        <w:t>L’acceptation et les contrôles en cours de production ;</w:t>
      </w:r>
    </w:p>
    <w:p>
      <w:pPr>
        <w:pStyle w:val="F1"/>
        <w:numPr>
          <w:ilvl w:val="0"/>
          <w:numId w:val="46"/>
        </w:numPr>
        <w:rPr/>
      </w:pPr>
      <w:r>
        <w:rPr/>
        <w:t>Le rassemblement des documents établis au titre du PAQ de l’Entrepreneur, permettant de justifier que la qualité requise a été obtenue ;</w:t>
      </w:r>
    </w:p>
    <w:p>
      <w:pPr>
        <w:pStyle w:val="F1"/>
        <w:numPr>
          <w:ilvl w:val="0"/>
          <w:numId w:val="46"/>
        </w:numPr>
        <w:rPr/>
      </w:pPr>
      <w:r>
        <w:rPr/>
        <w:t>La réalisation de contrôles (le plus souvent de façon inopinée) en complément du contrôle externe.</w:t>
      </w:r>
    </w:p>
    <w:p>
      <w:pPr>
        <w:pStyle w:val="F1"/>
        <w:rPr/>
      </w:pPr>
      <w:r>
        <w:rPr/>
        <w:t>Les résultats du contrôle extérieur seront communiqués à l’Entrepreneur dès qu’ils sont connus. Ils seront annexés au journal de chantier.</w:t>
      </w:r>
    </w:p>
    <w:p>
      <w:pPr>
        <w:pStyle w:val="F1"/>
        <w:rPr/>
      </w:pPr>
      <w:r>
        <w:rPr/>
        <w:t>Il reste à la charge de l’Entrepreneur :</w:t>
      </w:r>
    </w:p>
    <w:p>
      <w:pPr>
        <w:pStyle w:val="F1"/>
        <w:numPr>
          <w:ilvl w:val="0"/>
          <w:numId w:val="47"/>
        </w:numPr>
        <w:rPr/>
      </w:pPr>
      <w:r>
        <w:rPr/>
        <w:t>La mise à disposition aux agents mandatés par le Maître d’</w:t>
      </w:r>
      <w:r>
        <w:rPr>
          <w:rFonts w:ascii="Calibri" w:hAnsi="Calibri"/>
        </w:rPr>
        <w:t>Œ</w:t>
      </w:r>
      <w:r>
        <w:rPr/>
        <w:t>uvre de tous les moyens nécessaires à l’accès aux ouvrages et à la mise en œuvre des contrôles extérieurs ;</w:t>
      </w:r>
    </w:p>
    <w:p>
      <w:pPr>
        <w:pStyle w:val="F1"/>
        <w:numPr>
          <w:ilvl w:val="0"/>
          <w:numId w:val="47"/>
        </w:numPr>
        <w:rPr/>
      </w:pPr>
      <w:r>
        <w:rPr/>
        <w:t>Les sujétions et les pertes de temps liées à l’exécution de ces contrôles ;</w:t>
      </w:r>
    </w:p>
    <w:p>
      <w:pPr>
        <w:pStyle w:val="F1"/>
        <w:numPr>
          <w:ilvl w:val="0"/>
          <w:numId w:val="47"/>
        </w:numPr>
        <w:rPr/>
      </w:pPr>
      <w:r>
        <w:rPr/>
        <w:t>La fourniture des échantillons nécessaires aux vérifications et leur transport jusqu’au laboratoire du Maître d’</w:t>
      </w:r>
      <w:r>
        <w:rPr>
          <w:rFonts w:ascii="Calibri" w:hAnsi="Calibri"/>
        </w:rPr>
        <w:t>Œ</w:t>
      </w:r>
      <w:r>
        <w:rPr/>
        <w:t>uvre, leur prélèvement étant toutefois effectué par le laboratoire ou l’organisme chargé du contrôle extérieur ;</w:t>
      </w:r>
    </w:p>
    <w:p>
      <w:pPr>
        <w:pStyle w:val="F1"/>
        <w:numPr>
          <w:ilvl w:val="0"/>
          <w:numId w:val="47"/>
        </w:numPr>
        <w:spacing w:before="0" w:after="0"/>
        <w:ind w:left="714" w:hanging="357"/>
        <w:rPr/>
      </w:pPr>
      <w:r>
        <w:rPr/>
        <w:t>Toutes les vérifications supplémentaires que pourraient rendre nécessaires de mauvais résultats du contrôle.</w:t>
      </w:r>
    </w:p>
    <w:p>
      <w:pPr>
        <w:pStyle w:val="F1"/>
        <w:spacing w:before="0" w:after="0"/>
        <w:rPr/>
      </w:pPr>
      <w:r>
        <w:rPr/>
      </w:r>
    </w:p>
    <w:p>
      <w:pPr>
        <w:pStyle w:val="F1"/>
        <w:spacing w:before="0" w:after="0"/>
        <w:rPr/>
      </w:pPr>
      <w:r>
        <w:rPr/>
      </w:r>
    </w:p>
    <w:p>
      <w:pPr>
        <w:pStyle w:val="F1"/>
        <w:spacing w:before="0" w:after="0"/>
        <w:rPr/>
      </w:pPr>
      <w:r>
        <w:rPr/>
      </w:r>
    </w:p>
    <w:p>
      <w:pPr>
        <w:pStyle w:val="F1"/>
        <w:spacing w:before="0" w:after="0"/>
        <w:rPr/>
      </w:pPr>
      <w:r>
        <w:rPr/>
      </w:r>
    </w:p>
    <w:p>
      <w:pPr>
        <w:pStyle w:val="Titre3"/>
        <w:rPr/>
      </w:pPr>
      <w:bookmarkStart w:id="1027" w:name="_Toc32334877"/>
      <w:bookmarkStart w:id="1028" w:name="_Toc430104042"/>
      <w:bookmarkStart w:id="1029" w:name="_Toc422843750"/>
      <w:bookmarkStart w:id="1030" w:name="_Toc419980501"/>
      <w:r>
        <w:rPr/>
        <w:t>Responsable de la qualité</w:t>
      </w:r>
      <w:bookmarkEnd w:id="1027"/>
      <w:bookmarkEnd w:id="1028"/>
      <w:bookmarkEnd w:id="1029"/>
      <w:bookmarkEnd w:id="1030"/>
    </w:p>
    <w:p>
      <w:pPr>
        <w:pStyle w:val="F1"/>
        <w:rPr/>
      </w:pPr>
      <w:r>
        <w:rPr/>
      </w:r>
    </w:p>
    <w:p>
      <w:pPr>
        <w:pStyle w:val="F1"/>
        <w:rPr/>
      </w:pPr>
      <w:r>
        <w:rPr/>
        <w:t>L’Entrepreneur proposera à l’agrément du Maître d’</w:t>
      </w:r>
      <w:r>
        <w:rPr>
          <w:rFonts w:ascii="Calibri" w:hAnsi="Calibri"/>
        </w:rPr>
        <w:t>Œ</w:t>
      </w:r>
      <w:r>
        <w:rPr/>
        <w:t>uvre, un responsable de la qualité indépendant de la chaîne de production mais qui sera directement rattaché à la Direction de Chantier.</w:t>
      </w:r>
    </w:p>
    <w:p>
      <w:pPr>
        <w:pStyle w:val="F1"/>
        <w:rPr/>
      </w:pPr>
      <w:r>
        <w:rPr/>
        <w:t>Le Responsable qualité devra notamment :</w:t>
      </w:r>
    </w:p>
    <w:p>
      <w:pPr>
        <w:pStyle w:val="F1"/>
        <w:numPr>
          <w:ilvl w:val="0"/>
          <w:numId w:val="48"/>
        </w:numPr>
        <w:rPr/>
      </w:pPr>
      <w:r>
        <w:rPr/>
        <w:t>Planifier et développer un programme d’assurance de la qualité ;</w:t>
      </w:r>
    </w:p>
    <w:p>
      <w:pPr>
        <w:pStyle w:val="F1"/>
        <w:numPr>
          <w:ilvl w:val="0"/>
          <w:numId w:val="48"/>
        </w:numPr>
        <w:rPr/>
      </w:pPr>
      <w:r>
        <w:rPr/>
        <w:t>Assister l’Entrepreneur et ses sous-traitants dans l’établissement et la mise à jour des PAQ ;</w:t>
      </w:r>
    </w:p>
    <w:p>
      <w:pPr>
        <w:pStyle w:val="F1"/>
        <w:numPr>
          <w:ilvl w:val="0"/>
          <w:numId w:val="48"/>
        </w:numPr>
        <w:rPr/>
      </w:pPr>
      <w:r>
        <w:rPr/>
        <w:t>S’assurer du respect des procédures ;</w:t>
      </w:r>
    </w:p>
    <w:p>
      <w:pPr>
        <w:pStyle w:val="F1"/>
        <w:numPr>
          <w:ilvl w:val="0"/>
          <w:numId w:val="48"/>
        </w:numPr>
        <w:rPr/>
      </w:pPr>
      <w:r>
        <w:rPr/>
        <w:t>Promouvoir le contrôle interne ;</w:t>
      </w:r>
    </w:p>
    <w:p>
      <w:pPr>
        <w:pStyle w:val="F1"/>
        <w:numPr>
          <w:ilvl w:val="0"/>
          <w:numId w:val="48"/>
        </w:numPr>
        <w:rPr/>
      </w:pPr>
      <w:r>
        <w:rPr/>
        <w:t>Organiser le contrôle externe ;</w:t>
      </w:r>
    </w:p>
    <w:p>
      <w:pPr>
        <w:pStyle w:val="F1"/>
        <w:numPr>
          <w:ilvl w:val="0"/>
          <w:numId w:val="48"/>
        </w:numPr>
        <w:rPr/>
      </w:pPr>
      <w:r>
        <w:rPr/>
        <w:t>Contrôler la conformité des organigrammes au personnel présent sur chantier ;</w:t>
      </w:r>
    </w:p>
    <w:p>
      <w:pPr>
        <w:pStyle w:val="F1"/>
        <w:numPr>
          <w:ilvl w:val="0"/>
          <w:numId w:val="48"/>
        </w:numPr>
        <w:rPr/>
      </w:pPr>
      <w:r>
        <w:rPr/>
        <w:t>Prévenir les blocages possibles de chantier dus aux points d’arrêt de gestion de la qualité.</w:t>
      </w:r>
    </w:p>
    <w:p>
      <w:pPr>
        <w:pStyle w:val="Titre3"/>
        <w:rPr/>
      </w:pPr>
      <w:bookmarkStart w:id="1031" w:name="_Toc32334878"/>
      <w:bookmarkStart w:id="1032" w:name="_Toc430104043"/>
      <w:bookmarkStart w:id="1033" w:name="_Toc422843751"/>
      <w:bookmarkStart w:id="1034" w:name="_Toc419980502"/>
      <w:r>
        <w:rPr/>
        <w:t>Plan Général d’Assurance de la Qualité (PAQ)</w:t>
      </w:r>
      <w:bookmarkEnd w:id="1031"/>
      <w:bookmarkEnd w:id="1032"/>
      <w:bookmarkEnd w:id="1033"/>
      <w:bookmarkEnd w:id="1034"/>
    </w:p>
    <w:p>
      <w:pPr>
        <w:pStyle w:val="F1"/>
        <w:spacing w:before="0" w:after="0"/>
        <w:rPr/>
      </w:pPr>
      <w:r>
        <w:rPr/>
      </w:r>
    </w:p>
    <w:p>
      <w:pPr>
        <w:pStyle w:val="F1"/>
        <w:rPr/>
      </w:pPr>
      <w:r>
        <w:rPr/>
        <w:t>L’établissement du PAQ est la formulation écrite de la préparation des différentes phases d’exécution.</w:t>
      </w:r>
    </w:p>
    <w:p>
      <w:pPr>
        <w:pStyle w:val="F1"/>
        <w:rPr/>
      </w:pPr>
      <w:r>
        <w:rPr/>
        <w:t>Il présente notamment les particularités suivantes :</w:t>
      </w:r>
    </w:p>
    <w:p>
      <w:pPr>
        <w:pStyle w:val="F1"/>
        <w:numPr>
          <w:ilvl w:val="0"/>
          <w:numId w:val="49"/>
        </w:numPr>
        <w:rPr/>
      </w:pPr>
      <w:r>
        <w:rPr/>
        <w:t>Il est évolutif et complété au fur et à mesure de l’avancement du chantier ;</w:t>
      </w:r>
    </w:p>
    <w:p>
      <w:pPr>
        <w:pStyle w:val="F1"/>
        <w:numPr>
          <w:ilvl w:val="0"/>
          <w:numId w:val="49"/>
        </w:numPr>
        <w:rPr/>
      </w:pPr>
      <w:r>
        <w:rPr/>
        <w:t>Il décrit les procédures de traitement des non-conformités ;</w:t>
      </w:r>
    </w:p>
    <w:p>
      <w:pPr>
        <w:pStyle w:val="F1"/>
        <w:numPr>
          <w:ilvl w:val="0"/>
          <w:numId w:val="49"/>
        </w:numPr>
        <w:rPr/>
      </w:pPr>
      <w:r>
        <w:rPr/>
        <w:t>Il prévoit le déclenchement en temps voulu des actions de correction éventuellement nécessaires, en fonction des informations recueillies sur le déroulement des travaux ;</w:t>
      </w:r>
    </w:p>
    <w:p>
      <w:pPr>
        <w:pStyle w:val="F1"/>
        <w:numPr>
          <w:ilvl w:val="0"/>
          <w:numId w:val="49"/>
        </w:numPr>
        <w:rPr/>
      </w:pPr>
      <w:r>
        <w:rPr/>
        <w:t>Il organise la collecte et règle l’interprétation des informations qui résultent :</w:t>
      </w:r>
    </w:p>
    <w:p>
      <w:pPr>
        <w:pStyle w:val="F1"/>
        <w:numPr>
          <w:ilvl w:val="0"/>
          <w:numId w:val="49"/>
        </w:numPr>
        <w:rPr/>
      </w:pPr>
      <w:r>
        <w:rPr/>
        <w:t>D’une part des examens et des essais de contrôle, dont les modalités d’exécution déterminent la probabilité de déceler d’éventuelles anomalies ;</w:t>
      </w:r>
    </w:p>
    <w:p>
      <w:pPr>
        <w:pStyle w:val="F1"/>
        <w:numPr>
          <w:ilvl w:val="0"/>
          <w:numId w:val="49"/>
        </w:numPr>
        <w:spacing w:before="0" w:after="0"/>
        <w:ind w:left="714" w:hanging="357"/>
        <w:rPr/>
      </w:pPr>
      <w:r>
        <w:rPr/>
        <w:t>D’autre part de la vérification du respect des conditions d’exécution prévues, les conséquences d’un écart éventuel étant déterminées au préalable par des essais de convenance.</w:t>
      </w:r>
    </w:p>
    <w:p>
      <w:pPr>
        <w:pStyle w:val="Titre3"/>
        <w:rPr/>
      </w:pPr>
      <w:bookmarkStart w:id="1035" w:name="_Toc32334879"/>
      <w:bookmarkStart w:id="1036" w:name="_Toc430104044"/>
      <w:bookmarkStart w:id="1037" w:name="_Toc422843752"/>
      <w:bookmarkStart w:id="1038" w:name="_Toc419980503"/>
      <w:r>
        <w:rPr/>
        <w:t>Etablissement du PAQ</w:t>
      </w:r>
      <w:bookmarkEnd w:id="1035"/>
      <w:bookmarkEnd w:id="1036"/>
      <w:bookmarkEnd w:id="1037"/>
      <w:bookmarkEnd w:id="1038"/>
    </w:p>
    <w:p>
      <w:pPr>
        <w:pStyle w:val="F1"/>
        <w:spacing w:before="0" w:after="0"/>
        <w:rPr/>
      </w:pPr>
      <w:r>
        <w:rPr/>
      </w:r>
    </w:p>
    <w:p>
      <w:pPr>
        <w:pStyle w:val="F1"/>
        <w:rPr/>
      </w:pPr>
      <w:r>
        <w:rPr/>
        <w:t>Les phases d’établissement du PAQ sont les suivantes :</w:t>
      </w:r>
    </w:p>
    <w:p>
      <w:pPr>
        <w:pStyle w:val="F1"/>
        <w:numPr>
          <w:ilvl w:val="0"/>
          <w:numId w:val="50"/>
        </w:numPr>
        <w:rPr/>
      </w:pPr>
      <w:r>
        <w:rPr/>
        <w:t>Remise de l’offre : A la remise de l’offre les principales dispositions de l’organisation générale, ainsi que la liste des procédures d’exécution prévues doivent être annexées au SOPAQ.</w:t>
      </w:r>
    </w:p>
    <w:p>
      <w:pPr>
        <w:pStyle w:val="F1"/>
        <w:numPr>
          <w:ilvl w:val="0"/>
          <w:numId w:val="50"/>
        </w:numPr>
        <w:rPr/>
      </w:pPr>
      <w:r>
        <w:rPr/>
        <w:t>Mise au point du Marché : Pendant la mise au point du Marché, le cadre du PAQ peut être ajusté entre le Maître d’</w:t>
      </w:r>
      <w:r>
        <w:rPr>
          <w:rFonts w:ascii="Calibri" w:hAnsi="Calibri"/>
        </w:rPr>
        <w:t>Œ</w:t>
      </w:r>
      <w:r>
        <w:rPr/>
        <w:t>uvre et l’Entrepreneur sur la base de l’Acte d’Engagement. Est alors présenté, notamment, l’organigramme nominatif du chantier avec les qualifications et les références de tous les responsables.</w:t>
      </w:r>
    </w:p>
    <w:p>
      <w:pPr>
        <w:pStyle w:val="F1"/>
        <w:numPr>
          <w:ilvl w:val="0"/>
          <w:numId w:val="50"/>
        </w:numPr>
        <w:rPr/>
      </w:pPr>
      <w:r>
        <w:rPr/>
        <w:t>Période de préparation des travaux : Pendant cette période de préparation, la note d’organisation générale est définitivement mise au point. Les premières procédures et les cadres des documents de suivi sont alors établis. De plus les principaux sous-traitants et fournisseurs sont désignés. Pour les sous-traitants qui n’auraient pu être désignés lors de cette phase, l’entrepreneur devra fournir un planning d’intervention de ceux-ci pour déterminer les dates limites à leur agrément.</w:t>
      </w:r>
    </w:p>
    <w:p>
      <w:pPr>
        <w:pStyle w:val="F1"/>
        <w:numPr>
          <w:ilvl w:val="0"/>
          <w:numId w:val="50"/>
        </w:numPr>
        <w:rPr/>
      </w:pPr>
      <w:r>
        <w:rPr/>
        <w:t>Exécution des travaux : Pendant l’exécution des travaux, avant toute phase et suivant les délais prescrits par le Marché, les autres procédures sont établies. Les documents de suivi sont tenus à la disposition du Maître d’</w:t>
      </w:r>
      <w:r>
        <w:rPr>
          <w:rFonts w:ascii="Calibri" w:hAnsi="Calibri"/>
        </w:rPr>
        <w:t>Œ</w:t>
      </w:r>
      <w:r>
        <w:rPr/>
        <w:t>uvre.</w:t>
      </w:r>
    </w:p>
    <w:p>
      <w:pPr>
        <w:pStyle w:val="F1"/>
        <w:numPr>
          <w:ilvl w:val="0"/>
          <w:numId w:val="50"/>
        </w:numPr>
        <w:rPr/>
      </w:pPr>
      <w:r>
        <w:rPr/>
        <w:t>Achèvement des travaux : A l’achèvement des travaux, tous les documents qualité sont regroupés et remis au Maître d’</w:t>
      </w:r>
      <w:r>
        <w:rPr>
          <w:rFonts w:ascii="Calibri" w:hAnsi="Calibri"/>
        </w:rPr>
        <w:t>Œ</w:t>
      </w:r>
      <w:r>
        <w:rPr/>
        <w:t>uvre pour intégration au Dossier de récolement.</w:t>
      </w:r>
    </w:p>
    <w:p>
      <w:pPr>
        <w:pStyle w:val="F1"/>
        <w:spacing w:before="0" w:after="0"/>
        <w:rPr/>
      </w:pPr>
      <w:r>
        <w:rPr/>
        <w:t>Le PAQ est donc établi progressivement, en fonction des précisions et des modifications intervenues pendant le déroulement du chantier. Il est obligatoirement mis à jour.</w:t>
      </w:r>
    </w:p>
    <w:p>
      <w:pPr>
        <w:pStyle w:val="Titre3"/>
        <w:rPr/>
      </w:pPr>
      <w:bookmarkStart w:id="1039" w:name="_Toc32334880"/>
      <w:bookmarkStart w:id="1040" w:name="_Toc430104045"/>
      <w:bookmarkStart w:id="1041" w:name="_Toc422843753"/>
      <w:bookmarkStart w:id="1042" w:name="_Toc419980504"/>
      <w:r>
        <w:rPr/>
        <w:t>Consistance du PAQ</w:t>
      </w:r>
      <w:bookmarkEnd w:id="1039"/>
      <w:bookmarkEnd w:id="1040"/>
      <w:bookmarkEnd w:id="1041"/>
      <w:bookmarkEnd w:id="1042"/>
    </w:p>
    <w:p>
      <w:pPr>
        <w:pStyle w:val="F1"/>
        <w:rPr/>
      </w:pPr>
      <w:r>
        <w:rPr/>
      </w:r>
    </w:p>
    <w:p>
      <w:pPr>
        <w:pStyle w:val="F1"/>
        <w:rPr/>
      </w:pPr>
      <w:r>
        <w:rPr/>
        <w:t>Le PAQ devra être établi selon le plan suivant :</w:t>
      </w:r>
    </w:p>
    <w:p>
      <w:pPr>
        <w:pStyle w:val="Titre4"/>
        <w:rPr/>
      </w:pPr>
      <w:bookmarkStart w:id="1043" w:name="_Toc32334881"/>
      <w:bookmarkStart w:id="1044" w:name="_Toc430104046"/>
      <w:bookmarkStart w:id="1045" w:name="_Toc422843754"/>
      <w:bookmarkStart w:id="1046" w:name="_Toc419980505"/>
      <w:r>
        <w:rPr/>
        <w:t>Situation et consistance des travaux</w:t>
      </w:r>
      <w:bookmarkEnd w:id="1043"/>
      <w:bookmarkEnd w:id="1044"/>
      <w:bookmarkEnd w:id="1045"/>
      <w:bookmarkEnd w:id="1046"/>
    </w:p>
    <w:p>
      <w:pPr>
        <w:pStyle w:val="F1"/>
        <w:spacing w:before="0" w:after="0"/>
        <w:rPr/>
      </w:pPr>
      <w:r>
        <w:rPr/>
      </w:r>
    </w:p>
    <w:p>
      <w:pPr>
        <w:pStyle w:val="F1"/>
        <w:rPr/>
      </w:pPr>
      <w:r>
        <w:rPr/>
        <w:t>Le PAQ décrit de manière synthétique le lieu d’exécution, la nature et l’importance des travaux ainsi que les principaux intervenants : Maître d’Ouvrage, Conduite d’Opération, Maître d’</w:t>
      </w:r>
      <w:r>
        <w:rPr>
          <w:rFonts w:ascii="Calibri" w:hAnsi="Calibri"/>
        </w:rPr>
        <w:t>Œ</w:t>
      </w:r>
      <w:r>
        <w:rPr/>
        <w:t>uvre, Coordonnateur SPS, Bureau de contrôle, Gestionnaires voirie, Entreprise(s), fournisseurs et sous-traitants.</w:t>
      </w:r>
    </w:p>
    <w:p>
      <w:pPr>
        <w:pStyle w:val="Titre4"/>
        <w:rPr/>
      </w:pPr>
      <w:bookmarkStart w:id="1047" w:name="_Toc32334882"/>
      <w:bookmarkStart w:id="1048" w:name="_Toc430104047"/>
      <w:bookmarkStart w:id="1049" w:name="_Toc422843755"/>
      <w:bookmarkStart w:id="1050" w:name="_Toc419980506"/>
      <w:r>
        <w:rPr/>
        <w:t>Organisation générale et affectation des tâches</w:t>
      </w:r>
      <w:bookmarkEnd w:id="1047"/>
      <w:bookmarkEnd w:id="1048"/>
      <w:bookmarkEnd w:id="1049"/>
      <w:bookmarkEnd w:id="1050"/>
    </w:p>
    <w:p>
      <w:pPr>
        <w:pStyle w:val="F1"/>
        <w:spacing w:before="0" w:after="0"/>
        <w:rPr/>
      </w:pPr>
      <w:r>
        <w:rPr/>
      </w:r>
    </w:p>
    <w:p>
      <w:pPr>
        <w:pStyle w:val="F1"/>
        <w:rPr/>
      </w:pPr>
      <w:r>
        <w:rPr/>
        <w:t>Le PAQ définit :</w:t>
      </w:r>
    </w:p>
    <w:p>
      <w:pPr>
        <w:pStyle w:val="F1"/>
        <w:rPr/>
      </w:pPr>
      <w:r>
        <w:rPr/>
        <w:t>L’organigramme général du chantier avec notamment précision :</w:t>
      </w:r>
    </w:p>
    <w:p>
      <w:pPr>
        <w:pStyle w:val="F1"/>
        <w:numPr>
          <w:ilvl w:val="0"/>
          <w:numId w:val="51"/>
        </w:numPr>
        <w:rPr/>
      </w:pPr>
      <w:r>
        <w:rPr/>
        <w:t>Des références et de la fonction du personnel d’encadrement (y compris travaux sous-traités) ;</w:t>
      </w:r>
    </w:p>
    <w:p>
      <w:pPr>
        <w:pStyle w:val="F1"/>
        <w:numPr>
          <w:ilvl w:val="0"/>
          <w:numId w:val="51"/>
        </w:numPr>
        <w:rPr/>
      </w:pPr>
      <w:r>
        <w:rPr/>
        <w:t>De l’affectation des tâches ;</w:t>
      </w:r>
    </w:p>
    <w:p>
      <w:pPr>
        <w:pStyle w:val="F1"/>
        <w:numPr>
          <w:ilvl w:val="0"/>
          <w:numId w:val="51"/>
        </w:numPr>
        <w:rPr/>
      </w:pPr>
      <w:r>
        <w:rPr/>
        <w:t>De la définition des missions principales et des responsabilités attribuées ;</w:t>
      </w:r>
    </w:p>
    <w:p>
      <w:pPr>
        <w:pStyle w:val="F1"/>
        <w:numPr>
          <w:ilvl w:val="0"/>
          <w:numId w:val="51"/>
        </w:numPr>
        <w:rPr/>
      </w:pPr>
      <w:r>
        <w:rPr/>
        <w:t>De l’effectif prévisionnel ;</w:t>
      </w:r>
    </w:p>
    <w:p>
      <w:pPr>
        <w:pStyle w:val="F1"/>
        <w:numPr>
          <w:ilvl w:val="0"/>
          <w:numId w:val="51"/>
        </w:numPr>
        <w:rPr/>
      </w:pPr>
      <w:r>
        <w:rPr/>
        <w:t>L’organisation générale du chantier :</w:t>
      </w:r>
    </w:p>
    <w:p>
      <w:pPr>
        <w:pStyle w:val="F1"/>
        <w:numPr>
          <w:ilvl w:val="0"/>
          <w:numId w:val="52"/>
        </w:numPr>
        <w:rPr/>
      </w:pPr>
      <w:r>
        <w:rPr/>
        <w:t>Le schéma des installations de chantier : localisation des locaux de chantier, aires de stockage et de fabrication éventuelles, laboratoires… ;</w:t>
      </w:r>
    </w:p>
    <w:p>
      <w:pPr>
        <w:pStyle w:val="F1"/>
        <w:numPr>
          <w:ilvl w:val="0"/>
          <w:numId w:val="52"/>
        </w:numPr>
        <w:rPr/>
      </w:pPr>
      <w:r>
        <w:rPr/>
        <w:t>Les cadences (adéquation entre les rendements des divers ateliers) ;</w:t>
      </w:r>
    </w:p>
    <w:p>
      <w:pPr>
        <w:pStyle w:val="F1"/>
        <w:numPr>
          <w:ilvl w:val="0"/>
          <w:numId w:val="52"/>
        </w:numPr>
        <w:rPr/>
      </w:pPr>
      <w:r>
        <w:rPr/>
        <w:t>L’organisation des transports (plan, distances parcourues…) ;</w:t>
      </w:r>
    </w:p>
    <w:p>
      <w:pPr>
        <w:pStyle w:val="F1"/>
        <w:numPr>
          <w:ilvl w:val="0"/>
          <w:numId w:val="52"/>
        </w:numPr>
        <w:rPr/>
      </w:pPr>
      <w:r>
        <w:rPr/>
        <w:t>Le nombre d’ateliers ;</w:t>
      </w:r>
    </w:p>
    <w:p>
      <w:pPr>
        <w:pStyle w:val="F1"/>
        <w:numPr>
          <w:ilvl w:val="0"/>
          <w:numId w:val="52"/>
        </w:numPr>
        <w:rPr/>
      </w:pPr>
      <w:r>
        <w:rPr/>
        <w:t>Les moyens de communication interne (entre bureaux, encadrement et maîtrise de chantier) ;</w:t>
      </w:r>
    </w:p>
    <w:p>
      <w:pPr>
        <w:pStyle w:val="F1"/>
        <w:numPr>
          <w:ilvl w:val="0"/>
          <w:numId w:val="52"/>
        </w:numPr>
        <w:rPr/>
      </w:pPr>
      <w:r>
        <w:rPr/>
        <w:t>Les modalités de relevés des conditions climatiques.</w:t>
      </w:r>
    </w:p>
    <w:p>
      <w:pPr>
        <w:pStyle w:val="F1"/>
        <w:numPr>
          <w:ilvl w:val="0"/>
          <w:numId w:val="51"/>
        </w:numPr>
        <w:rPr/>
      </w:pPr>
      <w:r>
        <w:rPr/>
        <w:t>L’organisation générale des contrôles.</w:t>
      </w:r>
    </w:p>
    <w:p>
      <w:pPr>
        <w:pStyle w:val="F1"/>
        <w:rPr/>
      </w:pPr>
      <w:r>
        <w:rPr/>
        <w:t>Les différents ateliers du chantier feront l’objet de PAQ particuliers et de procédures.</w:t>
      </w:r>
    </w:p>
    <w:p>
      <w:pPr>
        <w:pStyle w:val="Titre4"/>
        <w:rPr/>
      </w:pPr>
      <w:bookmarkStart w:id="1051" w:name="_Toc32334883"/>
      <w:bookmarkStart w:id="1052" w:name="_Toc430104048"/>
      <w:bookmarkStart w:id="1053" w:name="_Toc422843756"/>
      <w:bookmarkStart w:id="1054" w:name="_Toc419980507"/>
      <w:r>
        <w:rPr/>
        <w:t>Choix des matériaux et des fournitures</w:t>
      </w:r>
      <w:bookmarkEnd w:id="1051"/>
      <w:bookmarkEnd w:id="1052"/>
      <w:bookmarkEnd w:id="1053"/>
      <w:bookmarkEnd w:id="1054"/>
    </w:p>
    <w:p>
      <w:pPr>
        <w:pStyle w:val="F1"/>
        <w:spacing w:beforeAutospacing="1" w:after="120"/>
        <w:rPr/>
      </w:pPr>
      <w:r>
        <w:rPr/>
        <w:t>Le PAQ indique le choix des constituants qui seront soumis à l’agrément du Maître d’Œuvre.</w:t>
      </w:r>
    </w:p>
    <w:p>
      <w:pPr>
        <w:pStyle w:val="F1"/>
        <w:rPr/>
      </w:pPr>
      <w:r>
        <w:rPr/>
        <w:t>Le PAQ précise également les lieux de provenance des constituants et ceux éventuellement mis à disposition par le Maître d’Ouvrage.</w:t>
      </w:r>
    </w:p>
    <w:p>
      <w:pPr>
        <w:pStyle w:val="Titre4"/>
        <w:rPr/>
      </w:pPr>
      <w:bookmarkStart w:id="1055" w:name="_Toc32334884"/>
      <w:bookmarkStart w:id="1056" w:name="_Toc430104049"/>
      <w:bookmarkStart w:id="1057" w:name="_Toc422843757"/>
      <w:bookmarkStart w:id="1058" w:name="_Toc419980508"/>
      <w:r>
        <w:rPr/>
        <w:t>Maîtrise des fournisseurs et des sous-traitants</w:t>
      </w:r>
      <w:bookmarkEnd w:id="1055"/>
      <w:bookmarkEnd w:id="1056"/>
      <w:bookmarkEnd w:id="1057"/>
      <w:bookmarkEnd w:id="1058"/>
    </w:p>
    <w:p>
      <w:pPr>
        <w:pStyle w:val="F1"/>
        <w:spacing w:beforeAutospacing="1" w:after="120"/>
        <w:rPr/>
      </w:pPr>
      <w:r>
        <w:rPr/>
        <w:t>Le PAQ doit notamment préciser :</w:t>
      </w:r>
    </w:p>
    <w:p>
      <w:pPr>
        <w:pStyle w:val="F1"/>
        <w:numPr>
          <w:ilvl w:val="0"/>
          <w:numId w:val="53"/>
        </w:numPr>
        <w:rPr/>
      </w:pPr>
      <w:r>
        <w:rPr/>
        <w:t>Les choix, les modalités de coordination, de suivi et de contrôle des fournisseurs et sous-traitants (y compris rédaction des commandes, contrôle des biens et services achetés) ;</w:t>
      </w:r>
    </w:p>
    <w:p>
      <w:pPr>
        <w:pStyle w:val="F1"/>
        <w:numPr>
          <w:ilvl w:val="0"/>
          <w:numId w:val="53"/>
        </w:numPr>
        <w:rPr/>
      </w:pPr>
      <w:r>
        <w:rPr/>
        <w:t>Les modalités de traitement des interfaces entre les sous-traitants et l’Entrepreneur ;</w:t>
      </w:r>
    </w:p>
    <w:p>
      <w:pPr>
        <w:pStyle w:val="F1"/>
        <w:numPr>
          <w:ilvl w:val="0"/>
          <w:numId w:val="53"/>
        </w:numPr>
        <w:rPr/>
      </w:pPr>
      <w:r>
        <w:rPr/>
        <w:t>Les modalités éventuelles d’évaluation des sous-traitants en cours d’opération, pouvant prendre la forme d’audits réalisés par l’Entrepreneur.</w:t>
      </w:r>
    </w:p>
    <w:p>
      <w:pPr>
        <w:pStyle w:val="Titre4"/>
        <w:rPr/>
      </w:pPr>
      <w:bookmarkStart w:id="1059" w:name="_Toc32334885"/>
      <w:bookmarkStart w:id="1060" w:name="_Toc430104050"/>
      <w:bookmarkStart w:id="1061" w:name="_Toc422843758"/>
      <w:bookmarkStart w:id="1062" w:name="_Toc419980509"/>
      <w:r>
        <w:rPr/>
        <w:t>Moyens de production</w:t>
      </w:r>
      <w:bookmarkEnd w:id="1059"/>
      <w:bookmarkEnd w:id="1060"/>
      <w:bookmarkEnd w:id="1061"/>
      <w:bookmarkEnd w:id="1062"/>
    </w:p>
    <w:p>
      <w:pPr>
        <w:pStyle w:val="F1"/>
        <w:spacing w:beforeAutospacing="1" w:after="120"/>
        <w:rPr/>
      </w:pPr>
      <w:r>
        <w:rPr/>
        <w:t>Le PAQ doit notamment :</w:t>
      </w:r>
    </w:p>
    <w:p>
      <w:pPr>
        <w:pStyle w:val="F1"/>
        <w:numPr>
          <w:ilvl w:val="0"/>
          <w:numId w:val="54"/>
        </w:numPr>
        <w:rPr/>
      </w:pPr>
      <w:r>
        <w:rPr/>
        <w:t>Décrire la composition des différents ateliers ;</w:t>
      </w:r>
    </w:p>
    <w:p>
      <w:pPr>
        <w:pStyle w:val="F1"/>
        <w:numPr>
          <w:ilvl w:val="0"/>
          <w:numId w:val="54"/>
        </w:numPr>
        <w:rPr/>
      </w:pPr>
      <w:r>
        <w:rPr/>
        <w:t>Préciser les procédures d’exécution proposées par l’Entrepreneur et appelées à être soumises au visa du Maître d’Œuvre ;</w:t>
      </w:r>
    </w:p>
    <w:p>
      <w:pPr>
        <w:pStyle w:val="F1"/>
        <w:numPr>
          <w:ilvl w:val="0"/>
          <w:numId w:val="54"/>
        </w:numPr>
        <w:rPr/>
      </w:pPr>
      <w:r>
        <w:rPr/>
        <w:t>Rappeler les hypothèses d’exécution de chantier.</w:t>
      </w:r>
    </w:p>
    <w:p>
      <w:pPr>
        <w:pStyle w:val="Titre4"/>
        <w:rPr/>
      </w:pPr>
      <w:bookmarkStart w:id="1063" w:name="_Toc32334886"/>
      <w:bookmarkStart w:id="1064" w:name="_Toc430104051"/>
      <w:bookmarkStart w:id="1065" w:name="_Toc422843759"/>
      <w:bookmarkStart w:id="1066" w:name="_Toc419980510"/>
      <w:r>
        <w:rPr/>
        <w:t>Gestion des interfaces</w:t>
      </w:r>
      <w:bookmarkEnd w:id="1063"/>
      <w:bookmarkEnd w:id="1064"/>
      <w:bookmarkEnd w:id="1065"/>
      <w:bookmarkEnd w:id="1066"/>
    </w:p>
    <w:p>
      <w:pPr>
        <w:pStyle w:val="F1"/>
        <w:spacing w:beforeAutospacing="1" w:after="120"/>
        <w:rPr/>
      </w:pPr>
      <w:r>
        <w:rPr/>
        <w:t>Le PAQ doit préciser les méthodes de gestion des interfaces concernant :</w:t>
      </w:r>
    </w:p>
    <w:p>
      <w:pPr>
        <w:pStyle w:val="F1"/>
        <w:numPr>
          <w:ilvl w:val="0"/>
          <w:numId w:val="55"/>
        </w:numPr>
        <w:rPr/>
      </w:pPr>
      <w:r>
        <w:rPr/>
        <w:t>Les interfaces liées à la coordination entre entreprises ou ateliers différents, mais recouvrant les mêmes domaines techniques ;</w:t>
      </w:r>
    </w:p>
    <w:p>
      <w:pPr>
        <w:pStyle w:val="F1"/>
        <w:numPr>
          <w:ilvl w:val="0"/>
          <w:numId w:val="55"/>
        </w:numPr>
        <w:rPr/>
      </w:pPr>
      <w:r>
        <w:rPr/>
        <w:t>Les interfaces relatives à la coordination entre entreprises ou/et ateliers recouvrant des domaines techniques différents.</w:t>
      </w:r>
    </w:p>
    <w:p>
      <w:pPr>
        <w:pStyle w:val="Titre4"/>
        <w:rPr/>
      </w:pPr>
      <w:bookmarkStart w:id="1067" w:name="_Toc32334887"/>
      <w:bookmarkStart w:id="1068" w:name="_Toc430104052"/>
      <w:bookmarkStart w:id="1069" w:name="_Toc422843760"/>
      <w:bookmarkStart w:id="1070" w:name="_Toc419980511"/>
      <w:r>
        <w:rPr/>
        <w:t>Organisation des contrôles</w:t>
      </w:r>
      <w:bookmarkEnd w:id="1067"/>
      <w:bookmarkEnd w:id="1068"/>
      <w:bookmarkEnd w:id="1069"/>
      <w:bookmarkEnd w:id="1070"/>
    </w:p>
    <w:p>
      <w:pPr>
        <w:pStyle w:val="F1"/>
        <w:spacing w:beforeAutospacing="1" w:after="120"/>
        <w:rPr/>
      </w:pPr>
      <w:r>
        <w:rPr/>
        <w:t>Le PAQ doit clairement définir les missions principales des contrôles qualité internes et externes :</w:t>
      </w:r>
    </w:p>
    <w:p>
      <w:pPr>
        <w:pStyle w:val="F1"/>
        <w:numPr>
          <w:ilvl w:val="0"/>
          <w:numId w:val="56"/>
        </w:numPr>
        <w:rPr/>
      </w:pPr>
      <w:r>
        <w:rPr/>
        <w:t>L’ensemble des contrôles internes et externes sera placé sous l’autorité du Responsable qualité désigné et mis à disposition par l’Entrepreneur ;</w:t>
      </w:r>
    </w:p>
    <w:p>
      <w:pPr>
        <w:pStyle w:val="F1"/>
        <w:numPr>
          <w:ilvl w:val="0"/>
          <w:numId w:val="56"/>
        </w:numPr>
        <w:rPr/>
      </w:pPr>
      <w:r>
        <w:rPr/>
        <w:t>Les fournisseurs devront être certifiés et les équipements fournis conformes aux normes définies dans le présent document et d’une manière plus générale à celles régissant chaque domaine technique.</w:t>
      </w:r>
    </w:p>
    <w:p>
      <w:pPr>
        <w:pStyle w:val="Titre4"/>
        <w:rPr/>
      </w:pPr>
      <w:bookmarkStart w:id="1071" w:name="_Toc32334888"/>
      <w:bookmarkStart w:id="1072" w:name="_Toc430104053"/>
      <w:bookmarkStart w:id="1073" w:name="_Toc422843761"/>
      <w:bookmarkStart w:id="1074" w:name="_Toc419980512"/>
      <w:r>
        <w:rPr/>
        <w:t>Documents de suivi</w:t>
      </w:r>
      <w:bookmarkEnd w:id="1071"/>
      <w:bookmarkEnd w:id="1072"/>
      <w:bookmarkEnd w:id="1073"/>
      <w:bookmarkEnd w:id="1074"/>
    </w:p>
    <w:p>
      <w:pPr>
        <w:pStyle w:val="F1"/>
        <w:spacing w:beforeAutospacing="1" w:after="120"/>
        <w:rPr/>
      </w:pPr>
      <w:r>
        <w:rPr/>
        <w:t>Seront annexés au PAQ, les modèles de fiches appelées à être utilisées comme support de suivi du PAQ :</w:t>
      </w:r>
    </w:p>
    <w:p>
      <w:pPr>
        <w:pStyle w:val="F1"/>
        <w:numPr>
          <w:ilvl w:val="0"/>
          <w:numId w:val="57"/>
        </w:numPr>
        <w:rPr/>
      </w:pPr>
      <w:r>
        <w:rPr/>
        <w:t>Fiches journalières de contrôles internes et externes ;</w:t>
      </w:r>
    </w:p>
    <w:p>
      <w:pPr>
        <w:pStyle w:val="F1"/>
        <w:numPr>
          <w:ilvl w:val="0"/>
          <w:numId w:val="57"/>
        </w:numPr>
        <w:rPr/>
      </w:pPr>
      <w:r>
        <w:rPr/>
        <w:t>Fiches de non-conformité et de mesure corrective.</w:t>
      </w:r>
    </w:p>
    <w:p>
      <w:pPr>
        <w:pStyle w:val="F1"/>
        <w:rPr/>
      </w:pPr>
      <w:r>
        <w:rPr/>
        <w:t>Le PAQ doit préciser les procédures de gestion des documents de suivi retenus pour ce chantier, qu’il s’agisse de documents émis par l’Entrepreneur, provenant du Maître d’Œuvre ou tenus à disposition.</w:t>
      </w:r>
    </w:p>
    <w:p>
      <w:pPr>
        <w:pStyle w:val="F1"/>
        <w:rPr/>
      </w:pPr>
      <w:r>
        <w:rPr/>
        <w:t>Pour chaque document, doivent être précisés :</w:t>
      </w:r>
    </w:p>
    <w:p>
      <w:pPr>
        <w:pStyle w:val="F1"/>
        <w:numPr>
          <w:ilvl w:val="0"/>
          <w:numId w:val="58"/>
        </w:numPr>
        <w:rPr/>
      </w:pPr>
      <w:r>
        <w:rPr/>
        <w:t>Le contenu, la forme et la finalité de chaque document type ;</w:t>
      </w:r>
    </w:p>
    <w:p>
      <w:pPr>
        <w:pStyle w:val="F1"/>
        <w:numPr>
          <w:ilvl w:val="0"/>
          <w:numId w:val="58"/>
        </w:numPr>
        <w:rPr/>
      </w:pPr>
      <w:r>
        <w:rPr/>
        <w:t>Les modalités d’établissement, d’émission, de diffusion après validation par la personne désignée ;</w:t>
      </w:r>
    </w:p>
    <w:p>
      <w:pPr>
        <w:pStyle w:val="F1"/>
        <w:numPr>
          <w:ilvl w:val="0"/>
          <w:numId w:val="58"/>
        </w:numPr>
        <w:rPr/>
      </w:pPr>
      <w:r>
        <w:rPr/>
        <w:t>Les délais et les circuits des transmissions ;</w:t>
      </w:r>
    </w:p>
    <w:p>
      <w:pPr>
        <w:pStyle w:val="F1"/>
        <w:numPr>
          <w:ilvl w:val="0"/>
          <w:numId w:val="58"/>
        </w:numPr>
        <w:rPr/>
      </w:pPr>
      <w:r>
        <w:rPr/>
        <w:t>Les modalités de visa par le Maître d’Œuvre pour les documents concernés ;</w:t>
      </w:r>
    </w:p>
    <w:p>
      <w:pPr>
        <w:pStyle w:val="F1"/>
        <w:numPr>
          <w:ilvl w:val="0"/>
          <w:numId w:val="58"/>
        </w:numPr>
        <w:rPr/>
      </w:pPr>
      <w:r>
        <w:rPr/>
        <w:t>Les conditions d’exploitation, de classement, d’actualisation éventuelle puis d’archivage de tous les documents.</w:t>
      </w:r>
    </w:p>
    <w:p>
      <w:pPr>
        <w:pStyle w:val="Titre4"/>
        <w:rPr/>
      </w:pPr>
      <w:bookmarkStart w:id="1075" w:name="_Toc32334889"/>
      <w:bookmarkStart w:id="1076" w:name="_Toc430104054"/>
      <w:bookmarkStart w:id="1077" w:name="_Toc422843762"/>
      <w:bookmarkStart w:id="1078" w:name="_Toc419980513"/>
      <w:r>
        <w:rPr/>
        <w:t>Modalités d’évaluation</w:t>
      </w:r>
      <w:bookmarkEnd w:id="1075"/>
      <w:bookmarkEnd w:id="1076"/>
      <w:bookmarkEnd w:id="1077"/>
      <w:bookmarkEnd w:id="1078"/>
    </w:p>
    <w:p>
      <w:pPr>
        <w:pStyle w:val="F1"/>
        <w:spacing w:beforeAutospacing="1" w:after="120"/>
        <w:rPr/>
      </w:pPr>
      <w:r>
        <w:rPr/>
        <w:t>L’Entreprise devra préciser les modalités d’évaluation du respect du PAQ, tant auprès de ses agents (audit d’application du PAQ) qu’auprès de ses sous-traitants et fournisseurs, mais également auprès du Maître d’Œuvre.</w:t>
      </w:r>
    </w:p>
    <w:p>
      <w:pPr>
        <w:pStyle w:val="F1"/>
        <w:rPr/>
      </w:pPr>
      <w:r>
        <w:rPr/>
        <w:t>Cette évaluation pourra se concrétiser sous forme de rapports périodiques, élaborés à partir d’outils de suivi tels que :</w:t>
      </w:r>
    </w:p>
    <w:p>
      <w:pPr>
        <w:pStyle w:val="F1"/>
        <w:numPr>
          <w:ilvl w:val="0"/>
          <w:numId w:val="59"/>
        </w:numPr>
        <w:rPr/>
      </w:pPr>
      <w:r>
        <w:rPr/>
        <w:t>Le planning de remise des PAQ ;</w:t>
      </w:r>
    </w:p>
    <w:p>
      <w:pPr>
        <w:pStyle w:val="F1"/>
        <w:numPr>
          <w:ilvl w:val="0"/>
          <w:numId w:val="59"/>
        </w:numPr>
        <w:rPr/>
      </w:pPr>
      <w:r>
        <w:rPr/>
        <w:t>Les listes de remise des documents avec leur état de visa, afin de les comparer aux listes prévisionnelles ;</w:t>
      </w:r>
    </w:p>
    <w:p>
      <w:pPr>
        <w:pStyle w:val="F1"/>
        <w:numPr>
          <w:ilvl w:val="0"/>
          <w:numId w:val="59"/>
        </w:numPr>
        <w:rPr/>
      </w:pPr>
      <w:r>
        <w:rPr/>
        <w:t>Une liste de tous les matériaux, les produits, les procédures… à présenter à l’agrément du Maître d’Œuvre.</w:t>
      </w:r>
    </w:p>
    <w:p>
      <w:pPr>
        <w:pStyle w:val="Titre3"/>
        <w:keepNext w:val="false"/>
        <w:tabs>
          <w:tab w:val="clear" w:pos="0"/>
          <w:tab w:val="clear" w:pos="8789"/>
          <w:tab w:val="left" w:pos="992" w:leader="none"/>
        </w:tabs>
        <w:spacing w:before="240" w:after="240"/>
        <w:ind w:left="992" w:hanging="992"/>
        <w:jc w:val="both"/>
        <w:rPr/>
      </w:pPr>
      <w:bookmarkStart w:id="1079" w:name="_Toc32334890"/>
      <w:bookmarkStart w:id="1080" w:name="_Toc430104055"/>
      <w:bookmarkStart w:id="1081" w:name="_Toc422843763"/>
      <w:bookmarkStart w:id="1082" w:name="_Toc419980514"/>
      <w:r>
        <w:rPr/>
        <w:t>Contrôle de la qualité</w:t>
      </w:r>
      <w:bookmarkEnd w:id="1079"/>
      <w:bookmarkEnd w:id="1080"/>
      <w:bookmarkEnd w:id="1081"/>
      <w:bookmarkEnd w:id="1082"/>
    </w:p>
    <w:p>
      <w:pPr>
        <w:pStyle w:val="Titre4"/>
        <w:rPr/>
      </w:pPr>
      <w:bookmarkStart w:id="1083" w:name="_Toc32334891"/>
      <w:bookmarkStart w:id="1084" w:name="_Toc430104056"/>
      <w:bookmarkStart w:id="1085" w:name="_Toc422843764"/>
      <w:bookmarkStart w:id="1086" w:name="_Toc419980515"/>
      <w:r>
        <w:rPr/>
        <w:t>Organisation de l’assurance de la qualité</w:t>
      </w:r>
      <w:bookmarkEnd w:id="1083"/>
      <w:bookmarkEnd w:id="1084"/>
      <w:bookmarkEnd w:id="1085"/>
      <w:bookmarkEnd w:id="1086"/>
    </w:p>
    <w:p>
      <w:pPr>
        <w:pStyle w:val="F1"/>
        <w:spacing w:beforeAutospacing="1" w:after="120"/>
        <w:rPr/>
      </w:pPr>
      <w:r>
        <w:rPr/>
        <w:t>L’Entrepreneur a notamment pour mission au titre de l’assurance de la qualité :</w:t>
      </w:r>
    </w:p>
    <w:p>
      <w:pPr>
        <w:pStyle w:val="F1"/>
        <w:numPr>
          <w:ilvl w:val="0"/>
          <w:numId w:val="60"/>
        </w:numPr>
        <w:rPr/>
      </w:pPr>
      <w:r>
        <w:rPr/>
        <w:t>D’organiser le contrôle interne notamment la mise en place des procédures d’exécution ;</w:t>
      </w:r>
    </w:p>
    <w:p>
      <w:pPr>
        <w:pStyle w:val="F1"/>
        <w:numPr>
          <w:ilvl w:val="0"/>
          <w:numId w:val="60"/>
        </w:numPr>
        <w:rPr/>
      </w:pPr>
      <w:r>
        <w:rPr/>
        <w:t>De surveiller le contrôle interne à l’aide des documents de suivi du contrôle de la qualité ;</w:t>
      </w:r>
    </w:p>
    <w:p>
      <w:pPr>
        <w:pStyle w:val="F1"/>
        <w:numPr>
          <w:ilvl w:val="0"/>
          <w:numId w:val="60"/>
        </w:numPr>
        <w:rPr/>
      </w:pPr>
      <w:r>
        <w:rPr/>
        <w:t>De contrôler la qualification des intervenants de l’Entrepreneur ;</w:t>
      </w:r>
    </w:p>
    <w:p>
      <w:pPr>
        <w:pStyle w:val="F1"/>
        <w:numPr>
          <w:ilvl w:val="0"/>
          <w:numId w:val="60"/>
        </w:numPr>
        <w:rPr/>
      </w:pPr>
      <w:r>
        <w:rPr/>
        <w:t>De mettre en place des mesures correctives en cas de divergence de la qualité ;</w:t>
      </w:r>
    </w:p>
    <w:p>
      <w:pPr>
        <w:pStyle w:val="F1"/>
        <w:numPr>
          <w:ilvl w:val="0"/>
          <w:numId w:val="60"/>
        </w:numPr>
        <w:rPr/>
      </w:pPr>
      <w:r>
        <w:rPr/>
        <w:t>De recourir aux sous-traitants pour des contrôles spécifiques ;</w:t>
      </w:r>
    </w:p>
    <w:p>
      <w:pPr>
        <w:pStyle w:val="F1"/>
        <w:numPr>
          <w:ilvl w:val="0"/>
          <w:numId w:val="60"/>
        </w:numPr>
        <w:rPr/>
      </w:pPr>
      <w:r>
        <w:rPr/>
        <w:t>De valider des spécifications techniques d’achat ;</w:t>
      </w:r>
    </w:p>
    <w:p>
      <w:pPr>
        <w:pStyle w:val="F1"/>
        <w:numPr>
          <w:ilvl w:val="0"/>
          <w:numId w:val="60"/>
        </w:numPr>
        <w:rPr/>
      </w:pPr>
      <w:r>
        <w:rPr/>
        <w:t>De vérifier la conformité des approvisionnements et l’affectation à une autre spécification (ou le rebut) des lots jugés non conformes, notamment :</w:t>
      </w:r>
    </w:p>
    <w:p>
      <w:pPr>
        <w:pStyle w:val="F1"/>
        <w:numPr>
          <w:ilvl w:val="0"/>
          <w:numId w:val="62"/>
        </w:numPr>
        <w:rPr/>
      </w:pPr>
      <w:r>
        <w:rPr/>
        <w:t>Les essais de réception des matériaux et des produits ;</w:t>
      </w:r>
    </w:p>
    <w:p>
      <w:pPr>
        <w:pStyle w:val="F1"/>
        <w:numPr>
          <w:ilvl w:val="0"/>
          <w:numId w:val="62"/>
        </w:numPr>
        <w:rPr/>
      </w:pPr>
      <w:r>
        <w:rPr/>
        <w:t>Les épreuves des bétons et des coulis (études, convenance, contrôle, information) ;</w:t>
      </w:r>
    </w:p>
    <w:p>
      <w:pPr>
        <w:pStyle w:val="F1"/>
        <w:numPr>
          <w:ilvl w:val="0"/>
          <w:numId w:val="62"/>
        </w:numPr>
        <w:rPr/>
      </w:pPr>
      <w:r>
        <w:rPr/>
        <w:t>L’étalonnage et la vérification des matériels d’essais ;</w:t>
      </w:r>
    </w:p>
    <w:p>
      <w:pPr>
        <w:pStyle w:val="F1"/>
        <w:numPr>
          <w:ilvl w:val="0"/>
          <w:numId w:val="61"/>
        </w:numPr>
        <w:rPr/>
      </w:pPr>
      <w:r>
        <w:rPr/>
        <w:t>De contrôler la conformité aux spécifications du produit fini et de rédiger des certificats de conformité ;</w:t>
      </w:r>
    </w:p>
    <w:p>
      <w:pPr>
        <w:pStyle w:val="F1"/>
        <w:numPr>
          <w:ilvl w:val="0"/>
          <w:numId w:val="61"/>
        </w:numPr>
        <w:rPr/>
      </w:pPr>
      <w:r>
        <w:rPr/>
        <w:t>De contrôler la conformité des prestations des sous-traitants ;</w:t>
      </w:r>
    </w:p>
    <w:p>
      <w:pPr>
        <w:pStyle w:val="F1"/>
        <w:numPr>
          <w:ilvl w:val="0"/>
          <w:numId w:val="61"/>
        </w:numPr>
        <w:rPr/>
      </w:pPr>
      <w:r>
        <w:rPr/>
        <w:t>De réaliser les adaptations nécessaires du processus de fabrication ;</w:t>
      </w:r>
    </w:p>
    <w:p>
      <w:pPr>
        <w:pStyle w:val="F1"/>
        <w:numPr>
          <w:ilvl w:val="0"/>
          <w:numId w:val="61"/>
        </w:numPr>
        <w:rPr/>
      </w:pPr>
      <w:r>
        <w:rPr/>
        <w:t>De contrôler la géométrie définitive des ouvrages ;</w:t>
      </w:r>
    </w:p>
    <w:p>
      <w:pPr>
        <w:pStyle w:val="F1"/>
        <w:numPr>
          <w:ilvl w:val="0"/>
          <w:numId w:val="61"/>
        </w:numPr>
        <w:rPr/>
      </w:pPr>
      <w:r>
        <w:rPr/>
        <w:t>D’exploiter et d’archiver tous les résultats relevés.</w:t>
      </w:r>
    </w:p>
    <w:p>
      <w:pPr>
        <w:pStyle w:val="F1"/>
        <w:rPr/>
      </w:pPr>
      <w:r>
        <w:rPr/>
        <w:t>Les essais à la charge de l’Entrepreneur seront exécutés par un intervenant proposé dans le PAQ au Maître d’</w:t>
      </w:r>
      <w:r>
        <w:rPr>
          <w:rFonts w:ascii="Calibri" w:hAnsi="Calibri"/>
        </w:rPr>
        <w:t>Œ</w:t>
      </w:r>
      <w:r>
        <w:rPr/>
        <w:t>uvre et les résultats seront transmis simultanément à l’Entrepreneur et au Maître d’Œuvre par le contrôle externe.</w:t>
      </w:r>
    </w:p>
    <w:p>
      <w:pPr>
        <w:pStyle w:val="F1"/>
        <w:rPr/>
      </w:pPr>
      <w:r>
        <w:rPr/>
        <w:t>Les résultats ne seront pas transmis sous leur forme brute, mais accompagnés de leur analyse et de leur interprétation.</w:t>
      </w:r>
    </w:p>
    <w:p>
      <w:pPr>
        <w:pStyle w:val="Titre4"/>
        <w:rPr/>
      </w:pPr>
      <w:bookmarkStart w:id="1087" w:name="_Toc32334892"/>
      <w:bookmarkStart w:id="1088" w:name="_Toc430104057"/>
      <w:bookmarkStart w:id="1089" w:name="_Toc422843765"/>
      <w:bookmarkStart w:id="1090" w:name="_Toc419980516"/>
      <w:r>
        <w:rPr/>
        <w:t>Contrôle extérieur au producteur</w:t>
      </w:r>
      <w:bookmarkEnd w:id="1087"/>
      <w:bookmarkEnd w:id="1088"/>
      <w:bookmarkEnd w:id="1089"/>
      <w:bookmarkEnd w:id="1090"/>
    </w:p>
    <w:p>
      <w:pPr>
        <w:pStyle w:val="F1"/>
        <w:spacing w:beforeAutospacing="1" w:after="120"/>
        <w:rPr/>
      </w:pPr>
      <w:r>
        <w:rPr/>
        <w:t>Le contrôle extérieur s’assure de la convenance du PAQ puis de son respect par l’Entrepreneur. Le contrôle extérieur ne se substitue en rien au contrôle intérieur de l’Entrepreneur.</w:t>
      </w:r>
    </w:p>
    <w:p>
      <w:pPr>
        <w:pStyle w:val="F1"/>
        <w:rPr/>
      </w:pPr>
      <w:r>
        <w:rPr/>
        <w:t>Le Maître d’</w:t>
      </w:r>
      <w:r>
        <w:rPr>
          <w:rFonts w:ascii="Calibri" w:hAnsi="Calibri"/>
        </w:rPr>
        <w:t>Œ</w:t>
      </w:r>
      <w:r>
        <w:rPr/>
        <w:t>uvre se réserve la possibilité de prendre l’initiative de tout contrôle extérieur inopiné destiné à vérifier la conformité aux stipulations du marché.</w:t>
      </w:r>
    </w:p>
    <w:p>
      <w:pPr>
        <w:pStyle w:val="F1"/>
        <w:rPr/>
      </w:pPr>
      <w:r>
        <w:rPr/>
        <w:t>Les points critiques et les points d’arrêt font l’objet de dispositions spécifiques. La liste minimale des points d’arrêt est définie ci-après. Des points d’arrêt complémentaires pourront être proposés par l’Entrepreneur dans le cadre de son PAQ.</w:t>
      </w:r>
    </w:p>
    <w:p>
      <w:pPr>
        <w:pStyle w:val="F1"/>
        <w:rPr/>
      </w:pPr>
      <w:r>
        <w:rPr/>
        <w:t>L’Entrepreneur devra supporter la présence des représentants du Maître d’</w:t>
      </w:r>
      <w:r>
        <w:rPr>
          <w:rFonts w:ascii="Calibri" w:hAnsi="Calibri"/>
        </w:rPr>
        <w:t>Œ</w:t>
      </w:r>
      <w:r>
        <w:rPr/>
        <w:t>uvre dans l’exercice de leur mission du contrôle extérieur. Ses prix sont réputés en tenir compte.</w:t>
      </w:r>
    </w:p>
    <w:p>
      <w:pPr>
        <w:pStyle w:val="Titre4"/>
        <w:rPr/>
      </w:pPr>
      <w:bookmarkStart w:id="1091" w:name="_Toc32334893"/>
      <w:bookmarkStart w:id="1092" w:name="_Toc430104058"/>
      <w:bookmarkStart w:id="1093" w:name="_Toc422843766"/>
      <w:bookmarkStart w:id="1094" w:name="_Toc419980517"/>
      <w:bookmarkStart w:id="1095" w:name="_Toc379275247"/>
      <w:r>
        <w:rPr/>
        <w:t>Points critiques – Points d’arrêt</w:t>
      </w:r>
      <w:bookmarkEnd w:id="1091"/>
      <w:bookmarkEnd w:id="1092"/>
      <w:bookmarkEnd w:id="1093"/>
      <w:bookmarkEnd w:id="1094"/>
      <w:bookmarkEnd w:id="1095"/>
    </w:p>
    <w:p>
      <w:pPr>
        <w:pStyle w:val="Normal"/>
        <w:rPr/>
      </w:pPr>
      <w:r>
        <w:rPr/>
      </w:r>
    </w:p>
    <w:p>
      <w:pPr>
        <w:pStyle w:val="Normal"/>
        <w:spacing w:before="0" w:after="120"/>
        <w:rPr>
          <w:rFonts w:cs="Arial"/>
          <w:szCs w:val="24"/>
        </w:rPr>
      </w:pPr>
      <w:r>
        <w:rPr/>
        <w:t>Parmi les points « sensibles » de la formulation, de la fabrication, du transport ou/et de la mise en œuvre signalés dans le présent fascicule, et parmi les opérations de contrôles mentionnées ci-</w:t>
      </w:r>
      <w:r>
        <w:rPr>
          <w:rFonts w:cs="Arial"/>
          <w:szCs w:val="24"/>
        </w:rPr>
        <w:t>avant, les plus importants d’entre eux sont récapitulés dans le tableau ci-après en distinguant :</w:t>
      </w:r>
    </w:p>
    <w:p>
      <w:pPr>
        <w:pStyle w:val="F1"/>
        <w:numPr>
          <w:ilvl w:val="0"/>
          <w:numId w:val="42"/>
        </w:numPr>
        <w:rPr/>
      </w:pPr>
      <w:r>
        <w:rPr/>
        <w:t>Les « points critiques » qui exigent une information préalable du Maître d’Œuvre pour qu’il puisse, s’il le juge utile, effectuer ses opérations de contrôle, sans que cette intervention soit indispensable à la poursuite de l’opération ;</w:t>
      </w:r>
    </w:p>
    <w:p>
      <w:pPr>
        <w:pStyle w:val="F1"/>
        <w:numPr>
          <w:ilvl w:val="0"/>
          <w:numId w:val="42"/>
        </w:numPr>
        <w:rPr/>
      </w:pPr>
      <w:r>
        <w:rPr/>
        <w:t>Les « points d’arrêt » qui sont des points critiques pour lesquels un accord formel du Maître d’Œuvre, ou d’un organisme mandaté par lui, est nécessaire à la poursuite de l’exécution.</w:t>
      </w:r>
    </w:p>
    <w:p>
      <w:pPr>
        <w:pStyle w:val="F1"/>
        <w:rPr/>
      </w:pPr>
      <w:r>
        <w:rPr/>
      </w:r>
    </w:p>
    <w:tbl>
      <w:tblPr>
        <w:tblW w:w="8789" w:type="dxa"/>
        <w:jc w:val="left"/>
        <w:tblInd w:w="109" w:type="dxa"/>
        <w:tblLayout w:type="fixed"/>
        <w:tblCellMar>
          <w:top w:w="0" w:type="dxa"/>
          <w:left w:w="108" w:type="dxa"/>
          <w:bottom w:w="0" w:type="dxa"/>
          <w:right w:w="108" w:type="dxa"/>
        </w:tblCellMar>
        <w:tblLook w:firstRow="1" w:noVBand="1" w:lastRow="0" w:firstColumn="1" w:lastColumn="0" w:noHBand="0" w:val="04a0"/>
      </w:tblPr>
      <w:tblGrid>
        <w:gridCol w:w="5529"/>
        <w:gridCol w:w="1559"/>
        <w:gridCol w:w="1701"/>
      </w:tblGrid>
      <w:tr>
        <w:trPr>
          <w:trHeight w:val="600" w:hRule="atLeast"/>
        </w:trPr>
        <w:tc>
          <w:tcPr>
            <w:tcW w:w="5529" w:type="dxa"/>
            <w:tcBorders>
              <w:top w:val="single" w:sz="4" w:space="0" w:color="000000"/>
              <w:left w:val="single" w:sz="4" w:space="0" w:color="000000"/>
              <w:bottom w:val="single" w:sz="4" w:space="0" w:color="000000"/>
              <w:right w:val="single" w:sz="4" w:space="0" w:color="000000"/>
            </w:tcBorders>
            <w:shd w:color="auto" w:fill="D9D9D9" w:val="clear"/>
            <w:vAlign w:val="center"/>
          </w:tcPr>
          <w:p>
            <w:pPr>
              <w:pStyle w:val="Normal"/>
              <w:widowControl w:val="false"/>
              <w:jc w:val="left"/>
              <w:rPr>
                <w:b/>
                <w:b/>
                <w:bCs/>
              </w:rPr>
            </w:pPr>
            <w:r>
              <w:rPr>
                <w:b/>
                <w:bCs/>
              </w:rPr>
            </w:r>
          </w:p>
        </w:tc>
        <w:tc>
          <w:tcPr>
            <w:tcW w:w="1559" w:type="dxa"/>
            <w:tcBorders>
              <w:top w:val="single" w:sz="4" w:space="0" w:color="000000"/>
              <w:left w:val="single" w:sz="4" w:space="0" w:color="000000"/>
              <w:bottom w:val="single" w:sz="4" w:space="0" w:color="000000"/>
              <w:right w:val="single" w:sz="4" w:space="0" w:color="000000"/>
            </w:tcBorders>
            <w:shd w:color="auto" w:fill="D9D9D9" w:val="clear"/>
            <w:vAlign w:val="center"/>
          </w:tcPr>
          <w:p>
            <w:pPr>
              <w:pStyle w:val="Normal"/>
              <w:widowControl w:val="false"/>
              <w:jc w:val="center"/>
              <w:rPr>
                <w:b/>
                <w:b/>
              </w:rPr>
            </w:pPr>
            <w:r>
              <w:rPr>
                <w:b/>
              </w:rPr>
              <w:t>Points</w:t>
              <w:br/>
              <w:t>critiques</w:t>
            </w:r>
          </w:p>
        </w:tc>
        <w:tc>
          <w:tcPr>
            <w:tcW w:w="1701" w:type="dxa"/>
            <w:tcBorders>
              <w:top w:val="single" w:sz="4" w:space="0" w:color="000000"/>
              <w:left w:val="single" w:sz="4" w:space="0" w:color="000000"/>
              <w:bottom w:val="single" w:sz="4" w:space="0" w:color="000000"/>
              <w:right w:val="single" w:sz="4" w:space="0" w:color="000000"/>
            </w:tcBorders>
            <w:shd w:color="auto" w:fill="D9D9D9" w:val="clear"/>
            <w:vAlign w:val="center"/>
          </w:tcPr>
          <w:p>
            <w:pPr>
              <w:pStyle w:val="Normal"/>
              <w:widowControl w:val="false"/>
              <w:jc w:val="center"/>
              <w:rPr>
                <w:b/>
                <w:b/>
              </w:rPr>
            </w:pPr>
            <w:r>
              <w:rPr>
                <w:b/>
              </w:rPr>
              <w:t>Point d'arrêt</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b/>
                <w:bCs/>
              </w:rPr>
              <w:t>Période de préparation</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Fourniture des documents prévus au 5.2.4</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b/>
                <w:bCs/>
              </w:rPr>
              <w:t>Travaux préparatoires</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Visa sans observation du dossier des reconnaissances approfondies</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Visa sans observation des fiches produits et des échantillons (aménagement intérieur et mobilier)</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Etat des lieux avant travaux</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b/>
                <w:bCs/>
              </w:rPr>
              <w:t>Etudes d’exécution</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Visa sans observation des plans d'exécution et des procédures d’exécution</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b/>
                <w:b/>
                <w:bCs/>
              </w:rPr>
            </w:pPr>
            <w:r>
              <w:rPr>
                <w:b/>
                <w:bCs/>
              </w:rPr>
              <w:t>Maintien de la continuité d’exploitation</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Visa sans observation des méthodes de transferts des systèmes informatiques et des équipements, des salles d’exploitation actuelle, provisoire et définitive</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Visa sans observation des méthodes de remplacement des TGBT</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Visa sans observation des méthodes de remplacement et d’extension de la climatisation</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Réception usine des TGBT</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Contrôle de montage des aménagements intérieurs</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Essais réseaux (phases provisoires et définitives)</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Essais installation électrique (phases provisoires et définitives)</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Essais contrôles d’accès</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Essais SSI</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Essais climatisation</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bCs/>
              </w:rPr>
            </w:pPr>
            <w:r>
              <w:rPr>
                <w:bCs/>
              </w:rPr>
              <w:t>Essais éclairage</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bCs/>
              </w:rPr>
            </w:pPr>
            <w:r>
              <w:rPr>
                <w:bCs/>
              </w:rPr>
              <w:t>Essais acoustiques</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b/>
                <w:bCs/>
              </w:rPr>
              <w:t>Documentations</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Etat des lieux après travaux</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Proposition de sommaire DOE en cours de période préparatoire</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Documentation de mise en service de l'ouvrage</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Mise à jour bases DIRIF</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r>
        <w:trPr>
          <w:trHeight w:val="300" w:hRule="atLeast"/>
        </w:trPr>
        <w:tc>
          <w:tcPr>
            <w:tcW w:w="552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left"/>
              <w:rPr/>
            </w:pPr>
            <w:r>
              <w:rPr/>
              <w:t>Intégration documentation (papier et informatique) médiathèque CRETEIL</w:t>
            </w:r>
          </w:p>
        </w:tc>
        <w:tc>
          <w:tcPr>
            <w:tcW w:w="15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r>
          </w:p>
        </w:tc>
        <w:tc>
          <w:tcPr>
            <w:tcW w:w="17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pPr>
            <w:r>
              <w:rPr/>
              <w:t>X</w:t>
            </w:r>
          </w:p>
        </w:tc>
      </w:tr>
    </w:tbl>
    <w:p>
      <w:pPr>
        <w:pStyle w:val="Titre2"/>
        <w:tabs>
          <w:tab w:val="clear" w:pos="0"/>
          <w:tab w:val="clear" w:pos="8789"/>
          <w:tab w:val="left" w:pos="426" w:leader="none"/>
        </w:tabs>
        <w:ind w:left="0" w:hanging="0"/>
        <w:rPr/>
      </w:pPr>
      <w:bookmarkStart w:id="1096" w:name="_Toc32334894"/>
      <w:bookmarkStart w:id="1097" w:name="_Toc430104059"/>
      <w:bookmarkStart w:id="1098" w:name="_Toc422843767"/>
      <w:bookmarkStart w:id="1099" w:name="_Toc419980519"/>
      <w:r>
        <w:rPr/>
        <w:t>Respect de l’environnement</w:t>
      </w:r>
      <w:bookmarkEnd w:id="1096"/>
      <w:bookmarkEnd w:id="1097"/>
      <w:bookmarkEnd w:id="1098"/>
      <w:bookmarkEnd w:id="1099"/>
    </w:p>
    <w:p>
      <w:pPr>
        <w:pStyle w:val="F1"/>
        <w:spacing w:before="0" w:after="0"/>
        <w:rPr/>
      </w:pPr>
      <w:r>
        <w:rPr/>
      </w:r>
    </w:p>
    <w:p>
      <w:pPr>
        <w:pStyle w:val="F1"/>
        <w:rPr/>
      </w:pPr>
      <w:r>
        <w:rPr/>
        <w:t>Le regroupement des exigences environnementales dans le présent Article est destiné à attirer l’attention de l’Entrepreneur sur l’importance qu’est accordé au respect de l’environnement.</w:t>
      </w:r>
    </w:p>
    <w:p>
      <w:pPr>
        <w:pStyle w:val="F1"/>
        <w:rPr/>
      </w:pPr>
      <w:r>
        <w:rPr/>
        <w:t>L’ensemble des exigences consignées dans cet Article n’exonère en aucun cas l’Entrepreneur du respect de la réglementation en vigueur et notamment les textes relatifs à la protection de l’environnement.</w:t>
      </w:r>
    </w:p>
    <w:p>
      <w:pPr>
        <w:pStyle w:val="F1"/>
        <w:rPr/>
      </w:pPr>
      <w:r>
        <w:rPr/>
        <w:t>Pour la mise en place de son organisation environnementale, l’Entrepreneur se reportera à la norme NF ISO 14 000 concernant le système de management environnemental.</w:t>
      </w:r>
    </w:p>
    <w:p>
      <w:pPr>
        <w:pStyle w:val="Titre3"/>
        <w:keepNext w:val="false"/>
        <w:tabs>
          <w:tab w:val="clear" w:pos="0"/>
          <w:tab w:val="clear" w:pos="8789"/>
          <w:tab w:val="left" w:pos="992" w:leader="none"/>
        </w:tabs>
        <w:spacing w:before="240" w:after="240"/>
        <w:ind w:left="992" w:hanging="992"/>
        <w:jc w:val="both"/>
        <w:rPr/>
      </w:pPr>
      <w:bookmarkStart w:id="1100" w:name="_Toc32334895"/>
      <w:bookmarkStart w:id="1101" w:name="_Toc430104060"/>
      <w:bookmarkStart w:id="1102" w:name="_Toc422843768"/>
      <w:bookmarkStart w:id="1103" w:name="_Toc419980520"/>
      <w:r>
        <w:rPr/>
        <w:t>SOGED</w:t>
      </w:r>
      <w:bookmarkEnd w:id="1100"/>
      <w:bookmarkEnd w:id="1101"/>
      <w:bookmarkEnd w:id="1102"/>
      <w:bookmarkEnd w:id="1103"/>
    </w:p>
    <w:p>
      <w:pPr>
        <w:pStyle w:val="F1"/>
        <w:rPr/>
      </w:pPr>
      <w:r>
        <w:rPr/>
        <w:t>Il est demandé à l’Entrepreneur un SOGED (Schéma d’Organisation et de GEstion des Déchets) dont le cadre type est à remplir par lui et à fournir simultanément avec son offre. Le SOGED constitue le document de référence à tous les intervenants.</w:t>
      </w:r>
    </w:p>
    <w:p>
      <w:pPr>
        <w:pStyle w:val="F1"/>
        <w:rPr/>
      </w:pPr>
      <w:r>
        <w:rPr/>
        <w:t>Le SOGED est un engagement de l’Entrepreneur à mettre en œuvre, s’il devient titulaire, des actions en faveur du respect de l’environnement et la gestion des déchets.</w:t>
      </w:r>
    </w:p>
    <w:p>
      <w:pPr>
        <w:pStyle w:val="F1"/>
        <w:rPr/>
      </w:pPr>
      <w:r>
        <w:rPr/>
        <w:t>Le SOGED comporteront au minimum les éléments suivants :</w:t>
      </w:r>
    </w:p>
    <w:p>
      <w:pPr>
        <w:pStyle w:val="F1"/>
        <w:numPr>
          <w:ilvl w:val="0"/>
          <w:numId w:val="63"/>
        </w:numPr>
        <w:rPr/>
      </w:pPr>
      <w:r>
        <w:rPr/>
        <w:t>Politique environnement de l’Entrepreneur (formation, sensibilisation du personnel) ;</w:t>
      </w:r>
    </w:p>
    <w:p>
      <w:pPr>
        <w:pStyle w:val="F1"/>
        <w:numPr>
          <w:ilvl w:val="0"/>
          <w:numId w:val="63"/>
        </w:numPr>
        <w:rPr/>
      </w:pPr>
      <w:r>
        <w:rPr/>
        <w:t>Moyens humains : organigramme du chantier, Responsable environnement (avec précision de son niveau hiérarchique, son profil, les moyens matériels à sa disposition, la part de son temps de travail qu’il pourra consacrer au suivi de la gestion des déchets…) ;</w:t>
      </w:r>
    </w:p>
    <w:p>
      <w:pPr>
        <w:pStyle w:val="F1"/>
        <w:numPr>
          <w:ilvl w:val="0"/>
          <w:numId w:val="63"/>
        </w:numPr>
        <w:rPr/>
      </w:pPr>
      <w:r>
        <w:rPr/>
        <w:t>Dispositifs que l’Entrepreneur mettra en place pour respecter les prescriptions environnementales (concernant le bruit, la poussière, les déchets, l’assainissement…).</w:t>
      </w:r>
    </w:p>
    <w:p>
      <w:pPr>
        <w:pStyle w:val="Titre2"/>
        <w:tabs>
          <w:tab w:val="clear" w:pos="0"/>
          <w:tab w:val="clear" w:pos="8789"/>
          <w:tab w:val="left" w:pos="426" w:leader="none"/>
        </w:tabs>
        <w:ind w:left="0" w:hanging="0"/>
        <w:rPr/>
      </w:pPr>
      <w:bookmarkStart w:id="1104" w:name="_Toc32334896"/>
      <w:bookmarkStart w:id="1105" w:name="_Toc430104061"/>
      <w:bookmarkStart w:id="1106" w:name="_Toc422843770"/>
      <w:bookmarkStart w:id="1107" w:name="_Toc419980522"/>
      <w:r>
        <w:rPr/>
        <w:t>Etat prévisionnel des dépenses</w:t>
      </w:r>
      <w:bookmarkEnd w:id="1104"/>
      <w:bookmarkEnd w:id="1105"/>
      <w:bookmarkEnd w:id="1106"/>
      <w:bookmarkEnd w:id="1107"/>
    </w:p>
    <w:p>
      <w:pPr>
        <w:pStyle w:val="F1"/>
        <w:rPr/>
      </w:pPr>
      <w:r>
        <w:rPr/>
      </w:r>
    </w:p>
    <w:p>
      <w:pPr>
        <w:pStyle w:val="Normal"/>
        <w:rPr/>
      </w:pPr>
      <w:r>
        <w:rPr/>
        <w:t>L'état prévisionnel des dépenses est par définition un document indépendant de l'offre initiale, il est indicatif et devra comporter, mois par mois, le montant des dépenses à prévoir sur chacun des principaux postes.</w:t>
      </w:r>
    </w:p>
    <w:p>
      <w:pPr>
        <w:pStyle w:val="Normal"/>
        <w:rPr/>
      </w:pPr>
      <w:r>
        <w:rPr/>
      </w:r>
    </w:p>
    <w:p>
      <w:pPr>
        <w:pStyle w:val="Normal"/>
        <w:rPr/>
      </w:pPr>
      <w:r>
        <w:rPr/>
        <w:t>Ce document sera mis à jour tous les mois par l’Entrepreneur et transmis au Maître d'</w:t>
      </w:r>
      <w:r>
        <w:rPr>
          <w:rFonts w:cs="Arial"/>
        </w:rPr>
        <w:t>Œ</w:t>
      </w:r>
      <w:r>
        <w:rPr/>
        <w:t>uvre.</w:t>
      </w:r>
    </w:p>
    <w:p>
      <w:pPr>
        <w:pStyle w:val="Titre2"/>
        <w:tabs>
          <w:tab w:val="clear" w:pos="0"/>
          <w:tab w:val="clear" w:pos="8789"/>
          <w:tab w:val="left" w:pos="426" w:leader="none"/>
        </w:tabs>
        <w:ind w:left="0" w:hanging="0"/>
        <w:rPr/>
      </w:pPr>
      <w:bookmarkStart w:id="1108" w:name="_Toc32334897"/>
      <w:bookmarkStart w:id="1109" w:name="_Toc430104062"/>
      <w:bookmarkStart w:id="1110" w:name="_Toc422843771"/>
      <w:bookmarkStart w:id="1111" w:name="_Toc419980523"/>
      <w:r>
        <w:rPr/>
        <w:t>Dossier des ouvrages exécutés (récolement)</w:t>
      </w:r>
      <w:bookmarkEnd w:id="1108"/>
      <w:bookmarkEnd w:id="1109"/>
      <w:bookmarkEnd w:id="1110"/>
      <w:bookmarkEnd w:id="1111"/>
    </w:p>
    <w:p>
      <w:pPr>
        <w:pStyle w:val="F1"/>
        <w:spacing w:before="0" w:after="0"/>
        <w:rPr/>
      </w:pPr>
      <w:r>
        <w:rPr/>
      </w:r>
    </w:p>
    <w:p>
      <w:pPr>
        <w:pStyle w:val="F1"/>
        <w:rPr/>
      </w:pPr>
      <w:r>
        <w:rPr/>
        <w:t>Le dossier de récolement provisoire, complété et mis à jour pendant la durée des travaux, sera remis au plus tard lors de la demande de réception.</w:t>
      </w:r>
    </w:p>
    <w:p>
      <w:pPr>
        <w:pStyle w:val="F1"/>
        <w:rPr/>
      </w:pPr>
      <w:r>
        <w:rPr/>
        <w:t>Le dossier de recollement définitif sera remis 1 mois après la décision de réception des ouvrages. Il intégrera de façon complémentaire à la version provisoire :</w:t>
      </w:r>
    </w:p>
    <w:p>
      <w:pPr>
        <w:pStyle w:val="F1"/>
        <w:numPr>
          <w:ilvl w:val="0"/>
          <w:numId w:val="42"/>
        </w:numPr>
        <w:rPr/>
      </w:pPr>
      <w:r>
        <w:rPr/>
        <w:t>Les corrections consécutives aux observations faites sur le DOE provisoire ;</w:t>
      </w:r>
    </w:p>
    <w:p>
      <w:pPr>
        <w:pStyle w:val="F1"/>
        <w:numPr>
          <w:ilvl w:val="0"/>
          <w:numId w:val="42"/>
        </w:numPr>
        <w:rPr/>
      </w:pPr>
      <w:r>
        <w:rPr/>
        <w:t xml:space="preserve">Les essais in situ effectués dans le cadre des opérations préalables aux réceptions ; </w:t>
      </w:r>
    </w:p>
    <w:p>
      <w:pPr>
        <w:pStyle w:val="F1"/>
        <w:numPr>
          <w:ilvl w:val="0"/>
          <w:numId w:val="42"/>
        </w:numPr>
        <w:rPr/>
      </w:pPr>
      <w:r>
        <w:rPr/>
        <w:t xml:space="preserve">Toutes les mises à jour inhérentes aux modifications du système depuis la production du DOE provisoire. </w:t>
      </w:r>
    </w:p>
    <w:p>
      <w:pPr>
        <w:pStyle w:val="Titre3"/>
        <w:rPr/>
      </w:pPr>
      <w:bookmarkStart w:id="1112" w:name="_Toc32334898"/>
      <w:bookmarkStart w:id="1113" w:name="_Toc430104063"/>
      <w:bookmarkStart w:id="1114" w:name="_Toc422843772"/>
      <w:bookmarkStart w:id="1115" w:name="_Toc419980524"/>
      <w:r>
        <w:rPr/>
        <w:t>Formes du dossier des ouvrages exécutés</w:t>
      </w:r>
      <w:bookmarkEnd w:id="1112"/>
      <w:bookmarkEnd w:id="1113"/>
      <w:bookmarkEnd w:id="1114"/>
      <w:bookmarkEnd w:id="1115"/>
    </w:p>
    <w:p>
      <w:pPr>
        <w:pStyle w:val="F1"/>
        <w:spacing w:before="0" w:after="0"/>
        <w:rPr/>
      </w:pPr>
      <w:r>
        <w:rPr/>
      </w:r>
    </w:p>
    <w:p>
      <w:pPr>
        <w:pStyle w:val="F1"/>
        <w:rPr/>
      </w:pPr>
      <w:r>
        <w:rPr/>
        <w:t xml:space="preserve">Ce dossier sera fourni sous deux formes : </w:t>
      </w:r>
    </w:p>
    <w:p>
      <w:pPr>
        <w:pStyle w:val="F1"/>
        <w:numPr>
          <w:ilvl w:val="0"/>
          <w:numId w:val="42"/>
        </w:numPr>
        <w:rPr/>
      </w:pPr>
      <w:r>
        <w:rPr/>
        <w:t>Une forme de fichiers informatiques à intégrer à la médiathèque de la DIRIF et accessibles par le réseau informatique interne de la DIRIF ;</w:t>
      </w:r>
    </w:p>
    <w:p>
      <w:pPr>
        <w:pStyle w:val="F1"/>
        <w:numPr>
          <w:ilvl w:val="0"/>
          <w:numId w:val="42"/>
        </w:numPr>
        <w:rPr/>
      </w:pPr>
      <w:r>
        <w:rPr/>
        <w:t xml:space="preserve">Une forme "papier", à intégrer à la médiathèque de la DIRIF. Cette forme "papier" est la copie du contenu des fichiers cités ci-dessus. </w:t>
      </w:r>
    </w:p>
    <w:p>
      <w:pPr>
        <w:pStyle w:val="Titre3"/>
        <w:rPr/>
      </w:pPr>
      <w:bookmarkStart w:id="1116" w:name="_Toc32334899"/>
      <w:bookmarkStart w:id="1117" w:name="_Toc430104064"/>
      <w:bookmarkStart w:id="1118" w:name="_Toc422843773"/>
      <w:bookmarkStart w:id="1119" w:name="_Toc419980525"/>
      <w:r>
        <w:rPr/>
        <w:t>Décomposition du DOE provisoire ou définitif</w:t>
      </w:r>
      <w:bookmarkEnd w:id="1116"/>
      <w:bookmarkEnd w:id="1117"/>
      <w:bookmarkEnd w:id="1118"/>
      <w:bookmarkEnd w:id="1119"/>
      <w:r>
        <w:rPr/>
        <w:t xml:space="preserve"> </w:t>
      </w:r>
    </w:p>
    <w:p>
      <w:pPr>
        <w:pStyle w:val="Corpsdetexte"/>
        <w:rPr/>
      </w:pPr>
      <w:r>
        <w:rPr/>
        <w:t>Hiérarchisation de l’organisation documentaire (source : Plan documentaire DiRIF)</w:t>
      </w:r>
    </w:p>
    <w:p>
      <w:pPr>
        <w:pStyle w:val="Corpsdetexte"/>
        <w:rPr/>
      </w:pPr>
      <w:r>
        <w:rPr/>
        <w:drawing>
          <wp:inline distT="0" distB="0" distL="0" distR="0">
            <wp:extent cx="5287010" cy="3867150"/>
            <wp:effectExtent l="0" t="0" r="0" b="0"/>
            <wp:docPr id="25"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9" descr=""/>
                    <pic:cNvPicPr>
                      <a:picLocks noChangeAspect="1" noChangeArrowheads="1"/>
                    </pic:cNvPicPr>
                  </pic:nvPicPr>
                  <pic:blipFill>
                    <a:blip r:embed="rId33"/>
                    <a:stretch>
                      <a:fillRect/>
                    </a:stretch>
                  </pic:blipFill>
                  <pic:spPr bwMode="auto">
                    <a:xfrm>
                      <a:off x="0" y="0"/>
                      <a:ext cx="5287010" cy="3867150"/>
                    </a:xfrm>
                    <a:prstGeom prst="rect">
                      <a:avLst/>
                    </a:prstGeom>
                  </pic:spPr>
                </pic:pic>
              </a:graphicData>
            </a:graphic>
          </wp:inline>
        </w:drawing>
      </w:r>
    </w:p>
    <w:p>
      <w:pPr>
        <w:pStyle w:val="F1"/>
        <w:rPr/>
      </w:pPr>
      <w:r>
        <w:rPr/>
      </w:r>
    </w:p>
    <w:p>
      <w:pPr>
        <w:pStyle w:val="F1"/>
        <w:rPr/>
      </w:pPr>
      <w:r>
        <w:rPr/>
        <w:t xml:space="preserve">La décomposition ci-dessous montre l‘architecture d‘un DOE DIRIF (3 niveaux de détail) : </w:t>
      </w:r>
    </w:p>
    <w:p>
      <w:pPr>
        <w:pStyle w:val="F1"/>
        <w:numPr>
          <w:ilvl w:val="0"/>
          <w:numId w:val="42"/>
        </w:numPr>
        <w:rPr/>
      </w:pPr>
      <w:r>
        <w:rPr/>
        <w:t>Une DOCUMENTATION GENERALE, à vocation d'information et d'aide à la consultation de la documentation ;</w:t>
      </w:r>
    </w:p>
    <w:p>
      <w:pPr>
        <w:pStyle w:val="F1"/>
        <w:numPr>
          <w:ilvl w:val="0"/>
          <w:numId w:val="42"/>
        </w:numPr>
        <w:rPr/>
      </w:pPr>
      <w:r>
        <w:rPr/>
        <w:t>Une DOCUMENTATION SYSTEME, elle-même découpée en sous-dossiers spécialisés ;</w:t>
      </w:r>
    </w:p>
    <w:p>
      <w:pPr>
        <w:pStyle w:val="F1"/>
        <w:numPr>
          <w:ilvl w:val="0"/>
          <w:numId w:val="42"/>
        </w:numPr>
        <w:rPr/>
      </w:pPr>
      <w:r>
        <w:rPr/>
        <w:t>Une DOCUMENTATION TECHNIQUE DE DETAIL, elle-même découpée en sous-dossiers spécialisés (liste non exhaustive) :</w:t>
      </w:r>
    </w:p>
    <w:p>
      <w:pPr>
        <w:pStyle w:val="F1"/>
        <w:numPr>
          <w:ilvl w:val="1"/>
          <w:numId w:val="42"/>
        </w:numPr>
        <w:rPr/>
      </w:pPr>
      <w:r>
        <w:rPr/>
        <w:t>Une DOCUMENTATION INGENIERIE, qui contiennent les documents de conception et de réalisation des ouvrages.</w:t>
      </w:r>
    </w:p>
    <w:p>
      <w:pPr>
        <w:pStyle w:val="F1"/>
        <w:numPr>
          <w:ilvl w:val="1"/>
          <w:numId w:val="42"/>
        </w:numPr>
        <w:rPr/>
      </w:pPr>
      <w:r>
        <w:rPr/>
        <w:t>Une DOCUMENTATION CONSTRUCTEURS regroupant les notices du constructeur de chaque matériel utilisé dans le système. Lorsqu'un matériel a fait l'objet d'essais spécifiques de validation (prototypes…) sa documentation est complétée par le dossier d'essais correspondant ;</w:t>
      </w:r>
    </w:p>
    <w:p>
      <w:pPr>
        <w:pStyle w:val="F1"/>
        <w:numPr>
          <w:ilvl w:val="1"/>
          <w:numId w:val="42"/>
        </w:numPr>
        <w:rPr/>
      </w:pPr>
      <w:r>
        <w:rPr/>
        <w:t xml:space="preserve">Une DOCUMENTATION DE CABLAGE regroupant l'ensemble des schémas électriques des installations réalisées spécifiquement pour l'opération (cette documentation ne comporte pas les schémas électriques propres aux matériels, qui relèvent de la documentation "Constructeurs") ; </w:t>
      </w:r>
    </w:p>
    <w:p>
      <w:pPr>
        <w:pStyle w:val="F1"/>
        <w:rPr/>
      </w:pPr>
      <w:r>
        <w:rPr/>
        <w:t xml:space="preserve">Le DOE devra respecter cette architecture, en l‘extrapolant aux ouvrages réalisés dans le cadre du Marché. </w:t>
      </w:r>
    </w:p>
    <w:p>
      <w:pPr>
        <w:pStyle w:val="F1"/>
        <w:rPr/>
      </w:pPr>
      <w:r>
        <w:rPr/>
      </w:r>
    </w:p>
    <w:p>
      <w:pPr>
        <w:pStyle w:val="Titre3"/>
        <w:rPr/>
      </w:pPr>
      <w:bookmarkStart w:id="1120" w:name="_Toc32334900"/>
      <w:bookmarkStart w:id="1121" w:name="_Toc430104065"/>
      <w:bookmarkStart w:id="1122" w:name="_Toc422843774"/>
      <w:bookmarkStart w:id="1123" w:name="_Toc419980526"/>
      <w:r>
        <w:rPr/>
        <w:t>Méthodologie de réalisation du DOE et d’intégration de la codification DIRIF</w:t>
      </w:r>
      <w:bookmarkEnd w:id="1120"/>
      <w:bookmarkEnd w:id="1121"/>
      <w:bookmarkEnd w:id="1122"/>
      <w:bookmarkEnd w:id="1123"/>
    </w:p>
    <w:p>
      <w:pPr>
        <w:pStyle w:val="F1"/>
        <w:spacing w:before="0" w:after="0"/>
        <w:rPr/>
      </w:pPr>
      <w:r>
        <w:rPr/>
      </w:r>
    </w:p>
    <w:p>
      <w:pPr>
        <w:pStyle w:val="F1"/>
        <w:rPr/>
      </w:pPr>
      <w:r>
        <w:rPr/>
        <w:t xml:space="preserve">L'identification des documents sera conforme au « plan documentaire » de la DiRIF, joint en annexe. </w:t>
      </w:r>
    </w:p>
    <w:p>
      <w:pPr>
        <w:pStyle w:val="F1"/>
        <w:rPr/>
      </w:pPr>
      <w:r>
        <w:rPr/>
        <w:t>Pendant la période de préparation et au plus tard avant la validation du programme des études d'exécution, une réunion spécifique devra être organisée regroupant l’Entrepreneur, le Maître d’</w:t>
      </w:r>
      <w:r>
        <w:rPr>
          <w:rFonts w:ascii="Calibri" w:hAnsi="Calibri"/>
        </w:rPr>
        <w:t>Œ</w:t>
      </w:r>
      <w:r>
        <w:rPr/>
        <w:t>uvre, le Maître d’Ouvrage la Conduite d’Opération et le Responsable de la médiathèque DiRIF au démarrage des travaux,</w:t>
      </w:r>
    </w:p>
    <w:p>
      <w:pPr>
        <w:pStyle w:val="F1"/>
        <w:rPr/>
      </w:pPr>
      <w:r>
        <w:rPr/>
        <w:t>Cette réunion permettra d'expliciter si besoin ce qui est attendu à l'issue des travaux et elle permettra de définir la liste prévisionnelle des documents et bases de données qui devront être produits ou mis à jour en vue d’être insérés dans la « documentation des ouvrages exploités de la DiRIF ». L’ensemble des prestations préparatoires et d’insertion de documentation s’appelle « intégration ». </w:t>
      </w:r>
    </w:p>
    <w:p>
      <w:pPr>
        <w:pStyle w:val="F1"/>
        <w:rPr/>
      </w:pPr>
      <w:r>
        <w:rPr/>
        <w:t>L’Entrepreneur établira la liste des documents d’exécution et des documents à intégrer à la médiathèque. Cette liste sera soumise à validation du Maitre d’</w:t>
      </w:r>
      <w:r>
        <w:rPr>
          <w:rFonts w:ascii="Calibri" w:hAnsi="Calibri"/>
        </w:rPr>
        <w:t>Œ</w:t>
      </w:r>
      <w:r>
        <w:rPr/>
        <w:t>uvre et du Maître d’Ouvrage pendant la période de préparation.</w:t>
      </w:r>
    </w:p>
    <w:p>
      <w:pPr>
        <w:pStyle w:val="F1"/>
        <w:rPr/>
      </w:pPr>
      <w:r>
        <w:rPr/>
        <w:t>Cette liste sera transmise au service de la médiathèque la DiRIF pour établissement des numéros de DT tel que décrit dans spécifications documentaires de la DiRIF.</w:t>
      </w:r>
    </w:p>
    <w:p>
      <w:pPr>
        <w:pStyle w:val="F1"/>
        <w:rPr/>
      </w:pPr>
      <w:r>
        <w:rPr/>
        <w:t xml:space="preserve">L'identification des équipements seront conformes aux documents « spécifications codification » et « description tatouage » de la DiRIF joints en annexe. </w:t>
      </w:r>
    </w:p>
    <w:p>
      <w:pPr>
        <w:pStyle w:val="F1"/>
        <w:rPr/>
      </w:pPr>
      <w:r>
        <w:rPr/>
        <w:t>L’Entrepreneur établira également les listes exhaustives des équipements, câbles etc pendant la période de préparation. Ces listes seront soumises à validation du Maitre d’</w:t>
      </w:r>
      <w:r>
        <w:rPr>
          <w:rFonts w:ascii="Calibri" w:hAnsi="Calibri"/>
        </w:rPr>
        <w:t>Œ</w:t>
      </w:r>
      <w:r>
        <w:rPr/>
        <w:t xml:space="preserve">uvre. </w:t>
      </w:r>
    </w:p>
    <w:p>
      <w:pPr>
        <w:pStyle w:val="F1"/>
        <w:rPr/>
      </w:pPr>
      <w:r>
        <w:rPr/>
        <w:t>Ces listes seront transmises au service de la médiathèque la DiRIF pour établissement des numéros de tatouages et CRT tel que décrit dans spécifications documentaires de la DiRIF.</w:t>
      </w:r>
    </w:p>
    <w:p>
      <w:pPr>
        <w:pStyle w:val="F1"/>
        <w:rPr/>
      </w:pPr>
      <w:r>
        <w:rPr/>
        <w:t>Ces éléments seront à intégrer par l’Entrepreneur sur les plans et documents et sur le terrain dès leurs réceptions conformément au document « spécification codification » de la DiRIF, l’Entrepreneur intégrant ces éléments sans supplément. La base tatouage sera également à compléter par l’Entrepreneur avec les données d’implantation, constructeurs, de gestion etc…</w:t>
      </w:r>
    </w:p>
    <w:p>
      <w:pPr>
        <w:pStyle w:val="F1"/>
        <w:rPr/>
      </w:pPr>
      <w:r>
        <w:rPr/>
        <w:t>À l’issue de travaux, pour venir mettre jour ou consolider la documentation des ouvrages exploités de la DIRIF sur la base d’un DOE d’entreprise, le respect des règles définies par la DiRIF nécessitera des prestations complémentaires dites « intégration »</w:t>
      </w:r>
    </w:p>
    <w:p>
      <w:pPr>
        <w:pStyle w:val="F1"/>
        <w:rPr/>
      </w:pPr>
      <w:r>
        <w:rPr/>
        <w:t>À titre d’exemple, ces prestations d’intégration consistent à :</w:t>
      </w:r>
    </w:p>
    <w:p>
      <w:pPr>
        <w:pStyle w:val="F1"/>
        <w:numPr>
          <w:ilvl w:val="0"/>
          <w:numId w:val="42"/>
        </w:numPr>
        <w:rPr/>
      </w:pPr>
      <w:r>
        <w:rPr/>
        <w:t>Reprendre la forme et le format des documents pour respecter la charte documentaire de la DiRIF, cela comprend l’ajout de nouvelles pages de garde, cela peut modifier la façon de classer les documents, nécessiter la fusion ou la dissociation des documents d’exécution de l’entreprise ;</w:t>
      </w:r>
    </w:p>
    <w:p>
      <w:pPr>
        <w:pStyle w:val="F1"/>
        <w:numPr>
          <w:ilvl w:val="0"/>
          <w:numId w:val="42"/>
        </w:numPr>
        <w:rPr/>
      </w:pPr>
      <w:r>
        <w:rPr/>
        <w:t>Faire systématiquement référence aux tatouages et CRT (référencement unique des équipements) sur l’ensemble des plans ;</w:t>
      </w:r>
    </w:p>
    <w:p>
      <w:pPr>
        <w:pStyle w:val="F1"/>
        <w:numPr>
          <w:ilvl w:val="0"/>
          <w:numId w:val="42"/>
        </w:numPr>
        <w:rPr/>
      </w:pPr>
      <w:r>
        <w:rPr/>
        <w:t>Modifier les plans ou les documents existants de la « documentation DiRiF » pour les mettre à jour suite aux travaux réalisés, même s’ils n’étaient pas nécessaires à l’entreprise de travaux en phase d’exécution ;</w:t>
      </w:r>
    </w:p>
    <w:p>
      <w:pPr>
        <w:pStyle w:val="F1"/>
        <w:numPr>
          <w:ilvl w:val="0"/>
          <w:numId w:val="42"/>
        </w:numPr>
        <w:rPr/>
      </w:pPr>
      <w:r>
        <w:rPr/>
        <w:t>Effectuer la saisie des documents intégrés dans une base de données spécifique (DTC).</w:t>
      </w:r>
    </w:p>
    <w:p>
      <w:pPr>
        <w:pStyle w:val="F1"/>
        <w:rPr/>
      </w:pPr>
      <w:r>
        <w:rPr/>
        <w:t>Certaines de ces prestations se font à la « médiathèque », c’est à dire dans les locaux de la DiRIF à Créteil.</w:t>
      </w:r>
    </w:p>
    <w:p>
      <w:pPr>
        <w:pStyle w:val="F1"/>
        <w:rPr/>
      </w:pPr>
      <w:r>
        <w:rPr/>
        <w:t xml:space="preserve">Ces prestations d’intégration s’entendent comme des prestations complémentaires à celles de l’élaboration d’un DOE classique </w:t>
      </w:r>
    </w:p>
    <w:p>
      <w:pPr>
        <w:pStyle w:val="F1"/>
        <w:rPr/>
      </w:pPr>
      <w:r>
        <w:rPr/>
        <w:t>S’agissant d’une prestation complémentaire, elle fera l’objet d’une réserve lors des OPR et d’un constat lorsque l’intégration est terminée.</w:t>
      </w:r>
    </w:p>
    <w:p>
      <w:pPr>
        <w:pStyle w:val="Titre3"/>
        <w:rPr/>
      </w:pPr>
      <w:bookmarkStart w:id="1124" w:name="_Toc32334901"/>
      <w:bookmarkStart w:id="1125" w:name="_Toc430104066"/>
      <w:bookmarkStart w:id="1126" w:name="_Toc422843775"/>
      <w:bookmarkStart w:id="1127" w:name="_Toc419980530"/>
      <w:r>
        <w:rPr/>
        <w:t>Contenu du DOE</w:t>
      </w:r>
      <w:bookmarkEnd w:id="1124"/>
      <w:bookmarkEnd w:id="1125"/>
      <w:bookmarkEnd w:id="1126"/>
      <w:bookmarkEnd w:id="1127"/>
    </w:p>
    <w:p>
      <w:pPr>
        <w:pStyle w:val="F1"/>
        <w:spacing w:before="0" w:after="0"/>
        <w:rPr/>
      </w:pPr>
      <w:r>
        <w:rPr/>
      </w:r>
    </w:p>
    <w:p>
      <w:pPr>
        <w:pStyle w:val="F1"/>
        <w:rPr/>
      </w:pPr>
      <w:r>
        <w:rPr/>
        <w:t>Les documents à fournir par l’Entrepreneur seront regroupés par sous-dossier comprenant (liste non exhaustive) :</w:t>
      </w:r>
    </w:p>
    <w:p>
      <w:pPr>
        <w:pStyle w:val="F1"/>
        <w:numPr>
          <w:ilvl w:val="0"/>
          <w:numId w:val="42"/>
        </w:numPr>
        <w:rPr/>
      </w:pPr>
      <w:r>
        <w:rPr/>
        <w:t>La DOCUMENTATION GENERALE :</w:t>
      </w:r>
    </w:p>
    <w:p>
      <w:pPr>
        <w:pStyle w:val="F1"/>
        <w:numPr>
          <w:ilvl w:val="1"/>
          <w:numId w:val="42"/>
        </w:numPr>
        <w:rPr/>
      </w:pPr>
      <w:r>
        <w:rPr/>
        <w:t>Plan de masse format A4 ou A3 ;</w:t>
      </w:r>
    </w:p>
    <w:p>
      <w:pPr>
        <w:pStyle w:val="F1"/>
        <w:numPr>
          <w:ilvl w:val="1"/>
          <w:numId w:val="42"/>
        </w:numPr>
        <w:rPr/>
      </w:pPr>
      <w:r>
        <w:rPr/>
        <w:t>Plans de distribution des locaux non cotés, avec repérage de chaque local et indication de sa fonction, l'objectif étant de pouvoir disposer d'un ensemble fonctionnel cohérent (service par exemple) sous format A4 ou A3, échelle à adapter selon taille du bâtiment ;</w:t>
      </w:r>
    </w:p>
    <w:p>
      <w:pPr>
        <w:pStyle w:val="F1"/>
        <w:numPr>
          <w:ilvl w:val="1"/>
          <w:numId w:val="42"/>
        </w:numPr>
        <w:rPr/>
      </w:pPr>
      <w:r>
        <w:rPr/>
        <w:t>Détail des surfaces utiles et surfaces de plancher ;</w:t>
      </w:r>
    </w:p>
    <w:p>
      <w:pPr>
        <w:pStyle w:val="F1"/>
        <w:numPr>
          <w:ilvl w:val="1"/>
          <w:numId w:val="42"/>
        </w:numPr>
        <w:rPr/>
      </w:pPr>
      <w:r>
        <w:rPr/>
        <w:t>Planche photos (prises aux étapes importantes du chantier) ;</w:t>
      </w:r>
    </w:p>
    <w:p>
      <w:pPr>
        <w:pStyle w:val="F1"/>
        <w:numPr>
          <w:ilvl w:val="0"/>
          <w:numId w:val="42"/>
        </w:numPr>
        <w:rPr/>
      </w:pPr>
      <w:r>
        <w:rPr/>
        <w:t>La DOCUMENTATION SYSTEME, elle-même découpée en sous-dossiers spécialisés par type de nouveaux équipements (Contrôle d’accès, SSI, climatisation, etc…) ;</w:t>
      </w:r>
    </w:p>
    <w:p>
      <w:pPr>
        <w:pStyle w:val="F1"/>
        <w:numPr>
          <w:ilvl w:val="0"/>
          <w:numId w:val="42"/>
        </w:numPr>
        <w:rPr/>
      </w:pPr>
      <w:r>
        <w:rPr/>
        <w:t>La DOCUMENTATION TECHNIQUE DE DETAIL intégrant les notes de calcul et les plans « tel que construit » pour l’ensemble des ouvrages et comprenant l’ensemble des sous-dossiers spécialisés suivants :</w:t>
      </w:r>
    </w:p>
    <w:p>
      <w:pPr>
        <w:pStyle w:val="F1"/>
        <w:numPr>
          <w:ilvl w:val="1"/>
          <w:numId w:val="42"/>
        </w:numPr>
        <w:rPr/>
      </w:pPr>
      <w:r>
        <w:rPr/>
        <w:t>La DOCUMENTATION INGENIERIE, qui contient les documents de conception et de réalisation des ouvrages :</w:t>
      </w:r>
    </w:p>
    <w:p>
      <w:pPr>
        <w:pStyle w:val="P2"/>
        <w:numPr>
          <w:ilvl w:val="0"/>
          <w:numId w:val="29"/>
        </w:numPr>
        <w:spacing w:before="120" w:after="120"/>
        <w:ind w:left="1843" w:hanging="142"/>
        <w:rPr/>
      </w:pPr>
      <w:r>
        <w:rPr/>
        <w:t>L'inventaire et l’implantation des matériels installés ;</w:t>
      </w:r>
    </w:p>
    <w:p>
      <w:pPr>
        <w:pStyle w:val="P2"/>
        <w:numPr>
          <w:ilvl w:val="0"/>
          <w:numId w:val="29"/>
        </w:numPr>
        <w:spacing w:before="120" w:after="120"/>
        <w:ind w:left="1843" w:hanging="142"/>
        <w:rPr/>
      </w:pPr>
      <w:r>
        <w:rPr/>
        <w:t>Une note synthétique donnant les puissances électriques ;</w:t>
      </w:r>
    </w:p>
    <w:p>
      <w:pPr>
        <w:pStyle w:val="P2"/>
        <w:numPr>
          <w:ilvl w:val="0"/>
          <w:numId w:val="29"/>
        </w:numPr>
        <w:spacing w:before="120" w:after="120"/>
        <w:ind w:left="1843" w:hanging="142"/>
        <w:rPr/>
      </w:pPr>
      <w:r>
        <w:rPr/>
        <w:t>Plan de masse (échelle 1/200ème) ;</w:t>
      </w:r>
    </w:p>
    <w:p>
      <w:pPr>
        <w:pStyle w:val="P2"/>
        <w:numPr>
          <w:ilvl w:val="0"/>
          <w:numId w:val="29"/>
        </w:numPr>
        <w:spacing w:before="120" w:after="120"/>
        <w:ind w:left="1843" w:hanging="142"/>
        <w:rPr/>
      </w:pPr>
      <w:r>
        <w:rPr/>
        <w:t>Plans architecte mis à jour des niveaux, toiture y compris accès, façades, coupes, etc. (échelle 1/50ème) ;</w:t>
      </w:r>
    </w:p>
    <w:p>
      <w:pPr>
        <w:pStyle w:val="P2"/>
        <w:numPr>
          <w:ilvl w:val="0"/>
          <w:numId w:val="29"/>
        </w:numPr>
        <w:spacing w:before="120" w:after="120"/>
        <w:ind w:left="1843" w:hanging="142"/>
        <w:rPr/>
      </w:pPr>
      <w:r>
        <w:rPr/>
        <w:t>Plans de détail et coupes au 1/20ème, dont les plans de mobiliers ;</w:t>
      </w:r>
    </w:p>
    <w:p>
      <w:pPr>
        <w:pStyle w:val="P2"/>
        <w:numPr>
          <w:ilvl w:val="0"/>
          <w:numId w:val="29"/>
        </w:numPr>
        <w:spacing w:before="120" w:after="120"/>
        <w:ind w:left="1843" w:hanging="142"/>
        <w:rPr/>
      </w:pPr>
      <w:r>
        <w:rPr/>
        <w:t>Vues "en éclatées" si nécessaire pour les assemblages complexes ;</w:t>
      </w:r>
    </w:p>
    <w:p>
      <w:pPr>
        <w:pStyle w:val="P2"/>
        <w:numPr>
          <w:ilvl w:val="0"/>
          <w:numId w:val="29"/>
        </w:numPr>
        <w:spacing w:before="120" w:after="120"/>
        <w:ind w:left="1843" w:hanging="142"/>
        <w:rPr/>
      </w:pPr>
      <w:r>
        <w:rPr/>
        <w:t>Localisation des trappes d'accès aux toitures, combles, vide sanitaire, faux plafonds, etc. ;</w:t>
      </w:r>
    </w:p>
    <w:p>
      <w:pPr>
        <w:pStyle w:val="F1"/>
        <w:numPr>
          <w:ilvl w:val="1"/>
          <w:numId w:val="42"/>
        </w:numPr>
        <w:rPr/>
      </w:pPr>
      <w:r>
        <w:rPr/>
        <w:t>La DOCUMENTATION STRUCTURE qui contient :</w:t>
      </w:r>
    </w:p>
    <w:p>
      <w:pPr>
        <w:pStyle w:val="P2"/>
        <w:numPr>
          <w:ilvl w:val="0"/>
          <w:numId w:val="29"/>
        </w:numPr>
        <w:spacing w:before="120" w:after="120"/>
        <w:ind w:left="1843" w:hanging="142"/>
        <w:rPr>
          <w:rFonts w:eastAsia="Calibri" w:eastAsiaTheme="minorHAnsi"/>
          <w:lang w:eastAsia="en-US"/>
        </w:rPr>
      </w:pPr>
      <w:r>
        <w:rPr/>
        <w:t>Rapport des études de sol ;</w:t>
      </w:r>
    </w:p>
    <w:p>
      <w:pPr>
        <w:pStyle w:val="P2"/>
        <w:numPr>
          <w:ilvl w:val="0"/>
          <w:numId w:val="29"/>
        </w:numPr>
        <w:spacing w:before="120" w:after="120"/>
        <w:ind w:left="1843" w:hanging="142"/>
        <w:rPr/>
      </w:pPr>
      <w:r>
        <w:rPr/>
        <w:t>Plans et notes de calcul des structures), des fondations ;</w:t>
      </w:r>
    </w:p>
    <w:p>
      <w:pPr>
        <w:pStyle w:val="P2"/>
        <w:numPr>
          <w:ilvl w:val="0"/>
          <w:numId w:val="29"/>
        </w:numPr>
        <w:spacing w:before="120" w:after="120"/>
        <w:ind w:left="1843" w:hanging="142"/>
        <w:rPr/>
      </w:pPr>
      <w:r>
        <w:rPr/>
        <w:t>Note de calcul donnant les surcharges admissibles de plancher ;</w:t>
      </w:r>
    </w:p>
    <w:p>
      <w:pPr>
        <w:pStyle w:val="P2"/>
        <w:numPr>
          <w:ilvl w:val="0"/>
          <w:numId w:val="29"/>
        </w:numPr>
        <w:spacing w:before="120" w:after="120"/>
        <w:ind w:left="1843" w:hanging="142"/>
        <w:rPr/>
      </w:pPr>
      <w:r>
        <w:rPr/>
        <w:t>Recommandations en vue des précautions à prendre pour les percements, scellements, etc ;</w:t>
      </w:r>
    </w:p>
    <w:p>
      <w:pPr>
        <w:pStyle w:val="F1"/>
        <w:numPr>
          <w:ilvl w:val="1"/>
          <w:numId w:val="42"/>
        </w:numPr>
        <w:rPr/>
      </w:pPr>
      <w:r>
        <w:rPr/>
        <w:t>La DOCUMENTATION CONSTRUCTEURS regroupant les notices du constructeur de chaque matériel utilisé dans le système et qui contient :</w:t>
      </w:r>
    </w:p>
    <w:p>
      <w:pPr>
        <w:pStyle w:val="P2"/>
        <w:numPr>
          <w:ilvl w:val="0"/>
          <w:numId w:val="29"/>
        </w:numPr>
        <w:spacing w:before="120" w:after="120"/>
        <w:ind w:left="1843" w:hanging="142"/>
        <w:rPr/>
      </w:pPr>
      <w:r>
        <w:rPr/>
        <w:t>Les notices descriptives, de fonctionnement et d’entretien des divers éléments de la construction (menuiseries extérieures et intérieures, cloisons, revêtements de sols et murs, installations techniques, etc.) ;</w:t>
      </w:r>
    </w:p>
    <w:p>
      <w:pPr>
        <w:pStyle w:val="P2"/>
        <w:numPr>
          <w:ilvl w:val="0"/>
          <w:numId w:val="29"/>
        </w:numPr>
        <w:spacing w:before="120" w:after="120"/>
        <w:ind w:left="1843" w:hanging="142"/>
        <w:rPr/>
      </w:pPr>
      <w:r>
        <w:rPr/>
        <w:t>Les procès-verbaux (PV) des divers certificats de garantie des appareils et matériels ;</w:t>
      </w:r>
    </w:p>
    <w:p>
      <w:pPr>
        <w:pStyle w:val="P2"/>
        <w:numPr>
          <w:ilvl w:val="0"/>
          <w:numId w:val="29"/>
        </w:numPr>
        <w:spacing w:before="120" w:after="120"/>
        <w:ind w:left="1843" w:hanging="142"/>
        <w:rPr/>
      </w:pPr>
      <w:r>
        <w:rPr/>
        <w:t>Les divers certificats d'essais des appareils et matériels ;</w:t>
      </w:r>
    </w:p>
    <w:p>
      <w:pPr>
        <w:pStyle w:val="P2"/>
        <w:numPr>
          <w:ilvl w:val="0"/>
          <w:numId w:val="29"/>
        </w:numPr>
        <w:spacing w:before="120" w:after="120"/>
        <w:ind w:left="1843" w:hanging="142"/>
        <w:rPr/>
      </w:pPr>
      <w:r>
        <w:rPr/>
        <w:t>Les PV de classement ou label des différents matériaux ;</w:t>
      </w:r>
    </w:p>
    <w:p>
      <w:pPr>
        <w:pStyle w:val="P2"/>
        <w:numPr>
          <w:ilvl w:val="0"/>
          <w:numId w:val="29"/>
        </w:numPr>
        <w:spacing w:before="120" w:after="120"/>
        <w:ind w:left="1843" w:hanging="142"/>
        <w:rPr/>
      </w:pPr>
      <w:r>
        <w:rPr/>
        <w:t>Les PV des essais in situ des installations techniques ;</w:t>
      </w:r>
    </w:p>
    <w:p>
      <w:pPr>
        <w:pStyle w:val="P2"/>
        <w:numPr>
          <w:ilvl w:val="0"/>
          <w:numId w:val="29"/>
        </w:numPr>
        <w:spacing w:before="120" w:after="120"/>
        <w:ind w:left="1843" w:hanging="142"/>
        <w:rPr/>
      </w:pPr>
      <w:r>
        <w:rPr/>
        <w:t>Les garanties des constructeurs et fournisseurs ;</w:t>
      </w:r>
    </w:p>
    <w:p>
      <w:pPr>
        <w:pStyle w:val="P2"/>
        <w:numPr>
          <w:ilvl w:val="0"/>
          <w:numId w:val="29"/>
        </w:numPr>
        <w:spacing w:before="120" w:after="120"/>
        <w:ind w:left="1843" w:hanging="142"/>
        <w:rPr/>
      </w:pPr>
      <w:r>
        <w:rPr/>
        <w:t>La liste des pièces de rechange (de première urgence) avec leurs références (pour approvisionnement) ;</w:t>
      </w:r>
    </w:p>
    <w:p>
      <w:pPr>
        <w:pStyle w:val="F1"/>
        <w:numPr>
          <w:ilvl w:val="1"/>
          <w:numId w:val="42"/>
        </w:numPr>
        <w:rPr/>
      </w:pPr>
      <w:r>
        <w:rPr/>
        <w:t>La DOCUMENTATION DE CABLAGE regroupant l'ensemble des schémas électriques courant fort et courant faible des installations réalisées spécifiquement pour l'opération (cette documentation ne comporte pas les schémas électriques propres aux matériels, qui relèvent de la documentation "Constructeurs"). La documentation de câblage est composée pour chaque système :</w:t>
      </w:r>
    </w:p>
    <w:p>
      <w:pPr>
        <w:pStyle w:val="P2"/>
        <w:numPr>
          <w:ilvl w:val="0"/>
          <w:numId w:val="29"/>
        </w:numPr>
        <w:spacing w:before="120" w:after="120"/>
        <w:ind w:left="1843" w:hanging="142"/>
        <w:rPr/>
      </w:pPr>
      <w:r>
        <w:rPr/>
        <w:t xml:space="preserve"> </w:t>
      </w:r>
      <w:r>
        <w:rPr/>
        <w:t>De schémas détaillés filaires ;</w:t>
      </w:r>
    </w:p>
    <w:p>
      <w:pPr>
        <w:pStyle w:val="P2"/>
        <w:numPr>
          <w:ilvl w:val="0"/>
          <w:numId w:val="29"/>
        </w:numPr>
        <w:spacing w:before="120" w:after="120"/>
        <w:ind w:left="1843" w:hanging="142"/>
        <w:rPr/>
      </w:pPr>
      <w:r>
        <w:rPr/>
        <w:t xml:space="preserve"> </w:t>
      </w:r>
      <w:r>
        <w:rPr/>
        <w:t>De carnets de câbles ;</w:t>
      </w:r>
    </w:p>
    <w:p>
      <w:pPr>
        <w:pStyle w:val="P2"/>
        <w:numPr>
          <w:ilvl w:val="0"/>
          <w:numId w:val="29"/>
        </w:numPr>
        <w:spacing w:before="120" w:after="120"/>
        <w:ind w:left="1843" w:hanging="142"/>
        <w:rPr/>
      </w:pPr>
      <w:r>
        <w:rPr/>
        <w:t xml:space="preserve"> </w:t>
      </w:r>
      <w:r>
        <w:rPr/>
        <w:t>De plans de cheminement des câbles avec détail des modes de pose ;</w:t>
      </w:r>
    </w:p>
    <w:p>
      <w:pPr>
        <w:pStyle w:val="F1"/>
        <w:numPr>
          <w:ilvl w:val="1"/>
          <w:numId w:val="42"/>
        </w:numPr>
        <w:rPr/>
      </w:pPr>
      <w:r>
        <w:rPr/>
        <w:t>La DOCUMENTATION DE SECURITE regroupant l’ensemble des plans d’implantation des équipements du Système de Sécurité Incendie ;</w:t>
      </w:r>
    </w:p>
    <w:p>
      <w:pPr>
        <w:pStyle w:val="F1"/>
        <w:numPr>
          <w:ilvl w:val="1"/>
          <w:numId w:val="42"/>
        </w:numPr>
        <w:rPr/>
      </w:pPr>
      <w:r>
        <w:rPr/>
        <w:t>La DOCUMENTATION D’UTILISATION, D’EXPLOITATION ET DE MAINTENANCE des matériels, pouvant permettre au Maître d’Ouvrage de procéder ou de faire procéder par un personnel compétent aux opérations d’entretien, de maintenance et de dépannage des installations réalisées dans le cadre du projet :</w:t>
      </w:r>
    </w:p>
    <w:p>
      <w:pPr>
        <w:pStyle w:val="P2"/>
        <w:numPr>
          <w:ilvl w:val="0"/>
          <w:numId w:val="29"/>
        </w:numPr>
        <w:spacing w:before="120" w:after="120"/>
        <w:ind w:left="1843" w:hanging="142"/>
        <w:rPr/>
      </w:pPr>
      <w:r>
        <w:rPr/>
        <w:t>Les notices techniques d’utilisation et d’exploitation ;</w:t>
      </w:r>
    </w:p>
    <w:p>
      <w:pPr>
        <w:pStyle w:val="P2"/>
        <w:numPr>
          <w:ilvl w:val="0"/>
          <w:numId w:val="29"/>
        </w:numPr>
        <w:spacing w:before="120" w:after="120"/>
        <w:ind w:left="1843" w:hanging="142"/>
        <w:rPr/>
      </w:pPr>
      <w:r>
        <w:rPr/>
        <w:t>Les notices techniques d’entretiens de maintenance et de dépannage.</w:t>
      </w:r>
    </w:p>
    <w:p>
      <w:pPr>
        <w:pStyle w:val="F1"/>
        <w:numPr>
          <w:ilvl w:val="0"/>
          <w:numId w:val="42"/>
        </w:numPr>
        <w:rPr/>
      </w:pPr>
      <w:r>
        <w:rPr/>
        <w:t>Les fiches éventuelles de traitement des non conformités accompagnées d’éventuelles photos ;</w:t>
      </w:r>
    </w:p>
    <w:p>
      <w:pPr>
        <w:pStyle w:val="F1"/>
        <w:numPr>
          <w:ilvl w:val="0"/>
          <w:numId w:val="42"/>
        </w:numPr>
        <w:rPr/>
      </w:pPr>
      <w:r>
        <w:rPr/>
        <w:t>Les fiches éventuelles de traitement d’incident ;</w:t>
      </w:r>
    </w:p>
    <w:p>
      <w:pPr>
        <w:pStyle w:val="F1"/>
        <w:numPr>
          <w:ilvl w:val="0"/>
          <w:numId w:val="42"/>
        </w:numPr>
        <w:rPr/>
      </w:pPr>
      <w:r>
        <w:rPr/>
        <w:t>Les fiches d’agrément des produits ;</w:t>
      </w:r>
    </w:p>
    <w:p>
      <w:pPr>
        <w:pStyle w:val="F1"/>
        <w:numPr>
          <w:ilvl w:val="0"/>
          <w:numId w:val="42"/>
        </w:numPr>
        <w:rPr/>
      </w:pPr>
      <w:r>
        <w:rPr/>
        <w:t>Le dossier qualité ;</w:t>
      </w:r>
    </w:p>
    <w:p>
      <w:pPr>
        <w:pStyle w:val="F1"/>
        <w:numPr>
          <w:ilvl w:val="0"/>
          <w:numId w:val="42"/>
        </w:numPr>
        <w:rPr/>
      </w:pPr>
      <w:r>
        <w:rPr/>
        <w:t>Le SOGED.</w:t>
      </w:r>
    </w:p>
    <w:p>
      <w:pPr>
        <w:pStyle w:val="Titre3"/>
        <w:rPr/>
      </w:pPr>
      <w:bookmarkStart w:id="1128" w:name="_Toc409021138"/>
      <w:bookmarkStart w:id="1129" w:name="_Toc32334902"/>
      <w:bookmarkStart w:id="1130" w:name="_Toc430104067"/>
      <w:bookmarkStart w:id="1131" w:name="_Toc422843776"/>
      <w:bookmarkStart w:id="1132" w:name="_Toc419980531"/>
      <w:bookmarkStart w:id="1133" w:name="_Toc379275252"/>
      <w:bookmarkStart w:id="1134" w:name="_Ref366252798"/>
      <w:bookmarkEnd w:id="1128"/>
      <w:r>
        <w:rPr/>
        <w:t>Notices techniques d’utilisation et d’exploitation</w:t>
      </w:r>
      <w:bookmarkEnd w:id="1129"/>
      <w:bookmarkEnd w:id="1130"/>
      <w:bookmarkEnd w:id="1131"/>
      <w:bookmarkEnd w:id="1132"/>
      <w:bookmarkEnd w:id="1133"/>
      <w:bookmarkEnd w:id="1134"/>
    </w:p>
    <w:p>
      <w:pPr>
        <w:pStyle w:val="Texte1"/>
        <w:rPr/>
      </w:pPr>
      <w:r>
        <w:rPr/>
      </w:r>
    </w:p>
    <w:p>
      <w:pPr>
        <w:pStyle w:val="Texte1"/>
        <w:rPr/>
      </w:pPr>
      <w:r>
        <w:rPr/>
        <w:t>Ces notices comprendront, pour chaque système :</w:t>
      </w:r>
    </w:p>
    <w:p>
      <w:pPr>
        <w:pStyle w:val="F1"/>
        <w:numPr>
          <w:ilvl w:val="0"/>
          <w:numId w:val="42"/>
        </w:numPr>
        <w:spacing w:before="120" w:after="120"/>
        <w:ind w:left="714" w:hanging="357"/>
        <w:rPr/>
      </w:pPr>
      <w:r>
        <w:rPr/>
        <w:t>Les caractéristiques fonctionnelles détaillées des matériels et équipements ;</w:t>
      </w:r>
    </w:p>
    <w:p>
      <w:pPr>
        <w:pStyle w:val="F1"/>
        <w:numPr>
          <w:ilvl w:val="0"/>
          <w:numId w:val="42"/>
        </w:numPr>
        <w:rPr/>
      </w:pPr>
      <w:r>
        <w:rPr/>
        <w:t>Les caractéristiques d’exploitation ;</w:t>
      </w:r>
    </w:p>
    <w:p>
      <w:pPr>
        <w:pStyle w:val="F1"/>
        <w:numPr>
          <w:ilvl w:val="0"/>
          <w:numId w:val="42"/>
        </w:numPr>
        <w:rPr/>
      </w:pPr>
      <w:r>
        <w:rPr/>
        <w:t>La périodicité et la nature d’intervention sur les différents matériels installés ;</w:t>
      </w:r>
    </w:p>
    <w:p>
      <w:pPr>
        <w:pStyle w:val="F1"/>
        <w:numPr>
          <w:ilvl w:val="0"/>
          <w:numId w:val="42"/>
        </w:numPr>
        <w:rPr/>
      </w:pPr>
      <w:r>
        <w:rPr/>
        <w:t>Les fiches signalétiques des entreprises, de leurs sous-traitants et fournisseurs accompagnés des adresses, numéros de téléphones et nom des correspondants des établissements concernés par les prestations ;</w:t>
      </w:r>
    </w:p>
    <w:p>
      <w:pPr>
        <w:pStyle w:val="F1"/>
        <w:numPr>
          <w:ilvl w:val="0"/>
          <w:numId w:val="42"/>
        </w:numPr>
        <w:rPr/>
      </w:pPr>
      <w:r>
        <w:rPr/>
        <w:t>Les spécifications techniques détaillées des équipements ;</w:t>
      </w:r>
    </w:p>
    <w:p>
      <w:pPr>
        <w:pStyle w:val="F1"/>
        <w:numPr>
          <w:ilvl w:val="0"/>
          <w:numId w:val="42"/>
        </w:numPr>
        <w:rPr/>
      </w:pPr>
      <w:r>
        <w:rPr/>
        <w:t>Un catalogue des pièces détachées des matériaux et équipements mis en œuvre au titre du projet ;</w:t>
      </w:r>
    </w:p>
    <w:p>
      <w:pPr>
        <w:pStyle w:val="F1"/>
        <w:numPr>
          <w:ilvl w:val="0"/>
          <w:numId w:val="42"/>
        </w:numPr>
        <w:rPr/>
      </w:pPr>
      <w:r>
        <w:rPr/>
        <w:t>Les plans d’implantation et de localisation des différents composants ;</w:t>
      </w:r>
    </w:p>
    <w:p>
      <w:pPr>
        <w:pStyle w:val="F1"/>
        <w:numPr>
          <w:ilvl w:val="0"/>
          <w:numId w:val="42"/>
        </w:numPr>
        <w:rPr/>
      </w:pPr>
      <w:r>
        <w:rPr/>
        <w:t>La liste éventuelle des fournitures composant le lot de pièces de rechange.</w:t>
      </w:r>
    </w:p>
    <w:p>
      <w:pPr>
        <w:pStyle w:val="Titre3"/>
        <w:rPr/>
      </w:pPr>
      <w:bookmarkStart w:id="1135" w:name="_Toc32334903"/>
      <w:bookmarkStart w:id="1136" w:name="_Toc430104068"/>
      <w:bookmarkStart w:id="1137" w:name="_Toc422843777"/>
      <w:bookmarkStart w:id="1138" w:name="_Toc419980532"/>
      <w:bookmarkStart w:id="1139" w:name="_Toc379275253"/>
      <w:bookmarkStart w:id="1140" w:name="_Ref366252803"/>
      <w:r>
        <w:rPr/>
        <w:t>Notices techniques d’entretiens, de maintenance et de dépannage</w:t>
      </w:r>
      <w:bookmarkEnd w:id="1135"/>
      <w:bookmarkEnd w:id="1136"/>
      <w:bookmarkEnd w:id="1137"/>
      <w:bookmarkEnd w:id="1138"/>
      <w:bookmarkEnd w:id="1139"/>
      <w:bookmarkEnd w:id="1140"/>
    </w:p>
    <w:p>
      <w:pPr>
        <w:pStyle w:val="Texte1"/>
        <w:rPr/>
      </w:pPr>
      <w:r>
        <w:rPr/>
      </w:r>
    </w:p>
    <w:p>
      <w:pPr>
        <w:pStyle w:val="Texte1"/>
        <w:rPr/>
      </w:pPr>
      <w:r>
        <w:rPr/>
        <w:t>Ces dossiers de maintenance, comprendront, pour chaque système :</w:t>
      </w:r>
    </w:p>
    <w:p>
      <w:pPr>
        <w:pStyle w:val="F1"/>
        <w:numPr>
          <w:ilvl w:val="0"/>
          <w:numId w:val="42"/>
        </w:numPr>
        <w:rPr/>
      </w:pPr>
      <w:r>
        <w:rPr/>
        <w:t>Les divers échelons d’entretien et de maintenance (préventives et curatives) ;</w:t>
      </w:r>
    </w:p>
    <w:p>
      <w:pPr>
        <w:pStyle w:val="F1"/>
        <w:numPr>
          <w:ilvl w:val="0"/>
          <w:numId w:val="42"/>
        </w:numPr>
        <w:rPr/>
      </w:pPr>
      <w:r>
        <w:rPr/>
        <w:t>La description des opérations ;</w:t>
      </w:r>
    </w:p>
    <w:p>
      <w:pPr>
        <w:pStyle w:val="F1"/>
        <w:numPr>
          <w:ilvl w:val="0"/>
          <w:numId w:val="42"/>
        </w:numPr>
        <w:rPr/>
      </w:pPr>
      <w:r>
        <w:rPr/>
        <w:t>Les notices de réglages mécaniques, géométriques, électriques, électroniques (modes de réglages et valeurs) ;</w:t>
      </w:r>
    </w:p>
    <w:p>
      <w:pPr>
        <w:pStyle w:val="F1"/>
        <w:numPr>
          <w:ilvl w:val="0"/>
          <w:numId w:val="42"/>
        </w:numPr>
        <w:rPr/>
      </w:pPr>
      <w:r>
        <w:rPr/>
        <w:t>Les plans et schémas ;</w:t>
      </w:r>
    </w:p>
    <w:p>
      <w:pPr>
        <w:pStyle w:val="F1"/>
        <w:numPr>
          <w:ilvl w:val="0"/>
          <w:numId w:val="42"/>
        </w:numPr>
        <w:rPr/>
      </w:pPr>
      <w:r>
        <w:rPr/>
        <w:t>La description des méthodes de détection des pannes ;</w:t>
      </w:r>
    </w:p>
    <w:p>
      <w:pPr>
        <w:pStyle w:val="F1"/>
        <w:numPr>
          <w:ilvl w:val="0"/>
          <w:numId w:val="42"/>
        </w:numPr>
        <w:rPr/>
      </w:pPr>
      <w:r>
        <w:rPr/>
        <w:t>La liste des appareils de mesures nécessaires pour effectuer les opérations d’entretien, de maintenance et de dépannage.</w:t>
      </w:r>
    </w:p>
    <w:p>
      <w:pPr>
        <w:pStyle w:val="Normal"/>
        <w:jc w:val="left"/>
        <w:rPr/>
      </w:pPr>
      <w:r>
        <w:rPr/>
      </w:r>
      <w:r>
        <w:br w:type="page"/>
      </w:r>
    </w:p>
    <w:p>
      <w:pPr>
        <w:pStyle w:val="Titre1"/>
        <w:rPr/>
      </w:pPr>
      <w:bookmarkStart w:id="1141" w:name="_Toc32334904"/>
      <w:bookmarkStart w:id="1142" w:name="_Toc421638211"/>
      <w:bookmarkStart w:id="1143" w:name="_Toc421637415"/>
      <w:bookmarkStart w:id="1144" w:name="_Toc375591721"/>
      <w:bookmarkEnd w:id="1144"/>
      <w:r>
        <w:rPr/>
        <w:t>essais</w:t>
      </w:r>
      <w:bookmarkEnd w:id="1141"/>
      <w:bookmarkEnd w:id="1142"/>
      <w:bookmarkEnd w:id="1143"/>
    </w:p>
    <w:p>
      <w:pPr>
        <w:pStyle w:val="Titre2"/>
        <w:tabs>
          <w:tab w:val="clear" w:pos="0"/>
          <w:tab w:val="clear" w:pos="8789"/>
          <w:tab w:val="left" w:pos="426" w:leader="none"/>
        </w:tabs>
        <w:ind w:left="0" w:hanging="0"/>
        <w:rPr/>
      </w:pPr>
      <w:bookmarkStart w:id="1145" w:name="_Toc32334905"/>
      <w:bookmarkStart w:id="1146" w:name="_Toc421638212"/>
      <w:bookmarkStart w:id="1147" w:name="_Toc421637416"/>
      <w:bookmarkStart w:id="1148" w:name="_Toc212010212"/>
      <w:bookmarkStart w:id="1149" w:name="_Toc494514239"/>
      <w:bookmarkStart w:id="1150" w:name="_Toc477921264"/>
      <w:bookmarkStart w:id="1151" w:name="_Toc475521643"/>
      <w:bookmarkStart w:id="1152" w:name="_Toc402958559"/>
      <w:r>
        <w:rPr/>
        <w:t>Dispositions générales</w:t>
      </w:r>
      <w:bookmarkEnd w:id="1145"/>
      <w:bookmarkEnd w:id="1146"/>
      <w:bookmarkEnd w:id="1147"/>
      <w:bookmarkEnd w:id="1148"/>
      <w:bookmarkEnd w:id="1149"/>
      <w:bookmarkEnd w:id="1150"/>
      <w:bookmarkEnd w:id="1151"/>
      <w:bookmarkEnd w:id="1152"/>
    </w:p>
    <w:p>
      <w:pPr>
        <w:pStyle w:val="Titre3"/>
        <w:rPr/>
      </w:pPr>
      <w:bookmarkStart w:id="1153" w:name="_Toc32334906"/>
      <w:bookmarkStart w:id="1154" w:name="_Toc421638213"/>
      <w:bookmarkStart w:id="1155" w:name="_Toc421637417"/>
      <w:bookmarkStart w:id="1156" w:name="_Toc212010213"/>
      <w:bookmarkStart w:id="1157" w:name="_Toc494514240"/>
      <w:bookmarkStart w:id="1158" w:name="_Toc477921265"/>
      <w:bookmarkStart w:id="1159" w:name="_Toc475521644"/>
      <w:bookmarkStart w:id="1160" w:name="_Toc403966742"/>
      <w:bookmarkStart w:id="1161" w:name="_Toc397748061"/>
      <w:bookmarkStart w:id="1162" w:name="_Toc394469911"/>
      <w:bookmarkStart w:id="1163" w:name="_Toc394307309"/>
      <w:bookmarkStart w:id="1164" w:name="_Ref394302522"/>
      <w:bookmarkStart w:id="1165" w:name="_Ref394294348"/>
      <w:bookmarkStart w:id="1166" w:name="_Toc394220825"/>
      <w:r>
        <w:rPr/>
        <w:t>Préparation des essais et rédaction des documents d’essais</w:t>
      </w:r>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p>
    <w:p>
      <w:pPr>
        <w:pStyle w:val="TEXTE"/>
        <w:numPr>
          <w:ilvl w:val="0"/>
          <w:numId w:val="0"/>
        </w:numPr>
        <w:spacing w:before="200" w:after="120"/>
        <w:ind w:left="0" w:hanging="0"/>
        <w:rPr/>
      </w:pPr>
      <w:r>
        <w:rPr/>
        <w:t>Pour tout essai, le titulaire devra assurer, dans le cadre du présent marché :</w:t>
      </w:r>
    </w:p>
    <w:p>
      <w:pPr>
        <w:pStyle w:val="F1"/>
        <w:numPr>
          <w:ilvl w:val="0"/>
          <w:numId w:val="42"/>
        </w:numPr>
        <w:rPr/>
      </w:pPr>
      <w:r>
        <w:rPr/>
        <w:t>La planification des essais (date, heure, locaux) qui sera soumise à l'accord du maître d'œuvre</w:t>
      </w:r>
    </w:p>
    <w:p>
      <w:pPr>
        <w:pStyle w:val="F1"/>
        <w:numPr>
          <w:ilvl w:val="0"/>
          <w:numId w:val="42"/>
        </w:numPr>
        <w:rPr/>
      </w:pPr>
      <w:r>
        <w:rPr/>
        <w:t>La préparation de l'essai (rédaction de procédures et plan d'essai, mise en place de matériels d'essais…),</w:t>
      </w:r>
    </w:p>
    <w:p>
      <w:pPr>
        <w:pStyle w:val="F1"/>
        <w:numPr>
          <w:ilvl w:val="0"/>
          <w:numId w:val="42"/>
        </w:numPr>
        <w:rPr/>
      </w:pPr>
      <w:r>
        <w:rPr/>
        <w:t>La mise à disposition de tous moyens nécessaires (main d'œuvre, énergie, outils de test et appareils de mesures, simulateurs, documentation des équipements en test et équipements de test, communications, déplacement...),</w:t>
      </w:r>
    </w:p>
    <w:p>
      <w:pPr>
        <w:pStyle w:val="F1"/>
        <w:numPr>
          <w:ilvl w:val="0"/>
          <w:numId w:val="42"/>
        </w:numPr>
        <w:rPr/>
      </w:pPr>
      <w:r>
        <w:rPr/>
        <w:t>La réalisation de l'essai sous contrôle du maître d'œuvre.</w:t>
      </w:r>
    </w:p>
    <w:p>
      <w:pPr>
        <w:pStyle w:val="TEXTE"/>
        <w:numPr>
          <w:ilvl w:val="0"/>
          <w:numId w:val="0"/>
        </w:numPr>
        <w:ind w:left="0" w:hanging="0"/>
        <w:rPr/>
      </w:pPr>
      <w:r>
        <w:rPr/>
        <w:t>Le titulaire, doit établir un plan d’essais type décrivant les principales modalités des essais à réaliser.</w:t>
      </w:r>
    </w:p>
    <w:p>
      <w:pPr>
        <w:pStyle w:val="TEXTE"/>
        <w:numPr>
          <w:ilvl w:val="0"/>
          <w:numId w:val="0"/>
        </w:numPr>
        <w:ind w:left="0" w:hanging="0"/>
        <w:rPr/>
      </w:pPr>
      <w:r>
        <w:rPr/>
        <w:t>Le plan type d’essai devra faire état des points suivants :</w:t>
      </w:r>
    </w:p>
    <w:p>
      <w:pPr>
        <w:pStyle w:val="F1"/>
        <w:numPr>
          <w:ilvl w:val="0"/>
          <w:numId w:val="42"/>
        </w:numPr>
        <w:rPr/>
      </w:pPr>
      <w:r>
        <w:rPr/>
        <w:t>La description du système, sous-système et matériel à tester,</w:t>
      </w:r>
    </w:p>
    <w:p>
      <w:pPr>
        <w:pStyle w:val="F1"/>
        <w:numPr>
          <w:ilvl w:val="0"/>
          <w:numId w:val="42"/>
        </w:numPr>
        <w:rPr/>
      </w:pPr>
      <w:r>
        <w:rPr/>
        <w:t>La nature des essais à mener, et leurs objectifs,</w:t>
      </w:r>
    </w:p>
    <w:p>
      <w:pPr>
        <w:pStyle w:val="F1"/>
        <w:numPr>
          <w:ilvl w:val="0"/>
          <w:numId w:val="42"/>
        </w:numPr>
        <w:rPr/>
      </w:pPr>
      <w:r>
        <w:rPr/>
        <w:t>Les conditions de réalisation,</w:t>
      </w:r>
    </w:p>
    <w:p>
      <w:pPr>
        <w:pStyle w:val="F1"/>
        <w:numPr>
          <w:ilvl w:val="0"/>
          <w:numId w:val="42"/>
        </w:numPr>
        <w:rPr/>
      </w:pPr>
      <w:r>
        <w:rPr/>
        <w:t>Les documents ou normes de référence,</w:t>
      </w:r>
    </w:p>
    <w:p>
      <w:pPr>
        <w:pStyle w:val="F1"/>
        <w:numPr>
          <w:ilvl w:val="0"/>
          <w:numId w:val="42"/>
        </w:numPr>
        <w:rPr/>
      </w:pPr>
      <w:r>
        <w:rPr/>
        <w:t>La terminologie employée,</w:t>
      </w:r>
    </w:p>
    <w:p>
      <w:pPr>
        <w:pStyle w:val="F1"/>
        <w:numPr>
          <w:ilvl w:val="0"/>
          <w:numId w:val="42"/>
        </w:numPr>
        <w:rPr/>
      </w:pPr>
      <w:r>
        <w:rPr/>
        <w:t>Les schémas d'organisation des équipements, implantation des différents modules,</w:t>
      </w:r>
    </w:p>
    <w:p>
      <w:pPr>
        <w:pStyle w:val="F1"/>
        <w:numPr>
          <w:ilvl w:val="0"/>
          <w:numId w:val="42"/>
        </w:numPr>
        <w:rPr/>
      </w:pPr>
      <w:r>
        <w:rPr/>
        <w:t>Le type de prélèvement (total, échantillonné),</w:t>
      </w:r>
    </w:p>
    <w:p>
      <w:pPr>
        <w:pStyle w:val="F1"/>
        <w:numPr>
          <w:ilvl w:val="0"/>
          <w:numId w:val="42"/>
        </w:numPr>
        <w:rPr/>
      </w:pPr>
      <w:r>
        <w:rPr/>
        <w:t>Les moyens :</w:t>
      </w:r>
    </w:p>
    <w:p>
      <w:pPr>
        <w:pStyle w:val="TEXTE"/>
        <w:numPr>
          <w:ilvl w:val="0"/>
          <w:numId w:val="120"/>
        </w:numPr>
        <w:tabs>
          <w:tab w:val="clear" w:pos="8789"/>
          <w:tab w:val="left" w:pos="1440" w:leader="none"/>
        </w:tabs>
        <w:overflowPunct w:val="true"/>
        <w:spacing w:before="0" w:after="120"/>
        <w:ind w:left="1434" w:hanging="357"/>
        <w:textAlignment w:val="baseline"/>
        <w:rPr/>
      </w:pPr>
      <w:r>
        <w:rPr/>
        <w:t>Appareils et matériels d'essais, instruments de mesure, et leurs descriptions,</w:t>
      </w:r>
    </w:p>
    <w:p>
      <w:pPr>
        <w:pStyle w:val="TEXTE"/>
        <w:numPr>
          <w:ilvl w:val="0"/>
          <w:numId w:val="121"/>
        </w:numPr>
        <w:tabs>
          <w:tab w:val="clear" w:pos="8789"/>
          <w:tab w:val="left" w:pos="1440" w:leader="none"/>
        </w:tabs>
        <w:overflowPunct w:val="true"/>
        <w:spacing w:before="0" w:after="120"/>
        <w:ind w:left="1434" w:hanging="357"/>
        <w:textAlignment w:val="baseline"/>
        <w:rPr/>
      </w:pPr>
      <w:r>
        <w:rPr/>
        <w:t>Besoins en énergie</w:t>
      </w:r>
    </w:p>
    <w:p>
      <w:pPr>
        <w:pStyle w:val="TEXTE"/>
        <w:numPr>
          <w:ilvl w:val="0"/>
          <w:numId w:val="122"/>
        </w:numPr>
        <w:tabs>
          <w:tab w:val="clear" w:pos="8789"/>
          <w:tab w:val="left" w:pos="1440" w:leader="none"/>
        </w:tabs>
        <w:overflowPunct w:val="true"/>
        <w:spacing w:before="0" w:after="120"/>
        <w:ind w:left="1434" w:hanging="357"/>
        <w:textAlignment w:val="baseline"/>
        <w:rPr/>
      </w:pPr>
      <w:r>
        <w:rPr/>
        <w:t>Besoins en hommes</w:t>
      </w:r>
    </w:p>
    <w:p>
      <w:pPr>
        <w:pStyle w:val="TEXTE"/>
        <w:numPr>
          <w:ilvl w:val="0"/>
          <w:numId w:val="123"/>
        </w:numPr>
        <w:tabs>
          <w:tab w:val="clear" w:pos="8789"/>
          <w:tab w:val="left" w:pos="1440" w:leader="none"/>
        </w:tabs>
        <w:overflowPunct w:val="true"/>
        <w:spacing w:before="0" w:after="120"/>
        <w:ind w:left="1434" w:hanging="357"/>
        <w:textAlignment w:val="baseline"/>
        <w:rPr/>
      </w:pPr>
      <w:r>
        <w:rPr/>
        <w:t>Besoins en télécommunication</w:t>
      </w:r>
    </w:p>
    <w:p>
      <w:pPr>
        <w:pStyle w:val="TEXTE"/>
        <w:numPr>
          <w:ilvl w:val="0"/>
          <w:numId w:val="124"/>
        </w:numPr>
        <w:tabs>
          <w:tab w:val="clear" w:pos="8789"/>
          <w:tab w:val="left" w:pos="1440" w:leader="none"/>
        </w:tabs>
        <w:overflowPunct w:val="true"/>
        <w:spacing w:before="0" w:after="120"/>
        <w:ind w:left="1434" w:hanging="357"/>
        <w:textAlignment w:val="baseline"/>
        <w:rPr/>
      </w:pPr>
      <w:r>
        <w:rPr/>
        <w:t>Besoins en environnement</w:t>
      </w:r>
    </w:p>
    <w:p>
      <w:pPr>
        <w:pStyle w:val="F1"/>
        <w:numPr>
          <w:ilvl w:val="0"/>
          <w:numId w:val="42"/>
        </w:numPr>
        <w:rPr/>
      </w:pPr>
      <w:r>
        <w:rPr/>
        <w:t>Les paramètres de réglage, et de configuration,</w:t>
      </w:r>
    </w:p>
    <w:p>
      <w:pPr>
        <w:pStyle w:val="F1"/>
        <w:numPr>
          <w:ilvl w:val="0"/>
          <w:numId w:val="42"/>
        </w:numPr>
        <w:rPr/>
      </w:pPr>
      <w:r>
        <w:rPr/>
        <w:t>Les schémas de configuration des essais,</w:t>
      </w:r>
    </w:p>
    <w:p>
      <w:pPr>
        <w:pStyle w:val="F1"/>
        <w:numPr>
          <w:ilvl w:val="0"/>
          <w:numId w:val="42"/>
        </w:numPr>
        <w:rPr/>
      </w:pPr>
      <w:r>
        <w:rPr/>
        <w:t>L'organisation et déroulement des essais : lieu (usine ou site),</w:t>
      </w:r>
    </w:p>
    <w:p>
      <w:pPr>
        <w:pStyle w:val="F1"/>
        <w:numPr>
          <w:ilvl w:val="0"/>
          <w:numId w:val="42"/>
        </w:numPr>
        <w:rPr/>
      </w:pPr>
      <w:r>
        <w:rPr/>
        <w:t>La configuration générale des matériels,</w:t>
      </w:r>
    </w:p>
    <w:p>
      <w:pPr>
        <w:pStyle w:val="F1"/>
        <w:numPr>
          <w:ilvl w:val="0"/>
          <w:numId w:val="42"/>
        </w:numPr>
        <w:rPr/>
      </w:pPr>
      <w:r>
        <w:rPr/>
        <w:t>Les essais à réaliser,</w:t>
      </w:r>
    </w:p>
    <w:p>
      <w:pPr>
        <w:pStyle w:val="F1"/>
        <w:numPr>
          <w:ilvl w:val="0"/>
          <w:numId w:val="42"/>
        </w:numPr>
        <w:rPr/>
      </w:pPr>
      <w:r>
        <w:rPr/>
        <w:t>Les résultats à obtenir, tolérances et sanctions...</w:t>
      </w:r>
    </w:p>
    <w:p>
      <w:pPr>
        <w:pStyle w:val="TEXTE"/>
        <w:numPr>
          <w:ilvl w:val="0"/>
          <w:numId w:val="0"/>
        </w:numPr>
        <w:ind w:left="0" w:hanging="0"/>
        <w:rPr/>
      </w:pPr>
      <w:r>
        <w:rPr/>
        <w:t>Ce plan d'essais doit être soumis au maître d'œuvre, pour validation, avant le début de tout essai ; les délais de remise des documents sont spécifiés au CCAP. Il comprendra la place disponible pour consigner les résultats obtenus avec les commentaires.</w:t>
      </w:r>
    </w:p>
    <w:p>
      <w:pPr>
        <w:pStyle w:val="TEXTE"/>
        <w:numPr>
          <w:ilvl w:val="0"/>
          <w:numId w:val="0"/>
        </w:numPr>
        <w:spacing w:before="200" w:after="120"/>
        <w:ind w:left="0" w:hanging="0"/>
        <w:rPr/>
      </w:pPr>
      <w:r>
        <w:rPr/>
        <w:t>Lorsqu’aucune méthode de vérification n'est imposée par cahier des charges, celle-ci sera librement proposée par la titulaire ; il devra démontrer que sa méthode est discriminante, et qu'elle permet bien :</w:t>
      </w:r>
    </w:p>
    <w:p>
      <w:pPr>
        <w:pStyle w:val="F1"/>
        <w:numPr>
          <w:ilvl w:val="0"/>
          <w:numId w:val="42"/>
        </w:numPr>
        <w:rPr/>
      </w:pPr>
      <w:r>
        <w:rPr/>
        <w:t>D'accepter les équipements conformes,</w:t>
      </w:r>
    </w:p>
    <w:p>
      <w:pPr>
        <w:pStyle w:val="F1"/>
        <w:numPr>
          <w:ilvl w:val="0"/>
          <w:numId w:val="42"/>
        </w:numPr>
        <w:rPr/>
      </w:pPr>
      <w:r>
        <w:rPr/>
        <w:t>D'identifier toutes les non-conformités,</w:t>
      </w:r>
    </w:p>
    <w:p>
      <w:pPr>
        <w:pStyle w:val="TEXTE"/>
        <w:numPr>
          <w:ilvl w:val="0"/>
          <w:numId w:val="78"/>
        </w:numPr>
        <w:tabs>
          <w:tab w:val="clear" w:pos="8789"/>
          <w:tab w:val="left" w:pos="720" w:leader="none"/>
        </w:tabs>
        <w:overflowPunct w:val="true"/>
        <w:spacing w:before="0" w:after="240"/>
        <w:ind w:left="720" w:hanging="360"/>
        <w:textAlignment w:val="baseline"/>
        <w:rPr/>
      </w:pPr>
      <w:r>
        <w:rPr/>
        <w:t>De distinguer les différents paramètres et leurs effets respectifs.</w:t>
      </w:r>
    </w:p>
    <w:p>
      <w:pPr>
        <w:pStyle w:val="Titre3"/>
        <w:rPr/>
      </w:pPr>
      <w:bookmarkStart w:id="1167" w:name="_Toc32334907"/>
      <w:bookmarkStart w:id="1168" w:name="_Toc421638214"/>
      <w:bookmarkStart w:id="1169" w:name="_Toc421637418"/>
      <w:bookmarkStart w:id="1170" w:name="_Toc212010214"/>
      <w:bookmarkStart w:id="1171" w:name="_Toc494514241"/>
      <w:bookmarkStart w:id="1172" w:name="_Toc477921266"/>
      <w:bookmarkStart w:id="1173" w:name="_Toc475521645"/>
      <w:bookmarkStart w:id="1174" w:name="_Toc403966743"/>
      <w:bookmarkStart w:id="1175" w:name="_Toc397748062"/>
      <w:bookmarkStart w:id="1176" w:name="_Toc394469912"/>
      <w:bookmarkStart w:id="1177" w:name="_Toc394307310"/>
      <w:bookmarkStart w:id="1178" w:name="_Toc394220826"/>
      <w:r>
        <w:rPr/>
        <w:t>Conditions d'environnement</w:t>
      </w:r>
      <w:bookmarkEnd w:id="1167"/>
      <w:bookmarkEnd w:id="1168"/>
      <w:bookmarkEnd w:id="1169"/>
      <w:bookmarkEnd w:id="1170"/>
      <w:bookmarkEnd w:id="1171"/>
      <w:bookmarkEnd w:id="1172"/>
      <w:bookmarkEnd w:id="1173"/>
      <w:bookmarkEnd w:id="1174"/>
      <w:bookmarkEnd w:id="1175"/>
      <w:bookmarkEnd w:id="1176"/>
      <w:bookmarkEnd w:id="1177"/>
      <w:bookmarkEnd w:id="1178"/>
    </w:p>
    <w:p>
      <w:pPr>
        <w:pStyle w:val="TEXTE"/>
        <w:numPr>
          <w:ilvl w:val="0"/>
          <w:numId w:val="0"/>
        </w:numPr>
        <w:ind w:left="0" w:hanging="0"/>
        <w:rPr/>
      </w:pPr>
      <w:r>
        <w:rPr/>
        <w:t>Sauf prescriptions différentes, les essais doivent s’effectuer dans les conditions atmosphériques normales, dans des locaux chauffés. Les conditions devront être conformes à la spécification G.1 du cahier des charges.</w:t>
      </w:r>
    </w:p>
    <w:p>
      <w:pPr>
        <w:pStyle w:val="Titre4"/>
        <w:rPr/>
      </w:pPr>
      <w:bookmarkStart w:id="1179" w:name="_Toc32334908"/>
      <w:bookmarkStart w:id="1180" w:name="_Toc421638215"/>
      <w:bookmarkStart w:id="1181" w:name="_Toc421637419"/>
      <w:bookmarkStart w:id="1182" w:name="_Toc494514242"/>
      <w:bookmarkStart w:id="1183" w:name="_Toc477921273"/>
      <w:r>
        <w:rPr/>
        <w:t>Essais en fonctionnement normal</w:t>
      </w:r>
      <w:bookmarkEnd w:id="1179"/>
      <w:bookmarkEnd w:id="1180"/>
      <w:bookmarkEnd w:id="1181"/>
      <w:bookmarkEnd w:id="1182"/>
      <w:bookmarkEnd w:id="1183"/>
    </w:p>
    <w:p>
      <w:pPr>
        <w:pStyle w:val="Titre5"/>
        <w:rPr/>
      </w:pPr>
      <w:r>
        <w:rPr/>
        <w:t>Essais génériques</w:t>
      </w:r>
    </w:p>
    <w:p>
      <w:pPr>
        <w:pStyle w:val="TEXTE"/>
        <w:numPr>
          <w:ilvl w:val="0"/>
          <w:numId w:val="0"/>
        </w:numPr>
        <w:spacing w:before="200" w:after="120"/>
        <w:ind w:left="0" w:hanging="0"/>
        <w:rPr/>
      </w:pPr>
      <w:r>
        <w:rPr/>
        <w:t>Le matériel étant en fonctionnement normal, (conditions climatiques normales de mesure et d'alimentation), il sera procédé aux vérifications suivantes :</w:t>
      </w:r>
    </w:p>
    <w:p>
      <w:pPr>
        <w:pStyle w:val="F1"/>
        <w:numPr>
          <w:ilvl w:val="0"/>
          <w:numId w:val="42"/>
        </w:numPr>
        <w:rPr/>
      </w:pPr>
      <w:r>
        <w:rPr/>
        <w:t>Contrôle de bonne exécution de chaque fonction des matériels, dans les différents régimes de marche,</w:t>
      </w:r>
    </w:p>
    <w:p>
      <w:pPr>
        <w:pStyle w:val="F1"/>
        <w:numPr>
          <w:ilvl w:val="0"/>
          <w:numId w:val="42"/>
        </w:numPr>
        <w:rPr/>
      </w:pPr>
      <w:r>
        <w:rPr/>
        <w:t>Contrôle du fonctionnement des dispositifs de sécurité,</w:t>
      </w:r>
    </w:p>
    <w:p>
      <w:pPr>
        <w:pStyle w:val="F1"/>
        <w:numPr>
          <w:ilvl w:val="0"/>
          <w:numId w:val="42"/>
        </w:numPr>
        <w:rPr/>
      </w:pPr>
      <w:r>
        <w:rPr/>
        <w:t>Contrôle du fonctionnement des signalisations,</w:t>
      </w:r>
    </w:p>
    <w:p>
      <w:pPr>
        <w:pStyle w:val="F1"/>
        <w:numPr>
          <w:ilvl w:val="0"/>
          <w:numId w:val="42"/>
        </w:numPr>
        <w:rPr/>
      </w:pPr>
      <w:r>
        <w:rPr/>
        <w:t>Contrôle des fonctions de service,</w:t>
      </w:r>
    </w:p>
    <w:p>
      <w:pPr>
        <w:pStyle w:val="F1"/>
        <w:numPr>
          <w:ilvl w:val="0"/>
          <w:numId w:val="42"/>
        </w:numPr>
        <w:rPr/>
      </w:pPr>
      <w:r>
        <w:rPr/>
        <w:t>La simulation des défauts, et leurs effets sur le fonctionnement et la signalisation,</w:t>
      </w:r>
    </w:p>
    <w:p>
      <w:pPr>
        <w:pStyle w:val="F1"/>
        <w:numPr>
          <w:ilvl w:val="0"/>
          <w:numId w:val="42"/>
        </w:numPr>
        <w:rPr/>
      </w:pPr>
      <w:r>
        <w:rPr/>
        <w:t>Vérification des modes dégradés ;</w:t>
      </w:r>
    </w:p>
    <w:p>
      <w:pPr>
        <w:pStyle w:val="F1"/>
        <w:numPr>
          <w:ilvl w:val="0"/>
          <w:numId w:val="42"/>
        </w:numPr>
        <w:rPr/>
      </w:pPr>
      <w:r>
        <w:rPr/>
        <w:t>Vérification des dysfonctionnements et de leur remontée vers la supervision (états, alarmes, etc.) ; lorsqu’aucun système de supervision n’est existant, typiquement pour l’énergie, la vérification sera effectuée au niveau des borniers pour valider les états et défauts ;</w:t>
      </w:r>
    </w:p>
    <w:p>
      <w:pPr>
        <w:pStyle w:val="TEXTE"/>
        <w:numPr>
          <w:ilvl w:val="0"/>
          <w:numId w:val="78"/>
        </w:numPr>
        <w:tabs>
          <w:tab w:val="clear" w:pos="8789"/>
          <w:tab w:val="left" w:pos="720" w:leader="none"/>
        </w:tabs>
        <w:overflowPunct w:val="true"/>
        <w:spacing w:before="0" w:after="240"/>
        <w:ind w:left="720" w:hanging="360"/>
        <w:textAlignment w:val="baseline"/>
        <w:rPr/>
      </w:pPr>
      <w:r>
        <w:rPr/>
        <w:t>Mesure des performances dans les différents régimes de marche, notamment tous les basculements électriques (normal/groupe, Groupe/onduleur, etc.).</w:t>
      </w:r>
    </w:p>
    <w:p>
      <w:pPr>
        <w:pStyle w:val="TEXTE"/>
        <w:numPr>
          <w:ilvl w:val="0"/>
          <w:numId w:val="0"/>
        </w:numPr>
        <w:ind w:left="0" w:hanging="0"/>
        <w:rPr/>
      </w:pPr>
      <w:r>
        <w:rPr/>
        <w:t>Les fonctions et performances à vérifier sont toutes celles qui sont spécifiées par le présent cahier des charges et ses annexes, et les normes qui y sont référencées, hormis celles pour lesquelles les matériels présentés portent un marquage NF.</w:t>
      </w:r>
    </w:p>
    <w:p>
      <w:pPr>
        <w:pStyle w:val="Titre5"/>
        <w:numPr>
          <w:ilvl w:val="4"/>
          <w:numId w:val="125"/>
        </w:numPr>
        <w:rPr/>
      </w:pPr>
      <w:r>
        <w:rPr/>
        <w:t>Essais de fonctionnement aux limites</w:t>
      </w:r>
    </w:p>
    <w:p>
      <w:pPr>
        <w:pStyle w:val="TEXTE"/>
        <w:numPr>
          <w:ilvl w:val="0"/>
          <w:numId w:val="0"/>
        </w:numPr>
        <w:spacing w:before="200" w:after="120"/>
        <w:ind w:left="0" w:hanging="0"/>
        <w:rPr/>
      </w:pPr>
      <w:r>
        <w:rPr/>
        <w:t>Le matériel étant en fonctionnement aux limites, il sera procédé aux vérifications suivantes :</w:t>
      </w:r>
    </w:p>
    <w:p>
      <w:pPr>
        <w:pStyle w:val="F1"/>
        <w:numPr>
          <w:ilvl w:val="0"/>
          <w:numId w:val="42"/>
        </w:numPr>
        <w:rPr/>
      </w:pPr>
      <w:r>
        <w:rPr/>
        <w:t>Contrôle des performances nominales en tenue électrique (gamme de tensions et de fréquence, résistance aux perturbations et micro-coupures, isolement et rigidité diélectrique des différentes interfaces, des jeux de barres, etc.),</w:t>
      </w:r>
    </w:p>
    <w:p>
      <w:pPr>
        <w:pStyle w:val="F1"/>
        <w:numPr>
          <w:ilvl w:val="0"/>
          <w:numId w:val="42"/>
        </w:numPr>
        <w:rPr/>
      </w:pPr>
      <w:r>
        <w:rPr/>
        <w:t>Contrôle des performances nominales en tenue climatique,</w:t>
      </w:r>
    </w:p>
    <w:p>
      <w:pPr>
        <w:pStyle w:val="F1"/>
        <w:numPr>
          <w:ilvl w:val="0"/>
          <w:numId w:val="42"/>
        </w:numPr>
        <w:rPr/>
      </w:pPr>
      <w:r>
        <w:rPr/>
        <w:t>Contrôle des performances nominales en tenue mécanique,</w:t>
      </w:r>
    </w:p>
    <w:p>
      <w:pPr>
        <w:pStyle w:val="F1"/>
        <w:numPr>
          <w:ilvl w:val="0"/>
          <w:numId w:val="42"/>
        </w:numPr>
        <w:rPr/>
      </w:pPr>
      <w:r>
        <w:rPr/>
        <w:t>Indices de protection ;</w:t>
      </w:r>
    </w:p>
    <w:p>
      <w:pPr>
        <w:pStyle w:val="TEXTE"/>
        <w:numPr>
          <w:ilvl w:val="0"/>
          <w:numId w:val="78"/>
        </w:numPr>
        <w:tabs>
          <w:tab w:val="clear" w:pos="8789"/>
          <w:tab w:val="left" w:pos="720" w:leader="none"/>
        </w:tabs>
        <w:overflowPunct w:val="true"/>
        <w:spacing w:before="0" w:after="240"/>
        <w:ind w:left="720" w:hanging="360"/>
        <w:textAlignment w:val="baseline"/>
        <w:rPr/>
      </w:pPr>
      <w:r>
        <w:rPr/>
        <w:t>Contrôle des performances après stockage.</w:t>
      </w:r>
    </w:p>
    <w:p>
      <w:pPr>
        <w:pStyle w:val="TEXTE"/>
        <w:numPr>
          <w:ilvl w:val="0"/>
          <w:numId w:val="0"/>
        </w:numPr>
        <w:ind w:left="0" w:hanging="0"/>
        <w:rPr/>
      </w:pPr>
      <w:r>
        <w:rPr/>
        <w:t>Pour les essais de fonctionnement aux limites, le titulaire pourra fournir les PV d'essais réalisés par un laboratoire agréé par le ministère de l'industrie. Le maître d'œuvre décidera si leurs conditions sont identiques à celles requises par le présent cahier des charges (y compris annexes), ou si l'essai doit être reproduit.</w:t>
      </w:r>
    </w:p>
    <w:p>
      <w:pPr>
        <w:pStyle w:val="Titre4"/>
        <w:rPr/>
      </w:pPr>
      <w:bookmarkStart w:id="1184" w:name="_Toc32334909"/>
      <w:bookmarkStart w:id="1185" w:name="_Toc421638218"/>
      <w:bookmarkStart w:id="1186" w:name="_Toc421637421"/>
      <w:r>
        <w:rPr/>
        <w:t>Vérification du comportement du système lors de défaillance</w:t>
      </w:r>
      <w:bookmarkEnd w:id="1184"/>
      <w:bookmarkEnd w:id="1185"/>
      <w:bookmarkEnd w:id="1186"/>
    </w:p>
    <w:p>
      <w:pPr>
        <w:pStyle w:val="TEXTE"/>
        <w:numPr>
          <w:ilvl w:val="0"/>
          <w:numId w:val="0"/>
        </w:numPr>
        <w:spacing w:before="200" w:after="120"/>
        <w:ind w:left="0" w:hanging="0"/>
        <w:rPr/>
      </w:pPr>
      <w:r>
        <w:rPr/>
        <w:t>Pour chaque élément participant au fonctionnement, il sera systématiquement vérifié les conséquences d’un défaut ou d’une défaillance (réel, ou par simulation). Quelques exemples sont donnés ci-après :</w:t>
      </w:r>
    </w:p>
    <w:p>
      <w:pPr>
        <w:pStyle w:val="F1"/>
        <w:numPr>
          <w:ilvl w:val="0"/>
          <w:numId w:val="42"/>
        </w:numPr>
        <w:rPr/>
      </w:pPr>
      <w:r>
        <w:rPr/>
        <w:t>L’efficience des dispositifs de protection différentielle, magnétique et thermique (simulation de défaut légèrement supérieur aux calibres, défaut à la terre, etc.) ;</w:t>
      </w:r>
    </w:p>
    <w:p>
      <w:pPr>
        <w:pStyle w:val="F1"/>
        <w:numPr>
          <w:ilvl w:val="0"/>
          <w:numId w:val="42"/>
        </w:numPr>
        <w:rPr/>
      </w:pPr>
      <w:r>
        <w:rPr/>
        <w:t>Coupure d’un lien optique ou électrique (catégorie 6 ou 7) du réseau RTHD, bureautique, ou technique ;</w:t>
      </w:r>
    </w:p>
    <w:p>
      <w:pPr>
        <w:pStyle w:val="F1"/>
        <w:numPr>
          <w:ilvl w:val="0"/>
          <w:numId w:val="42"/>
        </w:numPr>
        <w:rPr/>
      </w:pPr>
      <w:r>
        <w:rPr/>
        <w:t>Les conséquences d'un défaut sur les équipements de détection d’incendie (détecteur, sirène, déclencheur manuel, etc.) ou d’une coupure d’un des liens ;</w:t>
      </w:r>
    </w:p>
    <w:p>
      <w:pPr>
        <w:pStyle w:val="F1"/>
        <w:numPr>
          <w:ilvl w:val="0"/>
          <w:numId w:val="42"/>
        </w:numPr>
        <w:rPr/>
      </w:pPr>
      <w:r>
        <w:rPr/>
        <w:t>etc.</w:t>
      </w:r>
    </w:p>
    <w:p>
      <w:pPr>
        <w:pStyle w:val="Titre4"/>
        <w:rPr/>
      </w:pPr>
      <w:bookmarkStart w:id="1187" w:name="_Toc32334910"/>
      <w:bookmarkStart w:id="1188" w:name="_Toc421638219"/>
      <w:bookmarkStart w:id="1189" w:name="_Toc421637422"/>
      <w:bookmarkStart w:id="1190" w:name="_Toc494514245"/>
      <w:bookmarkStart w:id="1191" w:name="_Toc477921278"/>
      <w:bookmarkStart w:id="1192" w:name="_Toc475521650"/>
      <w:r>
        <w:rPr/>
        <w:t>Vérification systématiques</w:t>
      </w:r>
      <w:bookmarkEnd w:id="1187"/>
      <w:bookmarkEnd w:id="1188"/>
      <w:bookmarkEnd w:id="1189"/>
      <w:bookmarkEnd w:id="1190"/>
      <w:bookmarkEnd w:id="1191"/>
      <w:bookmarkEnd w:id="1192"/>
    </w:p>
    <w:p>
      <w:pPr>
        <w:pStyle w:val="TEXTE"/>
        <w:numPr>
          <w:ilvl w:val="0"/>
          <w:numId w:val="0"/>
        </w:numPr>
        <w:spacing w:before="200" w:after="120"/>
        <w:ind w:left="0" w:hanging="0"/>
        <w:rPr/>
      </w:pPr>
      <w:r>
        <w:rPr/>
        <w:t>Les points suivants seront vérifiés sur la totalité des matériels :</w:t>
      </w:r>
    </w:p>
    <w:p>
      <w:pPr>
        <w:pStyle w:val="F1"/>
        <w:numPr>
          <w:ilvl w:val="0"/>
          <w:numId w:val="42"/>
        </w:numPr>
        <w:rPr/>
      </w:pPr>
      <w:r>
        <w:rPr/>
        <w:t>Les quantités accompagnées des plaques signalétiques rappelant le type et le numéro dans la série du type,</w:t>
      </w:r>
    </w:p>
    <w:p>
      <w:pPr>
        <w:pStyle w:val="F1"/>
        <w:numPr>
          <w:ilvl w:val="0"/>
          <w:numId w:val="42"/>
        </w:numPr>
        <w:rPr/>
      </w:pPr>
      <w:r>
        <w:rPr/>
        <w:t>L’aspect et la constitution (y compris nature des matériaux),</w:t>
      </w:r>
    </w:p>
    <w:p>
      <w:pPr>
        <w:pStyle w:val="F1"/>
        <w:numPr>
          <w:ilvl w:val="0"/>
          <w:numId w:val="42"/>
        </w:numPr>
        <w:rPr/>
      </w:pPr>
      <w:r>
        <w:rPr/>
        <w:t>La documentation,</w:t>
      </w:r>
    </w:p>
    <w:p>
      <w:pPr>
        <w:pStyle w:val="F1"/>
        <w:numPr>
          <w:ilvl w:val="0"/>
          <w:numId w:val="42"/>
        </w:numPr>
        <w:rPr/>
      </w:pPr>
      <w:r>
        <w:rPr/>
        <w:t>L'organisation et le câblage,</w:t>
      </w:r>
    </w:p>
    <w:p>
      <w:pPr>
        <w:pStyle w:val="F1"/>
        <w:numPr>
          <w:ilvl w:val="0"/>
          <w:numId w:val="42"/>
        </w:numPr>
        <w:rPr/>
      </w:pPr>
      <w:r>
        <w:rPr/>
        <w:t>La qualité d'exécution accompagnée de toutes les indications signalétiques tant sur les équipements que sur les plans (concordance totale entre les indications portées sur les plans et les étiquetages et repérages),</w:t>
      </w:r>
    </w:p>
    <w:p>
      <w:pPr>
        <w:pStyle w:val="F1"/>
        <w:numPr>
          <w:ilvl w:val="0"/>
          <w:numId w:val="42"/>
        </w:numPr>
        <w:rPr/>
      </w:pPr>
      <w:r>
        <w:rPr/>
        <w:t>La présence et le fonctionnement des dispositifs de sécurité,</w:t>
      </w:r>
    </w:p>
    <w:p>
      <w:pPr>
        <w:pStyle w:val="TEXTE"/>
        <w:numPr>
          <w:ilvl w:val="0"/>
          <w:numId w:val="78"/>
        </w:numPr>
        <w:tabs>
          <w:tab w:val="clear" w:pos="8789"/>
          <w:tab w:val="left" w:pos="720" w:leader="none"/>
        </w:tabs>
        <w:overflowPunct w:val="true"/>
        <w:spacing w:before="0" w:after="240"/>
        <w:ind w:left="720" w:hanging="360"/>
        <w:textAlignment w:val="baseline"/>
        <w:rPr/>
      </w:pPr>
      <w:r>
        <w:rPr/>
        <w:t>Le fonctionnement général du matériel et de ses signalisations.</w:t>
      </w:r>
    </w:p>
    <w:p>
      <w:pPr>
        <w:pStyle w:val="Titre2"/>
        <w:tabs>
          <w:tab w:val="clear" w:pos="0"/>
          <w:tab w:val="clear" w:pos="8789"/>
          <w:tab w:val="left" w:pos="426" w:leader="none"/>
        </w:tabs>
        <w:ind w:left="0" w:hanging="0"/>
        <w:rPr/>
      </w:pPr>
      <w:bookmarkStart w:id="1193" w:name="_Toc32334911"/>
      <w:bookmarkStart w:id="1194" w:name="_Toc421638220"/>
      <w:bookmarkStart w:id="1195" w:name="_Toc421637423"/>
      <w:bookmarkStart w:id="1196" w:name="_Toc212010215"/>
      <w:r>
        <w:rPr/>
        <w:t>Essais usine</w:t>
      </w:r>
      <w:bookmarkEnd w:id="1193"/>
      <w:bookmarkEnd w:id="1194"/>
      <w:bookmarkEnd w:id="1195"/>
      <w:bookmarkEnd w:id="1196"/>
    </w:p>
    <w:p>
      <w:pPr>
        <w:pStyle w:val="TEXTE"/>
        <w:numPr>
          <w:ilvl w:val="0"/>
          <w:numId w:val="0"/>
        </w:numPr>
        <w:ind w:left="0" w:hanging="0"/>
        <w:rPr/>
      </w:pPr>
      <w:r>
        <w:rPr/>
        <w:t>Préalablement au transfert puis à l'installation des matériels sur les 4 sites d'Ile de France, l'entrepreneur devra proposer au maître d'œuvre l'essai en usine de ces matériels, en respectant un préavis de dix jours (notamment pour les TGBT et les armoires de distribution). Cet essai ne diminue en rien la responsabilité de l'entrepreneur dans la suite de l'exécution du marché, mais il conditionne l'exécution de l'installation sur les sites de ces matériels.</w:t>
      </w:r>
    </w:p>
    <w:p>
      <w:pPr>
        <w:pStyle w:val="TEXTE"/>
        <w:numPr>
          <w:ilvl w:val="0"/>
          <w:numId w:val="0"/>
        </w:numPr>
        <w:ind w:left="0" w:hanging="0"/>
        <w:rPr/>
      </w:pPr>
      <w:r>
        <w:rPr/>
        <w:t>L'entrepreneur devra fournir les fiches d'essais et P.V. d'essais qu'il aurait été amené à effectuer (mesures d’isolement, rigidité, fonctionnement des protections, sélectivité, etc.). Il devra présenter tous les essais qui ont été exécutés en fabrication.</w:t>
      </w:r>
    </w:p>
    <w:p>
      <w:pPr>
        <w:pStyle w:val="TEXTE"/>
        <w:numPr>
          <w:ilvl w:val="0"/>
          <w:numId w:val="0"/>
        </w:numPr>
        <w:spacing w:before="200" w:after="120"/>
        <w:ind w:left="0" w:hanging="0"/>
        <w:rPr/>
      </w:pPr>
      <w:r>
        <w:rPr/>
        <w:t>Les points suivants seront vérifiés sur la totalité des matériels :</w:t>
      </w:r>
    </w:p>
    <w:p>
      <w:pPr>
        <w:pStyle w:val="F1"/>
        <w:numPr>
          <w:ilvl w:val="0"/>
          <w:numId w:val="42"/>
        </w:numPr>
        <w:rPr/>
      </w:pPr>
      <w:r>
        <w:rPr/>
        <w:t>Les quantités accompagnées des plaques signalétiques rappelant le type et le numéro dans la série du type,</w:t>
      </w:r>
    </w:p>
    <w:p>
      <w:pPr>
        <w:pStyle w:val="F1"/>
        <w:numPr>
          <w:ilvl w:val="0"/>
          <w:numId w:val="42"/>
        </w:numPr>
        <w:rPr/>
      </w:pPr>
      <w:r>
        <w:rPr/>
        <w:t>L'aspect et la constitution,</w:t>
      </w:r>
    </w:p>
    <w:p>
      <w:pPr>
        <w:pStyle w:val="F1"/>
        <w:numPr>
          <w:ilvl w:val="0"/>
          <w:numId w:val="42"/>
        </w:numPr>
        <w:rPr/>
      </w:pPr>
      <w:r>
        <w:rPr/>
        <w:t>La qualité d'exécution accompagnée de toutes les indications signalétiques,</w:t>
      </w:r>
    </w:p>
    <w:p>
      <w:pPr>
        <w:pStyle w:val="F1"/>
        <w:numPr>
          <w:ilvl w:val="0"/>
          <w:numId w:val="42"/>
        </w:numPr>
        <w:rPr/>
      </w:pPr>
      <w:r>
        <w:rPr/>
        <w:t>Le fonctionnement.</w:t>
      </w:r>
    </w:p>
    <w:p>
      <w:pPr>
        <w:pStyle w:val="TEXTE"/>
        <w:numPr>
          <w:ilvl w:val="0"/>
          <w:numId w:val="0"/>
        </w:numPr>
        <w:ind w:left="0" w:hanging="0"/>
        <w:rPr/>
      </w:pPr>
      <w:r>
        <w:rPr/>
        <w:t>Toutes les vérifications prévues ci-après, réalisables en usine, seront effectuées par prélèvement. L'échantillonnage, proposé par le titulaire, sera réalisé par le maître d'œuvre après validation de contenu de l'échantillonnage. Certains résultats de mesures se situant en limite ou hors des tolérances, pourront amener à faire un essai systématique sur l'ensemble des matériels.</w:t>
      </w:r>
    </w:p>
    <w:p>
      <w:pPr>
        <w:pStyle w:val="TEXTE"/>
        <w:rPr/>
      </w:pPr>
      <w:r>
        <w:rPr/>
        <w:t>Tous les essais et vérifications qui auront fait l'objet de réserves lors des essais en phase de réception usine, seront à nouveau exécutés pour valider que les réserves usine ont été effectivement levées.</w:t>
      </w:r>
    </w:p>
    <w:p>
      <w:pPr>
        <w:pStyle w:val="Titre2"/>
        <w:tabs>
          <w:tab w:val="clear" w:pos="0"/>
          <w:tab w:val="clear" w:pos="8789"/>
          <w:tab w:val="left" w:pos="426" w:leader="none"/>
        </w:tabs>
        <w:ind w:left="0" w:hanging="0"/>
        <w:rPr/>
      </w:pPr>
      <w:bookmarkStart w:id="1197" w:name="_Toc32334912"/>
      <w:bookmarkStart w:id="1198" w:name="_Toc421638221"/>
      <w:bookmarkStart w:id="1199" w:name="_Toc421637425"/>
      <w:bookmarkStart w:id="1200" w:name="_Toc212010216"/>
      <w:bookmarkStart w:id="1201" w:name="_Toc494514246"/>
      <w:bookmarkStart w:id="1202" w:name="_Toc477921284"/>
      <w:bookmarkStart w:id="1203" w:name="_Toc475521659"/>
      <w:r>
        <w:rPr/>
        <w:t>Opérations préalables à la réception</w:t>
      </w:r>
      <w:bookmarkEnd w:id="1197"/>
      <w:bookmarkEnd w:id="1198"/>
      <w:bookmarkEnd w:id="1199"/>
      <w:bookmarkEnd w:id="1200"/>
      <w:bookmarkEnd w:id="1201"/>
      <w:bookmarkEnd w:id="1202"/>
      <w:bookmarkEnd w:id="1203"/>
    </w:p>
    <w:p>
      <w:pPr>
        <w:pStyle w:val="TEXTE"/>
        <w:keepNext w:val="true"/>
        <w:numPr>
          <w:ilvl w:val="0"/>
          <w:numId w:val="0"/>
        </w:numPr>
        <w:ind w:left="0" w:hanging="0"/>
        <w:rPr/>
      </w:pPr>
      <w:r>
        <w:rPr/>
        <w:t>Le système réalisé sera soumis d'une part à des épreuves générales, applicables à chaque élément et au fonctionnement de l'ensemble, d'autre part à des épreuves de nature à vérifier la conformité de certaines parties sur des points particuliers.</w:t>
      </w:r>
    </w:p>
    <w:p>
      <w:pPr>
        <w:pStyle w:val="TEXTE"/>
        <w:numPr>
          <w:ilvl w:val="0"/>
          <w:numId w:val="0"/>
        </w:numPr>
        <w:ind w:left="0" w:hanging="0"/>
        <w:rPr/>
      </w:pPr>
      <w:r>
        <w:rPr/>
        <w:t>Si un matériel installé n'a pas subi les essais usines en phase de réalisation, il y sera soumis aux essais correspondants lors de ces opérations préalables à la réception.</w:t>
      </w:r>
    </w:p>
    <w:p>
      <w:pPr>
        <w:pStyle w:val="Titre3"/>
        <w:rPr/>
      </w:pPr>
      <w:bookmarkStart w:id="1204" w:name="_Toc32334913"/>
      <w:bookmarkStart w:id="1205" w:name="_Toc421638222"/>
      <w:bookmarkStart w:id="1206" w:name="_Toc421637426"/>
      <w:bookmarkStart w:id="1207" w:name="_Toc212010217"/>
      <w:bookmarkStart w:id="1208" w:name="_Toc494514247"/>
      <w:bookmarkStart w:id="1209" w:name="_Toc477921285"/>
      <w:r>
        <w:rPr/>
        <w:t>Epreuves générales</w:t>
      </w:r>
      <w:bookmarkEnd w:id="1204"/>
      <w:bookmarkEnd w:id="1205"/>
      <w:bookmarkEnd w:id="1206"/>
      <w:bookmarkEnd w:id="1207"/>
      <w:bookmarkEnd w:id="1208"/>
      <w:bookmarkEnd w:id="1209"/>
    </w:p>
    <w:p>
      <w:pPr>
        <w:pStyle w:val="TEXTE"/>
        <w:numPr>
          <w:ilvl w:val="0"/>
          <w:numId w:val="0"/>
        </w:numPr>
        <w:ind w:left="0" w:hanging="0"/>
        <w:rPr/>
      </w:pPr>
      <w:r>
        <w:rPr/>
        <w:t>Après installation des équipements objet du présent CCTP, aura lieu une visite sur chacun des sites d'installation, qui consistera à effectuer une recette, équipement par équipement, et devra permettre de valider la bonne réalisation des travaux ainsi que les caractéristiques générales des matériels installés.</w:t>
      </w:r>
    </w:p>
    <w:p>
      <w:pPr>
        <w:pStyle w:val="TEXTE"/>
        <w:numPr>
          <w:ilvl w:val="0"/>
          <w:numId w:val="0"/>
        </w:numPr>
        <w:spacing w:before="200" w:after="120"/>
        <w:ind w:left="0" w:hanging="0"/>
        <w:rPr/>
      </w:pPr>
      <w:r>
        <w:rPr/>
        <w:t>Ceci concerne notamment :</w:t>
      </w:r>
    </w:p>
    <w:p>
      <w:pPr>
        <w:pStyle w:val="F1"/>
        <w:numPr>
          <w:ilvl w:val="0"/>
          <w:numId w:val="42"/>
        </w:numPr>
        <w:rPr/>
      </w:pPr>
      <w:r>
        <w:rPr/>
        <w:t>La vérification visuelle de la conformité et de la qualité de mise en œuvre pour notamment (liste non exhaustive donnée pour exemple) :</w:t>
      </w:r>
    </w:p>
    <w:p>
      <w:pPr>
        <w:pStyle w:val="TEXTE"/>
        <w:numPr>
          <w:ilvl w:val="0"/>
          <w:numId w:val="126"/>
        </w:numPr>
        <w:tabs>
          <w:tab w:val="clear" w:pos="8789"/>
          <w:tab w:val="left" w:pos="1440" w:leader="none"/>
        </w:tabs>
        <w:overflowPunct w:val="true"/>
        <w:spacing w:before="0" w:after="120"/>
        <w:ind w:left="1434" w:hanging="357"/>
        <w:textAlignment w:val="baseline"/>
        <w:rPr/>
      </w:pPr>
      <w:r>
        <w:rPr/>
        <w:t>Des TGBT ;</w:t>
      </w:r>
    </w:p>
    <w:p>
      <w:pPr>
        <w:pStyle w:val="TEXTE"/>
        <w:numPr>
          <w:ilvl w:val="0"/>
          <w:numId w:val="127"/>
        </w:numPr>
        <w:tabs>
          <w:tab w:val="clear" w:pos="8789"/>
          <w:tab w:val="left" w:pos="1440" w:leader="none"/>
        </w:tabs>
        <w:overflowPunct w:val="true"/>
        <w:spacing w:before="0" w:after="120"/>
        <w:ind w:left="1434" w:hanging="357"/>
        <w:textAlignment w:val="baseline"/>
        <w:rPr/>
      </w:pPr>
      <w:r>
        <w:rPr/>
        <w:t>Des armoires de distribution électrique ;</w:t>
      </w:r>
    </w:p>
    <w:p>
      <w:pPr>
        <w:pStyle w:val="TEXTE"/>
        <w:numPr>
          <w:ilvl w:val="0"/>
          <w:numId w:val="128"/>
        </w:numPr>
        <w:tabs>
          <w:tab w:val="clear" w:pos="8789"/>
          <w:tab w:val="left" w:pos="1440" w:leader="none"/>
        </w:tabs>
        <w:overflowPunct w:val="true"/>
        <w:spacing w:before="0" w:after="120"/>
        <w:ind w:left="1434" w:hanging="357"/>
        <w:textAlignment w:val="baseline"/>
        <w:rPr/>
      </w:pPr>
      <w:r>
        <w:rPr/>
        <w:t>Des panneaux de brassage ;</w:t>
      </w:r>
    </w:p>
    <w:p>
      <w:pPr>
        <w:pStyle w:val="TEXTE"/>
        <w:numPr>
          <w:ilvl w:val="0"/>
          <w:numId w:val="129"/>
        </w:numPr>
        <w:tabs>
          <w:tab w:val="clear" w:pos="8789"/>
          <w:tab w:val="left" w:pos="1440" w:leader="none"/>
        </w:tabs>
        <w:overflowPunct w:val="true"/>
        <w:spacing w:before="0" w:after="120"/>
        <w:ind w:left="1434" w:hanging="357"/>
        <w:textAlignment w:val="baseline"/>
        <w:rPr/>
      </w:pPr>
      <w:r>
        <w:rPr/>
        <w:t>Des pupitres ;</w:t>
      </w:r>
    </w:p>
    <w:p>
      <w:pPr>
        <w:pStyle w:val="TEXTE"/>
        <w:numPr>
          <w:ilvl w:val="0"/>
          <w:numId w:val="130"/>
        </w:numPr>
        <w:tabs>
          <w:tab w:val="clear" w:pos="8789"/>
          <w:tab w:val="left" w:pos="1440" w:leader="none"/>
        </w:tabs>
        <w:overflowPunct w:val="true"/>
        <w:spacing w:before="0" w:after="120"/>
        <w:ind w:left="1434" w:hanging="357"/>
        <w:textAlignment w:val="baseline"/>
        <w:rPr/>
      </w:pPr>
      <w:r>
        <w:rPr/>
        <w:t>Des revêtements de sol ;</w:t>
      </w:r>
    </w:p>
    <w:p>
      <w:pPr>
        <w:pStyle w:val="TEXTE"/>
        <w:numPr>
          <w:ilvl w:val="0"/>
          <w:numId w:val="131"/>
        </w:numPr>
        <w:tabs>
          <w:tab w:val="clear" w:pos="8789"/>
          <w:tab w:val="left" w:pos="1440" w:leader="none"/>
        </w:tabs>
        <w:overflowPunct w:val="true"/>
        <w:spacing w:before="0" w:after="120"/>
        <w:ind w:left="1434" w:hanging="357"/>
        <w:textAlignment w:val="baseline"/>
        <w:rPr/>
      </w:pPr>
      <w:r>
        <w:rPr/>
        <w:t>Des cloisonnements ;</w:t>
      </w:r>
    </w:p>
    <w:p>
      <w:pPr>
        <w:pStyle w:val="TEXTE"/>
        <w:numPr>
          <w:ilvl w:val="0"/>
          <w:numId w:val="132"/>
        </w:numPr>
        <w:tabs>
          <w:tab w:val="clear" w:pos="8789"/>
          <w:tab w:val="left" w:pos="1440" w:leader="none"/>
        </w:tabs>
        <w:overflowPunct w:val="true"/>
        <w:spacing w:before="0" w:after="120"/>
        <w:ind w:left="1434" w:hanging="357"/>
        <w:textAlignment w:val="baseline"/>
        <w:rPr/>
      </w:pPr>
      <w:r>
        <w:rPr/>
        <w:t>Des éclairages ;</w:t>
      </w:r>
    </w:p>
    <w:p>
      <w:pPr>
        <w:pStyle w:val="TEXTE"/>
        <w:numPr>
          <w:ilvl w:val="0"/>
          <w:numId w:val="133"/>
        </w:numPr>
        <w:tabs>
          <w:tab w:val="clear" w:pos="8789"/>
          <w:tab w:val="left" w:pos="1440" w:leader="none"/>
        </w:tabs>
        <w:overflowPunct w:val="true"/>
        <w:spacing w:before="0" w:after="120"/>
        <w:ind w:left="1434" w:hanging="357"/>
        <w:textAlignment w:val="baseline"/>
        <w:rPr/>
      </w:pPr>
      <w:r>
        <w:rPr/>
        <w:t>Des installations SSI ;</w:t>
      </w:r>
    </w:p>
    <w:p>
      <w:pPr>
        <w:pStyle w:val="TEXTE"/>
        <w:numPr>
          <w:ilvl w:val="0"/>
          <w:numId w:val="134"/>
        </w:numPr>
        <w:tabs>
          <w:tab w:val="clear" w:pos="8789"/>
          <w:tab w:val="left" w:pos="1440" w:leader="none"/>
        </w:tabs>
        <w:overflowPunct w:val="true"/>
        <w:spacing w:before="0" w:after="120"/>
        <w:ind w:left="1434" w:hanging="357"/>
        <w:textAlignment w:val="baseline"/>
        <w:rPr/>
      </w:pPr>
      <w:r>
        <w:rPr/>
        <w:t>Des installations de climatisation.</w:t>
      </w:r>
    </w:p>
    <w:p>
      <w:pPr>
        <w:pStyle w:val="F1"/>
        <w:numPr>
          <w:ilvl w:val="0"/>
          <w:numId w:val="42"/>
        </w:numPr>
        <w:rPr/>
      </w:pPr>
      <w:r>
        <w:rPr/>
        <w:t>Vérification des quantités et des spécifications techniques des équipements installés par rapport aux prescriptions du CCTP ;</w:t>
      </w:r>
    </w:p>
    <w:p>
      <w:pPr>
        <w:pStyle w:val="F1"/>
        <w:numPr>
          <w:ilvl w:val="0"/>
          <w:numId w:val="42"/>
        </w:numPr>
        <w:rPr/>
      </w:pPr>
      <w:r>
        <w:rPr/>
        <w:t>La vérification des performances :</w:t>
      </w:r>
    </w:p>
    <w:p>
      <w:pPr>
        <w:pStyle w:val="TEXTE"/>
        <w:numPr>
          <w:ilvl w:val="0"/>
          <w:numId w:val="135"/>
        </w:numPr>
        <w:tabs>
          <w:tab w:val="clear" w:pos="8789"/>
          <w:tab w:val="left" w:pos="1440" w:leader="none"/>
        </w:tabs>
        <w:overflowPunct w:val="true"/>
        <w:spacing w:before="0" w:after="120"/>
        <w:ind w:left="1434" w:hanging="357"/>
        <w:textAlignment w:val="baseline"/>
        <w:rPr/>
      </w:pPr>
      <w:r>
        <w:rPr/>
        <w:t>Climatisation (chaud/froid) ;</w:t>
      </w:r>
    </w:p>
    <w:p>
      <w:pPr>
        <w:pStyle w:val="TEXTE"/>
        <w:numPr>
          <w:ilvl w:val="0"/>
          <w:numId w:val="136"/>
        </w:numPr>
        <w:tabs>
          <w:tab w:val="clear" w:pos="8789"/>
          <w:tab w:val="left" w:pos="1440" w:leader="none"/>
        </w:tabs>
        <w:overflowPunct w:val="true"/>
        <w:spacing w:before="0" w:after="120"/>
        <w:ind w:left="1434" w:hanging="357"/>
        <w:textAlignment w:val="baseline"/>
        <w:rPr/>
      </w:pPr>
      <w:r>
        <w:rPr/>
        <w:t>Eclairages ;</w:t>
      </w:r>
    </w:p>
    <w:p>
      <w:pPr>
        <w:pStyle w:val="TEXTE"/>
        <w:numPr>
          <w:ilvl w:val="0"/>
          <w:numId w:val="137"/>
        </w:numPr>
        <w:tabs>
          <w:tab w:val="clear" w:pos="8789"/>
          <w:tab w:val="left" w:pos="1440" w:leader="none"/>
        </w:tabs>
        <w:overflowPunct w:val="true"/>
        <w:spacing w:before="0" w:after="120"/>
        <w:ind w:left="1434" w:hanging="357"/>
        <w:textAlignment w:val="baseline"/>
        <w:rPr/>
      </w:pPr>
      <w:r>
        <w:rPr/>
        <w:t>Distribution électrique ;</w:t>
      </w:r>
    </w:p>
    <w:p>
      <w:pPr>
        <w:pStyle w:val="TEXTE"/>
        <w:numPr>
          <w:ilvl w:val="0"/>
          <w:numId w:val="138"/>
        </w:numPr>
        <w:tabs>
          <w:tab w:val="clear" w:pos="8789"/>
          <w:tab w:val="left" w:pos="1440" w:leader="none"/>
        </w:tabs>
        <w:overflowPunct w:val="true"/>
        <w:spacing w:before="0" w:after="120"/>
        <w:ind w:left="1434" w:hanging="357"/>
        <w:textAlignment w:val="baseline"/>
        <w:rPr/>
      </w:pPr>
      <w:r>
        <w:rPr/>
        <w:t>Distribution téléphonique et réseau ;</w:t>
      </w:r>
    </w:p>
    <w:p>
      <w:pPr>
        <w:pStyle w:val="F1"/>
        <w:numPr>
          <w:ilvl w:val="0"/>
          <w:numId w:val="42"/>
        </w:numPr>
        <w:rPr/>
      </w:pPr>
      <w:r>
        <w:rPr/>
        <w:t>La mesure des performances liées à la mise en œuvre,</w:t>
      </w:r>
    </w:p>
    <w:p>
      <w:pPr>
        <w:pStyle w:val="TEXTE"/>
        <w:numPr>
          <w:ilvl w:val="0"/>
          <w:numId w:val="139"/>
        </w:numPr>
        <w:tabs>
          <w:tab w:val="clear" w:pos="8789"/>
          <w:tab w:val="left" w:pos="1440" w:leader="none"/>
        </w:tabs>
        <w:overflowPunct w:val="true"/>
        <w:spacing w:before="0" w:after="120"/>
        <w:ind w:left="1434" w:hanging="357"/>
        <w:textAlignment w:val="baseline"/>
        <w:rPr/>
      </w:pPr>
      <w:r>
        <w:rPr/>
        <w:t>Espaces vis-à-vis de la NFC 15-100 et de la 18-510 ;</w:t>
      </w:r>
    </w:p>
    <w:p>
      <w:pPr>
        <w:pStyle w:val="TEXTE"/>
        <w:numPr>
          <w:ilvl w:val="0"/>
          <w:numId w:val="140"/>
        </w:numPr>
        <w:tabs>
          <w:tab w:val="clear" w:pos="8789"/>
          <w:tab w:val="left" w:pos="1440" w:leader="none"/>
        </w:tabs>
        <w:overflowPunct w:val="true"/>
        <w:spacing w:before="0" w:after="120"/>
        <w:ind w:left="1434" w:hanging="357"/>
        <w:textAlignment w:val="baseline"/>
        <w:rPr/>
      </w:pPr>
      <w:r>
        <w:rPr/>
        <w:t>Espaces de passage ;</w:t>
      </w:r>
    </w:p>
    <w:p>
      <w:pPr>
        <w:pStyle w:val="TEXTE"/>
        <w:numPr>
          <w:ilvl w:val="0"/>
          <w:numId w:val="141"/>
        </w:numPr>
        <w:tabs>
          <w:tab w:val="clear" w:pos="8789"/>
          <w:tab w:val="left" w:pos="1440" w:leader="none"/>
        </w:tabs>
        <w:overflowPunct w:val="true"/>
        <w:spacing w:before="0" w:after="120"/>
        <w:ind w:left="1434" w:hanging="357"/>
        <w:textAlignment w:val="baseline"/>
        <w:rPr/>
      </w:pPr>
      <w:r>
        <w:rPr/>
        <w:t>Soufflage et reprise d’air (climatisation) ;</w:t>
      </w:r>
    </w:p>
    <w:p>
      <w:pPr>
        <w:pStyle w:val="TEXTE"/>
        <w:numPr>
          <w:ilvl w:val="0"/>
          <w:numId w:val="142"/>
        </w:numPr>
        <w:tabs>
          <w:tab w:val="clear" w:pos="8789"/>
          <w:tab w:val="left" w:pos="1440" w:leader="none"/>
        </w:tabs>
        <w:overflowPunct w:val="true"/>
        <w:spacing w:before="0" w:after="120"/>
        <w:ind w:left="1434" w:hanging="357"/>
        <w:textAlignment w:val="baseline"/>
        <w:rPr/>
      </w:pPr>
      <w:r>
        <w:rPr/>
        <w:t>Accès aux équipements</w:t>
      </w:r>
    </w:p>
    <w:p>
      <w:pPr>
        <w:pStyle w:val="F1"/>
        <w:numPr>
          <w:ilvl w:val="0"/>
          <w:numId w:val="42"/>
        </w:numPr>
        <w:rPr/>
      </w:pPr>
      <w:bookmarkStart w:id="1210" w:name="_Toc421637427"/>
      <w:r>
        <w:rPr/>
        <w:t>La vérification des remontées de défaut, et d’état ;</w:t>
      </w:r>
      <w:bookmarkEnd w:id="1210"/>
    </w:p>
    <w:p>
      <w:pPr>
        <w:pStyle w:val="F1"/>
        <w:numPr>
          <w:ilvl w:val="0"/>
          <w:numId w:val="42"/>
        </w:numPr>
        <w:rPr/>
      </w:pPr>
      <w:bookmarkStart w:id="1211" w:name="_Toc421637428"/>
      <w:r>
        <w:rPr/>
        <w:t>Les automatismes électriques ;</w:t>
      </w:r>
      <w:bookmarkEnd w:id="1211"/>
    </w:p>
    <w:p>
      <w:pPr>
        <w:pStyle w:val="F1"/>
        <w:numPr>
          <w:ilvl w:val="0"/>
          <w:numId w:val="42"/>
        </w:numPr>
        <w:rPr/>
      </w:pPr>
      <w:bookmarkStart w:id="1212" w:name="_Toc421637429"/>
      <w:r>
        <w:rPr/>
        <w:t>L’efficience des protections électriques ;</w:t>
      </w:r>
      <w:bookmarkEnd w:id="1212"/>
    </w:p>
    <w:p>
      <w:pPr>
        <w:pStyle w:val="TEXTE"/>
        <w:numPr>
          <w:ilvl w:val="0"/>
          <w:numId w:val="78"/>
        </w:numPr>
        <w:tabs>
          <w:tab w:val="clear" w:pos="8789"/>
          <w:tab w:val="left" w:pos="720" w:leader="none"/>
        </w:tabs>
        <w:overflowPunct w:val="true"/>
        <w:spacing w:before="0" w:after="240"/>
        <w:ind w:left="720" w:hanging="360"/>
        <w:textAlignment w:val="baseline"/>
        <w:rPr/>
      </w:pPr>
      <w:bookmarkStart w:id="1213" w:name="_Toc421637431"/>
      <w:r>
        <w:rPr/>
        <w:t>La vérification des performances en termes de nuisances sonores.</w:t>
      </w:r>
      <w:bookmarkEnd w:id="1213"/>
    </w:p>
    <w:p>
      <w:pPr>
        <w:pStyle w:val="Titre3"/>
        <w:rPr/>
      </w:pPr>
      <w:bookmarkStart w:id="1214" w:name="_Toc32334914"/>
      <w:bookmarkStart w:id="1215" w:name="_Toc421638223"/>
      <w:bookmarkStart w:id="1216" w:name="_Toc421637432"/>
      <w:r>
        <w:rPr/>
        <w:t>Spécificités relatives aux câblages réseau informatique et téléphonique</w:t>
      </w:r>
      <w:bookmarkEnd w:id="1214"/>
      <w:bookmarkEnd w:id="1215"/>
      <w:bookmarkEnd w:id="1216"/>
    </w:p>
    <w:p>
      <w:pPr>
        <w:pStyle w:val="TEXTE"/>
        <w:tabs>
          <w:tab w:val="left" w:pos="720" w:leader="none"/>
          <w:tab w:val="right" w:pos="8789" w:leader="underscore"/>
        </w:tabs>
        <w:rPr/>
      </w:pPr>
      <w:r>
        <w:rPr/>
        <w:t>De nombreuses liaisons vont être construites, qu’il s’agisse des nouvelles installations Dirif ou de celles des forces de police.</w:t>
      </w:r>
    </w:p>
    <w:p>
      <w:pPr>
        <w:pStyle w:val="TEXTE"/>
        <w:tabs>
          <w:tab w:val="left" w:pos="720" w:leader="none"/>
          <w:tab w:val="right" w:pos="8789" w:leader="underscore"/>
        </w:tabs>
        <w:rPr/>
      </w:pPr>
      <w:r>
        <w:rPr/>
        <w:t>La qualité des infrastructures est prépondérante dans le fonctionnement des systèmes, il est donc indispensable que ces installations soient qualifiées avec le plus grand soin.</w:t>
      </w:r>
    </w:p>
    <w:p>
      <w:pPr>
        <w:pStyle w:val="TEXTE"/>
        <w:tabs>
          <w:tab w:val="left" w:pos="720" w:leader="none"/>
          <w:tab w:val="right" w:pos="8789" w:leader="underscore"/>
        </w:tabs>
        <w:rPr/>
      </w:pPr>
      <w:r>
        <w:rPr/>
        <w:t>Des appareils de qualification existent dans le commerce, ils permettent de visualiser, pour une liaison donnée, la catégorie qualifiée suite à la mesure (catégorie 5, catégorie 6, catégorie 6a, etc.). Ces appareils permettent également la qualification des liaisons optiques.</w:t>
      </w:r>
    </w:p>
    <w:p>
      <w:pPr>
        <w:pStyle w:val="TEXTE"/>
        <w:tabs>
          <w:tab w:val="left" w:pos="720" w:leader="none"/>
          <w:tab w:val="right" w:pos="8789" w:leader="underscore"/>
        </w:tabs>
        <w:spacing w:before="200" w:after="120"/>
        <w:rPr/>
      </w:pPr>
      <w:r>
        <w:rPr/>
        <w:t>Des essais devront être réalisés sur chacune des liaisons créées, les principaux paramètres suivants devront être mesurées et consignés dans une fiche individuelle pour chaque liaison testée :</w:t>
      </w:r>
    </w:p>
    <w:p>
      <w:pPr>
        <w:pStyle w:val="F1"/>
        <w:numPr>
          <w:ilvl w:val="0"/>
          <w:numId w:val="42"/>
        </w:numPr>
        <w:rPr/>
      </w:pPr>
      <w:r>
        <w:rPr/>
        <w:t>Résistance linéique.</w:t>
      </w:r>
    </w:p>
    <w:p>
      <w:pPr>
        <w:pStyle w:val="F1"/>
        <w:numPr>
          <w:ilvl w:val="0"/>
          <w:numId w:val="42"/>
        </w:numPr>
        <w:rPr/>
      </w:pPr>
      <w:r>
        <w:rPr/>
        <w:t>Capacité linéique.</w:t>
      </w:r>
    </w:p>
    <w:p>
      <w:pPr>
        <w:pStyle w:val="F1"/>
        <w:numPr>
          <w:ilvl w:val="0"/>
          <w:numId w:val="42"/>
        </w:numPr>
        <w:rPr/>
      </w:pPr>
      <w:r>
        <w:rPr/>
        <w:t>L’impédance.</w:t>
      </w:r>
    </w:p>
    <w:p>
      <w:pPr>
        <w:pStyle w:val="F1"/>
        <w:numPr>
          <w:ilvl w:val="0"/>
          <w:numId w:val="42"/>
        </w:numPr>
        <w:rPr/>
      </w:pPr>
      <w:r>
        <w:rPr/>
        <w:t>Le pas de torsade.</w:t>
      </w:r>
    </w:p>
    <w:p>
      <w:pPr>
        <w:pStyle w:val="F1"/>
        <w:numPr>
          <w:ilvl w:val="0"/>
          <w:numId w:val="42"/>
        </w:numPr>
        <w:rPr/>
      </w:pPr>
      <w:r>
        <w:rPr/>
        <w:t>La qualité et le niveau du blindage.</w:t>
      </w:r>
    </w:p>
    <w:p>
      <w:pPr>
        <w:pStyle w:val="F1"/>
        <w:numPr>
          <w:ilvl w:val="0"/>
          <w:numId w:val="42"/>
        </w:numPr>
        <w:rPr/>
      </w:pPr>
      <w:r>
        <w:rPr/>
        <w:t>La diaphonie.</w:t>
      </w:r>
    </w:p>
    <w:p>
      <w:pPr>
        <w:pStyle w:val="TEXTE"/>
        <w:numPr>
          <w:ilvl w:val="0"/>
          <w:numId w:val="95"/>
        </w:numPr>
        <w:tabs>
          <w:tab w:val="clear" w:pos="8789"/>
          <w:tab w:val="left" w:pos="720" w:leader="none"/>
        </w:tabs>
        <w:overflowPunct w:val="true"/>
        <w:spacing w:before="0" w:after="240"/>
        <w:textAlignment w:val="baseline"/>
        <w:rPr/>
      </w:pPr>
      <w:r>
        <w:rPr/>
        <w:t>La paradiaphonie.</w:t>
      </w:r>
    </w:p>
    <w:p>
      <w:pPr>
        <w:pStyle w:val="TEXTE"/>
        <w:tabs>
          <w:tab w:val="left" w:pos="720" w:leader="none"/>
          <w:tab w:val="right" w:pos="8789" w:leader="underscore"/>
        </w:tabs>
        <w:rPr/>
      </w:pPr>
      <w:r>
        <w:rPr/>
        <w:t>Ces mesures pourront être réalisées avec un appareil référence DTX1800 fabriqué par Fluke ou un matériel équivalent en termes de performances.</w:t>
      </w:r>
    </w:p>
    <w:p>
      <w:pPr>
        <w:pStyle w:val="TEXTE"/>
        <w:tabs>
          <w:tab w:val="left" w:pos="720" w:leader="none"/>
          <w:tab w:val="right" w:pos="8789" w:leader="underscore"/>
        </w:tabs>
        <w:rPr/>
      </w:pPr>
      <w:bookmarkStart w:id="1217" w:name="_Toc421637433"/>
      <w:r>
        <w:rPr/>
        <w:t>La catégorie de validation devra apparaître clairement sur les fiches individuelles. Une version papier de ces mesures devra être fournie mais également une version informatique.</w:t>
      </w:r>
      <w:bookmarkEnd w:id="1217"/>
    </w:p>
    <w:p>
      <w:pPr>
        <w:pStyle w:val="Titre3"/>
        <w:keepNext w:val="false"/>
        <w:tabs>
          <w:tab w:val="clear" w:pos="0"/>
          <w:tab w:val="clear" w:pos="8789"/>
          <w:tab w:val="left" w:pos="992" w:leader="none"/>
        </w:tabs>
        <w:overflowPunct w:val="true"/>
        <w:spacing w:before="240" w:after="240"/>
        <w:ind w:left="992" w:hanging="992"/>
        <w:jc w:val="both"/>
        <w:textAlignment w:val="baseline"/>
        <w:rPr/>
      </w:pPr>
      <w:bookmarkStart w:id="1218" w:name="_Toc32334915"/>
      <w:bookmarkStart w:id="1219" w:name="_Toc421638224"/>
      <w:bookmarkStart w:id="1220" w:name="_Toc421637434"/>
      <w:r>
        <w:rPr/>
        <w:t>Spécificités relatives à la climatisation</w:t>
      </w:r>
      <w:bookmarkEnd w:id="1218"/>
      <w:bookmarkEnd w:id="1219"/>
      <w:bookmarkEnd w:id="1220"/>
    </w:p>
    <w:p>
      <w:pPr>
        <w:pStyle w:val="Titre4"/>
        <w:keepNext w:val="false"/>
        <w:tabs>
          <w:tab w:val="clear" w:pos="0"/>
          <w:tab w:val="clear" w:pos="8789"/>
          <w:tab w:val="left" w:pos="1276" w:leader="none"/>
        </w:tabs>
        <w:overflowPunct w:val="true"/>
        <w:spacing w:before="240" w:after="120"/>
        <w:ind w:left="1276" w:hanging="1276"/>
        <w:jc w:val="both"/>
        <w:textAlignment w:val="baseline"/>
        <w:rPr/>
      </w:pPr>
      <w:bookmarkStart w:id="1221" w:name="_Toc32334916"/>
      <w:bookmarkStart w:id="1222" w:name="_Toc421638225"/>
      <w:bookmarkStart w:id="1223" w:name="_Toc421637435"/>
      <w:bookmarkStart w:id="1224" w:name="_Toc69095531"/>
      <w:r>
        <w:rPr/>
        <w:t>Généralités</w:t>
      </w:r>
      <w:bookmarkEnd w:id="1221"/>
      <w:bookmarkEnd w:id="1222"/>
      <w:bookmarkEnd w:id="1223"/>
      <w:bookmarkEnd w:id="1224"/>
    </w:p>
    <w:p>
      <w:pPr>
        <w:pStyle w:val="TEXTE"/>
        <w:tabs>
          <w:tab w:val="left" w:pos="720" w:leader="none"/>
          <w:tab w:val="right" w:pos="8789" w:leader="underscore"/>
        </w:tabs>
        <w:rPr/>
      </w:pPr>
      <w:r>
        <w:rPr/>
        <w:t>D'une manière générale, les conditions de réception des installations ainsi que les garanties de bon fonctionnement et de parfait achèvement des travaux seront conformes à la loi du 4 janvier 1978 relative à la responsabilité et à l'assurance de la construction.</w:t>
      </w:r>
    </w:p>
    <w:p>
      <w:pPr>
        <w:pStyle w:val="TEXTE"/>
        <w:tabs>
          <w:tab w:val="left" w:pos="720" w:leader="none"/>
          <w:tab w:val="right" w:pos="8789" w:leader="underscore"/>
        </w:tabs>
        <w:rPr/>
      </w:pPr>
      <w:r>
        <w:rPr/>
        <w:t>Il appartient à l'Entreprise d'effectuer les essais et réglages complets de ses installations. Les essais sont effectués par l'Entreprise avant tout contrôle de réception.</w:t>
      </w:r>
    </w:p>
    <w:p>
      <w:pPr>
        <w:pStyle w:val="TEXTE"/>
        <w:tabs>
          <w:tab w:val="left" w:pos="720" w:leader="none"/>
          <w:tab w:val="right" w:pos="8789" w:leader="underscore"/>
        </w:tabs>
        <w:rPr/>
      </w:pPr>
      <w:r>
        <w:rPr/>
        <w:t>Les résultats des essais seront consignés dans un procès-verbal qui sera adressé au Maître d'œuvre.</w:t>
      </w:r>
    </w:p>
    <w:p>
      <w:pPr>
        <w:pStyle w:val="TEXTE"/>
        <w:tabs>
          <w:tab w:val="left" w:pos="720" w:leader="none"/>
          <w:tab w:val="right" w:pos="8789" w:leader="underscore"/>
        </w:tabs>
        <w:rPr/>
      </w:pPr>
      <w:r>
        <w:rPr/>
        <w:t>Les installations devront subir une visite initiale réalisée par un organisme habilité et devront faire l'objet d'un PV sans réserve de cet organisme. Si des réserves subsistaient, tous les frais permettant la levée de ces réserves ainsi que la présence du représentant de l'entreprise seront à la charge de l'entrepreneur.</w:t>
      </w:r>
    </w:p>
    <w:p>
      <w:pPr>
        <w:pStyle w:val="TEXTE"/>
        <w:spacing w:before="200" w:after="120"/>
        <w:rPr/>
      </w:pPr>
      <w:r>
        <w:rPr/>
        <w:t>Les essais seront classés en 3 catégories :</w:t>
      </w:r>
    </w:p>
    <w:p>
      <w:pPr>
        <w:pStyle w:val="F1"/>
        <w:numPr>
          <w:ilvl w:val="0"/>
          <w:numId w:val="42"/>
        </w:numPr>
        <w:rPr/>
      </w:pPr>
      <w:r>
        <w:rPr/>
        <w:t>Les essais qui seront effectués par l'Entreprise, sous sa propre responsabilité, et pour lesquels l'Entreprise fournira des procès-verbaux.</w:t>
      </w:r>
    </w:p>
    <w:p>
      <w:pPr>
        <w:pStyle w:val="F1"/>
        <w:numPr>
          <w:ilvl w:val="0"/>
          <w:numId w:val="42"/>
        </w:numPr>
        <w:rPr/>
      </w:pPr>
      <w:r>
        <w:rPr/>
        <w:t>Les essais et vérifications de bons résultats qui seront effectués par l'Entreprise sous le contrôle du Maître d'Œuvre.</w:t>
      </w:r>
    </w:p>
    <w:p>
      <w:pPr>
        <w:pStyle w:val="TEXTE"/>
        <w:numPr>
          <w:ilvl w:val="0"/>
          <w:numId w:val="95"/>
        </w:numPr>
        <w:tabs>
          <w:tab w:val="clear" w:pos="8789"/>
          <w:tab w:val="left" w:pos="720" w:leader="none"/>
        </w:tabs>
        <w:overflowPunct w:val="true"/>
        <w:spacing w:before="0" w:after="240"/>
        <w:textAlignment w:val="baseline"/>
        <w:rPr/>
      </w:pPr>
      <w:r>
        <w:rPr/>
        <w:t>Les essais et vérifications de bon fonctionnement qui seront effectués par l'Entreprise à la demande du Contrôleur Technique et qui seront supervisés par celui-ci.</w:t>
      </w:r>
    </w:p>
    <w:p>
      <w:pPr>
        <w:pStyle w:val="TEXTE"/>
        <w:tabs>
          <w:tab w:val="left" w:pos="720" w:leader="none"/>
          <w:tab w:val="right" w:pos="8789" w:leader="underscore"/>
        </w:tabs>
        <w:rPr/>
      </w:pPr>
      <w:r>
        <w:rPr/>
        <w:t>Dans tous les cas, l'Entreprise devra prévoir la présence d'un Ingénieur ou Technicien qualifié assisté d'un ou plusieurs Metteurs au point, munis des instruments de mesure nécessaires à la vérification des résultats à atteindre, que ce soit les températures des fluides ou des locaux, aux niveaux sonores, fonctionnement de la régulation, asservissements etc....</w:t>
      </w:r>
    </w:p>
    <w:p>
      <w:pPr>
        <w:pStyle w:val="Titre4"/>
        <w:keepNext w:val="false"/>
        <w:tabs>
          <w:tab w:val="clear" w:pos="0"/>
          <w:tab w:val="clear" w:pos="8789"/>
          <w:tab w:val="left" w:pos="1276" w:leader="none"/>
        </w:tabs>
        <w:overflowPunct w:val="true"/>
        <w:spacing w:before="240" w:after="120"/>
        <w:ind w:left="1276" w:hanging="1276"/>
        <w:jc w:val="both"/>
        <w:textAlignment w:val="baseline"/>
        <w:rPr/>
      </w:pPr>
      <w:bookmarkStart w:id="1225" w:name="_Toc32334917"/>
      <w:bookmarkStart w:id="1226" w:name="_Toc421638226"/>
      <w:bookmarkStart w:id="1227" w:name="_Toc421637436"/>
      <w:bookmarkStart w:id="1228" w:name="_Toc69095532"/>
      <w:r>
        <w:rPr/>
        <w:t>Vérification générale</w:t>
      </w:r>
      <w:bookmarkEnd w:id="1225"/>
      <w:bookmarkEnd w:id="1226"/>
      <w:bookmarkEnd w:id="1227"/>
      <w:bookmarkEnd w:id="1228"/>
    </w:p>
    <w:p>
      <w:pPr>
        <w:pStyle w:val="TEXTE"/>
        <w:rPr/>
      </w:pPr>
      <w:r>
        <w:rPr/>
        <w:t>Il sera procédé, à une date qui sera précisée ultérieurement, mais qui sera au moins 1 mois avant le début de la période d'essais et avant la finition du calorifugeage, mais après rebouchage des brèches, au jour fixé par le Maître d'œuvre en présence de l'entreprise ou de son représentant qualifié, à une vérification générale et détaillée des installations ayant pour but de constater la bonne exécution des dispositions réalisées selon les règles de l'art et les spécifications techniques.</w:t>
      </w:r>
    </w:p>
    <w:p>
      <w:pPr>
        <w:pStyle w:val="TEXTE"/>
        <w:spacing w:before="200" w:after="120"/>
        <w:rPr/>
      </w:pPr>
      <w:r>
        <w:rPr/>
        <w:t>Seront notamment vérifiés :</w:t>
      </w:r>
    </w:p>
    <w:p>
      <w:pPr>
        <w:pStyle w:val="F1"/>
        <w:numPr>
          <w:ilvl w:val="0"/>
          <w:numId w:val="42"/>
        </w:numPr>
        <w:rPr/>
      </w:pPr>
      <w:r>
        <w:rPr/>
        <w:t>La qualité et la mise en œuvre du matériel,</w:t>
      </w:r>
    </w:p>
    <w:p>
      <w:pPr>
        <w:pStyle w:val="F1"/>
        <w:numPr>
          <w:ilvl w:val="0"/>
          <w:numId w:val="42"/>
        </w:numPr>
        <w:rPr/>
      </w:pPr>
      <w:r>
        <w:rPr/>
        <w:t>Si les réseaux de gaines et tuyauteries sont conformes aux plans,</w:t>
      </w:r>
    </w:p>
    <w:p>
      <w:pPr>
        <w:pStyle w:val="F1"/>
        <w:numPr>
          <w:ilvl w:val="0"/>
          <w:numId w:val="42"/>
        </w:numPr>
        <w:rPr/>
      </w:pPr>
      <w:r>
        <w:rPr/>
        <w:t>Si tous les matériels installés sont conformes à ce qui a été approuvé,</w:t>
      </w:r>
    </w:p>
    <w:p>
      <w:pPr>
        <w:pStyle w:val="F1"/>
        <w:numPr>
          <w:ilvl w:val="0"/>
          <w:numId w:val="42"/>
        </w:numPr>
        <w:rPr/>
      </w:pPr>
      <w:r>
        <w:rPr/>
        <w:t>Les emplacements et le bon raccordement des appareils de contrôle et de sécurité,</w:t>
      </w:r>
    </w:p>
    <w:p>
      <w:pPr>
        <w:pStyle w:val="F1"/>
        <w:numPr>
          <w:ilvl w:val="0"/>
          <w:numId w:val="42"/>
        </w:numPr>
        <w:rPr/>
      </w:pPr>
      <w:r>
        <w:rPr/>
        <w:t>Si les dispositions anti-vibratiles insonorisantes et de désolidarisation sont en bonne place,</w:t>
      </w:r>
    </w:p>
    <w:p>
      <w:pPr>
        <w:pStyle w:val="F1"/>
        <w:numPr>
          <w:ilvl w:val="0"/>
          <w:numId w:val="42"/>
        </w:numPr>
        <w:rPr/>
      </w:pPr>
      <w:r>
        <w:rPr/>
        <w:t>Vérification d'accessibilité et de démontabilité des composants,</w:t>
      </w:r>
    </w:p>
    <w:p>
      <w:pPr>
        <w:pStyle w:val="F1"/>
        <w:numPr>
          <w:ilvl w:val="0"/>
          <w:numId w:val="42"/>
        </w:numPr>
        <w:rPr/>
      </w:pPr>
      <w:r>
        <w:rPr/>
        <w:t>Si les dispositions de protection contre l'incendie sont conformes au règlement de sécurité et aux spécifications techniques,</w:t>
      </w:r>
    </w:p>
    <w:p>
      <w:pPr>
        <w:pStyle w:val="F1"/>
        <w:numPr>
          <w:ilvl w:val="0"/>
          <w:numId w:val="42"/>
        </w:numPr>
        <w:rPr/>
      </w:pPr>
      <w:r>
        <w:rPr/>
        <w:t>Si tous les organes de sécurité sont bien en place et raccordés,</w:t>
      </w:r>
    </w:p>
    <w:p>
      <w:pPr>
        <w:pStyle w:val="F1"/>
        <w:numPr>
          <w:ilvl w:val="0"/>
          <w:numId w:val="42"/>
        </w:numPr>
        <w:rPr/>
      </w:pPr>
      <w:r>
        <w:rPr/>
        <w:t>Des raccordements aux siphons des bacs de condensats,</w:t>
      </w:r>
    </w:p>
    <w:p>
      <w:pPr>
        <w:pStyle w:val="F1"/>
        <w:numPr>
          <w:ilvl w:val="0"/>
          <w:numId w:val="42"/>
        </w:numPr>
        <w:rPr/>
      </w:pPr>
      <w:r>
        <w:rPr/>
        <w:t>De la conformité aux normes du montage général des appareillages en armoire électrique,</w:t>
      </w:r>
    </w:p>
    <w:p>
      <w:pPr>
        <w:pStyle w:val="F1"/>
        <w:numPr>
          <w:ilvl w:val="0"/>
          <w:numId w:val="42"/>
        </w:numPr>
        <w:rPr/>
      </w:pPr>
      <w:r>
        <w:rPr/>
        <w:t>De la mise à la terre de tous les matériels,</w:t>
      </w:r>
    </w:p>
    <w:p>
      <w:pPr>
        <w:pStyle w:val="F1"/>
        <w:numPr>
          <w:ilvl w:val="0"/>
          <w:numId w:val="42"/>
        </w:numPr>
        <w:rPr/>
      </w:pPr>
      <w:r>
        <w:rPr/>
        <w:t>De la bonne exécution des raccordements en provenance des fluides disponibles,</w:t>
      </w:r>
    </w:p>
    <w:p>
      <w:pPr>
        <w:pStyle w:val="TEXTE"/>
        <w:numPr>
          <w:ilvl w:val="0"/>
          <w:numId w:val="97"/>
        </w:numPr>
        <w:rPr/>
      </w:pPr>
      <w:r>
        <w:rPr/>
        <w:t>Du bon état de finition, d'étanchéité et de propreté des gaines maçonnées et des gaines tôle des ventilations hautes et basses, etc.</w:t>
      </w:r>
    </w:p>
    <w:p>
      <w:pPr>
        <w:pStyle w:val="TEXTE"/>
        <w:rPr/>
      </w:pPr>
      <w:r>
        <w:rPr/>
        <w:t>Cette vérification sera effectuée tout d'abord par le responsable de l'Entreprise et si elle est concluante, elle sera refaite en présence du responsable de la sécurité du chantier et d'un représentant du Maître d'œuvre.</w:t>
      </w:r>
    </w:p>
    <w:p>
      <w:pPr>
        <w:pStyle w:val="Titre4"/>
        <w:keepNext w:val="false"/>
        <w:tabs>
          <w:tab w:val="clear" w:pos="0"/>
          <w:tab w:val="clear" w:pos="8789"/>
          <w:tab w:val="left" w:pos="1276" w:leader="none"/>
        </w:tabs>
        <w:overflowPunct w:val="true"/>
        <w:spacing w:before="240" w:after="120"/>
        <w:ind w:left="1276" w:hanging="1276"/>
        <w:jc w:val="both"/>
        <w:textAlignment w:val="baseline"/>
        <w:rPr/>
      </w:pPr>
      <w:bookmarkStart w:id="1229" w:name="_Toc32334918"/>
      <w:bookmarkStart w:id="1230" w:name="_Toc421638227"/>
      <w:bookmarkStart w:id="1231" w:name="_Toc421637437"/>
      <w:bookmarkStart w:id="1232" w:name="_Toc69095533"/>
      <w:r>
        <w:rPr/>
        <w:t>Essais d’étanchéité</w:t>
      </w:r>
      <w:bookmarkEnd w:id="1229"/>
      <w:bookmarkEnd w:id="1230"/>
      <w:bookmarkEnd w:id="1231"/>
      <w:bookmarkEnd w:id="1232"/>
    </w:p>
    <w:p>
      <w:pPr>
        <w:pStyle w:val="Titre5"/>
        <w:keepNext w:val="false"/>
        <w:tabs>
          <w:tab w:val="left" w:pos="1418" w:leader="none"/>
          <w:tab w:val="left" w:pos="1559" w:leader="none"/>
        </w:tabs>
        <w:overflowPunct w:val="true"/>
        <w:spacing w:before="120" w:after="120"/>
        <w:ind w:left="1418" w:hanging="1418"/>
        <w:jc w:val="both"/>
        <w:textAlignment w:val="baseline"/>
        <w:rPr/>
      </w:pPr>
      <w:bookmarkStart w:id="1233" w:name="_Toc421638228"/>
      <w:r>
        <w:rPr/>
        <w:t>Méthodologie</w:t>
      </w:r>
      <w:bookmarkEnd w:id="1233"/>
    </w:p>
    <w:p>
      <w:pPr>
        <w:pStyle w:val="TEXTE"/>
        <w:rPr/>
      </w:pPr>
      <w:r>
        <w:rPr/>
        <w:t>Ces essais seront effectués officiellement aussitôt après la vérification générale, ce qui ne dispensera pas l'entreprise de procéder à tous les essais d'étanchéité pour lesquels elle devra produire un procès-verbal d'épreuve. Toutes les canalisations frigorifiques créées au titre du projet devront subir les tests et épreuves ci-après.</w:t>
      </w:r>
    </w:p>
    <w:p>
      <w:pPr>
        <w:pStyle w:val="TEXTE"/>
        <w:rPr/>
      </w:pPr>
      <w:r>
        <w:rPr/>
        <w:t>Le maître d'œuvre demandera la répétition de telle ou telle épreuve d'un tronçon de son choix qui sera alors isolé.</w:t>
      </w:r>
    </w:p>
    <w:p>
      <w:pPr>
        <w:pStyle w:val="TEXTE"/>
        <w:rPr/>
      </w:pPr>
      <w:r>
        <w:rPr/>
        <w:t>Le matériel d'épreuve sera à la charge de l'Entreprise.</w:t>
      </w:r>
    </w:p>
    <w:p>
      <w:pPr>
        <w:pStyle w:val="Titre5"/>
        <w:keepNext w:val="false"/>
        <w:tabs>
          <w:tab w:val="left" w:pos="1418" w:leader="none"/>
          <w:tab w:val="left" w:pos="1559" w:leader="none"/>
        </w:tabs>
        <w:overflowPunct w:val="true"/>
        <w:spacing w:before="120" w:after="120"/>
        <w:ind w:left="1418" w:hanging="1418"/>
        <w:jc w:val="both"/>
        <w:textAlignment w:val="baseline"/>
        <w:rPr/>
      </w:pPr>
      <w:bookmarkStart w:id="1234" w:name="_Toc421638229"/>
      <w:r>
        <w:rPr/>
        <w:t>Pression d’épreuve</w:t>
      </w:r>
      <w:bookmarkEnd w:id="1234"/>
    </w:p>
    <w:p>
      <w:pPr>
        <w:pStyle w:val="TEXTE"/>
        <w:rPr/>
      </w:pPr>
      <w:r>
        <w:rPr/>
        <w:t>La pression d'épreuve est destinée à vérifier la qualité et la conformité des installations réalisées. Toutes les canalisations réalisées devront être testées par un essai sous pression dont la valeur sera déterminée comme suit :</w:t>
      </w:r>
    </w:p>
    <w:p>
      <w:pPr>
        <w:pStyle w:val="TEXTE"/>
        <w:rPr/>
      </w:pPr>
      <w:r>
        <w:rPr/>
        <w:t>Valeur d’épreuve = 1,1 fois la pression maximum d’utilisation.</w:t>
      </w:r>
    </w:p>
    <w:p>
      <w:pPr>
        <w:pStyle w:val="TEXTE"/>
        <w:rPr/>
      </w:pPr>
      <w:r>
        <w:rPr/>
        <w:t>La station utilisée devra être conforme à la norme NF EN 35421.</w:t>
      </w:r>
    </w:p>
    <w:p>
      <w:pPr>
        <w:pStyle w:val="Titre5"/>
        <w:keepNext w:val="false"/>
        <w:tabs>
          <w:tab w:val="left" w:pos="1418" w:leader="none"/>
          <w:tab w:val="left" w:pos="1559" w:leader="none"/>
        </w:tabs>
        <w:overflowPunct w:val="true"/>
        <w:spacing w:before="120" w:after="120"/>
        <w:ind w:left="1418" w:hanging="1418"/>
        <w:jc w:val="both"/>
        <w:textAlignment w:val="baseline"/>
        <w:rPr/>
      </w:pPr>
      <w:bookmarkStart w:id="1235" w:name="_Toc421638230"/>
      <w:r>
        <w:rPr/>
        <w:t>Test de mise en pression sous 24h</w:t>
      </w:r>
      <w:bookmarkEnd w:id="1235"/>
    </w:p>
    <w:p>
      <w:pPr>
        <w:pStyle w:val="TEXTE"/>
        <w:rPr/>
      </w:pPr>
      <w:r>
        <w:rPr/>
        <w:t>Systématiquement, les installations devront être mises en surpression à l’azote pendant 24h. La valeur de cette surpression est de 40 bars. Des manomètres devront être mis en place pour vérifier que la valeur de 40 bars, n’a pas dérivé pendant les 24h de l’essai. La précision des manomètres ne devra pas excéder 5%.</w:t>
      </w:r>
    </w:p>
    <w:p>
      <w:pPr>
        <w:pStyle w:val="TEXTE"/>
        <w:rPr/>
      </w:pPr>
      <w:r>
        <w:rPr/>
        <w:t>L'Entreprise devra remettre les originaux et 2 copies des procès-verbaux d'épreuve de tous les réseaux.</w:t>
      </w:r>
    </w:p>
    <w:p>
      <w:pPr>
        <w:pStyle w:val="TEXTE"/>
        <w:rPr/>
      </w:pPr>
      <w:r>
        <w:rPr/>
        <w:t>Ces vérifications seront effectuées par le responsable de l'entreprise, le maître d’œuvre sera convié pour la mise en surpression et pour également valider après 24h que la pression n’a pas varié.</w:t>
      </w:r>
    </w:p>
    <w:p>
      <w:pPr>
        <w:pStyle w:val="Titre5"/>
        <w:keepNext w:val="false"/>
        <w:tabs>
          <w:tab w:val="left" w:pos="1418" w:leader="none"/>
          <w:tab w:val="left" w:pos="1559" w:leader="none"/>
        </w:tabs>
        <w:overflowPunct w:val="true"/>
        <w:spacing w:before="120" w:after="120"/>
        <w:ind w:left="1418" w:hanging="1418"/>
        <w:jc w:val="both"/>
        <w:textAlignment w:val="baseline"/>
        <w:rPr/>
      </w:pPr>
      <w:bookmarkStart w:id="1236" w:name="_Toc421638231"/>
      <w:r>
        <w:rPr/>
        <w:t>Tirage au vide</w:t>
      </w:r>
      <w:bookmarkEnd w:id="1236"/>
    </w:p>
    <w:p>
      <w:pPr>
        <w:pStyle w:val="TEXTE"/>
        <w:rPr/>
      </w:pPr>
      <w:r>
        <w:rPr/>
        <w:t>Comme pour la mise en surpression, toutes les installations devront être tirées au vide. Le tirage au vide sera réalisé jusqu’à atteindre une pression de 0,67 mbar.</w:t>
      </w:r>
    </w:p>
    <w:p>
      <w:pPr>
        <w:pStyle w:val="TEXTE"/>
        <w:rPr/>
      </w:pPr>
      <w:r>
        <w:rPr/>
        <w:t>Des manomètres devront être mis en place pour vérifier que la valeur de 0,67 mbar, n’a pas dérivé pendant les 24h de l’essai. La précision des manomètres ne devra pas excéder 5%.</w:t>
      </w:r>
    </w:p>
    <w:p>
      <w:pPr>
        <w:pStyle w:val="TEXTE"/>
        <w:rPr/>
      </w:pPr>
      <w:r>
        <w:rPr/>
        <w:t>Ces vérifications seront effectuées par le responsable de l'entreprise, le maître d’œuvre sera convié pour la mise à vide et pour également valider après 24h que la pression n’a pas varié.</w:t>
      </w:r>
    </w:p>
    <w:p>
      <w:pPr>
        <w:pStyle w:val="Titre4"/>
        <w:keepNext w:val="false"/>
        <w:tabs>
          <w:tab w:val="clear" w:pos="0"/>
          <w:tab w:val="clear" w:pos="8789"/>
          <w:tab w:val="left" w:pos="1276" w:leader="none"/>
        </w:tabs>
        <w:overflowPunct w:val="true"/>
        <w:spacing w:before="240" w:after="120"/>
        <w:ind w:left="1276" w:hanging="1276"/>
        <w:jc w:val="both"/>
        <w:textAlignment w:val="baseline"/>
        <w:rPr/>
      </w:pPr>
      <w:bookmarkStart w:id="1237" w:name="_Toc32334919"/>
      <w:bookmarkStart w:id="1238" w:name="_Toc421638232"/>
      <w:bookmarkStart w:id="1239" w:name="_Toc421637438"/>
      <w:bookmarkStart w:id="1240" w:name="_Toc69095536"/>
      <w:r>
        <w:rPr/>
        <w:t>Essais statiques</w:t>
      </w:r>
      <w:bookmarkEnd w:id="1237"/>
      <w:bookmarkEnd w:id="1238"/>
      <w:bookmarkEnd w:id="1239"/>
      <w:bookmarkEnd w:id="1240"/>
    </w:p>
    <w:p>
      <w:pPr>
        <w:pStyle w:val="TEXTE"/>
        <w:rPr/>
      </w:pPr>
      <w:r>
        <w:rPr/>
        <w:t>Ces essais seront réalisés par sondages, avant les mises en service, sous contrôle du Maître d'œuvre consisteront en la vérification des points ci-après décrits.</w:t>
      </w:r>
    </w:p>
    <w:p>
      <w:pPr>
        <w:pStyle w:val="Titre5"/>
        <w:keepNext w:val="false"/>
        <w:tabs>
          <w:tab w:val="left" w:pos="1418" w:leader="none"/>
          <w:tab w:val="left" w:pos="1559" w:leader="none"/>
        </w:tabs>
        <w:overflowPunct w:val="true"/>
        <w:spacing w:before="120" w:after="120"/>
        <w:ind w:left="1418" w:hanging="1418"/>
        <w:jc w:val="both"/>
        <w:textAlignment w:val="baseline"/>
        <w:rPr/>
      </w:pPr>
      <w:bookmarkStart w:id="1241" w:name="_Toc421638233"/>
      <w:bookmarkStart w:id="1242" w:name="_Toc65046833"/>
      <w:bookmarkStart w:id="1243" w:name="_Toc65472411"/>
      <w:bookmarkStart w:id="1244" w:name="_Toc67130460"/>
      <w:bookmarkStart w:id="1245" w:name="_Toc69095537"/>
      <w:r>
        <w:rPr/>
        <w:t>Réseaux de tuyauteries</w:t>
      </w:r>
      <w:bookmarkEnd w:id="1241"/>
      <w:bookmarkEnd w:id="1242"/>
      <w:bookmarkEnd w:id="1243"/>
      <w:bookmarkEnd w:id="1244"/>
      <w:bookmarkEnd w:id="1245"/>
    </w:p>
    <w:p>
      <w:pPr>
        <w:pStyle w:val="F1"/>
        <w:numPr>
          <w:ilvl w:val="0"/>
          <w:numId w:val="42"/>
        </w:numPr>
        <w:rPr/>
      </w:pPr>
      <w:r>
        <w:rPr/>
        <w:t>Epreuve hydraulique avec certificats.</w:t>
      </w:r>
    </w:p>
    <w:p>
      <w:pPr>
        <w:pStyle w:val="F1"/>
        <w:numPr>
          <w:ilvl w:val="0"/>
          <w:numId w:val="42"/>
        </w:numPr>
        <w:rPr/>
      </w:pPr>
      <w:r>
        <w:rPr/>
        <w:t>Sens d'écoulement dans les appareils - vannes, clapets anti-retour, vannes trois voies motorisées, etc...</w:t>
      </w:r>
    </w:p>
    <w:p>
      <w:pPr>
        <w:pStyle w:val="F1"/>
        <w:numPr>
          <w:ilvl w:val="0"/>
          <w:numId w:val="42"/>
        </w:numPr>
        <w:rPr/>
      </w:pPr>
      <w:r>
        <w:rPr/>
        <w:t>Fonctionnement des organes de purge, vidange et remplissage, d'évent, de sectionnement, vannes de sécurité.</w:t>
      </w:r>
    </w:p>
    <w:p>
      <w:pPr>
        <w:pStyle w:val="F1"/>
        <w:numPr>
          <w:ilvl w:val="0"/>
          <w:numId w:val="42"/>
        </w:numPr>
        <w:rPr/>
      </w:pPr>
      <w:r>
        <w:rPr/>
        <w:t>Sens d'écoulement vers points bas des chapes et caniveaux.</w:t>
      </w:r>
    </w:p>
    <w:p>
      <w:pPr>
        <w:pStyle w:val="F1"/>
        <w:numPr>
          <w:ilvl w:val="0"/>
          <w:numId w:val="42"/>
        </w:numPr>
        <w:rPr/>
      </w:pPr>
      <w:r>
        <w:rPr/>
        <w:t>Vérification des fixations et accrochages des différentes tuyauteries et appareils.</w:t>
      </w:r>
    </w:p>
    <w:p>
      <w:pPr>
        <w:pStyle w:val="TEXTE"/>
        <w:numPr>
          <w:ilvl w:val="0"/>
          <w:numId w:val="98"/>
        </w:numPr>
        <w:rPr/>
      </w:pPr>
      <w:r>
        <w:rPr/>
        <w:t>Calorifuge : état général, continuité du pare-vapeur.</w:t>
      </w:r>
    </w:p>
    <w:p>
      <w:pPr>
        <w:pStyle w:val="Titre5"/>
        <w:keepNext w:val="false"/>
        <w:tabs>
          <w:tab w:val="left" w:pos="1418" w:leader="none"/>
          <w:tab w:val="left" w:pos="1559" w:leader="none"/>
        </w:tabs>
        <w:overflowPunct w:val="true"/>
        <w:spacing w:before="120" w:after="120"/>
        <w:ind w:left="1418" w:hanging="1418"/>
        <w:jc w:val="both"/>
        <w:textAlignment w:val="baseline"/>
        <w:rPr/>
      </w:pPr>
      <w:bookmarkStart w:id="1246" w:name="_Toc421638234"/>
      <w:bookmarkStart w:id="1247" w:name="_Toc65046834"/>
      <w:bookmarkStart w:id="1248" w:name="_Toc65472412"/>
      <w:bookmarkStart w:id="1249" w:name="_Toc67130461"/>
      <w:bookmarkStart w:id="1250" w:name="_Toc69095538"/>
      <w:r>
        <w:rPr/>
        <w:t>Réseaux de gaines</w:t>
      </w:r>
      <w:bookmarkEnd w:id="1246"/>
      <w:bookmarkEnd w:id="1247"/>
      <w:bookmarkEnd w:id="1248"/>
      <w:bookmarkEnd w:id="1249"/>
      <w:bookmarkEnd w:id="1250"/>
    </w:p>
    <w:p>
      <w:pPr>
        <w:pStyle w:val="F1"/>
        <w:numPr>
          <w:ilvl w:val="0"/>
          <w:numId w:val="42"/>
        </w:numPr>
        <w:rPr/>
      </w:pPr>
      <w:r>
        <w:rPr/>
        <w:t>Bon montage des grilles.</w:t>
      </w:r>
    </w:p>
    <w:p>
      <w:pPr>
        <w:pStyle w:val="F1"/>
        <w:numPr>
          <w:ilvl w:val="0"/>
          <w:numId w:val="42"/>
        </w:numPr>
        <w:rPr/>
      </w:pPr>
      <w:r>
        <w:rPr/>
        <w:t>Fixation des gaines.</w:t>
      </w:r>
    </w:p>
    <w:p>
      <w:pPr>
        <w:pStyle w:val="TEXTE"/>
        <w:numPr>
          <w:ilvl w:val="0"/>
          <w:numId w:val="99"/>
        </w:numPr>
        <w:rPr/>
      </w:pPr>
      <w:r>
        <w:rPr/>
        <w:t>Type de gaines.</w:t>
      </w:r>
    </w:p>
    <w:p>
      <w:pPr>
        <w:pStyle w:val="Titre4"/>
        <w:keepNext w:val="false"/>
        <w:tabs>
          <w:tab w:val="clear" w:pos="0"/>
          <w:tab w:val="clear" w:pos="8789"/>
          <w:tab w:val="left" w:pos="1276" w:leader="none"/>
        </w:tabs>
        <w:overflowPunct w:val="true"/>
        <w:spacing w:before="240" w:after="120"/>
        <w:ind w:left="1276" w:hanging="1276"/>
        <w:jc w:val="both"/>
        <w:textAlignment w:val="baseline"/>
        <w:rPr/>
      </w:pPr>
      <w:bookmarkStart w:id="1251" w:name="_Toc32334920"/>
      <w:bookmarkStart w:id="1252" w:name="_Toc421638235"/>
      <w:bookmarkStart w:id="1253" w:name="_Toc421637439"/>
      <w:bookmarkStart w:id="1254" w:name="_Toc69095539"/>
      <w:bookmarkStart w:id="1255" w:name="_Toc67130462"/>
      <w:bookmarkStart w:id="1256" w:name="_Toc65472413"/>
      <w:bookmarkStart w:id="1257" w:name="_Toc65046838"/>
      <w:bookmarkEnd w:id="1255"/>
      <w:bookmarkEnd w:id="1256"/>
      <w:bookmarkEnd w:id="1257"/>
      <w:r>
        <w:rPr/>
        <w:t>Essais de fonctionnement</w:t>
      </w:r>
      <w:bookmarkEnd w:id="1251"/>
      <w:bookmarkEnd w:id="1252"/>
      <w:bookmarkEnd w:id="1253"/>
      <w:bookmarkEnd w:id="1254"/>
    </w:p>
    <w:p>
      <w:pPr>
        <w:pStyle w:val="TEXTE"/>
        <w:spacing w:before="200" w:after="120"/>
        <w:rPr/>
      </w:pPr>
      <w:r>
        <w:rPr/>
        <w:t>Ces essais seront tout d'abord intégrés à l'avance dans un planning général d'essais qui sera défini en fonction des obligations ou impossibilités de réaliser simultanément les essais des divers matériels tels que :</w:t>
      </w:r>
    </w:p>
    <w:p>
      <w:pPr>
        <w:pStyle w:val="F1"/>
        <w:numPr>
          <w:ilvl w:val="0"/>
          <w:numId w:val="42"/>
        </w:numPr>
        <w:rPr/>
      </w:pPr>
      <w:r>
        <w:rPr/>
        <w:t>Electricité.</w:t>
      </w:r>
    </w:p>
    <w:p>
      <w:pPr>
        <w:pStyle w:val="F1"/>
        <w:numPr>
          <w:ilvl w:val="0"/>
          <w:numId w:val="42"/>
        </w:numPr>
        <w:rPr/>
      </w:pPr>
      <w:r>
        <w:rPr/>
        <w:t>Liaisons frigorifiques.</w:t>
      </w:r>
    </w:p>
    <w:p>
      <w:pPr>
        <w:pStyle w:val="F1"/>
        <w:numPr>
          <w:ilvl w:val="0"/>
          <w:numId w:val="42"/>
        </w:numPr>
        <w:rPr/>
      </w:pPr>
      <w:r>
        <w:rPr/>
        <w:t>Ventilation.</w:t>
      </w:r>
    </w:p>
    <w:p>
      <w:pPr>
        <w:pStyle w:val="F1"/>
        <w:numPr>
          <w:ilvl w:val="0"/>
          <w:numId w:val="42"/>
        </w:numPr>
        <w:rPr/>
      </w:pPr>
      <w:r>
        <w:rPr/>
        <w:t>etc.</w:t>
      </w:r>
    </w:p>
    <w:p>
      <w:pPr>
        <w:pStyle w:val="TEXTE"/>
        <w:rPr/>
      </w:pPr>
      <w:r>
        <w:rPr/>
        <w:t>En temps voulu et pour l'établissement du planning des essais, l'entreprise en charge des prestations devra fournir la liste de tous ses essais et leur durée approximative.</w:t>
      </w:r>
    </w:p>
    <w:p>
      <w:pPr>
        <w:pStyle w:val="TEXTE"/>
        <w:rPr/>
      </w:pPr>
      <w:r>
        <w:rPr/>
        <w:t>A ces essais viendront s'ajouter, sur leur demande, les essais sous contrôle du maître d'œuvre ou du contrôleur technique qui seront définis ultérieurement.</w:t>
      </w:r>
    </w:p>
    <w:p>
      <w:pPr>
        <w:pStyle w:val="TEXTE"/>
        <w:rPr/>
      </w:pPr>
      <w:r>
        <w:rPr/>
        <w:t>La liste qui suit n'est pas limitative, elle a pour unique but de préciser quels genres d'essais auront lieu et ce que l'entreprise devra prévoir pour les mener à bien.</w:t>
      </w:r>
    </w:p>
    <w:p>
      <w:pPr>
        <w:pStyle w:val="F1"/>
        <w:numPr>
          <w:ilvl w:val="0"/>
          <w:numId w:val="42"/>
        </w:numPr>
        <w:rPr/>
      </w:pPr>
      <w:r>
        <w:rPr/>
        <w:t>Essai régulation en fonction de la température extérieure,</w:t>
      </w:r>
    </w:p>
    <w:p>
      <w:pPr>
        <w:pStyle w:val="F1"/>
        <w:numPr>
          <w:ilvl w:val="0"/>
          <w:numId w:val="42"/>
        </w:numPr>
        <w:rPr/>
      </w:pPr>
      <w:r>
        <w:rPr/>
        <w:t>Vérification de la constance des températures de fluides,</w:t>
      </w:r>
    </w:p>
    <w:p>
      <w:pPr>
        <w:pStyle w:val="F1"/>
        <w:numPr>
          <w:ilvl w:val="0"/>
          <w:numId w:val="42"/>
        </w:numPr>
        <w:rPr/>
      </w:pPr>
      <w:r>
        <w:rPr/>
        <w:t>Vérification des réponses des thermostats,</w:t>
      </w:r>
    </w:p>
    <w:p>
      <w:pPr>
        <w:pStyle w:val="F1"/>
        <w:numPr>
          <w:ilvl w:val="0"/>
          <w:numId w:val="42"/>
        </w:numPr>
        <w:rPr/>
      </w:pPr>
      <w:r>
        <w:rPr/>
        <w:t>Simulation des alarmes et vérification des actions provoquées</w:t>
      </w:r>
    </w:p>
    <w:p>
      <w:pPr>
        <w:pStyle w:val="F1"/>
        <w:numPr>
          <w:ilvl w:val="0"/>
          <w:numId w:val="42"/>
        </w:numPr>
        <w:rPr/>
      </w:pPr>
      <w:r>
        <w:rPr/>
        <w:t>Essais de fonctionnement des installations,</w:t>
      </w:r>
    </w:p>
    <w:p>
      <w:pPr>
        <w:pStyle w:val="F1"/>
        <w:numPr>
          <w:ilvl w:val="0"/>
          <w:numId w:val="42"/>
        </w:numPr>
        <w:rPr/>
      </w:pPr>
      <w:r>
        <w:rPr/>
        <w:t>Vérifications des caractéristiques des matériels et appareillages,</w:t>
      </w:r>
    </w:p>
    <w:p>
      <w:pPr>
        <w:pStyle w:val="F1"/>
        <w:numPr>
          <w:ilvl w:val="0"/>
          <w:numId w:val="42"/>
        </w:numPr>
        <w:rPr/>
      </w:pPr>
      <w:r>
        <w:rPr/>
        <w:t>Contrôle des débits et pentes,</w:t>
      </w:r>
    </w:p>
    <w:p>
      <w:pPr>
        <w:pStyle w:val="F1"/>
        <w:numPr>
          <w:ilvl w:val="0"/>
          <w:numId w:val="42"/>
        </w:numPr>
        <w:rPr/>
      </w:pPr>
      <w:r>
        <w:rPr/>
        <w:t>Contrôle de la signalisation, du repérage, de l’étiquetage,</w:t>
      </w:r>
    </w:p>
    <w:p>
      <w:pPr>
        <w:pStyle w:val="F1"/>
        <w:numPr>
          <w:ilvl w:val="0"/>
          <w:numId w:val="42"/>
        </w:numPr>
        <w:rPr/>
      </w:pPr>
      <w:r>
        <w:rPr/>
        <w:t>Nettoyage général de l'installation,</w:t>
      </w:r>
    </w:p>
    <w:p>
      <w:pPr>
        <w:pStyle w:val="F1"/>
        <w:numPr>
          <w:ilvl w:val="0"/>
          <w:numId w:val="42"/>
        </w:numPr>
        <w:rPr/>
      </w:pPr>
      <w:r>
        <w:rPr/>
        <w:t>Mesures acoustiques.</w:t>
      </w:r>
    </w:p>
    <w:p>
      <w:pPr>
        <w:pStyle w:val="TEXTE"/>
        <w:rPr/>
      </w:pPr>
      <w:r>
        <w:rPr/>
        <w:t>L'Entrepreneur devra fournir les fiches des essais de fonctionnement qu’il a réalisé avant invitation du maître d’œuvre.</w:t>
      </w:r>
    </w:p>
    <w:p>
      <w:pPr>
        <w:pStyle w:val="Titre3"/>
        <w:rPr/>
      </w:pPr>
      <w:bookmarkStart w:id="1258" w:name="_Toc32334921"/>
      <w:r>
        <w:rPr/>
        <w:t>Spécificités relatives à l’énergie</w:t>
      </w:r>
      <w:bookmarkEnd w:id="1258"/>
    </w:p>
    <w:p>
      <w:pPr>
        <w:pStyle w:val="TEXTE"/>
        <w:numPr>
          <w:ilvl w:val="0"/>
          <w:numId w:val="0"/>
        </w:numPr>
        <w:spacing w:before="200" w:after="120"/>
        <w:ind w:left="0" w:hanging="0"/>
        <w:rPr/>
      </w:pPr>
      <w:r>
        <w:rPr/>
        <w:t>Les points suivants seront vérifiés sur la totalité des matériels :</w:t>
      </w:r>
    </w:p>
    <w:p>
      <w:pPr>
        <w:pStyle w:val="F1"/>
        <w:numPr>
          <w:ilvl w:val="0"/>
          <w:numId w:val="143"/>
        </w:numPr>
        <w:tabs>
          <w:tab w:val="clear" w:pos="425"/>
        </w:tabs>
        <w:rPr/>
      </w:pPr>
      <w:r>
        <w:rPr/>
        <w:t>Contrôle dimensionnel et de conformité aux schémas,</w:t>
      </w:r>
    </w:p>
    <w:p>
      <w:pPr>
        <w:pStyle w:val="F1"/>
        <w:numPr>
          <w:ilvl w:val="0"/>
          <w:numId w:val="144"/>
        </w:numPr>
        <w:tabs>
          <w:tab w:val="clear" w:pos="425"/>
        </w:tabs>
        <w:rPr/>
      </w:pPr>
      <w:r>
        <w:rPr/>
        <w:t>Contrôle de l’aspect,</w:t>
      </w:r>
    </w:p>
    <w:p>
      <w:pPr>
        <w:pStyle w:val="F1"/>
        <w:numPr>
          <w:ilvl w:val="0"/>
          <w:numId w:val="145"/>
        </w:numPr>
        <w:tabs>
          <w:tab w:val="clear" w:pos="425"/>
        </w:tabs>
        <w:rPr/>
      </w:pPr>
      <w:r>
        <w:rPr/>
        <w:t>Essai diélectrique et d’isolement,</w:t>
      </w:r>
    </w:p>
    <w:p>
      <w:pPr>
        <w:pStyle w:val="F1"/>
        <w:numPr>
          <w:ilvl w:val="0"/>
          <w:numId w:val="146"/>
        </w:numPr>
        <w:tabs>
          <w:tab w:val="clear" w:pos="425"/>
        </w:tabs>
        <w:rPr/>
      </w:pPr>
      <w:r>
        <w:rPr/>
        <w:t>Essai de fonctionnement avec simulation des informations,</w:t>
      </w:r>
    </w:p>
    <w:p>
      <w:pPr>
        <w:pStyle w:val="F1"/>
        <w:numPr>
          <w:ilvl w:val="0"/>
          <w:numId w:val="147"/>
        </w:numPr>
        <w:tabs>
          <w:tab w:val="clear" w:pos="425"/>
        </w:tabs>
        <w:rPr/>
      </w:pPr>
      <w:r>
        <w:rPr/>
        <w:t>Tous les essais énumérés ci-avant y compris les essais fonctionnels.</w:t>
      </w:r>
    </w:p>
    <w:p>
      <w:pPr>
        <w:pStyle w:val="Titre2"/>
        <w:tabs>
          <w:tab w:val="clear" w:pos="0"/>
          <w:tab w:val="clear" w:pos="8789"/>
          <w:tab w:val="left" w:pos="426" w:leader="none"/>
        </w:tabs>
        <w:ind w:left="0" w:hanging="0"/>
        <w:rPr/>
      </w:pPr>
      <w:bookmarkStart w:id="1259" w:name="_Toc32334922"/>
      <w:r>
        <w:rPr/>
        <w:t>Verification des reserves</w:t>
      </w:r>
      <w:bookmarkEnd w:id="1259"/>
    </w:p>
    <w:p>
      <w:pPr>
        <w:pStyle w:val="TEXTE"/>
        <w:rPr/>
      </w:pPr>
      <w:r>
        <w:rPr/>
        <w:t>Tous les essais et vérifications qui auront fait l'objet de réserves lors des essais en phase de réalisation, seront à nouveau exécutés lors des opérations de levée de réserves. Les moyens humains et matériels sont à la charge de l’entreprise comme pour la phase d’opérations préalables à la réception.</w:t>
      </w:r>
    </w:p>
    <w:p>
      <w:pPr>
        <w:pStyle w:val="Normal"/>
        <w:jc w:val="left"/>
        <w:rPr/>
      </w:pPr>
      <w:r>
        <w:rPr/>
      </w:r>
      <w:r>
        <w:br w:type="page"/>
      </w:r>
    </w:p>
    <w:p>
      <w:pPr>
        <w:pStyle w:val="TEXTE"/>
        <w:rPr/>
      </w:pPr>
      <w:r>
        <w:rPr/>
      </w:r>
    </w:p>
    <w:p>
      <w:pPr>
        <w:pStyle w:val="Titre1"/>
        <w:rPr/>
      </w:pPr>
      <w:bookmarkStart w:id="1260" w:name="_Toc419980559"/>
      <w:bookmarkStart w:id="1261" w:name="_Toc32334923"/>
      <w:bookmarkEnd w:id="1260"/>
      <w:r>
        <w:rPr/>
        <w:t>Reception des travaux</w:t>
      </w:r>
      <w:bookmarkEnd w:id="1261"/>
    </w:p>
    <w:p>
      <w:pPr>
        <w:pStyle w:val="Titre2"/>
        <w:tabs>
          <w:tab w:val="clear" w:pos="0"/>
          <w:tab w:val="clear" w:pos="8789"/>
          <w:tab w:val="left" w:pos="426" w:leader="none"/>
        </w:tabs>
        <w:ind w:left="0" w:hanging="0"/>
        <w:rPr/>
      </w:pPr>
      <w:bookmarkStart w:id="1262" w:name="_Toc419980559"/>
      <w:bookmarkStart w:id="1263" w:name="_Toc32334924"/>
      <w:bookmarkStart w:id="1264" w:name="_Toc419980560"/>
      <w:bookmarkEnd w:id="1262"/>
      <w:r>
        <w:rPr/>
        <w:t>Mise en ordre de marche</w:t>
      </w:r>
      <w:bookmarkEnd w:id="1263"/>
      <w:bookmarkEnd w:id="1264"/>
    </w:p>
    <w:p>
      <w:pPr>
        <w:pStyle w:val="Normal"/>
        <w:rPr/>
      </w:pPr>
      <w:r>
        <w:rPr/>
      </w:r>
    </w:p>
    <w:p>
      <w:pPr>
        <w:pStyle w:val="Normal"/>
        <w:spacing w:before="0" w:after="120"/>
        <w:rPr/>
      </w:pPr>
      <w:r>
        <w:rPr/>
        <w:t>Pour être recevable la Mise en Ordre de Marche, notifiée de l’Entrepreneur au Maître d’</w:t>
      </w:r>
      <w:r>
        <w:rPr>
          <w:rFonts w:cs="Arial"/>
        </w:rPr>
        <w:t>Œ</w:t>
      </w:r>
      <w:r>
        <w:rPr/>
        <w:t>uvre, doit être accompagnée :</w:t>
      </w:r>
    </w:p>
    <w:p>
      <w:pPr>
        <w:pStyle w:val="TEXTE"/>
        <w:numPr>
          <w:ilvl w:val="0"/>
          <w:numId w:val="33"/>
        </w:numPr>
        <w:tabs>
          <w:tab w:val="clear" w:pos="8789"/>
        </w:tabs>
        <w:overflowPunct w:val="true"/>
        <w:spacing w:before="0" w:after="120"/>
        <w:textAlignment w:val="baseline"/>
        <w:rPr/>
      </w:pPr>
      <w:r>
        <w:rPr/>
        <w:t>Des cahiers de recette ;</w:t>
      </w:r>
    </w:p>
    <w:p>
      <w:pPr>
        <w:pStyle w:val="TEXTE"/>
        <w:numPr>
          <w:ilvl w:val="0"/>
          <w:numId w:val="33"/>
        </w:numPr>
        <w:tabs>
          <w:tab w:val="clear" w:pos="8789"/>
        </w:tabs>
        <w:overflowPunct w:val="true"/>
        <w:spacing w:before="0" w:after="120"/>
        <w:textAlignment w:val="baseline"/>
        <w:rPr/>
      </w:pPr>
      <w:r>
        <w:rPr/>
        <w:t>Du dossier de mise en exploitation de l’ouvrage (DOE provisoire).</w:t>
      </w:r>
    </w:p>
    <w:p>
      <w:pPr>
        <w:pStyle w:val="Titre2"/>
        <w:tabs>
          <w:tab w:val="clear" w:pos="0"/>
          <w:tab w:val="clear" w:pos="8789"/>
          <w:tab w:val="left" w:pos="426" w:leader="none"/>
        </w:tabs>
        <w:ind w:left="0" w:hanging="0"/>
        <w:rPr/>
      </w:pPr>
      <w:bookmarkStart w:id="1265" w:name="_Toc32334925"/>
      <w:bookmarkStart w:id="1266" w:name="_Toc419980561"/>
      <w:r>
        <w:rPr/>
        <w:t>Réception</w:t>
      </w:r>
      <w:bookmarkEnd w:id="1265"/>
      <w:bookmarkEnd w:id="1266"/>
    </w:p>
    <w:p>
      <w:pPr>
        <w:pStyle w:val="TEXTE"/>
        <w:rPr/>
      </w:pPr>
      <w:r>
        <w:rPr/>
        <w:t xml:space="preserve">La réception ne pourra être prononcée que sous réserve que les conditions de réception soient réunies telles que définies dans le présent marché. </w:t>
      </w:r>
    </w:p>
    <w:p>
      <w:pPr>
        <w:pStyle w:val="Corpsdetexte"/>
        <w:rPr/>
      </w:pPr>
      <w:r>
        <w:rPr/>
        <w:t>L'entrepreneur fournira les appareils de mesure, les mettra en œuvre et effectuera les essais en présence du Maître d’</w:t>
      </w:r>
      <w:r>
        <w:rPr>
          <w:rFonts w:ascii="Calibri" w:hAnsi="Calibri"/>
        </w:rPr>
        <w:t>Œ</w:t>
      </w:r>
      <w:r>
        <w:rPr/>
        <w:t>uvre. Avant que la réception ne soit accordée, toutes les réserves qui auront pu être formulées devront être levées.</w:t>
      </w:r>
    </w:p>
    <w:p>
      <w:pPr>
        <w:pStyle w:val="Titre2"/>
        <w:tabs>
          <w:tab w:val="clear" w:pos="0"/>
          <w:tab w:val="clear" w:pos="8789"/>
          <w:tab w:val="left" w:pos="426" w:leader="none"/>
        </w:tabs>
        <w:ind w:left="0" w:hanging="0"/>
        <w:rPr/>
      </w:pPr>
      <w:bookmarkStart w:id="1267" w:name="_Toc32334926"/>
      <w:bookmarkStart w:id="1268" w:name="_Toc419980566"/>
      <w:r>
        <w:rPr/>
        <w:t>Formation à la maintenance</w:t>
      </w:r>
      <w:bookmarkEnd w:id="1267"/>
      <w:bookmarkEnd w:id="1268"/>
    </w:p>
    <w:p>
      <w:pPr>
        <w:pStyle w:val="TEXTE"/>
        <w:spacing w:before="200" w:after="0"/>
        <w:rPr/>
      </w:pPr>
      <w:r>
        <w:rPr/>
        <w:t xml:space="preserve">L’entrepreneur doit la formation des agents TDM du PCTT. Cette formation aura lieu durant le mois suivant la réception. L’organisation de la formation tiendra compte des horaires en 3x8 et des disponibilités des agents. L’organisation sera vue au préalable avec le chef de PCTT.  La formation sera réalisée dans les locaux du PCTT de Nanterre, à charge alors pour l’Entrepreneur d’assurer la mise à disposition des supports pédagogiques nécessaires. </w:t>
      </w:r>
    </w:p>
    <w:p>
      <w:pPr>
        <w:pStyle w:val="Normal"/>
        <w:jc w:val="left"/>
        <w:rPr/>
      </w:pPr>
      <w:r>
        <w:rPr/>
      </w:r>
    </w:p>
    <w:p>
      <w:pPr>
        <w:pStyle w:val="Normal"/>
        <w:spacing w:before="0" w:after="120"/>
        <w:jc w:val="left"/>
        <w:rPr/>
      </w:pPr>
      <w:r>
        <w:rPr/>
        <w:t>La formation portera sur les équipements et systèmes nouveaux, mis en œuvre dans le cadre du projet :</w:t>
      </w:r>
    </w:p>
    <w:p>
      <w:pPr>
        <w:pStyle w:val="TEXTE"/>
        <w:numPr>
          <w:ilvl w:val="0"/>
          <w:numId w:val="33"/>
        </w:numPr>
        <w:tabs>
          <w:tab w:val="clear" w:pos="8789"/>
        </w:tabs>
        <w:overflowPunct w:val="true"/>
        <w:spacing w:before="0" w:after="120"/>
        <w:textAlignment w:val="baseline"/>
        <w:rPr/>
      </w:pPr>
      <w:r>
        <w:rPr/>
        <w:t>Les installations électriques (câbles, TGBT, armoire de distribution) ;</w:t>
      </w:r>
    </w:p>
    <w:p>
      <w:pPr>
        <w:pStyle w:val="TEXTE"/>
        <w:numPr>
          <w:ilvl w:val="0"/>
          <w:numId w:val="33"/>
        </w:numPr>
        <w:tabs>
          <w:tab w:val="clear" w:pos="8789"/>
        </w:tabs>
        <w:overflowPunct w:val="true"/>
        <w:spacing w:before="0" w:after="120"/>
        <w:textAlignment w:val="baseline"/>
        <w:rPr/>
      </w:pPr>
      <w:r>
        <w:rPr/>
        <w:t>La climatisation ;</w:t>
      </w:r>
    </w:p>
    <w:p>
      <w:pPr>
        <w:pStyle w:val="TEXTE"/>
        <w:numPr>
          <w:ilvl w:val="0"/>
          <w:numId w:val="33"/>
        </w:numPr>
        <w:tabs>
          <w:tab w:val="clear" w:pos="8789"/>
        </w:tabs>
        <w:overflowPunct w:val="true"/>
        <w:spacing w:before="0" w:after="120"/>
        <w:textAlignment w:val="baseline"/>
        <w:rPr/>
      </w:pPr>
      <w:r>
        <w:rPr/>
        <w:t>Les Système de Sécurité Incendie ;</w:t>
      </w:r>
    </w:p>
    <w:p>
      <w:pPr>
        <w:pStyle w:val="Normal"/>
        <w:jc w:val="left"/>
        <w:rPr/>
      </w:pPr>
      <w:r>
        <w:rPr/>
      </w:r>
      <w:r>
        <w:br w:type="page"/>
      </w:r>
    </w:p>
    <w:p>
      <w:pPr>
        <w:pStyle w:val="Titre1"/>
        <w:rPr/>
      </w:pPr>
      <w:bookmarkStart w:id="1269" w:name="_Toc32334927"/>
      <w:r>
        <w:rPr/>
        <w:t>Garantie</w:t>
      </w:r>
      <w:bookmarkEnd w:id="1269"/>
    </w:p>
    <w:p>
      <w:pPr>
        <w:pStyle w:val="Titre2"/>
        <w:tabs>
          <w:tab w:val="clear" w:pos="0"/>
          <w:tab w:val="clear" w:pos="8789"/>
          <w:tab w:val="left" w:pos="426" w:leader="none"/>
        </w:tabs>
        <w:ind w:left="0" w:hanging="0"/>
        <w:rPr/>
      </w:pPr>
      <w:bookmarkStart w:id="1270" w:name="_Toc32334928"/>
      <w:bookmarkStart w:id="1271" w:name="_Toc419980571"/>
      <w:r>
        <w:rPr/>
        <w:t>Généralités</w:t>
      </w:r>
      <w:bookmarkEnd w:id="1270"/>
      <w:bookmarkEnd w:id="1271"/>
    </w:p>
    <w:p>
      <w:pPr>
        <w:pStyle w:val="Normal"/>
        <w:rPr/>
      </w:pPr>
      <w:r>
        <w:rPr/>
      </w:r>
    </w:p>
    <w:p>
      <w:pPr>
        <w:pStyle w:val="Texte1"/>
        <w:rPr/>
      </w:pPr>
      <w:r>
        <w:rPr/>
        <w:t>L’Entrepreneur a une obligation de résultat en ce qui concerne le dimensionnement et le bon fonctionnement des installations et doit garantir notamment les performances des systèmes, matériels et matériaux mis en œuvre dans le cadre du présent projet.</w:t>
      </w:r>
    </w:p>
    <w:p>
      <w:pPr>
        <w:pStyle w:val="Texte1"/>
        <w:rPr/>
      </w:pPr>
      <w:r>
        <w:rPr/>
        <w:t>En application de cette garantie, l’Entrepreneur s’engage à remédier à toute panne telle que définit par la suite.</w:t>
      </w:r>
    </w:p>
    <w:p>
      <w:pPr>
        <w:pStyle w:val="Texte1"/>
        <w:rPr/>
      </w:pPr>
      <w:r>
        <w:rPr/>
        <w:t>Les pièces remplacées gratuitement sont remises à disposition de l’Entrepreneur et redeviennent sa propriété.</w:t>
      </w:r>
    </w:p>
    <w:p>
      <w:pPr>
        <w:pStyle w:val="Normal"/>
        <w:rPr/>
      </w:pPr>
      <w:r>
        <w:rPr/>
        <w:t>L’Entrepreneur ne fournira à l’agrément du Maître d’</w:t>
      </w:r>
      <w:r>
        <w:rPr>
          <w:rFonts w:cs="Arial"/>
        </w:rPr>
        <w:t>Œ</w:t>
      </w:r>
      <w:r>
        <w:rPr/>
        <w:t>uvre que des matériels pour lesquels les constructeurs sont en mesure d’assurer la fourniture des pièces de rechange dans un délai de 10 ans après la réception.</w:t>
      </w:r>
    </w:p>
    <w:p>
      <w:pPr>
        <w:pStyle w:val="Titre2"/>
        <w:tabs>
          <w:tab w:val="clear" w:pos="0"/>
          <w:tab w:val="clear" w:pos="8789"/>
          <w:tab w:val="left" w:pos="426" w:leader="none"/>
        </w:tabs>
        <w:ind w:left="0" w:hanging="0"/>
        <w:rPr/>
      </w:pPr>
      <w:bookmarkStart w:id="1272" w:name="_Toc32334929"/>
      <w:bookmarkStart w:id="1273" w:name="_Toc419980572"/>
      <w:bookmarkStart w:id="1274" w:name="_Toc377390138"/>
      <w:bookmarkStart w:id="1275" w:name="_Toc363054396"/>
      <w:bookmarkStart w:id="1276" w:name="_Toc344889685"/>
      <w:bookmarkStart w:id="1277" w:name="_Toc3362565"/>
      <w:bookmarkStart w:id="1278" w:name="_Toc528496924"/>
      <w:r>
        <w:rPr/>
        <w:t>Durée de la garantie</w:t>
      </w:r>
      <w:bookmarkEnd w:id="1272"/>
      <w:bookmarkEnd w:id="1273"/>
      <w:bookmarkEnd w:id="1274"/>
      <w:bookmarkEnd w:id="1275"/>
      <w:bookmarkEnd w:id="1276"/>
      <w:bookmarkEnd w:id="1277"/>
      <w:bookmarkEnd w:id="1278"/>
    </w:p>
    <w:p>
      <w:pPr>
        <w:pStyle w:val="Normal"/>
        <w:rPr/>
      </w:pPr>
      <w:r>
        <w:rPr/>
      </w:r>
    </w:p>
    <w:p>
      <w:pPr>
        <w:pStyle w:val="Normal"/>
        <w:rPr/>
      </w:pPr>
      <w:r>
        <w:rPr/>
        <w:t>La durée de Garantie de Parfait Achèvement (GPA) est fixée à 12 mois. Ce délai ne comprend pas les trois mois d'Opérations Préalables à la Réception.</w:t>
      </w:r>
    </w:p>
    <w:p>
      <w:pPr>
        <w:pStyle w:val="Texte1"/>
        <w:rPr/>
      </w:pPr>
      <w:r>
        <w:rPr/>
      </w:r>
    </w:p>
    <w:p>
      <w:pPr>
        <w:pStyle w:val="Texte1"/>
        <w:rPr/>
      </w:pPr>
      <w:r>
        <w:rPr/>
        <w:t>L’Entrepreneur devra satisfaire à ses obligations de parfait achèvement pendant la période de garantie conformément au §44.1 du CCAG Travaux.</w:t>
      </w:r>
    </w:p>
    <w:p>
      <w:pPr>
        <w:pStyle w:val="Texte1"/>
        <w:rPr/>
      </w:pPr>
      <w:r>
        <w:rPr/>
        <w:t>Une visite de fin de garantie devra être effectuée par l’Entrepreneur conformément aux dispositions du CCAG Travaux.</w:t>
      </w:r>
    </w:p>
    <w:p>
      <w:pPr>
        <w:pStyle w:val="Titre2"/>
        <w:tabs>
          <w:tab w:val="clear" w:pos="0"/>
          <w:tab w:val="clear" w:pos="8789"/>
          <w:tab w:val="left" w:pos="426" w:leader="none"/>
        </w:tabs>
        <w:ind w:left="0" w:hanging="0"/>
        <w:rPr/>
      </w:pPr>
      <w:bookmarkStart w:id="1279" w:name="_Toc32334930"/>
      <w:bookmarkStart w:id="1280" w:name="_Toc419980573"/>
      <w:r>
        <w:rPr/>
        <w:t>Définition d’une panne</w:t>
      </w:r>
      <w:bookmarkEnd w:id="1279"/>
      <w:bookmarkEnd w:id="1280"/>
    </w:p>
    <w:p>
      <w:pPr>
        <w:pStyle w:val="TEXTE"/>
        <w:spacing w:before="200" w:after="120"/>
        <w:rPr/>
      </w:pPr>
      <w:r>
        <w:rPr/>
        <w:t>Une panne est une avarie ou une défectuosité pouvant être aussi bien matérielle que logicielle. Sont exclus de cette définition et donc ne seront pas traités dans le cadre de la garantie :</w:t>
      </w:r>
    </w:p>
    <w:p>
      <w:pPr>
        <w:pStyle w:val="TEXTE"/>
        <w:numPr>
          <w:ilvl w:val="0"/>
          <w:numId w:val="33"/>
        </w:numPr>
        <w:tabs>
          <w:tab w:val="clear" w:pos="8789"/>
        </w:tabs>
        <w:overflowPunct w:val="true"/>
        <w:spacing w:before="0" w:after="120"/>
        <w:textAlignment w:val="baseline"/>
        <w:rPr/>
      </w:pPr>
      <w:r>
        <w:rPr/>
        <w:t>Les dommages causés par des tiers ;</w:t>
      </w:r>
    </w:p>
    <w:p>
      <w:pPr>
        <w:pStyle w:val="TEXTE"/>
        <w:numPr>
          <w:ilvl w:val="0"/>
          <w:numId w:val="33"/>
        </w:numPr>
        <w:tabs>
          <w:tab w:val="clear" w:pos="8789"/>
        </w:tabs>
        <w:overflowPunct w:val="true"/>
        <w:spacing w:before="0" w:after="120"/>
        <w:textAlignment w:val="baseline"/>
        <w:rPr/>
      </w:pPr>
      <w:r>
        <w:rPr/>
        <w:t>Les modifications de programmes logiciels ou les substitutions de pièces effectuées sans l’accord de l’Entrepreneur.</w:t>
      </w:r>
    </w:p>
    <w:p>
      <w:pPr>
        <w:pStyle w:val="Corpsdetexte"/>
        <w:spacing w:before="200" w:after="0"/>
        <w:rPr/>
      </w:pPr>
      <w:r>
        <w:rPr/>
        <w:t>Les consommables sont exclus de cette définition, mais leur remplacement devra être réalisé dans le cadre de la maintenance préventive.</w:t>
      </w:r>
    </w:p>
    <w:p>
      <w:pPr>
        <w:pStyle w:val="Titre2"/>
        <w:tabs>
          <w:tab w:val="clear" w:pos="0"/>
          <w:tab w:val="clear" w:pos="8789"/>
          <w:tab w:val="left" w:pos="426" w:leader="none"/>
        </w:tabs>
        <w:ind w:left="0" w:hanging="0"/>
        <w:rPr/>
      </w:pPr>
      <w:bookmarkStart w:id="1281" w:name="_Toc32334931"/>
      <w:bookmarkStart w:id="1282" w:name="_Toc419980574"/>
      <w:r>
        <w:rPr/>
        <w:t>Obligations de l’Entrepreneur</w:t>
      </w:r>
      <w:bookmarkEnd w:id="1281"/>
      <w:bookmarkEnd w:id="1282"/>
    </w:p>
    <w:p>
      <w:pPr>
        <w:pStyle w:val="Normal"/>
        <w:spacing w:before="0" w:after="120"/>
        <w:rPr/>
      </w:pPr>
      <w:r>
        <w:rPr/>
      </w:r>
    </w:p>
    <w:p>
      <w:pPr>
        <w:pStyle w:val="Normal"/>
        <w:widowControl w:val="false"/>
        <w:spacing w:before="0" w:after="120"/>
        <w:rPr/>
      </w:pPr>
      <w:r>
        <w:rPr/>
        <w:t>Pendant la période contractuelle de garantie, l’Entrepreneur sera tenu d’exécuter en temps utile, tous les travaux nécessaires pour assurer le fonctionnement correct des installations.</w:t>
      </w:r>
    </w:p>
    <w:p>
      <w:pPr>
        <w:pStyle w:val="Normal"/>
        <w:spacing w:before="0" w:after="120"/>
        <w:rPr/>
      </w:pPr>
      <w:r>
        <w:rPr/>
        <w:t>Les interventions de l’Entrepreneur sur site font l’objet des délais suivants :</w:t>
      </w:r>
    </w:p>
    <w:p>
      <w:pPr>
        <w:pStyle w:val="ListParagraph"/>
        <w:numPr>
          <w:ilvl w:val="0"/>
          <w:numId w:val="103"/>
        </w:numPr>
        <w:rPr/>
      </w:pPr>
      <w:r>
        <w:rPr/>
        <w:t xml:space="preserve">Pour les équipements concernés par les CME du PCTT : Intervention sur site, sur appel d’un TDM du PCTT, dans un délai de 1h30 7j/7 et 24h/24, y compris les congés de fin de semaines et les jours fériés. </w:t>
      </w:r>
    </w:p>
    <w:p>
      <w:pPr>
        <w:pStyle w:val="ListParagraph"/>
        <w:numPr>
          <w:ilvl w:val="0"/>
          <w:numId w:val="103"/>
        </w:numPr>
        <w:spacing w:before="119" w:after="120"/>
        <w:contextualSpacing w:val="false"/>
        <w:rPr/>
      </w:pPr>
      <w:r>
        <w:rPr/>
        <w:t>Pour les équipements du SSI : Intervention sur site, sur appel d’un représentant du Maître d’Ouvrage ou du Maître d'œuvre, dans un délai de 4h 7j/7 et 24h/24, y compris les congés de fin de semaines et les jours fériés. Astreinte téléphonique avec rappel dans les 4 heures.</w:t>
      </w:r>
    </w:p>
    <w:p>
      <w:pPr>
        <w:pStyle w:val="ListParagraph"/>
        <w:numPr>
          <w:ilvl w:val="0"/>
          <w:numId w:val="103"/>
        </w:numPr>
        <w:spacing w:before="119" w:after="0"/>
        <w:ind w:left="714" w:hanging="357"/>
        <w:contextualSpacing w:val="false"/>
        <w:rPr/>
      </w:pPr>
      <w:r>
        <w:rPr/>
        <w:t xml:space="preserve">La maintenance accélérée : Intervention sur site, sur appel d’un représentant du Maître d’Ouvrage ou du Maître d'œuvre, dans un délai de 72 h. La maintenance accélérée concerne les réparations déclenchées suite à la constatation d’anomalies ayant dépassées les Conditions Minimales d’Exploitations. </w:t>
      </w:r>
    </w:p>
    <w:p>
      <w:pPr>
        <w:pStyle w:val="Normal"/>
        <w:jc w:val="left"/>
        <w:rPr>
          <w:rFonts w:ascii="TimesNewRomanPSMT" w:hAnsi="TimesNewRomanPSMT" w:cs="TimesNewRomanPSMT"/>
          <w:sz w:val="24"/>
          <w:szCs w:val="24"/>
        </w:rPr>
      </w:pPr>
      <w:r>
        <w:rPr>
          <w:rFonts w:cs="TimesNewRomanPSMT" w:ascii="TimesNewRomanPSMT" w:hAnsi="TimesNewRomanPSMT"/>
          <w:sz w:val="24"/>
          <w:szCs w:val="24"/>
        </w:rPr>
      </w:r>
    </w:p>
    <w:p>
      <w:pPr>
        <w:pStyle w:val="Normal"/>
        <w:spacing w:before="0" w:after="120"/>
        <w:rPr/>
      </w:pPr>
      <w:r>
        <w:rPr/>
        <w:t xml:space="preserve">La maintenance préventive et curative donne lieu à une rémunération forfaitaire par PCTT. </w:t>
      </w:r>
    </w:p>
    <w:p>
      <w:pPr>
        <w:pStyle w:val="Titre2"/>
        <w:tabs>
          <w:tab w:val="clear" w:pos="0"/>
          <w:tab w:val="clear" w:pos="8789"/>
          <w:tab w:val="left" w:pos="426" w:leader="none"/>
        </w:tabs>
        <w:ind w:left="0" w:hanging="0"/>
        <w:rPr/>
      </w:pPr>
      <w:bookmarkStart w:id="1283" w:name="_Toc32334932"/>
      <w:bookmarkStart w:id="1284" w:name="_Toc419980575"/>
      <w:r>
        <w:rPr/>
        <w:t>Déclaration d’une panne</w:t>
      </w:r>
      <w:bookmarkEnd w:id="1283"/>
      <w:bookmarkEnd w:id="1284"/>
    </w:p>
    <w:p>
      <w:pPr>
        <w:pStyle w:val="Texte1"/>
        <w:rPr/>
      </w:pPr>
      <w:r>
        <w:rPr/>
      </w:r>
    </w:p>
    <w:p>
      <w:pPr>
        <w:pStyle w:val="TEXTE"/>
        <w:spacing w:before="200" w:after="120"/>
        <w:rPr/>
      </w:pPr>
      <w:r>
        <w:rPr/>
        <w:t>Les interventions de l’Entrepreneur donneront lieu à l’établissement d’un certificat de service, signé des 2 parties, établi en double exemplaire –dont un pour le Maître d’Ouvrage- et mentionnant :</w:t>
      </w:r>
    </w:p>
    <w:p>
      <w:pPr>
        <w:pStyle w:val="TEXTE"/>
        <w:numPr>
          <w:ilvl w:val="0"/>
          <w:numId w:val="33"/>
        </w:numPr>
        <w:tabs>
          <w:tab w:val="clear" w:pos="8789"/>
        </w:tabs>
        <w:overflowPunct w:val="true"/>
        <w:spacing w:before="0" w:after="120"/>
        <w:textAlignment w:val="baseline"/>
        <w:rPr/>
      </w:pPr>
      <w:r>
        <w:rPr/>
        <w:t>La date, l’heure, et la durée de l’intervention,</w:t>
      </w:r>
    </w:p>
    <w:p>
      <w:pPr>
        <w:pStyle w:val="TEXTE"/>
        <w:numPr>
          <w:ilvl w:val="0"/>
          <w:numId w:val="33"/>
        </w:numPr>
        <w:tabs>
          <w:tab w:val="clear" w:pos="8789"/>
        </w:tabs>
        <w:overflowPunct w:val="true"/>
        <w:spacing w:before="0" w:after="120"/>
        <w:textAlignment w:val="baseline"/>
        <w:rPr/>
      </w:pPr>
      <w:r>
        <w:rPr/>
        <w:t>Le nom, la qualité du personnel de l’Entrepreneur ayant réalisé l’intervention,</w:t>
      </w:r>
    </w:p>
    <w:p>
      <w:pPr>
        <w:pStyle w:val="TEXTE"/>
        <w:numPr>
          <w:ilvl w:val="0"/>
          <w:numId w:val="33"/>
        </w:numPr>
        <w:tabs>
          <w:tab w:val="clear" w:pos="8789"/>
        </w:tabs>
        <w:overflowPunct w:val="true"/>
        <w:spacing w:before="0" w:after="120"/>
        <w:textAlignment w:val="baseline"/>
        <w:rPr/>
      </w:pPr>
      <w:r>
        <w:rPr/>
        <w:t>Les opérations réalisées et la désignation précise du matériel ou produit défectueux (en détaillant sa nomenclature, son numéro d’identification, sa fonction dans l’ensemble du système),</w:t>
      </w:r>
    </w:p>
    <w:p>
      <w:pPr>
        <w:pStyle w:val="TEXTE"/>
        <w:numPr>
          <w:ilvl w:val="0"/>
          <w:numId w:val="33"/>
        </w:numPr>
        <w:tabs>
          <w:tab w:val="clear" w:pos="8789"/>
        </w:tabs>
        <w:overflowPunct w:val="true"/>
        <w:spacing w:before="0" w:after="0"/>
        <w:ind w:left="714" w:hanging="357"/>
        <w:textAlignment w:val="baseline"/>
        <w:rPr/>
      </w:pPr>
      <w:r>
        <w:rPr/>
        <w:t>La constatation du bon fonctionnement après intervention de dépannage.</w:t>
      </w:r>
    </w:p>
    <w:p>
      <w:pPr>
        <w:pStyle w:val="Normal"/>
        <w:jc w:val="left"/>
        <w:rPr/>
      </w:pPr>
      <w:r>
        <w:rPr/>
      </w:r>
      <w:bookmarkStart w:id="1285" w:name="_Toc419980576"/>
      <w:bookmarkStart w:id="1286" w:name="_Toc379275260"/>
      <w:bookmarkStart w:id="1287" w:name="_Toc419980576"/>
      <w:bookmarkStart w:id="1288" w:name="_Toc379275260"/>
      <w:bookmarkEnd w:id="1287"/>
      <w:bookmarkEnd w:id="1288"/>
      <w:r>
        <w:br w:type="page"/>
      </w:r>
    </w:p>
    <w:p>
      <w:pPr>
        <w:pStyle w:val="Titre1"/>
        <w:rPr/>
      </w:pPr>
      <w:bookmarkStart w:id="1289" w:name="_Toc419980576"/>
      <w:bookmarkStart w:id="1290" w:name="_Toc379275260"/>
      <w:bookmarkStart w:id="1291" w:name="_Toc392231482"/>
      <w:bookmarkStart w:id="1292" w:name="_Toc32334933"/>
      <w:bookmarkEnd w:id="1289"/>
      <w:bookmarkEnd w:id="1290"/>
      <w:r>
        <w:rPr/>
        <w:t>Exploitation et Maintenance</w:t>
      </w:r>
      <w:bookmarkEnd w:id="1292"/>
      <w:r>
        <w:rPr/>
        <w:t xml:space="preserve"> </w:t>
      </w:r>
    </w:p>
    <w:p>
      <w:pPr>
        <w:pStyle w:val="Titre2"/>
        <w:tabs>
          <w:tab w:val="clear" w:pos="0"/>
          <w:tab w:val="clear" w:pos="8789"/>
          <w:tab w:val="left" w:pos="426" w:leader="none"/>
        </w:tabs>
        <w:ind w:left="0" w:hanging="0"/>
        <w:rPr/>
      </w:pPr>
      <w:bookmarkStart w:id="1293" w:name="_Toc392231482"/>
      <w:bookmarkStart w:id="1294" w:name="_Toc32334934"/>
      <w:r>
        <w:rPr/>
        <w:t>Généralités</w:t>
      </w:r>
      <w:bookmarkEnd w:id="1293"/>
      <w:bookmarkEnd w:id="1294"/>
      <w:r>
        <w:rPr/>
        <w:t xml:space="preserve"> </w:t>
      </w:r>
    </w:p>
    <w:p>
      <w:pPr>
        <w:pStyle w:val="Corpsdetexte"/>
        <w:spacing w:before="200" w:after="0"/>
        <w:rPr/>
      </w:pPr>
      <w:r>
        <w:rPr/>
        <w:t>Le présent chapitre à pour objet de présenter les conditions envisagées pour l’exploitation et la maintenance des principaux constituants (matériels et matériaux) entrant dans le périmètre des travaux.</w:t>
      </w:r>
    </w:p>
    <w:p>
      <w:pPr>
        <w:pStyle w:val="Corpsdetexte"/>
        <w:spacing w:before="200" w:after="120"/>
        <w:rPr/>
      </w:pPr>
      <w:r>
        <w:rPr/>
        <w:t>Ce chapitre permet au maître d’ouvrage d’appréhender les coûts d’exploitation et de maintenance générés par :</w:t>
      </w:r>
    </w:p>
    <w:p>
      <w:pPr>
        <w:pStyle w:val="TEXTE"/>
        <w:numPr>
          <w:ilvl w:val="0"/>
          <w:numId w:val="33"/>
        </w:numPr>
        <w:tabs>
          <w:tab w:val="clear" w:pos="8789"/>
        </w:tabs>
        <w:overflowPunct w:val="true"/>
        <w:spacing w:before="0" w:after="120"/>
        <w:textAlignment w:val="baseline"/>
        <w:rPr/>
      </w:pPr>
      <w:r>
        <w:rPr/>
        <w:t>Les consommations énergétiques des nouveaux équipements ;</w:t>
      </w:r>
    </w:p>
    <w:p>
      <w:pPr>
        <w:pStyle w:val="TEXTE"/>
        <w:numPr>
          <w:ilvl w:val="0"/>
          <w:numId w:val="33"/>
        </w:numPr>
        <w:tabs>
          <w:tab w:val="clear" w:pos="8789"/>
        </w:tabs>
        <w:overflowPunct w:val="true"/>
        <w:spacing w:before="0" w:after="120"/>
        <w:textAlignment w:val="baseline"/>
        <w:rPr/>
      </w:pPr>
      <w:r>
        <w:rPr/>
        <w:t>Le nettoyage des locaux et du mobilier ;</w:t>
      </w:r>
    </w:p>
    <w:p>
      <w:pPr>
        <w:pStyle w:val="TEXTE"/>
        <w:numPr>
          <w:ilvl w:val="0"/>
          <w:numId w:val="33"/>
        </w:numPr>
        <w:tabs>
          <w:tab w:val="clear" w:pos="8789"/>
        </w:tabs>
        <w:overflowPunct w:val="true"/>
        <w:spacing w:before="0" w:after="120"/>
        <w:textAlignment w:val="baseline"/>
        <w:rPr/>
      </w:pPr>
      <w:r>
        <w:rPr/>
        <w:t>La maintenance des nouveaux systèmes matériels,</w:t>
      </w:r>
    </w:p>
    <w:p>
      <w:pPr>
        <w:pStyle w:val="Titre2"/>
        <w:tabs>
          <w:tab w:val="clear" w:pos="0"/>
          <w:tab w:val="clear" w:pos="8789"/>
          <w:tab w:val="left" w:pos="426" w:leader="none"/>
        </w:tabs>
        <w:ind w:left="0" w:hanging="0"/>
        <w:rPr/>
      </w:pPr>
      <w:bookmarkStart w:id="1295" w:name="_Toc32334935"/>
      <w:bookmarkStart w:id="1296" w:name="_Toc392231483"/>
      <w:r>
        <w:rPr/>
        <w:t>Exploitation</w:t>
      </w:r>
      <w:bookmarkEnd w:id="1295"/>
      <w:bookmarkEnd w:id="1296"/>
    </w:p>
    <w:p>
      <w:pPr>
        <w:pStyle w:val="Corpsdetexte"/>
        <w:spacing w:before="200" w:after="120"/>
        <w:rPr/>
      </w:pPr>
      <w:r>
        <w:rPr/>
        <w:t>Il s’agit de déterminer les coûts de fonctionnement des installations concernées par le projet, à savoir :</w:t>
      </w:r>
    </w:p>
    <w:p>
      <w:pPr>
        <w:pStyle w:val="TEXTE"/>
        <w:numPr>
          <w:ilvl w:val="0"/>
          <w:numId w:val="33"/>
        </w:numPr>
        <w:tabs>
          <w:tab w:val="clear" w:pos="8789"/>
        </w:tabs>
        <w:overflowPunct w:val="true"/>
        <w:spacing w:before="0" w:after="120"/>
        <w:textAlignment w:val="baseline"/>
        <w:rPr/>
      </w:pPr>
      <w:r>
        <w:rPr/>
        <w:t>Consommations énergétiques des équipements ;</w:t>
      </w:r>
    </w:p>
    <w:p>
      <w:pPr>
        <w:pStyle w:val="TEXTE"/>
        <w:numPr>
          <w:ilvl w:val="0"/>
          <w:numId w:val="33"/>
        </w:numPr>
        <w:tabs>
          <w:tab w:val="clear" w:pos="8789"/>
        </w:tabs>
        <w:overflowPunct w:val="true"/>
        <w:spacing w:before="0" w:after="120"/>
        <w:textAlignment w:val="baseline"/>
        <w:rPr/>
      </w:pPr>
      <w:r>
        <w:rPr/>
        <w:t>Nettoyage des locaux (bureau, sanitaires, cuisine) ;</w:t>
      </w:r>
    </w:p>
    <w:p>
      <w:pPr>
        <w:pStyle w:val="TEXTE"/>
        <w:numPr>
          <w:ilvl w:val="0"/>
          <w:numId w:val="33"/>
        </w:numPr>
        <w:tabs>
          <w:tab w:val="clear" w:pos="8789"/>
        </w:tabs>
        <w:overflowPunct w:val="true"/>
        <w:spacing w:before="0" w:after="120"/>
        <w:textAlignment w:val="baseline"/>
        <w:rPr/>
      </w:pPr>
      <w:r>
        <w:rPr/>
        <w:t>Nettoyage des mobiliers.</w:t>
      </w:r>
    </w:p>
    <w:p>
      <w:pPr>
        <w:pStyle w:val="Titre2"/>
        <w:tabs>
          <w:tab w:val="clear" w:pos="0"/>
          <w:tab w:val="clear" w:pos="8789"/>
          <w:tab w:val="left" w:pos="426" w:leader="none"/>
        </w:tabs>
        <w:ind w:left="0" w:hanging="0"/>
        <w:rPr/>
      </w:pPr>
      <w:bookmarkStart w:id="1297" w:name="_Toc32334936"/>
      <w:bookmarkStart w:id="1298" w:name="_Toc392231484"/>
      <w:r>
        <w:rPr/>
        <w:t>Maintenance</w:t>
      </w:r>
      <w:bookmarkEnd w:id="1297"/>
      <w:bookmarkEnd w:id="1298"/>
    </w:p>
    <w:p>
      <w:pPr>
        <w:pStyle w:val="Titre3"/>
        <w:rPr/>
      </w:pPr>
      <w:bookmarkStart w:id="1299" w:name="_Toc32334937"/>
      <w:r>
        <w:rPr/>
        <w:t>Généralités</w:t>
      </w:r>
      <w:bookmarkEnd w:id="1299"/>
    </w:p>
    <w:p>
      <w:pPr>
        <w:pStyle w:val="Corpsdetexte"/>
        <w:spacing w:before="200" w:after="120"/>
        <w:rPr>
          <w:szCs w:val="22"/>
        </w:rPr>
      </w:pPr>
      <w:r>
        <w:rPr/>
        <w:t xml:space="preserve">Il s’agit de définir </w:t>
      </w:r>
      <w:r>
        <w:rPr>
          <w:szCs w:val="22"/>
        </w:rPr>
        <w:t>les ouvrages à entretenir, les prestations et les conditions dans lesquelles elles devront être effectuées, afin de garantir la disponibilité fonctionnelle de tous les nouveaux constituants. La maintenance s’applique sur les équipements neufs fournis et mis en œuvre dans le cadre du projet.</w:t>
      </w:r>
    </w:p>
    <w:p>
      <w:pPr>
        <w:pStyle w:val="TEXTE"/>
        <w:spacing w:before="200" w:after="120"/>
        <w:rPr/>
      </w:pPr>
      <w:r>
        <w:rPr/>
        <w:t>La fourniture des ouvrages est garantie contre tout vice de fabrication ou défaut de matière à compter du jour de la réception (pièces, main d’œuvre et déplacements).</w:t>
      </w:r>
    </w:p>
    <w:p>
      <w:pPr>
        <w:pStyle w:val="TEXTE"/>
        <w:spacing w:before="200" w:after="120"/>
        <w:rPr/>
      </w:pPr>
      <w:r>
        <w:rPr/>
        <w:t>La totalité des opérations de maintenance (curative et préventive) est à la charge de l’Entrepreneur pendant la période de garantie, y compris la visite de fin de garantie.</w:t>
      </w:r>
    </w:p>
    <w:p>
      <w:pPr>
        <w:pStyle w:val="TEXTE"/>
        <w:spacing w:before="200" w:after="120"/>
        <w:rPr/>
      </w:pPr>
      <w:r>
        <w:rPr/>
        <w:t>Au cours de la période de garantie, l’Entrepreneur sera tenu d'établir un compte rendu pour chaque intervention qu’il transmettra au maitre d’œuvre et à l’exploitant.</w:t>
      </w:r>
    </w:p>
    <w:p>
      <w:pPr>
        <w:pStyle w:val="TEXTE"/>
        <w:spacing w:before="200" w:after="120"/>
        <w:rPr/>
      </w:pPr>
      <w:r>
        <w:rPr/>
        <w:t>Les interventions de maintenance préventive programmable sont au minimum celles exigées pour l'application des différentes garanties relatives aux ouvrages.</w:t>
      </w:r>
    </w:p>
    <w:p>
      <w:pPr>
        <w:pStyle w:val="TEXTE"/>
        <w:spacing w:before="200" w:after="120"/>
        <w:rPr/>
      </w:pPr>
      <w:r>
        <w:rPr/>
        <w:t>La nature des actions de maintenance préventive, de contrôle et d'entretien courant, devra faire l’objet d’un mémoire établi par l’Entrepreneur explicitant les planifications des interventions en fonction des performances suivant :</w:t>
      </w:r>
    </w:p>
    <w:p>
      <w:pPr>
        <w:pStyle w:val="TEXTE"/>
        <w:numPr>
          <w:ilvl w:val="0"/>
          <w:numId w:val="33"/>
        </w:numPr>
        <w:tabs>
          <w:tab w:val="clear" w:pos="8789"/>
        </w:tabs>
        <w:overflowPunct w:val="true"/>
        <w:spacing w:before="0" w:after="120"/>
        <w:textAlignment w:val="baseline"/>
        <w:rPr/>
      </w:pPr>
      <w:r>
        <w:rPr/>
        <w:t>La législation ;</w:t>
      </w:r>
    </w:p>
    <w:p>
      <w:pPr>
        <w:pStyle w:val="TEXTE"/>
        <w:numPr>
          <w:ilvl w:val="0"/>
          <w:numId w:val="33"/>
        </w:numPr>
        <w:tabs>
          <w:tab w:val="clear" w:pos="8789"/>
        </w:tabs>
        <w:overflowPunct w:val="true"/>
        <w:spacing w:before="0" w:after="120"/>
        <w:textAlignment w:val="baseline"/>
        <w:rPr/>
      </w:pPr>
      <w:r>
        <w:rPr/>
        <w:t>Les caractéristiques des équipements ;</w:t>
      </w:r>
    </w:p>
    <w:p>
      <w:pPr>
        <w:pStyle w:val="TEXTE"/>
        <w:numPr>
          <w:ilvl w:val="0"/>
          <w:numId w:val="33"/>
        </w:numPr>
        <w:tabs>
          <w:tab w:val="clear" w:pos="8789"/>
        </w:tabs>
        <w:overflowPunct w:val="true"/>
        <w:spacing w:before="0" w:after="120"/>
        <w:textAlignment w:val="baseline"/>
        <w:rPr/>
      </w:pPr>
      <w:r>
        <w:rPr/>
        <w:t>Les recommandations ou spécifications des fabricants ;</w:t>
      </w:r>
    </w:p>
    <w:p>
      <w:pPr>
        <w:pStyle w:val="TEXTE"/>
        <w:numPr>
          <w:ilvl w:val="0"/>
          <w:numId w:val="33"/>
        </w:numPr>
        <w:tabs>
          <w:tab w:val="clear" w:pos="8789"/>
        </w:tabs>
        <w:overflowPunct w:val="true"/>
        <w:spacing w:before="0" w:after="120"/>
        <w:textAlignment w:val="baseline"/>
        <w:rPr/>
      </w:pPr>
      <w:r>
        <w:rPr/>
        <w:t>Les Règles de l'Art ;</w:t>
      </w:r>
    </w:p>
    <w:p>
      <w:pPr>
        <w:pStyle w:val="TEXTE"/>
        <w:numPr>
          <w:ilvl w:val="0"/>
          <w:numId w:val="33"/>
        </w:numPr>
        <w:tabs>
          <w:tab w:val="clear" w:pos="8789"/>
        </w:tabs>
        <w:overflowPunct w:val="true"/>
        <w:spacing w:before="0" w:after="120"/>
        <w:textAlignment w:val="baseline"/>
        <w:rPr/>
      </w:pPr>
      <w:r>
        <w:rPr/>
        <w:t>L'expérience du Titulaire ;</w:t>
      </w:r>
    </w:p>
    <w:p>
      <w:pPr>
        <w:pStyle w:val="TEXTE"/>
        <w:numPr>
          <w:ilvl w:val="0"/>
          <w:numId w:val="33"/>
        </w:numPr>
        <w:tabs>
          <w:tab w:val="clear" w:pos="8789"/>
        </w:tabs>
        <w:overflowPunct w:val="true"/>
        <w:spacing w:before="0" w:after="120"/>
        <w:textAlignment w:val="baseline"/>
        <w:rPr/>
      </w:pPr>
      <w:r>
        <w:rPr/>
        <w:t>L'utilisation des équipements.</w:t>
      </w:r>
    </w:p>
    <w:p>
      <w:pPr>
        <w:pStyle w:val="Corpsdetexte"/>
        <w:spacing w:before="200" w:after="0"/>
        <w:rPr/>
      </w:pPr>
      <w:r>
        <w:rPr/>
        <w:t xml:space="preserve">Il est précisé que les TGBT font partie des équipements primordiaux, et doivent </w:t>
      </w:r>
      <w:r>
        <w:rPr>
          <w:szCs w:val="22"/>
        </w:rPr>
        <w:t xml:space="preserve">entrer dans le cadre des conditions minimales d'exploitation de la gestion des tunnels. Leur indisponibilité peut non seulement nuire à la sécurité des usagers mais également conduire l’exploitant à fermer les ouvrages à la circulation. Par conséquent, les interventions de </w:t>
      </w:r>
      <w:r>
        <w:rPr/>
        <w:t>maintenance curative à effectuer sur les TGBT revêtent un caractère d'urgence et devront respecter les modalités de maintenance mises en place par le DiRIF :</w:t>
      </w:r>
    </w:p>
    <w:p>
      <w:pPr>
        <w:pStyle w:val="Corpsdetexte"/>
        <w:spacing w:before="200" w:after="0"/>
        <w:rPr/>
      </w:pPr>
      <w:r>
        <w:rPr/>
        <w:t>La maintenance préventive et curative sur les autres équipements ne revêt pas un caractère d’urgence.</w:t>
      </w:r>
    </w:p>
    <w:p>
      <w:pPr>
        <w:pStyle w:val="Corpsdetexte"/>
        <w:spacing w:before="200" w:after="0"/>
        <w:rPr/>
      </w:pPr>
      <w:r>
        <w:rPr/>
        <w:t>En cas de défaillance d’un équipement existant, la maintenance sera assurée dans le cadre du contrat de maintenance de la DiRIF.</w:t>
      </w:r>
    </w:p>
    <w:p>
      <w:pPr>
        <w:pStyle w:val="Corpsdetexte"/>
        <w:spacing w:before="200" w:after="0"/>
        <w:rPr/>
      </w:pPr>
      <w:r>
        <w:rPr/>
        <w:t>En cas de défaillance d’un équipement neuf ou d’une liaison réalisé dans le cadre du projet, la maintenance sera assurée dans le cadre du présent projet.</w:t>
      </w:r>
    </w:p>
    <w:p>
      <w:pPr>
        <w:pStyle w:val="Corpsdetexte"/>
        <w:spacing w:before="200" w:after="0"/>
        <w:rPr/>
      </w:pPr>
      <w:r>
        <w:rPr/>
        <w:t>Les diagnostics de défaillances équipements neuf, équipements existants seront assurés par la DiRIF en s’appuyant sur le DOE du marché (note récapitulative des ouvrages neufs).</w:t>
      </w:r>
    </w:p>
    <w:p>
      <w:pPr>
        <w:pStyle w:val="Titre3"/>
        <w:rPr/>
      </w:pPr>
      <w:bookmarkStart w:id="1300" w:name="_Toc32334938"/>
      <w:r>
        <w:rPr/>
        <w:t>Maintenance ordinaire</w:t>
      </w:r>
      <w:bookmarkEnd w:id="1300"/>
      <w:r>
        <w:rPr/>
        <w:t> </w:t>
      </w:r>
    </w:p>
    <w:p>
      <w:pPr>
        <w:pStyle w:val="Corpsdetexte"/>
        <w:rPr>
          <w:szCs w:val="22"/>
        </w:rPr>
      </w:pPr>
      <w:r>
        <w:rPr>
          <w:szCs w:val="22"/>
        </w:rPr>
        <w:t>La maintenance ordinaire concerne les réparations déclenchées suite à la constatation d’anomalies n’ayant pas d’incidence sur la mise en sécurité des usagers.</w:t>
      </w:r>
    </w:p>
    <w:p>
      <w:pPr>
        <w:pStyle w:val="Corpsdetexte"/>
        <w:spacing w:before="200" w:after="0"/>
        <w:rPr>
          <w:szCs w:val="22"/>
        </w:rPr>
      </w:pPr>
      <w:r>
        <w:rPr>
          <w:szCs w:val="22"/>
        </w:rPr>
        <w:t>Il n’y a pas de délai de restitution de la fonctionnalité préalablement imposé.</w:t>
      </w:r>
    </w:p>
    <w:p>
      <w:pPr>
        <w:pStyle w:val="Titre3"/>
        <w:rPr/>
      </w:pPr>
      <w:bookmarkStart w:id="1301" w:name="_Toc32334939"/>
      <w:r>
        <w:rPr/>
        <w:t>Maintenance accélérée</w:t>
      </w:r>
      <w:bookmarkEnd w:id="1301"/>
    </w:p>
    <w:p>
      <w:pPr>
        <w:pStyle w:val="Corpsdetexte"/>
        <w:rPr>
          <w:szCs w:val="22"/>
        </w:rPr>
      </w:pPr>
      <w:r>
        <w:rPr>
          <w:szCs w:val="22"/>
        </w:rPr>
        <w:t>La maintenance accélérée concerne les réparations déclenchées suite à la constatation d’anomalies s’approchant des Conditions Minimales d’Exploitations.</w:t>
      </w:r>
    </w:p>
    <w:p>
      <w:pPr>
        <w:pStyle w:val="Corpsdetexte"/>
        <w:spacing w:before="200" w:after="0"/>
        <w:rPr>
          <w:szCs w:val="22"/>
        </w:rPr>
      </w:pPr>
      <w:r>
        <w:rPr>
          <w:szCs w:val="22"/>
        </w:rPr>
        <w:t xml:space="preserve">Le délai de restitution de la fonctionnalité doit être </w:t>
      </w:r>
      <w:r>
        <w:rPr>
          <w:b/>
          <w:bCs/>
          <w:szCs w:val="22"/>
        </w:rPr>
        <w:t>inférieur à 72 heures</w:t>
      </w:r>
      <w:r>
        <w:rPr>
          <w:szCs w:val="22"/>
        </w:rPr>
        <w:t>.</w:t>
      </w:r>
    </w:p>
    <w:p>
      <w:pPr>
        <w:pStyle w:val="Titre3"/>
        <w:rPr/>
      </w:pPr>
      <w:bookmarkStart w:id="1302" w:name="_Toc32334940"/>
      <w:r>
        <w:rPr/>
        <w:t>Maintenance d’urgence</w:t>
      </w:r>
      <w:bookmarkEnd w:id="1302"/>
    </w:p>
    <w:p>
      <w:pPr>
        <w:pStyle w:val="Corpsdetexte"/>
        <w:rPr>
          <w:szCs w:val="22"/>
        </w:rPr>
      </w:pPr>
      <w:r>
        <w:rPr>
          <w:szCs w:val="22"/>
        </w:rPr>
        <w:t>La maintenance d’urgence concerne les réparations déclenchées suite à la constatation d’anomalies ayant dépassées les Conditions Minimales d’Exploitations.</w:t>
      </w:r>
    </w:p>
    <w:p>
      <w:pPr>
        <w:pStyle w:val="Corpsdetexte"/>
        <w:spacing w:before="200" w:after="120"/>
        <w:rPr>
          <w:szCs w:val="22"/>
        </w:rPr>
      </w:pPr>
      <w:r>
        <w:rPr>
          <w:szCs w:val="22"/>
        </w:rPr>
        <w:t xml:space="preserve">Le délai de restitution de la fonctionnalité doit être </w:t>
      </w:r>
      <w:r>
        <w:rPr>
          <w:b/>
          <w:bCs/>
          <w:szCs w:val="22"/>
        </w:rPr>
        <w:t>inférieur à 3 heures</w:t>
      </w:r>
      <w:r>
        <w:rPr>
          <w:szCs w:val="22"/>
        </w:rPr>
        <w:t>. Il pourra être demandé à l’entreprise d’établir un diagnostic afin de :</w:t>
      </w:r>
    </w:p>
    <w:p>
      <w:pPr>
        <w:pStyle w:val="TEXTE"/>
        <w:numPr>
          <w:ilvl w:val="0"/>
          <w:numId w:val="33"/>
        </w:numPr>
        <w:tabs>
          <w:tab w:val="clear" w:pos="8789"/>
        </w:tabs>
        <w:overflowPunct w:val="true"/>
        <w:spacing w:before="0" w:after="120"/>
        <w:textAlignment w:val="baseline"/>
        <w:rPr/>
      </w:pPr>
      <w:r>
        <w:rPr/>
        <w:t>Réparer totalement et immédiatement, L’entreprise prend alors toute disposition pour le faire ;</w:t>
      </w:r>
    </w:p>
    <w:p>
      <w:pPr>
        <w:pStyle w:val="TEXTE"/>
        <w:numPr>
          <w:ilvl w:val="0"/>
          <w:numId w:val="33"/>
        </w:numPr>
        <w:tabs>
          <w:tab w:val="clear" w:pos="8789"/>
        </w:tabs>
        <w:overflowPunct w:val="true"/>
        <w:spacing w:before="0" w:after="0"/>
        <w:ind w:left="714" w:hanging="357"/>
        <w:textAlignment w:val="baseline"/>
        <w:rPr/>
      </w:pPr>
      <w:r>
        <w:rPr/>
        <w:t>Si l’entreprise reconnaît qu’elle ne pourra pas exécuter la réparation totalement ; elle devra alors prendre toutes les mesures conservatoires pour assurer un minimum de niveau de fonctionnement (mode dégradé) pour la fonction concernée (ex : supervision).</w:t>
      </w:r>
    </w:p>
    <w:p>
      <w:pPr>
        <w:pStyle w:val="Titre3"/>
        <w:rPr/>
      </w:pPr>
      <w:bookmarkStart w:id="1303" w:name="_Toc32334941"/>
      <w:r>
        <w:rPr/>
        <w:t>Maintenance préventive</w:t>
      </w:r>
      <w:bookmarkEnd w:id="1303"/>
    </w:p>
    <w:p>
      <w:pPr>
        <w:pStyle w:val="Corpsdetexte"/>
        <w:spacing w:before="200" w:after="120"/>
        <w:rPr>
          <w:szCs w:val="22"/>
        </w:rPr>
      </w:pPr>
      <w:r>
        <w:rPr>
          <w:szCs w:val="22"/>
        </w:rPr>
        <w:t>La maintenance préventive comprend :</w:t>
      </w:r>
    </w:p>
    <w:p>
      <w:pPr>
        <w:pStyle w:val="TEXTE"/>
        <w:numPr>
          <w:ilvl w:val="0"/>
          <w:numId w:val="33"/>
        </w:numPr>
        <w:tabs>
          <w:tab w:val="clear" w:pos="8789"/>
        </w:tabs>
        <w:overflowPunct w:val="true"/>
        <w:spacing w:before="0" w:after="120"/>
        <w:textAlignment w:val="baseline"/>
        <w:rPr/>
      </w:pPr>
      <w:r>
        <w:rPr/>
        <w:t>Tous les travaux, opérations de vérification et essais nécessaires à la conservation en état de fonctionnement des équipements;</w:t>
      </w:r>
    </w:p>
    <w:p>
      <w:pPr>
        <w:pStyle w:val="TEXTE"/>
        <w:numPr>
          <w:ilvl w:val="0"/>
          <w:numId w:val="33"/>
        </w:numPr>
        <w:tabs>
          <w:tab w:val="clear" w:pos="8789"/>
        </w:tabs>
        <w:overflowPunct w:val="true"/>
        <w:spacing w:before="0" w:after="120"/>
        <w:textAlignment w:val="baseline"/>
        <w:rPr/>
      </w:pPr>
      <w:r>
        <w:rPr/>
        <w:t>Toutes les fournitures de consommables, petits équipements et produits d'entretien nécessaires à la bonne exécution de ces tâches.</w:t>
      </w:r>
    </w:p>
    <w:p>
      <w:pPr>
        <w:pStyle w:val="Titre3"/>
        <w:rPr/>
      </w:pPr>
      <w:bookmarkStart w:id="1304" w:name="_Toc32334942"/>
      <w:r>
        <w:rPr/>
        <w:t>Maintenance curative</w:t>
      </w:r>
      <w:bookmarkEnd w:id="1304"/>
    </w:p>
    <w:p>
      <w:pPr>
        <w:pStyle w:val="Corpsdetexte"/>
        <w:spacing w:before="200" w:after="120"/>
        <w:rPr>
          <w:szCs w:val="22"/>
        </w:rPr>
      </w:pPr>
      <w:r>
        <w:rPr>
          <w:szCs w:val="22"/>
        </w:rPr>
        <w:t>La maintenance curative comprend :</w:t>
      </w:r>
    </w:p>
    <w:p>
      <w:pPr>
        <w:pStyle w:val="TEXTE"/>
        <w:numPr>
          <w:ilvl w:val="0"/>
          <w:numId w:val="33"/>
        </w:numPr>
        <w:tabs>
          <w:tab w:val="clear" w:pos="8789"/>
        </w:tabs>
        <w:overflowPunct w:val="true"/>
        <w:spacing w:before="0" w:after="120"/>
        <w:textAlignment w:val="baseline"/>
        <w:rPr/>
      </w:pPr>
      <w:r>
        <w:rPr/>
        <w:t>Les réparations déclenchées suite à la constatation d’anomalies ou d’incidents provoqués par usure, vétusté ou encore par accident ;</w:t>
      </w:r>
    </w:p>
    <w:p>
      <w:pPr>
        <w:pStyle w:val="TEXTE"/>
        <w:numPr>
          <w:ilvl w:val="0"/>
          <w:numId w:val="33"/>
        </w:numPr>
        <w:tabs>
          <w:tab w:val="clear" w:pos="8789"/>
        </w:tabs>
        <w:overflowPunct w:val="true"/>
        <w:spacing w:before="0" w:after="120"/>
        <w:textAlignment w:val="baseline"/>
        <w:rPr/>
      </w:pPr>
      <w:r>
        <w:rPr/>
        <w:t>Le remplacement des équipements défectueux ;</w:t>
      </w:r>
    </w:p>
    <w:p>
      <w:pPr>
        <w:pStyle w:val="TEXTE"/>
        <w:numPr>
          <w:ilvl w:val="0"/>
          <w:numId w:val="33"/>
        </w:numPr>
        <w:tabs>
          <w:tab w:val="clear" w:pos="8789"/>
        </w:tabs>
        <w:overflowPunct w:val="true"/>
        <w:spacing w:before="0" w:after="120"/>
        <w:textAlignment w:val="baseline"/>
        <w:rPr/>
      </w:pPr>
      <w:r>
        <w:rPr/>
        <w:t>La recherche et la réparation des défauts ;</w:t>
      </w:r>
    </w:p>
    <w:p>
      <w:pPr>
        <w:pStyle w:val="TEXTE"/>
        <w:numPr>
          <w:ilvl w:val="0"/>
          <w:numId w:val="33"/>
        </w:numPr>
        <w:tabs>
          <w:tab w:val="clear" w:pos="8789"/>
        </w:tabs>
        <w:overflowPunct w:val="true"/>
        <w:spacing w:before="0" w:after="120"/>
        <w:textAlignment w:val="baseline"/>
        <w:rPr/>
      </w:pPr>
      <w:r>
        <w:rPr/>
        <w:t>Les travaux d’aménagement ou d’amélioration des installations ;</w:t>
      </w:r>
    </w:p>
    <w:p>
      <w:pPr>
        <w:pStyle w:val="TEXTE"/>
        <w:numPr>
          <w:ilvl w:val="0"/>
          <w:numId w:val="33"/>
        </w:numPr>
        <w:tabs>
          <w:tab w:val="clear" w:pos="8789"/>
        </w:tabs>
        <w:overflowPunct w:val="true"/>
        <w:spacing w:before="0" w:after="120"/>
        <w:textAlignment w:val="baseline"/>
        <w:rPr/>
      </w:pPr>
      <w:r>
        <w:rPr/>
        <w:t>Les équipements du réseau incendie ;</w:t>
      </w:r>
    </w:p>
    <w:p>
      <w:pPr>
        <w:pStyle w:val="TEXTE"/>
        <w:numPr>
          <w:ilvl w:val="0"/>
          <w:numId w:val="33"/>
        </w:numPr>
        <w:tabs>
          <w:tab w:val="clear" w:pos="8789"/>
        </w:tabs>
        <w:overflowPunct w:val="true"/>
        <w:spacing w:before="0" w:after="120"/>
        <w:textAlignment w:val="baseline"/>
        <w:rPr/>
      </w:pPr>
      <w:r>
        <w:rPr/>
        <w:t>Les équipements de métallerie et serrurerie.</w:t>
      </w:r>
    </w:p>
    <w:p>
      <w:pPr>
        <w:pStyle w:val="Corpsdetexte"/>
        <w:spacing w:before="200" w:after="120"/>
        <w:rPr>
          <w:szCs w:val="22"/>
        </w:rPr>
      </w:pPr>
      <w:r>
        <w:rPr>
          <w:szCs w:val="22"/>
        </w:rPr>
        <w:t>Deux cas se présentent :</w:t>
      </w:r>
    </w:p>
    <w:p>
      <w:pPr>
        <w:pStyle w:val="TEXTE"/>
        <w:numPr>
          <w:ilvl w:val="0"/>
          <w:numId w:val="33"/>
        </w:numPr>
        <w:tabs>
          <w:tab w:val="clear" w:pos="8789"/>
        </w:tabs>
        <w:overflowPunct w:val="true"/>
        <w:spacing w:before="0" w:after="120"/>
        <w:textAlignment w:val="baseline"/>
        <w:rPr/>
      </w:pPr>
      <w:r>
        <w:rPr/>
        <w:t>Premier cas : si la constatation est faite par l’entreprise, elle doit avertir l’exploitant dans les plus brefs délais surtout s’il s’agit de matériels ou de fonctions pouvant mettre en cause la sécurité des usagers ;</w:t>
      </w:r>
    </w:p>
    <w:p>
      <w:pPr>
        <w:pStyle w:val="TEXTE"/>
        <w:numPr>
          <w:ilvl w:val="0"/>
          <w:numId w:val="33"/>
        </w:numPr>
        <w:tabs>
          <w:tab w:val="clear" w:pos="8789"/>
        </w:tabs>
        <w:overflowPunct w:val="true"/>
        <w:spacing w:before="0" w:after="120"/>
        <w:textAlignment w:val="baseline"/>
        <w:rPr/>
      </w:pPr>
      <w:r>
        <w:rPr/>
        <w:t>Second cas : si la constatation est faite par l’exploitant, celui-ci fera appel à l’entreprise selon les procédures convenues.</w:t>
      </w:r>
    </w:p>
    <w:p>
      <w:pPr>
        <w:pStyle w:val="Titre3"/>
        <w:rPr/>
      </w:pPr>
      <w:bookmarkStart w:id="1305" w:name="_Toc32334943"/>
      <w:bookmarkStart w:id="1306" w:name="_Toc419980580"/>
      <w:r>
        <w:rPr/>
        <w:t>Matières consommables</w:t>
      </w:r>
      <w:bookmarkEnd w:id="1305"/>
      <w:bookmarkEnd w:id="1306"/>
    </w:p>
    <w:p>
      <w:pPr>
        <w:pStyle w:val="Texte1"/>
        <w:rPr/>
      </w:pPr>
      <w:r>
        <w:rPr/>
      </w:r>
    </w:p>
    <w:p>
      <w:pPr>
        <w:pStyle w:val="Texte1"/>
        <w:rPr/>
      </w:pPr>
      <w:r>
        <w:rPr/>
        <w:t>Durant la durée de garantie et afin de réaliser les prestations d'entretien courant, l’Entrepreneur doit la fourniture et la mise en œuvre des divers produits consommables, des petites fournitures mécaniques.</w:t>
      </w:r>
    </w:p>
    <w:p>
      <w:pPr>
        <w:pStyle w:val="Texte1"/>
        <w:rPr/>
      </w:pPr>
      <w:r>
        <w:rPr/>
        <w:t>Les matières consommables sont de même provenance que celles préconisées par les constructeurs.</w:t>
      </w:r>
    </w:p>
    <w:p>
      <w:pPr>
        <w:pStyle w:val="Titre3"/>
        <w:rPr/>
      </w:pPr>
      <w:bookmarkStart w:id="1307" w:name="_Toc32334944"/>
      <w:bookmarkStart w:id="1308" w:name="_Toc419980581"/>
      <w:r>
        <w:rPr/>
        <w:t>Modalités d’intervention</w:t>
      </w:r>
      <w:bookmarkEnd w:id="1307"/>
      <w:bookmarkEnd w:id="1308"/>
    </w:p>
    <w:p>
      <w:pPr>
        <w:pStyle w:val="Normal"/>
        <w:widowControl w:val="false"/>
        <w:rPr/>
      </w:pPr>
      <w:r>
        <w:rPr/>
      </w:r>
    </w:p>
    <w:p>
      <w:pPr>
        <w:pStyle w:val="Normal"/>
        <w:widowControl w:val="false"/>
        <w:rPr/>
      </w:pPr>
      <w:r>
        <w:rPr/>
        <w:t>En cas de défaillance du système, la DiRIF adresse par fax ou courriel à l’entrepreneur (et en copie au maitre d’oeuvre) une demande de maintenance sous forme d’une fiche GPA.</w:t>
      </w:r>
    </w:p>
    <w:p>
      <w:pPr>
        <w:pStyle w:val="Normal"/>
        <w:rPr/>
      </w:pPr>
      <w:r>
        <w:rPr/>
      </w:r>
    </w:p>
    <w:p>
      <w:pPr>
        <w:pStyle w:val="Normal"/>
        <w:rPr/>
      </w:pPr>
      <w:r>
        <w:rPr/>
        <w:t>Après intervention, l’Entrepreneur envoie à la DiRIF (et en copie au Maître d’</w:t>
      </w:r>
      <w:r>
        <w:rPr>
          <w:rFonts w:ascii="Calibri" w:hAnsi="Calibri"/>
        </w:rPr>
        <w:t>Œ</w:t>
      </w:r>
      <w:r>
        <w:rPr/>
        <w:t xml:space="preserve">uvre), en retour de la fiche GPA, un compte-rendu d’intervention explicitant l’origine du défaut constaté et décrivant la réparation effectuée. </w:t>
      </w:r>
    </w:p>
    <w:p>
      <w:pPr>
        <w:pStyle w:val="Normal"/>
        <w:rPr/>
      </w:pPr>
      <w:r>
        <w:rPr/>
      </w:r>
    </w:p>
    <w:p>
      <w:pPr>
        <w:pStyle w:val="Normal"/>
        <w:spacing w:before="0" w:after="120"/>
        <w:rPr/>
      </w:pPr>
      <w:r>
        <w:rPr/>
        <w:t xml:space="preserve">Le compte-rendu d’intervention devra mentionner : </w:t>
      </w:r>
    </w:p>
    <w:p>
      <w:pPr>
        <w:pStyle w:val="TEXTE"/>
        <w:numPr>
          <w:ilvl w:val="0"/>
          <w:numId w:val="33"/>
        </w:numPr>
        <w:tabs>
          <w:tab w:val="clear" w:pos="8789"/>
        </w:tabs>
        <w:overflowPunct w:val="true"/>
        <w:spacing w:before="0" w:after="120"/>
        <w:textAlignment w:val="baseline"/>
        <w:rPr/>
      </w:pPr>
      <w:r>
        <w:rPr/>
        <w:t>Intervenants et Conduite d’Opération ;</w:t>
      </w:r>
    </w:p>
    <w:p>
      <w:pPr>
        <w:pStyle w:val="TEXTE"/>
        <w:numPr>
          <w:ilvl w:val="0"/>
          <w:numId w:val="33"/>
        </w:numPr>
        <w:tabs>
          <w:tab w:val="clear" w:pos="8789"/>
        </w:tabs>
        <w:overflowPunct w:val="true"/>
        <w:spacing w:before="0" w:after="120"/>
        <w:textAlignment w:val="baseline"/>
        <w:rPr/>
      </w:pPr>
      <w:r>
        <w:rPr/>
        <w:t>Fournitures employées ;</w:t>
      </w:r>
    </w:p>
    <w:p>
      <w:pPr>
        <w:pStyle w:val="TEXTE"/>
        <w:numPr>
          <w:ilvl w:val="0"/>
          <w:numId w:val="33"/>
        </w:numPr>
        <w:tabs>
          <w:tab w:val="clear" w:pos="8789"/>
        </w:tabs>
        <w:overflowPunct w:val="true"/>
        <w:spacing w:before="0" w:after="120"/>
        <w:textAlignment w:val="baseline"/>
        <w:rPr/>
      </w:pPr>
      <w:r>
        <w:rPr/>
        <w:t>Matériel employé ;</w:t>
      </w:r>
    </w:p>
    <w:p>
      <w:pPr>
        <w:pStyle w:val="TEXTE"/>
        <w:numPr>
          <w:ilvl w:val="0"/>
          <w:numId w:val="33"/>
        </w:numPr>
        <w:tabs>
          <w:tab w:val="clear" w:pos="8789"/>
        </w:tabs>
        <w:overflowPunct w:val="true"/>
        <w:spacing w:before="0" w:after="120"/>
        <w:textAlignment w:val="baseline"/>
        <w:rPr/>
      </w:pPr>
      <w:r>
        <w:rPr/>
        <w:t>Heure de début et de fin ;</w:t>
      </w:r>
    </w:p>
    <w:p>
      <w:pPr>
        <w:pStyle w:val="TEXTE"/>
        <w:numPr>
          <w:ilvl w:val="0"/>
          <w:numId w:val="33"/>
        </w:numPr>
        <w:tabs>
          <w:tab w:val="clear" w:pos="8789"/>
        </w:tabs>
        <w:overflowPunct w:val="true"/>
        <w:spacing w:before="0" w:after="120"/>
        <w:textAlignment w:val="baseline"/>
        <w:rPr/>
      </w:pPr>
      <w:r>
        <w:rPr/>
        <w:t>Observations particulières ;</w:t>
      </w:r>
    </w:p>
    <w:p>
      <w:pPr>
        <w:pStyle w:val="TEXTE"/>
        <w:numPr>
          <w:ilvl w:val="0"/>
          <w:numId w:val="33"/>
        </w:numPr>
        <w:tabs>
          <w:tab w:val="clear" w:pos="8789"/>
        </w:tabs>
        <w:overflowPunct w:val="true"/>
        <w:spacing w:before="0" w:after="120"/>
        <w:textAlignment w:val="baseline"/>
        <w:rPr/>
      </w:pPr>
      <w:r>
        <w:rPr/>
        <w:t>Caractère de la remise en service (provisoire ou définitif) ;</w:t>
      </w:r>
    </w:p>
    <w:p>
      <w:pPr>
        <w:pStyle w:val="TEXTE"/>
        <w:numPr>
          <w:ilvl w:val="0"/>
          <w:numId w:val="33"/>
        </w:numPr>
        <w:tabs>
          <w:tab w:val="clear" w:pos="8789"/>
        </w:tabs>
        <w:overflowPunct w:val="true"/>
        <w:spacing w:before="0" w:after="120"/>
        <w:textAlignment w:val="baseline"/>
        <w:rPr/>
      </w:pPr>
      <w:r>
        <w:rPr/>
        <w:t>Cachet et signature de l’Entrepreneur.</w:t>
      </w:r>
    </w:p>
    <w:p>
      <w:pPr>
        <w:pStyle w:val="Normal"/>
        <w:rPr/>
      </w:pPr>
      <w:r>
        <w:rPr/>
      </w:r>
    </w:p>
    <w:p>
      <w:pPr>
        <w:pStyle w:val="Normal"/>
        <w:rPr/>
      </w:pPr>
      <w:r>
        <w:rPr/>
        <w:t>La DiRIF utilise un outil de Gestion de Maintenance Assisté par Ordinateur (GMAO). Cette GMAO héberge la base patrimoniale gérée et mise à disposition par la DiRIF, ainsi que les outils de gestion des opérations de maintenance, de la déclaration de l’incident à son traitement. L’outil de GMAO utilisé par la DiRIF pourra être amené à évoluer ou même à être remplacé par un autre progiciel en cours de marché. L’Entrepreneur sera amené à utiliser la GMAO sous différents aspects.</w:t>
      </w:r>
    </w:p>
    <w:p>
      <w:pPr>
        <w:pStyle w:val="Normal"/>
        <w:rPr/>
      </w:pPr>
      <w:r>
        <w:rPr/>
      </w:r>
    </w:p>
    <w:p>
      <w:pPr>
        <w:pStyle w:val="Normal"/>
        <w:rPr/>
      </w:pPr>
      <w:r>
        <w:rPr/>
        <w:t xml:space="preserve">La DiRIF met à disposition des accès à la GMAO pour le compte de l’Entrepreneur. La fourniture des postes de travail et autres moyens nécessaires (accès au serveur GMAO de la DiRIF, connexion VPN, etc.) restent à la charge de l’Entrepreneur. Sur demande de l’Entrepreneur, le nombre d’accès autorisés peut être augmenté ainsi que des formations à l’utilisation de la GMAO pourront être dispensés par la DiRIF. </w:t>
      </w:r>
    </w:p>
    <w:p>
      <w:pPr>
        <w:pStyle w:val="Normal"/>
        <w:rPr/>
      </w:pPr>
      <w:r>
        <w:rPr/>
      </w:r>
    </w:p>
    <w:p>
      <w:pPr>
        <w:pStyle w:val="Normal"/>
        <w:rPr/>
      </w:pPr>
      <w:r>
        <w:rPr/>
        <w:t>S’il doit être employé de nouveaux matériels en remplacement de ceux reconnus défaillants, l’Entrepreneur devra au préalable avoir reçu l’accord du Maître d’</w:t>
      </w:r>
      <w:r>
        <w:rPr>
          <w:rFonts w:ascii="Calibri" w:hAnsi="Calibri"/>
        </w:rPr>
        <w:t>Œ</w:t>
      </w:r>
      <w:r>
        <w:rPr/>
        <w:t>uvre et de l’Exploitant.</w:t>
      </w:r>
    </w:p>
    <w:p>
      <w:pPr>
        <w:pStyle w:val="Normal"/>
        <w:rPr/>
      </w:pPr>
      <w:r>
        <w:rPr/>
      </w:r>
    </w:p>
    <w:p>
      <w:pPr>
        <w:pStyle w:val="Normal"/>
        <w:rPr/>
      </w:pPr>
      <w:r>
        <w:rPr/>
        <w:t>L’Entreprise devra fournir au Maître d’</w:t>
      </w:r>
      <w:r>
        <w:rPr>
          <w:rFonts w:cs="Arial"/>
        </w:rPr>
        <w:t>Œ</w:t>
      </w:r>
      <w:r>
        <w:rPr/>
        <w:t>uvre et à l’Exploitant, les numéros téléphoniques et de fax ainsi que le nom des personnes à contacter pour les interventions de maintenance.</w:t>
      </w:r>
    </w:p>
    <w:p>
      <w:pPr>
        <w:pStyle w:val="Normal"/>
        <w:rPr/>
      </w:pPr>
      <w:r>
        <w:rPr/>
      </w:r>
    </w:p>
    <w:p>
      <w:pPr>
        <w:pStyle w:val="Normal"/>
        <w:rPr/>
      </w:pPr>
      <w:r>
        <w:rPr/>
        <w:t>A la DiRIF, les personnes à contacter pour toute intervention, sont basées au PCTT.</w:t>
      </w:r>
    </w:p>
    <w:p>
      <w:pPr>
        <w:pStyle w:val="Titre3"/>
        <w:rPr/>
      </w:pPr>
      <w:bookmarkStart w:id="1309" w:name="_Toc32334945"/>
      <w:bookmarkStart w:id="1310" w:name="_Toc419980583"/>
      <w:r>
        <w:rPr/>
        <w:t>Remise en service par l’exploitant DiRIF</w:t>
      </w:r>
      <w:bookmarkEnd w:id="1309"/>
      <w:bookmarkEnd w:id="1310"/>
      <w:r>
        <w:rPr/>
        <w:t xml:space="preserve"> </w:t>
      </w:r>
    </w:p>
    <w:p>
      <w:pPr>
        <w:pStyle w:val="Normal"/>
        <w:rPr/>
      </w:pPr>
      <w:r>
        <w:rPr/>
      </w:r>
    </w:p>
    <w:p>
      <w:pPr>
        <w:pStyle w:val="Normal"/>
        <w:rPr/>
      </w:pPr>
      <w:r>
        <w:rPr/>
        <w:t>Pour des raisons évidentes de sécurité des usagers, des piétons ou des personnels de l’entreprise, l’Exploitant peut être amené à essayer d’éliminer des défauts sur une partie des installations, objet du présent projet, en l’absence de l’Entreprise, même pendant le délai normal d’intervention admis.</w:t>
      </w:r>
    </w:p>
    <w:p>
      <w:pPr>
        <w:pStyle w:val="Titre2"/>
        <w:tabs>
          <w:tab w:val="clear" w:pos="0"/>
          <w:tab w:val="clear" w:pos="8789"/>
          <w:tab w:val="left" w:pos="426" w:leader="none"/>
        </w:tabs>
        <w:ind w:left="0" w:hanging="0"/>
        <w:rPr/>
      </w:pPr>
      <w:bookmarkStart w:id="1311" w:name="_Toc32334946"/>
      <w:r>
        <w:rPr/>
        <w:t>Modalités  d’exploitation et maintenance</w:t>
      </w:r>
      <w:bookmarkEnd w:id="1311"/>
    </w:p>
    <w:p>
      <w:pPr>
        <w:pStyle w:val="Titre3"/>
        <w:rPr/>
      </w:pPr>
      <w:bookmarkStart w:id="1312" w:name="_Toc32334947"/>
      <w:bookmarkStart w:id="1313" w:name="_Toc392231486"/>
      <w:r>
        <w:rPr/>
        <w:t>Eclairage</w:t>
      </w:r>
      <w:bookmarkEnd w:id="1312"/>
      <w:bookmarkEnd w:id="1313"/>
    </w:p>
    <w:p>
      <w:pPr>
        <w:pStyle w:val="Corpsdetexte"/>
        <w:rPr>
          <w:szCs w:val="22"/>
        </w:rPr>
      </w:pPr>
      <w:r>
        <w:rPr>
          <w:szCs w:val="22"/>
        </w:rPr>
        <w:t>Le niveau de précision des études de l’APD ne permet pas d’établir le bilan énergétique des coûts de fonctionnement de l’éclairage des locaux.</w:t>
      </w:r>
    </w:p>
    <w:p>
      <w:pPr>
        <w:pStyle w:val="Corpsdetexte"/>
        <w:rPr>
          <w:szCs w:val="22"/>
        </w:rPr>
      </w:pPr>
      <w:r>
        <w:rPr>
          <w:szCs w:val="22"/>
        </w:rPr>
        <w:t>Par conséquent, le calcul des consommations est basé sur les données figurant dans le rapport d’audit technique du bâtiment établi par le BERIM :</w:t>
      </w:r>
    </w:p>
    <w:p>
      <w:pPr>
        <w:pStyle w:val="Corpsdetexte"/>
        <w:numPr>
          <w:ilvl w:val="0"/>
          <w:numId w:val="26"/>
        </w:numPr>
        <w:tabs>
          <w:tab w:val="left" w:pos="0" w:leader="none"/>
          <w:tab w:val="right" w:pos="8789" w:leader="underscore"/>
        </w:tabs>
        <w:rPr/>
      </w:pPr>
      <w:r>
        <w:rPr/>
        <w:t>Ratio d’éclairage : 26 W/m²,</w:t>
      </w:r>
    </w:p>
    <w:p>
      <w:pPr>
        <w:pStyle w:val="Corpsdetexte"/>
        <w:rPr/>
      </w:pPr>
      <w:r>
        <w:rPr/>
        <w:t>Consommation annuelle : 69,8 kWh/m² * 160 m² (surface du périmètre de la mission) = 11 133 kWh.</w:t>
      </w:r>
    </w:p>
    <w:p>
      <w:pPr>
        <w:pStyle w:val="Titre3"/>
        <w:rPr/>
      </w:pPr>
      <w:bookmarkStart w:id="1314" w:name="_Toc32334948"/>
      <w:bookmarkStart w:id="1315" w:name="_Toc401219559"/>
      <w:bookmarkStart w:id="1316" w:name="_Toc395701163"/>
      <w:bookmarkStart w:id="1317" w:name="_Toc395636900"/>
      <w:bookmarkStart w:id="1318" w:name="_Toc392231487"/>
      <w:r>
        <w:rPr/>
        <w:t>Climatisation</w:t>
      </w:r>
      <w:bookmarkEnd w:id="1314"/>
      <w:bookmarkEnd w:id="1315"/>
      <w:bookmarkEnd w:id="1316"/>
      <w:bookmarkEnd w:id="1317"/>
      <w:bookmarkEnd w:id="1318"/>
    </w:p>
    <w:p>
      <w:pPr>
        <w:pStyle w:val="Titre4"/>
        <w:rPr/>
      </w:pPr>
      <w:bookmarkStart w:id="1319" w:name="_Toc32334949"/>
      <w:bookmarkStart w:id="1320" w:name="_Toc401219561"/>
      <w:bookmarkStart w:id="1321" w:name="_Toc395715713"/>
      <w:r>
        <w:rPr/>
        <w:t>Exploitation</w:t>
      </w:r>
      <w:bookmarkEnd w:id="1319"/>
      <w:bookmarkEnd w:id="1320"/>
      <w:bookmarkEnd w:id="1321"/>
    </w:p>
    <w:p>
      <w:pPr>
        <w:pStyle w:val="Corpsdetexte"/>
        <w:rPr/>
      </w:pPr>
      <w:r>
        <w:rPr/>
        <w:t>La consommation annuelle a été établie en considérant que les appareils seraient utilisés toute l’année. La durée moyenne de fonctionnement de ce type d’appareil est entre 12 et 16h journalier (très dépendant de la rigueur de l’hiver et des durées d’ensoleillement de l’été). Nous avons considéré un fonctionnement journalier de 14h moyen et appliqué le Coefficient de Performance (à titre d’exemple un appareil ayant une puissance nominale de 10kW consomme environ 3kW, et produit 11kW de chaud) des appareils qui permet de calculer une consommation journalière en kW/h. Le COP est variable en fonction des puissances, les petites puissances ayant un meilleur COP.</w:t>
      </w:r>
    </w:p>
    <w:p>
      <w:pPr>
        <w:pStyle w:val="Corpsdetexte"/>
        <w:rPr/>
      </w:pPr>
      <w:r>
        <w:rPr/>
        <w:t>Split système 2.5 kW : 3100 kW/h par an.</w:t>
      </w:r>
    </w:p>
    <w:p>
      <w:pPr>
        <w:pStyle w:val="Corpsdetexte"/>
        <w:rPr/>
      </w:pPr>
      <w:r>
        <w:rPr/>
        <w:t>Pour le PCTT de Nanterre la consommation énergétique serait de :</w:t>
      </w:r>
    </w:p>
    <w:p>
      <w:pPr>
        <w:pStyle w:val="Corpsdetexte"/>
        <w:rPr/>
      </w:pPr>
      <w:r>
        <w:rPr/>
        <w:t>3 appareils Split système * 3100 kW/h = 9300 kW/h par an.</w:t>
      </w:r>
    </w:p>
    <w:p>
      <w:pPr>
        <w:pStyle w:val="Titre4"/>
        <w:rPr/>
      </w:pPr>
      <w:bookmarkStart w:id="1322" w:name="_Toc32334950"/>
      <w:bookmarkStart w:id="1323" w:name="_Toc401219562"/>
      <w:bookmarkStart w:id="1324" w:name="_Toc395715714"/>
      <w:r>
        <w:rPr/>
        <w:t>Maintenance</w:t>
      </w:r>
      <w:bookmarkEnd w:id="1322"/>
      <w:bookmarkEnd w:id="1323"/>
      <w:bookmarkEnd w:id="1324"/>
    </w:p>
    <w:p>
      <w:pPr>
        <w:pStyle w:val="Normal"/>
        <w:rPr/>
      </w:pPr>
      <w:r>
        <w:rPr/>
      </w:r>
    </w:p>
    <w:p>
      <w:pPr>
        <w:pStyle w:val="Normal"/>
        <w:rPr/>
      </w:pPr>
      <w:r>
        <w:rPr/>
        <w:t>Pour estimer les coûts de maintenance, nous avons considéré que les visites, notamment celles relatives à la maintenance préventive, seraient réalisées par PCTT. La maintenance d’un équipement isolé serait bien évidemment plus onéreuse. Tous les coûts indiqués sont hors taxes.</w:t>
      </w:r>
    </w:p>
    <w:p>
      <w:pPr>
        <w:pStyle w:val="Normal"/>
        <w:rPr/>
      </w:pPr>
      <w:r>
        <w:rPr/>
      </w:r>
    </w:p>
    <w:p>
      <w:pPr>
        <w:pStyle w:val="Normal"/>
        <w:rPr/>
      </w:pPr>
      <w:r>
        <w:rPr/>
        <w:t>Les coûts indiqués sont relatifs à une maintenance classique, ils n’incluent pas les travaux de réparation (remplacement d’un compresseur, d’une pompe de condensats, etc.). A titre d’information, les coûts suivants sont indiqués pour les opérations de réparation :</w:t>
      </w:r>
    </w:p>
    <w:p>
      <w:pPr>
        <w:pStyle w:val="Corpsdetexte"/>
        <w:numPr>
          <w:ilvl w:val="0"/>
          <w:numId w:val="26"/>
        </w:numPr>
        <w:rPr/>
      </w:pPr>
      <w:r>
        <w:rPr/>
        <w:t>Forfait déplacement : 250€</w:t>
      </w:r>
    </w:p>
    <w:p>
      <w:pPr>
        <w:pStyle w:val="Corpsdetexte"/>
        <w:numPr>
          <w:ilvl w:val="0"/>
          <w:numId w:val="26"/>
        </w:numPr>
        <w:rPr/>
      </w:pPr>
      <w:r>
        <w:rPr/>
        <w:t>Heures normales : 80€</w:t>
      </w:r>
    </w:p>
    <w:p>
      <w:pPr>
        <w:pStyle w:val="Corpsdetexte"/>
        <w:numPr>
          <w:ilvl w:val="0"/>
          <w:numId w:val="26"/>
        </w:numPr>
        <w:rPr/>
      </w:pPr>
      <w:r>
        <w:rPr/>
        <w:t>Heures samedi : 120€</w:t>
      </w:r>
    </w:p>
    <w:p>
      <w:pPr>
        <w:pStyle w:val="Corpsdetexte"/>
        <w:numPr>
          <w:ilvl w:val="0"/>
          <w:numId w:val="26"/>
        </w:numPr>
        <w:rPr/>
      </w:pPr>
      <w:r>
        <w:rPr/>
        <w:t>Heures nuit et dimanche : 160€</w:t>
      </w:r>
    </w:p>
    <w:p>
      <w:pPr>
        <w:pStyle w:val="Corpsdetexte"/>
        <w:rPr/>
      </w:pPr>
      <w:r>
        <w:rPr/>
        <w:t>Pour le PCTT de Nanterre la consommation énergétique serait de :</w:t>
      </w:r>
    </w:p>
    <w:p>
      <w:pPr>
        <w:pStyle w:val="Normal"/>
        <w:rPr/>
      </w:pPr>
      <w:r>
        <w:rPr/>
        <w:t>3 splits système : 900€ par an pour les 3 climatiseurs</w:t>
      </w:r>
    </w:p>
    <w:p>
      <w:pPr>
        <w:pStyle w:val="Titre3"/>
        <w:rPr/>
      </w:pPr>
      <w:bookmarkStart w:id="1325" w:name="_Toc32334951"/>
      <w:bookmarkStart w:id="1326" w:name="_Toc401219563"/>
      <w:bookmarkStart w:id="1327" w:name="_Toc395701164"/>
      <w:bookmarkStart w:id="1328" w:name="_Toc395636901"/>
      <w:bookmarkStart w:id="1329" w:name="_Toc392231489"/>
      <w:r>
        <w:rPr/>
        <w:t>Systèmes de Sureté et de Sécurité</w:t>
      </w:r>
      <w:bookmarkEnd w:id="1325"/>
      <w:bookmarkEnd w:id="1326"/>
      <w:bookmarkEnd w:id="1327"/>
      <w:bookmarkEnd w:id="1328"/>
      <w:bookmarkEnd w:id="1329"/>
    </w:p>
    <w:p>
      <w:pPr>
        <w:pStyle w:val="Corpsdetexte"/>
        <w:rPr/>
      </w:pPr>
      <w:r>
        <w:rPr/>
        <w:t>Les hypothèses de maintenance sont établies sur la base des normes Françaises et des règles APSAD.</w:t>
      </w:r>
    </w:p>
    <w:p>
      <w:pPr>
        <w:pStyle w:val="Corpsdetexte"/>
        <w:rPr/>
      </w:pPr>
      <w:r>
        <w:rPr/>
        <w:t>Les équipements de Sureté et Sécurité concernés donnent lieu aux prestations de maintenances suivantes :</w:t>
      </w:r>
    </w:p>
    <w:p>
      <w:pPr>
        <w:pStyle w:val="Corpsdetexte"/>
        <w:numPr>
          <w:ilvl w:val="0"/>
          <w:numId w:val="26"/>
        </w:numPr>
        <w:rPr/>
      </w:pPr>
      <w:r>
        <w:rPr/>
        <w:t>Une visite annuelle de vérification et de maintenance de l’éclairage de sécurité selon NFC 830,</w:t>
      </w:r>
    </w:p>
    <w:p>
      <w:pPr>
        <w:pStyle w:val="Corpsdetexte"/>
        <w:numPr>
          <w:ilvl w:val="0"/>
          <w:numId w:val="26"/>
        </w:numPr>
        <w:rPr/>
      </w:pPr>
      <w:r>
        <w:rPr/>
        <w:t>Une visite annuelle de maintenance des équipements de sécurité incendie selon NFS 61 933,</w:t>
      </w:r>
    </w:p>
    <w:p>
      <w:pPr>
        <w:pStyle w:val="Corpsdetexte"/>
        <w:numPr>
          <w:ilvl w:val="0"/>
          <w:numId w:val="26"/>
        </w:numPr>
        <w:rPr/>
      </w:pPr>
      <w:r>
        <w:rPr/>
        <w:t>Visite d’inspection des extincteurs selon règlementation APSAD R4 et NF Service.</w:t>
      </w:r>
    </w:p>
    <w:p>
      <w:pPr>
        <w:pStyle w:val="Corpsdetexte"/>
        <w:rPr/>
      </w:pPr>
      <w:r>
        <w:rPr/>
        <w:t>Les équipements pris en compte pour l’estimation des coûts de maintenance sont :</w:t>
      </w:r>
    </w:p>
    <w:p>
      <w:pPr>
        <w:pStyle w:val="Corpsdetexte"/>
        <w:numPr>
          <w:ilvl w:val="0"/>
          <w:numId w:val="26"/>
        </w:numPr>
        <w:rPr/>
      </w:pPr>
      <w:r>
        <w:rPr/>
        <w:t>4 blocs autonomes d’éclairage de sécurité,</w:t>
      </w:r>
    </w:p>
    <w:p>
      <w:pPr>
        <w:pStyle w:val="Corpsdetexte"/>
        <w:numPr>
          <w:ilvl w:val="0"/>
          <w:numId w:val="26"/>
        </w:numPr>
        <w:rPr/>
      </w:pPr>
      <w:r>
        <w:rPr/>
        <w:t>1 système de contrôle d’accès équipé d’une centrale et de deux lecteurs de badge,</w:t>
      </w:r>
    </w:p>
    <w:p>
      <w:pPr>
        <w:pStyle w:val="Corpsdetexte"/>
        <w:numPr>
          <w:ilvl w:val="0"/>
          <w:numId w:val="26"/>
        </w:numPr>
        <w:rPr/>
      </w:pPr>
      <w:r>
        <w:rPr/>
        <w:t>13 détecteurs de fumée optiques,</w:t>
      </w:r>
    </w:p>
    <w:p>
      <w:pPr>
        <w:pStyle w:val="Corpsdetexte"/>
        <w:numPr>
          <w:ilvl w:val="0"/>
          <w:numId w:val="26"/>
        </w:numPr>
        <w:rPr/>
      </w:pPr>
      <w:r>
        <w:rPr/>
        <w:t>1 détecteur de fumée thermique,</w:t>
      </w:r>
    </w:p>
    <w:p>
      <w:pPr>
        <w:pStyle w:val="ListParagraph"/>
        <w:numPr>
          <w:ilvl w:val="0"/>
          <w:numId w:val="26"/>
        </w:numPr>
        <w:rPr/>
      </w:pPr>
      <w:r>
        <w:rPr/>
        <w:t>2 extincteurs à eau pulvérisée + additif classe AB 6Kg,</w:t>
      </w:r>
    </w:p>
    <w:p>
      <w:pPr>
        <w:pStyle w:val="Corpsdetexte"/>
        <w:numPr>
          <w:ilvl w:val="0"/>
          <w:numId w:val="26"/>
        </w:numPr>
        <w:rPr/>
      </w:pPr>
      <w:r>
        <w:rPr/>
        <w:t>1 extincteur CO2 5kg.</w:t>
      </w:r>
    </w:p>
    <w:p>
      <w:pPr>
        <w:pStyle w:val="Corpsdetexte"/>
        <w:rPr/>
      </w:pPr>
      <w:r>
        <w:rPr/>
        <w:t>Intervention sous 4 heures 24/24h et 7/7jour y compris les jours féries</w:t>
      </w:r>
    </w:p>
    <w:p>
      <w:pPr>
        <w:pStyle w:val="Corpsdetexte"/>
        <w:rPr/>
      </w:pPr>
      <w:r>
        <w:rPr/>
        <w:t xml:space="preserve">Astreinte téléphonique avec rappel dans les 4 heures </w:t>
      </w:r>
    </w:p>
    <w:p>
      <w:pPr>
        <w:pStyle w:val="Titre3"/>
        <w:rPr/>
      </w:pPr>
      <w:bookmarkStart w:id="1330" w:name="_Toc32334952"/>
      <w:bookmarkStart w:id="1331" w:name="_Toc401219564"/>
      <w:bookmarkStart w:id="1332" w:name="_Toc395701165"/>
      <w:bookmarkStart w:id="1333" w:name="_Toc395636902"/>
      <w:r>
        <w:rPr/>
        <w:t>Tableaux Généraux Basse Tension</w:t>
      </w:r>
      <w:bookmarkEnd w:id="1330"/>
      <w:bookmarkEnd w:id="1331"/>
      <w:bookmarkEnd w:id="1332"/>
      <w:bookmarkEnd w:id="1333"/>
    </w:p>
    <w:p>
      <w:pPr>
        <w:pStyle w:val="Corpsdetexte"/>
        <w:rPr>
          <w:szCs w:val="22"/>
        </w:rPr>
      </w:pPr>
      <w:r>
        <w:rPr>
          <w:szCs w:val="22"/>
        </w:rPr>
        <w:t xml:space="preserve">Fréquence indicative : annuelle </w:t>
      </w:r>
    </w:p>
    <w:p>
      <w:pPr>
        <w:pStyle w:val="Corpsdetexte"/>
        <w:rPr>
          <w:szCs w:val="22"/>
        </w:rPr>
      </w:pPr>
      <w:r>
        <w:rPr>
          <w:szCs w:val="22"/>
        </w:rPr>
        <w:t>Prestation de maintenance prévue :</w:t>
      </w:r>
    </w:p>
    <w:p>
      <w:pPr>
        <w:pStyle w:val="Corpsdetexte"/>
        <w:numPr>
          <w:ilvl w:val="0"/>
          <w:numId w:val="26"/>
        </w:numPr>
        <w:rPr/>
      </w:pPr>
      <w:r>
        <w:rPr/>
        <w:t>Consignation,</w:t>
      </w:r>
    </w:p>
    <w:p>
      <w:pPr>
        <w:pStyle w:val="Corpsdetexte"/>
        <w:numPr>
          <w:ilvl w:val="0"/>
          <w:numId w:val="26"/>
        </w:numPr>
        <w:rPr/>
      </w:pPr>
      <w:r>
        <w:rPr/>
        <w:t>Vérifications et contrôles visuels de l'état général,</w:t>
      </w:r>
    </w:p>
    <w:p>
      <w:pPr>
        <w:pStyle w:val="Corpsdetexte"/>
        <w:numPr>
          <w:ilvl w:val="0"/>
          <w:numId w:val="26"/>
        </w:numPr>
        <w:rPr/>
      </w:pPr>
      <w:r>
        <w:rPr/>
        <w:t>Vérifications et contrôles du fonctionnement des alarmes, des signalisations et le report vers la GTC,</w:t>
      </w:r>
    </w:p>
    <w:p>
      <w:pPr>
        <w:pStyle w:val="Corpsdetexte"/>
        <w:numPr>
          <w:ilvl w:val="0"/>
          <w:numId w:val="26"/>
        </w:numPr>
        <w:rPr/>
      </w:pPr>
      <w:r>
        <w:rPr/>
        <w:t>Vérifications et contrôles des dispositifs de sécurité (déclenchement des protections, relais et disjoncteurs différentiels),</w:t>
      </w:r>
    </w:p>
    <w:p>
      <w:pPr>
        <w:pStyle w:val="Corpsdetexte"/>
        <w:numPr>
          <w:ilvl w:val="0"/>
          <w:numId w:val="26"/>
        </w:numPr>
        <w:rPr/>
      </w:pPr>
      <w:r>
        <w:rPr/>
        <w:t>Vérifications et contrôles des mises à la terre,</w:t>
      </w:r>
    </w:p>
    <w:p>
      <w:pPr>
        <w:pStyle w:val="Corpsdetexte"/>
        <w:numPr>
          <w:ilvl w:val="0"/>
          <w:numId w:val="26"/>
        </w:numPr>
        <w:rPr/>
      </w:pPr>
      <w:r>
        <w:rPr/>
        <w:t>Resserrage des connexions électriques,</w:t>
      </w:r>
    </w:p>
    <w:p>
      <w:pPr>
        <w:pStyle w:val="Corpsdetexte"/>
        <w:numPr>
          <w:ilvl w:val="0"/>
          <w:numId w:val="26"/>
        </w:numPr>
        <w:rPr/>
      </w:pPr>
      <w:r>
        <w:rPr/>
        <w:t>Nettoyages et dépoussiérages internes et externes des armoires,</w:t>
      </w:r>
    </w:p>
    <w:p>
      <w:pPr>
        <w:pStyle w:val="Corpsdetexte"/>
        <w:numPr>
          <w:ilvl w:val="0"/>
          <w:numId w:val="26"/>
        </w:numPr>
        <w:rPr/>
      </w:pPr>
      <w:r>
        <w:rPr/>
        <w:t>Toutes opérations et manœuvres permettant d’assurer les fonctionnalités minimales en cas de panne constatée et nécessitant une intervention programmée ultérieure,</w:t>
      </w:r>
    </w:p>
    <w:p>
      <w:pPr>
        <w:pStyle w:val="Corpsdetexte"/>
        <w:numPr>
          <w:ilvl w:val="0"/>
          <w:numId w:val="26"/>
        </w:numPr>
        <w:rPr/>
      </w:pPr>
      <w:r>
        <w:rPr/>
        <w:t>Essais en mode manuel local et en mode distant asservi à la GTC,</w:t>
      </w:r>
    </w:p>
    <w:p>
      <w:pPr>
        <w:pStyle w:val="Corpsdetexte"/>
        <w:numPr>
          <w:ilvl w:val="0"/>
          <w:numId w:val="26"/>
        </w:numPr>
        <w:rPr/>
      </w:pPr>
      <w:r>
        <w:rPr/>
        <w:t>Relevés des compteurs de fonctionnement (durée, nombre de manœuvres),</w:t>
      </w:r>
    </w:p>
    <w:p>
      <w:pPr>
        <w:pStyle w:val="Corpsdetexte"/>
        <w:numPr>
          <w:ilvl w:val="0"/>
          <w:numId w:val="26"/>
        </w:numPr>
        <w:rPr/>
      </w:pPr>
      <w:r>
        <w:rPr/>
        <w:t>Vérifications et contrôles du relayage (armoire de couplage, basculement normal/secours),</w:t>
      </w:r>
    </w:p>
    <w:p>
      <w:pPr>
        <w:pStyle w:val="Corpsdetexte"/>
        <w:numPr>
          <w:ilvl w:val="0"/>
          <w:numId w:val="26"/>
        </w:numPr>
        <w:rPr/>
      </w:pPr>
      <w:r>
        <w:rPr/>
        <w:t>Vérification et le réglage des verrouillages mécanique,</w:t>
      </w:r>
    </w:p>
    <w:p>
      <w:pPr>
        <w:pStyle w:val="Corpsdetexte"/>
        <w:numPr>
          <w:ilvl w:val="0"/>
          <w:numId w:val="26"/>
        </w:numPr>
        <w:rPr/>
      </w:pPr>
      <w:r>
        <w:rPr/>
        <w:t>Vérification du fonctionnement des voyants, fusibles,</w:t>
      </w:r>
    </w:p>
    <w:p>
      <w:pPr>
        <w:pStyle w:val="Corpsdetexte"/>
        <w:numPr>
          <w:ilvl w:val="0"/>
          <w:numId w:val="26"/>
        </w:numPr>
        <w:rPr/>
      </w:pPr>
      <w:r>
        <w:rPr/>
        <w:t>Déconsignation.</w:t>
      </w:r>
    </w:p>
    <w:p>
      <w:pPr>
        <w:pStyle w:val="Corpsdetexte"/>
        <w:numPr>
          <w:ilvl w:val="0"/>
          <w:numId w:val="26"/>
        </w:numPr>
        <w:rPr/>
      </w:pPr>
      <w:r>
        <w:rPr/>
        <w:t>Rapport de visite.</w:t>
      </w:r>
    </w:p>
    <w:p>
      <w:pPr>
        <w:pStyle w:val="TEXTE"/>
        <w:rPr/>
      </w:pPr>
      <w:r>
        <w:rPr/>
        <w:t>Coût de la maintenance annuelle pour 1 TGBT : 1000 €</w:t>
      </w:r>
    </w:p>
    <w:p>
      <w:pPr>
        <w:pStyle w:val="TEXTE"/>
        <w:rPr/>
      </w:pPr>
      <w:r>
        <w:rPr/>
        <w:t>Coût de la maintenance annuelle pour 1 armoire de distribution électrique : 250 €</w:t>
      </w:r>
    </w:p>
    <w:p>
      <w:pPr>
        <w:pStyle w:val="Titre3"/>
        <w:rPr/>
      </w:pPr>
      <w:bookmarkStart w:id="1334" w:name="_Toc32334953"/>
      <w:bookmarkStart w:id="1335" w:name="_Toc401219565"/>
      <w:bookmarkStart w:id="1336" w:name="_Toc395701166"/>
      <w:bookmarkStart w:id="1337" w:name="_Toc395636906"/>
      <w:bookmarkStart w:id="1338" w:name="_Toc392231491"/>
      <w:r>
        <w:rPr/>
        <w:t>Nettoyage</w:t>
      </w:r>
      <w:bookmarkEnd w:id="1334"/>
      <w:bookmarkEnd w:id="1335"/>
      <w:bookmarkEnd w:id="1336"/>
      <w:bookmarkEnd w:id="1337"/>
      <w:bookmarkEnd w:id="1338"/>
    </w:p>
    <w:p>
      <w:pPr>
        <w:pStyle w:val="Corpsdetexte"/>
        <w:rPr/>
      </w:pPr>
      <w:r>
        <w:rPr/>
        <w:t>Les prestations de nettoyage concernent les locaux et mobiliers nouveaux entrant dans le périmètre du projet :</w:t>
      </w:r>
    </w:p>
    <w:p>
      <w:pPr>
        <w:pStyle w:val="Corpsdetexte"/>
        <w:numPr>
          <w:ilvl w:val="0"/>
          <w:numId w:val="26"/>
        </w:numPr>
        <w:rPr/>
      </w:pPr>
      <w:r>
        <w:rPr/>
        <w:t>Salle de crise, salle d’exploitation,</w:t>
      </w:r>
    </w:p>
    <w:p>
      <w:pPr>
        <w:pStyle w:val="Corpsdetexte"/>
        <w:numPr>
          <w:ilvl w:val="0"/>
          <w:numId w:val="26"/>
        </w:numPr>
        <w:rPr/>
      </w:pPr>
      <w:r>
        <w:rPr/>
        <w:t>Locaux techniques,</w:t>
      </w:r>
    </w:p>
    <w:p>
      <w:pPr>
        <w:pStyle w:val="Corpsdetexte"/>
        <w:numPr>
          <w:ilvl w:val="0"/>
          <w:numId w:val="26"/>
        </w:numPr>
        <w:rPr/>
      </w:pPr>
      <w:r>
        <w:rPr/>
        <w:t>Mobiliers sur mesures et mobiliers standards.</w:t>
      </w:r>
    </w:p>
    <w:p>
      <w:pPr>
        <w:pStyle w:val="Corpsdetexte"/>
        <w:rPr/>
      </w:pPr>
      <w:r>
        <w:rPr/>
        <w:t>Les prestations de nettoyage sont basées sur la mise en œuvre de technique ayant pour objectif de limiter les impacts sur l’environnement grâce à l’utilisation de produits éco-responsables conformes aux exigences de l’2co-label européen.</w:t>
      </w:r>
    </w:p>
    <w:p>
      <w:pPr>
        <w:pStyle w:val="Corpsdetexte"/>
        <w:rPr/>
      </w:pPr>
      <w:r>
        <w:rPr/>
        <w:t>Les interventions sont prévues 5 jours par semaine, elles concernent :</w:t>
      </w:r>
    </w:p>
    <w:p>
      <w:pPr>
        <w:pStyle w:val="Corpsdetexte"/>
        <w:numPr>
          <w:ilvl w:val="0"/>
          <w:numId w:val="26"/>
        </w:numPr>
        <w:rPr/>
      </w:pPr>
      <w:r>
        <w:rPr/>
        <w:t>La désinfection des appareils téléphoniques,</w:t>
      </w:r>
    </w:p>
    <w:p>
      <w:pPr>
        <w:pStyle w:val="Corpsdetexte"/>
        <w:numPr>
          <w:ilvl w:val="0"/>
          <w:numId w:val="26"/>
        </w:numPr>
        <w:rPr/>
      </w:pPr>
      <w:r>
        <w:rPr/>
        <w:t>Le nettoyage des sols lisses et aspiration des moquettes (manuel ou mécanique),</w:t>
      </w:r>
    </w:p>
    <w:p>
      <w:pPr>
        <w:pStyle w:val="Corpsdetexte"/>
        <w:numPr>
          <w:ilvl w:val="0"/>
          <w:numId w:val="26"/>
        </w:numPr>
        <w:rPr/>
      </w:pPr>
      <w:r>
        <w:rPr/>
        <w:t>Le nettoyage des mobiliers de bureaux y compris les pupitres et objets meublants avec produits adaptés à la surface,</w:t>
      </w:r>
    </w:p>
    <w:p>
      <w:pPr>
        <w:pStyle w:val="Corpsdetexte"/>
        <w:numPr>
          <w:ilvl w:val="0"/>
          <w:numId w:val="26"/>
        </w:numPr>
        <w:rPr/>
      </w:pPr>
      <w:r>
        <w:rPr/>
        <w:t>Le dépoussiérage et nettoyage des plinthes, radiateurs, interrupteurs, armoires, luminaires,</w:t>
      </w:r>
    </w:p>
    <w:p>
      <w:pPr>
        <w:pStyle w:val="Corpsdetexte"/>
        <w:numPr>
          <w:ilvl w:val="0"/>
          <w:numId w:val="26"/>
        </w:numPr>
        <w:rPr/>
      </w:pPr>
      <w:r>
        <w:rPr/>
        <w:t>Le nettoyage des cloisons vitrées.</w:t>
      </w:r>
    </w:p>
    <w:p>
      <w:pPr>
        <w:pStyle w:val="Titre3"/>
        <w:rPr/>
      </w:pPr>
      <w:bookmarkStart w:id="1339" w:name="_Toc32334954"/>
      <w:bookmarkStart w:id="1340" w:name="_Toc401219566"/>
      <w:bookmarkStart w:id="1341" w:name="_Toc395701167"/>
      <w:bookmarkStart w:id="1342" w:name="_Toc395636907"/>
      <w:bookmarkStart w:id="1343" w:name="_Toc392231492"/>
      <w:r>
        <w:rPr/>
        <w:t>Récapitulatif</w:t>
      </w:r>
      <w:bookmarkStart w:id="1344" w:name="_MON_1469458480"/>
      <w:bookmarkEnd w:id="1339"/>
      <w:bookmarkEnd w:id="1340"/>
      <w:bookmarkEnd w:id="1341"/>
      <w:bookmarkEnd w:id="1342"/>
      <w:bookmarkEnd w:id="1343"/>
      <w:bookmarkEnd w:id="1344"/>
    </w:p>
    <w:p>
      <w:pPr>
        <w:pStyle w:val="Corpsdetexte"/>
        <w:rPr/>
      </w:pPr>
      <w:r>
        <w:rPr/>
        <w:object w:dxaOrig="8960" w:dyaOrig="3328">
          <v:shapetype id="_x0000_tole_rId34" coordsize="21600,21600" o:spt="ole_rId3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4" type="_x0000_tole_rId34" style="width:432pt;height:165.85pt;mso-wrap-distance-right:0pt" filled="f" o:ole="">
            <v:imagedata r:id="rId35" o:title=""/>
          </v:shape>
          <o:OLEObject Type="Embed" ProgID="Excel.Sheet.12" ShapeID="ole_rId34" DrawAspect="Content" ObjectID="_474836532" r:id="rId34"/>
        </w:object>
      </w:r>
    </w:p>
    <w:p>
      <w:pPr>
        <w:pStyle w:val="Corpsdetexte"/>
        <w:rPr/>
      </w:pPr>
      <w:r>
        <w:rPr/>
        <w:t>Les couts d’exploitation et de maintenance ont été établis pour une période d’un an sur l’hypothèse d’un prix de 15centimes d’euros du kW/h comprenant la consommation et l’abonnement.</w:t>
      </w:r>
    </w:p>
    <w:p>
      <w:pPr>
        <w:pStyle w:val="TEXTE"/>
        <w:keepNext w:val="true"/>
        <w:spacing w:before="200" w:after="240"/>
        <w:ind w:left="2694" w:hanging="0"/>
        <w:rPr/>
      </w:pPr>
      <w:r>
        <w:rPr/>
        <w:t>------------------------------------</w:t>
      </w:r>
    </w:p>
    <w:sectPr>
      <w:headerReference w:type="default" r:id="rId36"/>
      <w:footerReference w:type="default" r:id="rId37"/>
      <w:type w:val="nextPage"/>
      <w:pgSz w:w="11906" w:h="16838"/>
      <w:pgMar w:left="1985" w:right="1134" w:gutter="0" w:header="454" w:top="2268" w:footer="454" w:bottom="1418"/>
      <w:pgNumType w:fmt="decimal"/>
      <w:formProt w:val="false"/>
      <w:textDirection w:val="lrTb"/>
      <w:docGrid w:type="default" w:linePitch="272"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Arial Black">
    <w:charset w:val="00"/>
    <w:family w:val="roman"/>
    <w:pitch w:val="variable"/>
  </w:font>
  <w:font w:name="Tahoma">
    <w:charset w:val="00"/>
    <w:family w:val="roman"/>
    <w:pitch w:val="variable"/>
  </w:font>
  <w:font w:name="Liberation Sans">
    <w:altName w:val="Arial"/>
    <w:charset w:val="00"/>
    <w:family w:val="swiss"/>
    <w:pitch w:val="variable"/>
  </w:font>
  <w:font w:name="Calibri">
    <w:charset w:val="00"/>
    <w:family w:val="roman"/>
    <w:pitch w:val="variable"/>
  </w:font>
  <w:font w:name="Arial Gras">
    <w:charset w:val="00"/>
    <w:family w:val="roman"/>
    <w:pitch w:val="variable"/>
  </w:font>
  <w:font w:name="Arial Narrow">
    <w:charset w:val="00"/>
    <w:family w:val="roman"/>
    <w:pitch w:val="variable"/>
  </w:font>
  <w:font w:name="ArialMT">
    <w:charset w:val="00"/>
    <w:family w:val="roman"/>
    <w:pitch w:val="variable"/>
  </w:font>
  <w:font w:name="Arial-BoldMT">
    <w:charset w:val="00"/>
    <w:family w:val="roman"/>
    <w:pitch w:val="variable"/>
  </w:font>
  <w:font w:name="TimesNewRomanPSMT">
    <w:charset w:val="00"/>
    <w:family w:val="roman"/>
    <w:pitch w:val="variable"/>
  </w:font>
  <w:font w:name="Courier New">
    <w:charset w:val="01"/>
    <w:family w:val="modern"/>
    <w:pitch w:val="fixed"/>
  </w:font>
  <w:font w:name="Wingdings">
    <w:charset w:val="02"/>
    <w:family w:val="auto"/>
    <w:pitch w:val="variable"/>
  </w:font>
  <w:font w:name="Arial">
    <w:charset w:val="01"/>
    <w:family w:val="swiss"/>
    <w:pitch w:val="variable"/>
  </w:font>
  <w:font w:name="Arial MT Black">
    <w:charset w:val="01"/>
    <w:family w:val="auto"/>
    <w:pitch w:val="default"/>
  </w:font>
  <w:font w:name="OpenSymbol">
    <w:altName w:val="Arial Unicode MS"/>
    <w:charset w:val="01"/>
    <w:family w:val="auto"/>
    <w:pitch w:val="variable"/>
  </w:font>
  <w:font w:name="OpenSymbol">
    <w:altName w:val="Arial Unicode MS"/>
    <w:charset w:val="01"/>
    <w:family w:val="auto"/>
    <w:pitch w:val="default"/>
  </w:font>
  <w:font w:name="Wingdings 2">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par"/>
      <w:rPr>
        <w:bCs/>
      </w:rPr>
    </w:pPr>
    <w:r>
      <w:rPr/>
      <w:drawing>
        <wp:inline distT="0" distB="0" distL="0" distR="0">
          <wp:extent cx="895350" cy="285750"/>
          <wp:effectExtent l="0" t="0" r="0" b="0"/>
          <wp:docPr id="2" name="Image 4" descr="Description : Description : Description : petit logo suite let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4" descr="Description : Description : Description : petit logo suite lettre"/>
                  <pic:cNvPicPr>
                    <a:picLocks noChangeAspect="1" noChangeArrowheads="1"/>
                  </pic:cNvPicPr>
                </pic:nvPicPr>
                <pic:blipFill>
                  <a:blip r:embed="rId1">
                    <a:grayscl/>
                  </a:blip>
                  <a:stretch>
                    <a:fillRect/>
                  </a:stretch>
                </pic:blipFill>
                <pic:spPr bwMode="auto">
                  <a:xfrm>
                    <a:off x="0" y="0"/>
                    <a:ext cx="895350" cy="285750"/>
                  </a:xfrm>
                  <a:prstGeom prst="rect">
                    <a:avLst/>
                  </a:prstGeom>
                </pic:spPr>
              </pic:pic>
            </a:graphicData>
          </a:graphic>
        </wp:inline>
      </w:drawing>
    </w:r>
    <w:r>
      <w:rPr/>
      <w:t xml:space="preserve"> </w:t>
    </w:r>
    <w:r>
      <w:rPr/>
      <w:t xml:space="preserve">/ </w:t>
    </w:r>
    <w:r>
      <w:fldChar w:fldCharType="begin"/>
    </w:r>
    <w:r>
      <w:rPr/>
      <w:instrText>STYLEREF  PDG8  \* MERGEFORMAT</w:instrText>
    </w:r>
    <w:r>
      <w:rPr/>
    </w:r>
    <w:r>
      <w:rPr/>
      <w:fldChar w:fldCharType="separate"/>
    </w:r>
    <w:r>
      <w:rPr/>
      <w:t>4940043 PROv2</w:t>
    </w:r>
    <w:r>
      <w:rPr/>
    </w:r>
    <w:r>
      <w:rPr/>
      <w:fldChar w:fldCharType="end"/>
    </w:r>
    <w:r>
      <w:rPr/>
      <w:t xml:space="preserve"> / février 2020</w:t>
      <w:tab/>
    </w:r>
  </w:p>
  <w:p>
    <w:pPr>
      <w:pStyle w:val="PT"/>
      <w:rPr>
        <w:sz w:val="6"/>
      </w:rPr>
    </w:pPr>
    <w:r>
      <w:rPr>
        <w:sz w:val="6"/>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eddepage"/>
      <w:jc w:val="right"/>
      <w:rPr/>
    </w:pPr>
    <w:r>
      <w:rPr/>
    </w:r>
  </w:p>
  <w:p>
    <w:pPr>
      <w:pStyle w:val="Ppar"/>
      <w:tabs>
        <w:tab w:val="clear" w:pos="9582"/>
        <w:tab w:val="right" w:pos="8789" w:leader="none"/>
      </w:tabs>
      <w:rPr>
        <w:rStyle w:val="Pagenumber"/>
        <w:bCs/>
      </w:rPr>
    </w:pPr>
    <w:r>
      <w:rPr/>
      <w:drawing>
        <wp:inline distT="0" distB="0" distL="0" distR="0">
          <wp:extent cx="895350" cy="285750"/>
          <wp:effectExtent l="0" t="0" r="0" b="0"/>
          <wp:docPr id="22" name="Image8" descr="Description : Description : Description : petit logo suite let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8" descr="Description : Description : Description : petit logo suite lettre"/>
                  <pic:cNvPicPr>
                    <a:picLocks noChangeAspect="1" noChangeArrowheads="1"/>
                  </pic:cNvPicPr>
                </pic:nvPicPr>
                <pic:blipFill>
                  <a:blip r:embed="rId1">
                    <a:grayscl/>
                  </a:blip>
                  <a:stretch>
                    <a:fillRect/>
                  </a:stretch>
                </pic:blipFill>
                <pic:spPr bwMode="auto">
                  <a:xfrm>
                    <a:off x="0" y="0"/>
                    <a:ext cx="895350" cy="285750"/>
                  </a:xfrm>
                  <a:prstGeom prst="rect">
                    <a:avLst/>
                  </a:prstGeom>
                </pic:spPr>
              </pic:pic>
            </a:graphicData>
          </a:graphic>
        </wp:inline>
      </w:drawing>
    </w:r>
    <w:r>
      <w:rPr/>
      <w:t xml:space="preserve"> </w:t>
    </w:r>
    <w:r>
      <w:rPr/>
      <w:t xml:space="preserve">/ </w:t>
    </w:r>
    <w:r>
      <w:fldChar w:fldCharType="begin"/>
    </w:r>
    <w:r>
      <w:rPr/>
      <w:instrText>STYLEREF  PDG8  \* MERGEFORMAT</w:instrText>
    </w:r>
    <w:r>
      <w:rPr/>
    </w:r>
    <w:r>
      <w:rPr/>
      <w:fldChar w:fldCharType="separate"/>
    </w:r>
    <w:r>
      <w:rPr/>
      <w:t>4940043 PROv2</w:t>
    </w:r>
    <w:r>
      <w:rPr/>
    </w:r>
    <w:r>
      <w:rPr/>
      <w:fldChar w:fldCharType="end"/>
    </w:r>
    <w:r>
      <w:rPr/>
      <w:t xml:space="preserve"> /février 2020</w:t>
      <w:tab/>
    </w:r>
    <w:r>
      <w:rPr>
        <w:rStyle w:val="Pagenumber"/>
        <w:bCs/>
      </w:rPr>
      <w:fldChar w:fldCharType="begin"/>
    </w:r>
    <w:r>
      <w:rPr>
        <w:rStyle w:val="Pagenumber"/>
        <w:bCs/>
      </w:rPr>
      <w:instrText> PAGE </w:instrText>
    </w:r>
    <w:r>
      <w:rPr>
        <w:rStyle w:val="Pagenumber"/>
        <w:bCs/>
      </w:rPr>
      <w:fldChar w:fldCharType="separate"/>
    </w:r>
    <w:r>
      <w:rPr>
        <w:rStyle w:val="Pagenumber"/>
        <w:bCs/>
      </w:rPr>
      <w:t>143</w:t>
    </w:r>
    <w:r>
      <w:rPr>
        <w:rStyle w:val="Pagenumber"/>
        <w:bCs/>
      </w:rPr>
      <w:fldChar w:fldCharType="end"/>
    </w:r>
  </w:p>
  <w:p>
    <w:pPr>
      <w:pStyle w:val="Pieddepage"/>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eddepage"/>
      <w:jc w:val="right"/>
      <w:rPr/>
    </w:pPr>
    <w:r>
      <w:rPr/>
    </w:r>
  </w:p>
  <w:p>
    <w:pPr>
      <w:pStyle w:val="Ppar"/>
      <w:tabs>
        <w:tab w:val="clear" w:pos="9582"/>
        <w:tab w:val="right" w:pos="8789" w:leader="none"/>
      </w:tabs>
      <w:rPr>
        <w:rStyle w:val="Pagenumber"/>
        <w:bCs/>
      </w:rPr>
    </w:pPr>
    <w:r>
      <w:rPr/>
      <w:drawing>
        <wp:inline distT="0" distB="0" distL="0" distR="0">
          <wp:extent cx="895350" cy="285750"/>
          <wp:effectExtent l="0" t="0" r="0" b="0"/>
          <wp:docPr id="24" name="" descr="Description : Description : Description : petit logo suite let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 descr="Description : Description : Description : petit logo suite lettre"/>
                  <pic:cNvPicPr>
                    <a:picLocks noChangeAspect="1" noChangeArrowheads="1"/>
                  </pic:cNvPicPr>
                </pic:nvPicPr>
                <pic:blipFill>
                  <a:blip r:embed="rId1">
                    <a:grayscl/>
                  </a:blip>
                  <a:stretch>
                    <a:fillRect/>
                  </a:stretch>
                </pic:blipFill>
                <pic:spPr bwMode="auto">
                  <a:xfrm>
                    <a:off x="0" y="0"/>
                    <a:ext cx="895350" cy="285750"/>
                  </a:xfrm>
                  <a:prstGeom prst="rect">
                    <a:avLst/>
                  </a:prstGeom>
                </pic:spPr>
              </pic:pic>
            </a:graphicData>
          </a:graphic>
        </wp:inline>
      </w:drawing>
    </w:r>
    <w:r>
      <w:rPr/>
      <w:t xml:space="preserve"> </w:t>
    </w:r>
    <w:r>
      <w:rPr/>
      <w:t xml:space="preserve">/ </w:t>
    </w:r>
    <w:r>
      <w:fldChar w:fldCharType="begin"/>
    </w:r>
    <w:r>
      <w:rPr/>
      <w:instrText>STYLEREF  PDG8  \* MERGEFORMAT</w:instrText>
    </w:r>
    <w:r>
      <w:rPr/>
    </w:r>
    <w:r>
      <w:rPr/>
      <w:fldChar w:fldCharType="separate"/>
    </w:r>
    <w:r>
      <w:rPr/>
      <w:t>4940043 PROv2</w:t>
    </w:r>
    <w:r>
      <w:rPr/>
    </w:r>
    <w:r>
      <w:rPr/>
      <w:fldChar w:fldCharType="end"/>
    </w:r>
    <w:r>
      <w:rPr/>
      <w:t xml:space="preserve"> /février 2020</w:t>
      <w:tab/>
    </w:r>
    <w:r>
      <w:rPr>
        <w:rStyle w:val="Pagenumber"/>
        <w:bCs/>
      </w:rPr>
      <w:fldChar w:fldCharType="begin"/>
    </w:r>
    <w:r>
      <w:rPr>
        <w:rStyle w:val="Pagenumber"/>
        <w:bCs/>
      </w:rPr>
      <w:instrText> PAGE </w:instrText>
    </w:r>
    <w:r>
      <w:rPr>
        <w:rStyle w:val="Pagenumber"/>
        <w:bCs/>
      </w:rPr>
      <w:fldChar w:fldCharType="separate"/>
    </w:r>
    <w:r>
      <w:rPr>
        <w:rStyle w:val="Pagenumber"/>
        <w:bCs/>
      </w:rPr>
      <w:t>144</w:t>
    </w:r>
    <w:r>
      <w:rPr>
        <w:rStyle w:val="Pagenumber"/>
        <w:bCs/>
      </w:rPr>
      <w:fldChar w:fldCharType="end"/>
    </w:r>
  </w:p>
  <w:p>
    <w:pPr>
      <w:pStyle w:val="Pieddepage"/>
      <w:rPr/>
    </w:pPr>
    <w:r>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eddepage"/>
      <w:jc w:val="right"/>
      <w:rPr/>
    </w:pPr>
    <w:r>
      <w:rPr/>
    </w:r>
  </w:p>
  <w:p>
    <w:pPr>
      <w:pStyle w:val="Ppar"/>
      <w:tabs>
        <w:tab w:val="clear" w:pos="9582"/>
        <w:tab w:val="right" w:pos="8789" w:leader="none"/>
      </w:tabs>
      <w:rPr>
        <w:rStyle w:val="Pagenumber"/>
        <w:bCs/>
      </w:rPr>
    </w:pPr>
    <w:r>
      <w:rPr/>
      <w:drawing>
        <wp:inline distT="0" distB="0" distL="0" distR="0">
          <wp:extent cx="895350" cy="285750"/>
          <wp:effectExtent l="0" t="0" r="0" b="0"/>
          <wp:docPr id="26" name="Image10" descr="Description : Description : Description : petit logo suite let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 descr="Description : Description : Description : petit logo suite lettre"/>
                  <pic:cNvPicPr>
                    <a:picLocks noChangeAspect="1" noChangeArrowheads="1"/>
                  </pic:cNvPicPr>
                </pic:nvPicPr>
                <pic:blipFill>
                  <a:blip r:embed="rId1">
                    <a:grayscl/>
                  </a:blip>
                  <a:stretch>
                    <a:fillRect/>
                  </a:stretch>
                </pic:blipFill>
                <pic:spPr bwMode="auto">
                  <a:xfrm>
                    <a:off x="0" y="0"/>
                    <a:ext cx="895350" cy="285750"/>
                  </a:xfrm>
                  <a:prstGeom prst="rect">
                    <a:avLst/>
                  </a:prstGeom>
                </pic:spPr>
              </pic:pic>
            </a:graphicData>
          </a:graphic>
        </wp:inline>
      </w:drawing>
    </w:r>
    <w:r>
      <w:rPr/>
      <w:t xml:space="preserve"> </w:t>
    </w:r>
    <w:r>
      <w:rPr/>
      <w:t xml:space="preserve">/ </w:t>
    </w:r>
    <w:r>
      <w:fldChar w:fldCharType="begin"/>
    </w:r>
    <w:r>
      <w:rPr/>
      <w:instrText>STYLEREF  PDG8  \* MERGEFORMAT</w:instrText>
    </w:r>
    <w:r>
      <w:rPr/>
    </w:r>
    <w:r>
      <w:rPr/>
      <w:fldChar w:fldCharType="separate"/>
    </w:r>
    <w:r>
      <w:rPr/>
    </w:r>
    <w:r>
      <w:rPr>
        <w:b/>
        <w:bCs/>
      </w:rPr>
      <w:t>4940043</w:t>
    </w:r>
    <w:r>
      <w:rPr/>
      <w:t xml:space="preserve"> PROv2</w:t>
    </w:r>
    <w:r>
      <w:rPr/>
    </w:r>
    <w:r>
      <w:rPr/>
      <w:fldChar w:fldCharType="end"/>
    </w:r>
    <w:r>
      <w:rPr/>
      <w:t xml:space="preserve"> / </w:t>
    </w:r>
    <w:r>
      <w:fldChar w:fldCharType="begin"/>
    </w:r>
    <w:r>
      <w:rPr/>
      <w:instrText>STYLEREF  PDG7  \* MERGEFORMAT</w:instrText>
    </w:r>
    <w:r>
      <w:rPr/>
    </w:r>
    <w:r>
      <w:rPr/>
      <w:fldChar w:fldCharType="separate"/>
    </w:r>
    <w:r>
      <w:rPr/>
    </w:r>
    <w:r>
      <w:rPr>
        <w:b/>
        <w:bCs/>
      </w:rPr>
      <w:t xml:space="preserve">février </w:t>
    </w:r>
    <w:r>
      <w:rPr/>
      <w:t>2020</w:t>
    </w:r>
    <w:r>
      <w:rPr/>
    </w:r>
    <w:r>
      <w:rPr/>
      <w:fldChar w:fldCharType="end"/>
    </w:r>
    <w:r>
      <w:rPr/>
      <w:tab/>
    </w:r>
    <w:r>
      <w:rPr>
        <w:rStyle w:val="Pagenumber"/>
        <w:bCs/>
      </w:rPr>
      <w:fldChar w:fldCharType="begin"/>
    </w:r>
    <w:r>
      <w:rPr>
        <w:rStyle w:val="Pagenumber"/>
        <w:bCs/>
      </w:rPr>
      <w:instrText> PAGE </w:instrText>
    </w:r>
    <w:r>
      <w:rPr>
        <w:rStyle w:val="Pagenumber"/>
        <w:bCs/>
      </w:rPr>
      <w:fldChar w:fldCharType="separate"/>
    </w:r>
    <w:r>
      <w:rPr>
        <w:rStyle w:val="Pagenumber"/>
        <w:bCs/>
      </w:rPr>
      <w:t>196</w:t>
    </w:r>
    <w:r>
      <w:rPr>
        <w:rStyle w:val="Pagenumber"/>
        <w:bCs/>
      </w:rPr>
      <w:fldChar w:fldCharType="end"/>
    </w:r>
  </w:p>
  <w:p>
    <w:pPr>
      <w:pStyle w:val="Pieddepage"/>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9639" w:type="dxa"/>
      <w:jc w:val="left"/>
      <w:tblInd w:w="-847" w:type="dxa"/>
      <w:tblLayout w:type="fixed"/>
      <w:tblCellMar>
        <w:top w:w="0" w:type="dxa"/>
        <w:left w:w="0" w:type="dxa"/>
        <w:bottom w:w="0" w:type="dxa"/>
        <w:right w:w="0" w:type="dxa"/>
      </w:tblCellMar>
      <w:tblLook w:firstRow="1" w:noVBand="1" w:lastRow="0" w:firstColumn="1" w:lastColumn="0" w:noHBand="0" w:val="04a0"/>
    </w:tblPr>
    <w:tblGrid>
      <w:gridCol w:w="9639"/>
    </w:tblGrid>
    <w:tr>
      <w:trPr>
        <w:trHeight w:val="1274" w:hRule="atLeast"/>
      </w:trPr>
      <w:tc>
        <w:tcPr>
          <w:tcW w:w="9639" w:type="dxa"/>
          <w:tcBorders/>
          <w:shd w:color="auto" w:fill="auto" w:val="clear"/>
        </w:tcPr>
        <w:p>
          <w:pPr>
            <w:pStyle w:val="ENT1"/>
            <w:widowControl w:val="false"/>
            <w:rPr/>
          </w:pPr>
          <w:r>
            <w:fldChar w:fldCharType="begin"/>
          </w:r>
          <w:r>
            <w:rPr/>
            <w:instrText>STYLEREF  PDG0  \* MERGEFORMAT</w:instrText>
          </w:r>
          <w:r>
            <w:rPr/>
          </w:r>
          <w:r>
            <w:rPr/>
            <w:fldChar w:fldCharType="separate"/>
          </w:r>
          <w:r>
            <w:rPr/>
            <w:t>DRIEA IF</w:t>
            <w:br/>
            <w:t>DIRIF</w:t>
          </w:r>
          <w:r>
            <w:rPr/>
          </w:r>
          <w:r>
            <w:rPr/>
            <w:fldChar w:fldCharType="end"/>
          </w:r>
          <w:r>
            <w:rPr/>
            <w:t xml:space="preserve"> - </w:t>
          </w:r>
          <w:r>
            <w:fldChar w:fldCharType="begin"/>
          </w:r>
          <w:r>
            <w:rPr/>
            <w:instrText>STYLEREF  PDG1  \* MERGEFORMAT</w:instrText>
          </w:r>
          <w:r>
            <w:rPr/>
          </w:r>
          <w:r>
            <w:rPr/>
            <w:fldChar w:fldCharType="separate"/>
          </w:r>
          <w:r>
            <w:rPr/>
          </w:r>
          <w:r>
            <w:rPr/>
          </w:r>
          <w:r>
            <w:rPr/>
            <w:fldChar w:fldCharType="end"/>
          </w:r>
        </w:p>
        <w:p>
          <w:pPr>
            <w:pStyle w:val="ENT2"/>
            <w:widowControl w:val="false"/>
            <w:rPr/>
          </w:pPr>
          <w:r>
            <w:fldChar w:fldCharType="begin"/>
          </w:r>
          <w:r>
            <w:rPr/>
            <w:instrText>STYLEREF  PDG2  \* MERGEFORMAT</w:instrText>
          </w:r>
          <w:r>
            <w:rPr/>
          </w:r>
          <w:r>
            <w:rPr/>
            <w:fldChar w:fldCharType="separate"/>
          </w:r>
          <w:r>
            <w:rPr/>
            <w:t>PCTT de la DIRIF – Salle d’exploitation et zones associées</w:t>
          </w:r>
          <w:r>
            <w:rPr/>
          </w:r>
          <w:r>
            <w:rPr/>
            <w:fldChar w:fldCharType="end"/>
          </w:r>
        </w:p>
        <w:p>
          <w:pPr>
            <w:pStyle w:val="ENT4"/>
            <w:widowControl w:val="false"/>
            <w:rPr/>
          </w:pPr>
          <w:r>
            <w:fldChar w:fldCharType="begin"/>
          </w:r>
          <w:r>
            <w:rPr/>
            <w:instrText>STYLEREF  PDG4  \* MERGEFORMAT</w:instrText>
          </w:r>
          <w:r>
            <w:rPr/>
          </w:r>
          <w:r>
            <w:rPr/>
            <w:fldChar w:fldCharType="separate"/>
          </w:r>
          <w:r>
            <w:rPr/>
            <w:t>PCTT de Nanterre - Cahier explicatif du dossier projet</w:t>
          </w:r>
          <w:r>
            <w:rPr/>
          </w:r>
          <w:r>
            <w:rPr/>
            <w:fldChar w:fldCharType="end"/>
          </w:r>
        </w:p>
      </w:tc>
    </w:tr>
  </w:tbl>
  <w:p>
    <w:pPr>
      <w:pStyle w:val="PT"/>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9639" w:type="dxa"/>
      <w:jc w:val="left"/>
      <w:tblInd w:w="-847" w:type="dxa"/>
      <w:tblLayout w:type="fixed"/>
      <w:tblCellMar>
        <w:top w:w="0" w:type="dxa"/>
        <w:left w:w="0" w:type="dxa"/>
        <w:bottom w:w="0" w:type="dxa"/>
        <w:right w:w="0" w:type="dxa"/>
      </w:tblCellMar>
      <w:tblLook w:firstRow="1" w:noVBand="1" w:lastRow="0" w:firstColumn="1" w:lastColumn="0" w:noHBand="0" w:val="04a0"/>
    </w:tblPr>
    <w:tblGrid>
      <w:gridCol w:w="9639"/>
    </w:tblGrid>
    <w:tr>
      <w:trPr>
        <w:trHeight w:val="1274" w:hRule="atLeast"/>
      </w:trPr>
      <w:tc>
        <w:tcPr>
          <w:tcW w:w="9639" w:type="dxa"/>
          <w:tcBorders/>
          <w:shd w:color="auto" w:fill="auto" w:val="clear"/>
        </w:tcPr>
        <w:p>
          <w:pPr>
            <w:pStyle w:val="ENT1"/>
            <w:widowControl w:val="false"/>
            <w:rPr/>
          </w:pPr>
          <w:r>
            <w:fldChar w:fldCharType="begin"/>
          </w:r>
          <w:r>
            <w:rPr/>
            <w:instrText>STYLEREF  PDG0  \* MERGEFORMAT</w:instrText>
          </w:r>
          <w:r>
            <w:rPr/>
          </w:r>
          <w:r>
            <w:rPr/>
            <w:fldChar w:fldCharType="separate"/>
          </w:r>
          <w:r>
            <w:rPr/>
            <w:t>DRIEA IF</w:t>
            <w:br/>
            <w:t>DIRIF</w:t>
          </w:r>
          <w:r>
            <w:rPr/>
          </w:r>
          <w:r>
            <w:rPr/>
            <w:fldChar w:fldCharType="end"/>
          </w:r>
          <w:r>
            <w:rPr/>
            <w:t xml:space="preserve"> - </w:t>
          </w:r>
          <w:r>
            <w:fldChar w:fldCharType="begin"/>
          </w:r>
          <w:r>
            <w:rPr/>
            <w:instrText>STYLEREF  PDG1  \* MERGEFORMAT</w:instrText>
          </w:r>
          <w:r>
            <w:rPr/>
          </w:r>
          <w:r>
            <w:rPr/>
            <w:fldChar w:fldCharType="separate"/>
          </w:r>
          <w:r>
            <w:rPr/>
          </w:r>
          <w:r>
            <w:rPr/>
          </w:r>
          <w:r>
            <w:rPr/>
            <w:fldChar w:fldCharType="end"/>
          </w:r>
        </w:p>
        <w:p>
          <w:pPr>
            <w:pStyle w:val="ENT2"/>
            <w:widowControl w:val="false"/>
            <w:rPr/>
          </w:pPr>
          <w:r>
            <w:fldChar w:fldCharType="begin"/>
          </w:r>
          <w:r>
            <w:rPr/>
            <w:instrText>STYLEREF  PDG2  \* MERGEFORMAT</w:instrText>
          </w:r>
          <w:r>
            <w:rPr/>
          </w:r>
          <w:r>
            <w:rPr/>
            <w:fldChar w:fldCharType="separate"/>
          </w:r>
          <w:r>
            <w:rPr/>
            <w:t>PCTT de la DIRIF – Salle d’exploitation et zones associées</w:t>
          </w:r>
          <w:r>
            <w:rPr/>
          </w:r>
          <w:r>
            <w:rPr/>
            <w:fldChar w:fldCharType="end"/>
          </w:r>
        </w:p>
        <w:p>
          <w:pPr>
            <w:pStyle w:val="ENT4"/>
            <w:widowControl w:val="false"/>
            <w:rPr/>
          </w:pPr>
          <w:r>
            <w:fldChar w:fldCharType="begin"/>
          </w:r>
          <w:r>
            <w:rPr/>
            <w:instrText>STYLEREF  PDG4  \* MERGEFORMAT</w:instrText>
          </w:r>
          <w:r>
            <w:rPr/>
          </w:r>
          <w:r>
            <w:rPr/>
            <w:fldChar w:fldCharType="separate"/>
          </w:r>
          <w:r>
            <w:rPr/>
            <w:t>PCTT de Nanterre - Cahier explicatif du dossier projet</w:t>
          </w:r>
          <w:r>
            <w:rPr/>
          </w:r>
          <w:r>
            <w:rPr/>
            <w:fldChar w:fldCharType="end"/>
          </w:r>
        </w:p>
      </w:tc>
    </w:tr>
  </w:tbl>
  <w:p>
    <w:pPr>
      <w:pStyle w:val="PT"/>
      <w:rPr/>
    </w:pPr>
    <w:r>
      <w:rP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9639" w:type="dxa"/>
      <w:jc w:val="left"/>
      <w:tblInd w:w="-847" w:type="dxa"/>
      <w:tblLayout w:type="fixed"/>
      <w:tblCellMar>
        <w:top w:w="0" w:type="dxa"/>
        <w:left w:w="0" w:type="dxa"/>
        <w:bottom w:w="0" w:type="dxa"/>
        <w:right w:w="0" w:type="dxa"/>
      </w:tblCellMar>
      <w:tblLook w:firstRow="1" w:noVBand="1" w:lastRow="0" w:firstColumn="1" w:lastColumn="0" w:noHBand="0" w:val="04a0"/>
    </w:tblPr>
    <w:tblGrid>
      <w:gridCol w:w="9639"/>
    </w:tblGrid>
    <w:tr>
      <w:trPr>
        <w:trHeight w:val="1274" w:hRule="atLeast"/>
      </w:trPr>
      <w:tc>
        <w:tcPr>
          <w:tcW w:w="9639" w:type="dxa"/>
          <w:tcBorders/>
          <w:shd w:color="auto" w:fill="auto" w:val="clear"/>
        </w:tcPr>
        <w:p>
          <w:pPr>
            <w:pStyle w:val="ENT1"/>
            <w:widowControl w:val="false"/>
            <w:rPr/>
          </w:pPr>
          <w:r>
            <w:fldChar w:fldCharType="begin"/>
          </w:r>
          <w:r>
            <w:rPr/>
            <w:instrText>STYLEREF  PDG0  \* MERGEFORMAT</w:instrText>
          </w:r>
          <w:r>
            <w:rPr/>
          </w:r>
          <w:r>
            <w:rPr/>
            <w:fldChar w:fldCharType="separate"/>
          </w:r>
          <w:r>
            <w:rPr/>
            <w:t>DRIEA IF</w:t>
            <w:br/>
            <w:t>DIRIF</w:t>
          </w:r>
          <w:r>
            <w:rPr/>
          </w:r>
          <w:r>
            <w:rPr/>
            <w:fldChar w:fldCharType="end"/>
          </w:r>
          <w:r>
            <w:rPr/>
            <w:t xml:space="preserve"> - </w:t>
          </w:r>
          <w:r>
            <w:fldChar w:fldCharType="begin"/>
          </w:r>
          <w:r>
            <w:rPr/>
            <w:instrText>STYLEREF  PDG1  \* MERGEFORMAT</w:instrText>
          </w:r>
          <w:r>
            <w:rPr/>
          </w:r>
          <w:r>
            <w:rPr/>
            <w:fldChar w:fldCharType="separate"/>
          </w:r>
          <w:r>
            <w:rPr/>
          </w:r>
          <w:r>
            <w:rPr/>
          </w:r>
          <w:r>
            <w:rPr/>
            <w:fldChar w:fldCharType="end"/>
          </w:r>
        </w:p>
        <w:p>
          <w:pPr>
            <w:pStyle w:val="ENT2"/>
            <w:widowControl w:val="false"/>
            <w:rPr/>
          </w:pPr>
          <w:r>
            <w:fldChar w:fldCharType="begin"/>
          </w:r>
          <w:r>
            <w:rPr/>
            <w:instrText>STYLEREF  PDG2  \* MERGEFORMAT</w:instrText>
          </w:r>
          <w:r>
            <w:rPr/>
          </w:r>
          <w:r>
            <w:rPr/>
            <w:fldChar w:fldCharType="separate"/>
          </w:r>
          <w:r>
            <w:rPr/>
            <w:t>PCTT de la DIRIF – Salle d’exploitation et zones associées</w:t>
          </w:r>
          <w:r>
            <w:rPr/>
          </w:r>
          <w:r>
            <w:rPr/>
            <w:fldChar w:fldCharType="end"/>
          </w:r>
        </w:p>
        <w:p>
          <w:pPr>
            <w:pStyle w:val="ENT4"/>
            <w:widowControl w:val="false"/>
            <w:rPr/>
          </w:pPr>
          <w:r>
            <w:fldChar w:fldCharType="begin"/>
          </w:r>
          <w:r>
            <w:rPr/>
            <w:instrText>STYLEREF  PDG4  \* MERGEFORMAT</w:instrText>
          </w:r>
          <w:r>
            <w:rPr/>
          </w:r>
          <w:r>
            <w:rPr/>
            <w:fldChar w:fldCharType="separate"/>
          </w:r>
          <w:r>
            <w:rPr/>
            <w:t>PCTT de Nanterre - Cahier explicatif du dossier projet</w:t>
          </w:r>
          <w:r>
            <w:rPr/>
          </w:r>
          <w:r>
            <w:rPr/>
            <w:fldChar w:fldCharType="end"/>
          </w:r>
        </w:p>
      </w:tc>
    </w:tr>
  </w:tbl>
  <w:p>
    <w:pPr>
      <w:pStyle w:val="PT"/>
      <w:rPr/>
    </w:pPr>
    <w:r>
      <w:rPr/>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9639" w:type="dxa"/>
      <w:jc w:val="left"/>
      <w:tblInd w:w="-847" w:type="dxa"/>
      <w:tblLayout w:type="fixed"/>
      <w:tblCellMar>
        <w:top w:w="0" w:type="dxa"/>
        <w:left w:w="0" w:type="dxa"/>
        <w:bottom w:w="0" w:type="dxa"/>
        <w:right w:w="0" w:type="dxa"/>
      </w:tblCellMar>
      <w:tblLook w:firstRow="1" w:noVBand="1" w:lastRow="0" w:firstColumn="1" w:lastColumn="0" w:noHBand="0" w:val="04a0"/>
    </w:tblPr>
    <w:tblGrid>
      <w:gridCol w:w="9639"/>
    </w:tblGrid>
    <w:tr>
      <w:trPr>
        <w:trHeight w:val="1274" w:hRule="atLeast"/>
      </w:trPr>
      <w:tc>
        <w:tcPr>
          <w:tcW w:w="9639" w:type="dxa"/>
          <w:tcBorders/>
          <w:shd w:color="auto" w:fill="auto" w:val="clear"/>
        </w:tcPr>
        <w:p>
          <w:pPr>
            <w:pStyle w:val="ENT1"/>
            <w:widowControl w:val="false"/>
            <w:rPr/>
          </w:pPr>
          <w:r>
            <w:fldChar w:fldCharType="begin"/>
          </w:r>
          <w:r>
            <w:rPr/>
            <w:instrText>STYLEREF  PDG0  \* MERGEFORMAT</w:instrText>
          </w:r>
          <w:r>
            <w:rPr/>
          </w:r>
          <w:r>
            <w:rPr/>
            <w:fldChar w:fldCharType="separate"/>
          </w:r>
          <w:r>
            <w:rPr/>
            <w:t>DRIEA IF</w:t>
            <w:br/>
            <w:t>DIRIF</w:t>
          </w:r>
          <w:r>
            <w:rPr/>
          </w:r>
          <w:r>
            <w:rPr/>
            <w:fldChar w:fldCharType="end"/>
          </w:r>
          <w:r>
            <w:rPr/>
            <w:t xml:space="preserve"> - </w:t>
          </w:r>
          <w:r>
            <w:fldChar w:fldCharType="begin"/>
          </w:r>
          <w:r>
            <w:rPr/>
            <w:instrText>STYLEREF  PDG1  \* MERGEFORMAT</w:instrText>
          </w:r>
          <w:r>
            <w:rPr/>
          </w:r>
          <w:r>
            <w:rPr/>
            <w:fldChar w:fldCharType="separate"/>
          </w:r>
          <w:r>
            <w:rPr/>
          </w:r>
          <w:r>
            <w:rPr/>
          </w:r>
          <w:r>
            <w:rPr/>
            <w:fldChar w:fldCharType="end"/>
          </w:r>
        </w:p>
        <w:p>
          <w:pPr>
            <w:pStyle w:val="ENT2"/>
            <w:widowControl w:val="false"/>
            <w:rPr/>
          </w:pPr>
          <w:r>
            <w:fldChar w:fldCharType="begin"/>
          </w:r>
          <w:r>
            <w:rPr/>
            <w:instrText>STYLEREF  PDG2  \* MERGEFORMAT</w:instrText>
          </w:r>
          <w:r>
            <w:rPr/>
          </w:r>
          <w:r>
            <w:rPr/>
            <w:fldChar w:fldCharType="separate"/>
          </w:r>
          <w:r>
            <w:rPr/>
            <w:t>PCTT de la DIRIF – Salle d’exploitation et zones associées</w:t>
          </w:r>
          <w:r>
            <w:rPr/>
          </w:r>
          <w:r>
            <w:rPr/>
            <w:fldChar w:fldCharType="end"/>
          </w:r>
        </w:p>
        <w:p>
          <w:pPr>
            <w:pStyle w:val="ENT4"/>
            <w:widowControl w:val="false"/>
            <w:rPr/>
          </w:pPr>
          <w:r>
            <w:fldChar w:fldCharType="begin"/>
          </w:r>
          <w:r>
            <w:rPr/>
            <w:instrText>STYLEREF  PDG4  \* MERGEFORMAT</w:instrText>
          </w:r>
          <w:r>
            <w:rPr/>
          </w:r>
          <w:r>
            <w:rPr/>
            <w:fldChar w:fldCharType="separate"/>
          </w:r>
          <w:r>
            <w:rPr/>
            <w:t>PCTT de Nanterre - Cahier explicatif du dossier projet</w:t>
          </w:r>
          <w:r>
            <w:rPr/>
          </w:r>
          <w:r>
            <w:rPr/>
            <w:fldChar w:fldCharType="end"/>
          </w:r>
        </w:p>
      </w:tc>
    </w:tr>
  </w:tbl>
  <w:p>
    <w:pPr>
      <w:pStyle w:val="PT"/>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Titre1"/>
      <w:numFmt w:val="decimal"/>
      <w:lvlText w:val="%1."/>
      <w:lvlJc w:val="left"/>
      <w:pPr>
        <w:tabs>
          <w:tab w:val="num" w:pos="1134"/>
        </w:tabs>
        <w:ind w:left="1134" w:hanging="1134"/>
      </w:pPr>
      <w:rPr>
        <w:smallCaps w:val="false"/>
        <w:caps w:val="false"/>
        <w:dstrike w:val="false"/>
        <w:strike w:val="false"/>
        <w:vertAlign w:val="baseline"/>
        <w:position w:val="0"/>
        <w:sz w:val="34"/>
        <w:sz w:val="34"/>
        <w:spacing w:val="0"/>
        <w:i w:val="false"/>
        <w:u w:val="none"/>
        <w:b w:val="false"/>
        <w:kern w:val="0"/>
        <w:effect w:val="none"/>
        <w:szCs w:val="34"/>
        <w:iCs w:val="false"/>
        <w:bCs w:val="false"/>
        <w:em w:val="none"/>
        <w:vanish w:val="false"/>
        <w:rFonts w:cs="Times New Roman"/>
        <w:color w:val="000000"/>
      </w:rPr>
    </w:lvl>
    <w:lvl w:ilvl="1">
      <w:start w:val="1"/>
      <w:pStyle w:val="Titre2"/>
      <w:numFmt w:val="decimal"/>
      <w:lvlText w:val="%1.%2."/>
      <w:lvlJc w:val="left"/>
      <w:pPr>
        <w:tabs>
          <w:tab w:val="num" w:pos="1844"/>
        </w:tabs>
        <w:ind w:left="1844" w:hanging="1134"/>
      </w:pPr>
      <w:rPr>
        <w:sz w:val="24"/>
        <w:i w:val="false"/>
        <w:u w:val="none"/>
        <w:b/>
        <w:szCs w:val="24"/>
        <w:rFonts w:ascii="Arial Black" w:hAnsi="Arial Black"/>
      </w:rPr>
    </w:lvl>
    <w:lvl w:ilvl="2">
      <w:start w:val="1"/>
      <w:pStyle w:val="Titre3"/>
      <w:numFmt w:val="decimal"/>
      <w:lvlText w:val="%1.%2.%3."/>
      <w:lvlJc w:val="left"/>
      <w:pPr>
        <w:tabs>
          <w:tab w:val="num" w:pos="1134"/>
        </w:tabs>
        <w:ind w:left="1134" w:hanging="1134"/>
      </w:pPr>
      <w:rPr>
        <w:smallCaps w:val="false"/>
        <w:caps w:val="false"/>
        <w:outline w:val="false"/>
        <w:dstrike w:val="false"/>
        <w:strike w:val="false"/>
        <w:vertAlign w:val="baseline"/>
        <w:position w:val="0"/>
        <w:sz w:val="20"/>
        <w:spacing w:val="0"/>
        <w:i w:val="false"/>
        <w:shadow w:val="false"/>
        <w:u w:val="none"/>
        <w:b w:val="false"/>
        <w:kern w:val="0"/>
        <w:effect w:val="none"/>
        <w:iCs w:val="false"/>
        <w:bCs w:val="false"/>
        <w:em w:val="none"/>
        <w:emboss w:val="false"/>
        <w:imprint w:val="false"/>
        <w:vanish w:val="false"/>
        <w:rFonts w:cs="Times New Roman"/>
        <w14:cntxtAlts w14:val="0"/>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3">
      <w:start w:val="1"/>
      <w:pStyle w:val="Titre4"/>
      <w:numFmt w:val="decimal"/>
      <w:lvlText w:val="%1.%2.%3.%4."/>
      <w:lvlJc w:val="left"/>
      <w:pPr>
        <w:tabs>
          <w:tab w:val="num" w:pos="1134"/>
        </w:tabs>
        <w:ind w:left="1134" w:hanging="1134"/>
      </w:pPr>
      <w:rPr>
        <w:smallCaps w:val="false"/>
        <w:caps w:val="false"/>
        <w:dstrike w:val="false"/>
        <w:strike w:val="false"/>
        <w:vertAlign w:val="baseline"/>
        <w:position w:val="0"/>
        <w:sz w:val="20"/>
        <w:sz w:val="20"/>
        <w:spacing w:val="0"/>
        <w:i w:val="false"/>
        <w:u w:val="none"/>
        <w:b w:val="false"/>
        <w:kern w:val="0"/>
        <w:effect w:val="none"/>
        <w:szCs w:val="20"/>
        <w:iCs w:val="false"/>
        <w:bCs w:val="false"/>
        <w:em w:val="none"/>
        <w:vanish w:val="false"/>
        <w:rFonts w:cs="Times New Roman"/>
        <w:color w:val="auto"/>
      </w:rPr>
    </w:lvl>
    <w:lvl w:ilvl="4">
      <w:start w:val="1"/>
      <w:pStyle w:val="Titre5"/>
      <w:numFmt w:val="decimal"/>
      <w:lvlText w:val="%1.%2.%3.%4.%5."/>
      <w:lvlJc w:val="left"/>
      <w:pPr>
        <w:tabs>
          <w:tab w:val="num" w:pos="1844"/>
        </w:tabs>
        <w:ind w:left="1844" w:hanging="1134"/>
      </w:pPr>
      <w:rPr>
        <w:sz w:val="20"/>
        <w:i w:val="false"/>
        <w:u w:val="none"/>
        <w:b w:val="false"/>
        <w:szCs w:val="18"/>
        <w:rFonts w:ascii="Arial" w:hAnsi="Arial"/>
      </w:rPr>
    </w:lvl>
    <w:lvl w:ilvl="5">
      <w:start w:val="1"/>
      <w:pStyle w:val="Titre6"/>
      <w:numFmt w:val="upperLetter"/>
      <w:lvlText w:val="%6."/>
      <w:lvlJc w:val="left"/>
      <w:pPr>
        <w:tabs>
          <w:tab w:val="num" w:pos="567"/>
        </w:tabs>
        <w:ind w:left="567" w:hanging="567"/>
      </w:pPr>
      <w:rPr>
        <w:sz w:val="20"/>
        <w:i w:val="false"/>
        <w:u w:val="none"/>
        <w:b/>
        <w:szCs w:val="20"/>
        <w:rFonts w:ascii="Arial Gras" w:hAnsi="Arial Gras"/>
      </w:rPr>
    </w:lvl>
    <w:lvl w:ilvl="6">
      <w:start w:val="1"/>
      <w:pStyle w:val="Titre7"/>
      <w:numFmt w:val="lowerLetter"/>
      <w:lvlText w:val="%7)"/>
      <w:lvlJc w:val="left"/>
      <w:pPr>
        <w:tabs>
          <w:tab w:val="num" w:pos="709"/>
        </w:tabs>
        <w:ind w:left="1559" w:hanging="425"/>
      </w:pPr>
      <w:rPr>
        <w:sz w:val="20"/>
        <w:u w:val="none"/>
        <w:szCs w:val="20"/>
      </w:rPr>
    </w:lvl>
    <w:lvl w:ilvl="7">
      <w:start w:val="1"/>
      <w:pStyle w:val="Titre8"/>
      <w:numFmt w:val="decimal"/>
      <w:lvlText w:val="%8)"/>
      <w:lvlJc w:val="left"/>
      <w:pPr>
        <w:tabs>
          <w:tab w:val="num" w:pos="5760"/>
        </w:tabs>
        <w:ind w:left="5760" w:hanging="360"/>
      </w:pPr>
    </w:lvl>
    <w:lvl w:ilvl="8">
      <w:start w:val="1"/>
      <w:numFmt w:val="none"/>
      <w:suff w:val="nothing"/>
      <w:lvlText w:val=""/>
      <w:lvlJc w:val="left"/>
      <w:pPr>
        <w:tabs>
          <w:tab w:val="num" w:pos="0"/>
        </w:tabs>
        <w:ind w:left="0" w:hanging="0"/>
      </w:pPr>
    </w:lvl>
  </w:abstractNum>
  <w:abstractNum w:abstractNumId="2">
    <w:lvl w:ilvl="0">
      <w:start w:val="1"/>
      <w:numFmt w:val="lowerLetter"/>
      <w:lvlText w:val="%1)"/>
      <w:lvlJc w:val="left"/>
      <w:pPr>
        <w:tabs>
          <w:tab w:val="num" w:pos="0"/>
        </w:tabs>
        <w:ind w:left="1145" w:hanging="360"/>
      </w:pPr>
    </w:lvl>
    <w:lvl w:ilvl="1">
      <w:start w:val="1"/>
      <w:numFmt w:val="lowerLetter"/>
      <w:lvlText w:val="%2."/>
      <w:lvlJc w:val="left"/>
      <w:pPr>
        <w:tabs>
          <w:tab w:val="num" w:pos="0"/>
        </w:tabs>
        <w:ind w:left="1865" w:hanging="360"/>
      </w:pPr>
    </w:lvl>
    <w:lvl w:ilvl="2">
      <w:start w:val="1"/>
      <w:numFmt w:val="lowerRoman"/>
      <w:lvlText w:val="%3."/>
      <w:lvlJc w:val="right"/>
      <w:pPr>
        <w:tabs>
          <w:tab w:val="num" w:pos="0"/>
        </w:tabs>
        <w:ind w:left="2585" w:hanging="180"/>
      </w:pPr>
    </w:lvl>
    <w:lvl w:ilvl="3">
      <w:start w:val="1"/>
      <w:numFmt w:val="decimal"/>
      <w:lvlText w:val="%4."/>
      <w:lvlJc w:val="left"/>
      <w:pPr>
        <w:tabs>
          <w:tab w:val="num" w:pos="0"/>
        </w:tabs>
        <w:ind w:left="3305" w:hanging="360"/>
      </w:pPr>
    </w:lvl>
    <w:lvl w:ilvl="4">
      <w:start w:val="1"/>
      <w:numFmt w:val="lowerLetter"/>
      <w:lvlText w:val="%5."/>
      <w:lvlJc w:val="left"/>
      <w:pPr>
        <w:tabs>
          <w:tab w:val="num" w:pos="0"/>
        </w:tabs>
        <w:ind w:left="4025" w:hanging="360"/>
      </w:pPr>
    </w:lvl>
    <w:lvl w:ilvl="5">
      <w:start w:val="1"/>
      <w:numFmt w:val="lowerRoman"/>
      <w:lvlText w:val="%6."/>
      <w:lvlJc w:val="right"/>
      <w:pPr>
        <w:tabs>
          <w:tab w:val="num" w:pos="0"/>
        </w:tabs>
        <w:ind w:left="4745" w:hanging="180"/>
      </w:pPr>
    </w:lvl>
    <w:lvl w:ilvl="6">
      <w:start w:val="1"/>
      <w:numFmt w:val="decimal"/>
      <w:lvlText w:val="%7."/>
      <w:lvlJc w:val="left"/>
      <w:pPr>
        <w:tabs>
          <w:tab w:val="num" w:pos="0"/>
        </w:tabs>
        <w:ind w:left="5465" w:hanging="360"/>
      </w:pPr>
    </w:lvl>
    <w:lvl w:ilvl="7">
      <w:start w:val="1"/>
      <w:numFmt w:val="lowerLetter"/>
      <w:lvlText w:val="%8."/>
      <w:lvlJc w:val="left"/>
      <w:pPr>
        <w:tabs>
          <w:tab w:val="num" w:pos="0"/>
        </w:tabs>
        <w:ind w:left="6185" w:hanging="360"/>
      </w:pPr>
    </w:lvl>
    <w:lvl w:ilvl="8">
      <w:start w:val="1"/>
      <w:numFmt w:val="lowerRoman"/>
      <w:lvlText w:val="%9."/>
      <w:lvlJc w:val="right"/>
      <w:pPr>
        <w:tabs>
          <w:tab w:val="num" w:pos="0"/>
        </w:tabs>
        <w:ind w:left="6905" w:hanging="180"/>
      </w:pPr>
    </w:lvl>
  </w:abstractNum>
  <w:abstractNum w:abstractNumId="3">
    <w:lvl w:ilvl="0">
      <w:start w:val="1"/>
      <w:numFmt w:val="decimal"/>
      <w:lvlText w:val="%1)"/>
      <w:lvlJc w:val="left"/>
      <w:pPr>
        <w:tabs>
          <w:tab w:val="num" w:pos="1559"/>
        </w:tabs>
        <w:ind w:left="1559" w:hanging="425"/>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lvl w:ilvl="0">
      <w:start w:val="1"/>
      <w:numFmt w:val="decimal"/>
      <w:lvlText w:val="Fig. %1."/>
      <w:lvlJc w:val="left"/>
      <w:pPr>
        <w:tabs>
          <w:tab w:val="num" w:pos="6096"/>
        </w:tabs>
        <w:ind w:left="6096" w:hanging="567"/>
      </w:pPr>
      <w:rPr>
        <w:sz w:val="18"/>
        <w:i/>
        <w:b w:val="false"/>
        <w:szCs w:val="18"/>
        <w:rFonts w:ascii="Arial Black" w:hAnsi="Arial Black" w:cs="Arial"/>
        <w:color w:val="7F7F7F"/>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lvl w:ilvl="0">
      <w:start w:val="1"/>
      <w:numFmt w:val="decimal"/>
      <w:lvlText w:val="Tabl. %1 - "/>
      <w:lvlJc w:val="left"/>
      <w:pPr>
        <w:tabs>
          <w:tab w:val="num" w:pos="1844"/>
        </w:tabs>
        <w:ind w:left="852" w:hanging="0"/>
      </w:pPr>
      <w:rPr>
        <w:color w:val="7F7F7F"/>
      </w:rPr>
    </w:lvl>
    <w:lvl w:ilvl="1">
      <w:start w:val="1"/>
      <w:numFmt w:val="lowerLetter"/>
      <w:lvlText w:val="%2."/>
      <w:lvlJc w:val="left"/>
      <w:pPr>
        <w:tabs>
          <w:tab w:val="num" w:pos="1158"/>
        </w:tabs>
        <w:ind w:left="1158" w:hanging="360"/>
      </w:pPr>
    </w:lvl>
    <w:lvl w:ilvl="2">
      <w:start w:val="1"/>
      <w:numFmt w:val="lowerRoman"/>
      <w:lvlText w:val="%3."/>
      <w:lvlJc w:val="right"/>
      <w:pPr>
        <w:tabs>
          <w:tab w:val="num" w:pos="1878"/>
        </w:tabs>
        <w:ind w:left="1878" w:hanging="180"/>
      </w:pPr>
    </w:lvl>
    <w:lvl w:ilvl="3">
      <w:start w:val="1"/>
      <w:numFmt w:val="decimal"/>
      <w:lvlText w:val="%4."/>
      <w:lvlJc w:val="left"/>
      <w:pPr>
        <w:tabs>
          <w:tab w:val="num" w:pos="2598"/>
        </w:tabs>
        <w:ind w:left="2598" w:hanging="360"/>
      </w:pPr>
    </w:lvl>
    <w:lvl w:ilvl="4">
      <w:start w:val="1"/>
      <w:numFmt w:val="lowerLetter"/>
      <w:lvlText w:val="%5."/>
      <w:lvlJc w:val="left"/>
      <w:pPr>
        <w:tabs>
          <w:tab w:val="num" w:pos="3318"/>
        </w:tabs>
        <w:ind w:left="3318" w:hanging="360"/>
      </w:pPr>
    </w:lvl>
    <w:lvl w:ilvl="5">
      <w:start w:val="1"/>
      <w:numFmt w:val="lowerRoman"/>
      <w:lvlText w:val="%6."/>
      <w:lvlJc w:val="right"/>
      <w:pPr>
        <w:tabs>
          <w:tab w:val="num" w:pos="4038"/>
        </w:tabs>
        <w:ind w:left="4038" w:hanging="180"/>
      </w:pPr>
    </w:lvl>
    <w:lvl w:ilvl="6">
      <w:start w:val="1"/>
      <w:numFmt w:val="decimal"/>
      <w:lvlText w:val="%7."/>
      <w:lvlJc w:val="left"/>
      <w:pPr>
        <w:tabs>
          <w:tab w:val="num" w:pos="4758"/>
        </w:tabs>
        <w:ind w:left="4758" w:hanging="360"/>
      </w:pPr>
    </w:lvl>
    <w:lvl w:ilvl="7">
      <w:start w:val="1"/>
      <w:numFmt w:val="lowerLetter"/>
      <w:lvlText w:val="%8."/>
      <w:lvlJc w:val="left"/>
      <w:pPr>
        <w:tabs>
          <w:tab w:val="num" w:pos="5478"/>
        </w:tabs>
        <w:ind w:left="5478" w:hanging="360"/>
      </w:pPr>
    </w:lvl>
    <w:lvl w:ilvl="8">
      <w:start w:val="1"/>
      <w:numFmt w:val="lowerRoman"/>
      <w:lvlText w:val="%9."/>
      <w:lvlJc w:val="right"/>
      <w:pPr>
        <w:tabs>
          <w:tab w:val="num" w:pos="6198"/>
        </w:tabs>
        <w:ind w:left="6198" w:hanging="180"/>
      </w:pPr>
    </w:lvl>
  </w:abstractNum>
  <w:abstractNum w:abstractNumId="6">
    <w:lvl w:ilvl="0">
      <w:start w:val="1"/>
      <w:numFmt w:val="bullet"/>
      <w:lvlText w:val=""/>
      <w:lvlJc w:val="left"/>
      <w:pPr>
        <w:tabs>
          <w:tab w:val="num" w:pos="0"/>
        </w:tabs>
        <w:ind w:left="1636" w:hanging="360"/>
      </w:pPr>
      <w:rPr>
        <w:rFonts w:ascii="Symbol" w:hAnsi="Symbol" w:cs="Symbol" w:hint="default"/>
        <w:sz w:val="20"/>
      </w:rPr>
    </w:lvl>
    <w:lvl w:ilvl="1">
      <w:start w:val="1"/>
      <w:numFmt w:val="bullet"/>
      <w:lvlText w:val="o"/>
      <w:lvlJc w:val="left"/>
      <w:pPr>
        <w:tabs>
          <w:tab w:val="num" w:pos="0"/>
        </w:tabs>
        <w:ind w:left="2716" w:hanging="360"/>
      </w:pPr>
      <w:rPr>
        <w:rFonts w:ascii="Courier New" w:hAnsi="Courier New" w:cs="Courier New" w:hint="default"/>
      </w:rPr>
    </w:lvl>
    <w:lvl w:ilvl="2">
      <w:start w:val="1"/>
      <w:numFmt w:val="bullet"/>
      <w:lvlText w:val=""/>
      <w:lvlJc w:val="left"/>
      <w:pPr>
        <w:tabs>
          <w:tab w:val="num" w:pos="0"/>
        </w:tabs>
        <w:ind w:left="3436" w:hanging="360"/>
      </w:pPr>
      <w:rPr>
        <w:rFonts w:ascii="Wingdings" w:hAnsi="Wingdings" w:cs="Wingdings" w:hint="default"/>
      </w:rPr>
    </w:lvl>
    <w:lvl w:ilvl="3">
      <w:start w:val="1"/>
      <w:numFmt w:val="bullet"/>
      <w:lvlText w:val=""/>
      <w:lvlJc w:val="left"/>
      <w:pPr>
        <w:tabs>
          <w:tab w:val="num" w:pos="0"/>
        </w:tabs>
        <w:ind w:left="4156" w:hanging="360"/>
      </w:pPr>
      <w:rPr>
        <w:rFonts w:ascii="Symbol" w:hAnsi="Symbol" w:cs="Symbol" w:hint="default"/>
      </w:rPr>
    </w:lvl>
    <w:lvl w:ilvl="4">
      <w:start w:val="1"/>
      <w:numFmt w:val="bullet"/>
      <w:lvlText w:val="o"/>
      <w:lvlJc w:val="left"/>
      <w:pPr>
        <w:tabs>
          <w:tab w:val="num" w:pos="0"/>
        </w:tabs>
        <w:ind w:left="4876" w:hanging="360"/>
      </w:pPr>
      <w:rPr>
        <w:rFonts w:ascii="Courier New" w:hAnsi="Courier New" w:cs="Courier New" w:hint="default"/>
      </w:rPr>
    </w:lvl>
    <w:lvl w:ilvl="5">
      <w:start w:val="1"/>
      <w:numFmt w:val="bullet"/>
      <w:lvlText w:val=""/>
      <w:lvlJc w:val="left"/>
      <w:pPr>
        <w:tabs>
          <w:tab w:val="num" w:pos="0"/>
        </w:tabs>
        <w:ind w:left="5596" w:hanging="360"/>
      </w:pPr>
      <w:rPr>
        <w:rFonts w:ascii="Wingdings" w:hAnsi="Wingdings" w:cs="Wingdings" w:hint="default"/>
      </w:rPr>
    </w:lvl>
    <w:lvl w:ilvl="6">
      <w:start w:val="1"/>
      <w:numFmt w:val="bullet"/>
      <w:lvlText w:val=""/>
      <w:lvlJc w:val="left"/>
      <w:pPr>
        <w:tabs>
          <w:tab w:val="num" w:pos="0"/>
        </w:tabs>
        <w:ind w:left="6316" w:hanging="360"/>
      </w:pPr>
      <w:rPr>
        <w:rFonts w:ascii="Symbol" w:hAnsi="Symbol" w:cs="Symbol" w:hint="default"/>
      </w:rPr>
    </w:lvl>
    <w:lvl w:ilvl="7">
      <w:start w:val="1"/>
      <w:numFmt w:val="bullet"/>
      <w:lvlText w:val="o"/>
      <w:lvlJc w:val="left"/>
      <w:pPr>
        <w:tabs>
          <w:tab w:val="num" w:pos="0"/>
        </w:tabs>
        <w:ind w:left="7036" w:hanging="360"/>
      </w:pPr>
      <w:rPr>
        <w:rFonts w:ascii="Courier New" w:hAnsi="Courier New" w:cs="Courier New" w:hint="default"/>
      </w:rPr>
    </w:lvl>
    <w:lvl w:ilvl="8">
      <w:start w:val="1"/>
      <w:numFmt w:val="bullet"/>
      <w:lvlText w:val=""/>
      <w:lvlJc w:val="left"/>
      <w:pPr>
        <w:tabs>
          <w:tab w:val="num" w:pos="0"/>
        </w:tabs>
        <w:ind w:left="7756" w:hanging="360"/>
      </w:pPr>
      <w:rPr>
        <w:rFonts w:ascii="Wingdings" w:hAnsi="Wingdings" w:cs="Wingdings" w:hint="default"/>
      </w:rPr>
    </w:lvl>
  </w:abstractNum>
  <w:abstractNum w:abstractNumId="7">
    <w:lvl w:ilvl="0">
      <w:start w:val="1"/>
      <w:numFmt w:val="bullet"/>
      <w:lvlText w:val=""/>
      <w:lvlJc w:val="left"/>
      <w:pPr>
        <w:tabs>
          <w:tab w:val="num" w:pos="0"/>
        </w:tabs>
        <w:ind w:left="1145" w:hanging="360"/>
      </w:pPr>
      <w:rPr>
        <w:rFonts w:ascii="Wingdings" w:hAnsi="Wingdings" w:cs="Wingdings" w:hint="default"/>
        <w:sz w:val="12"/>
        <w:szCs w:val="12"/>
      </w:rPr>
    </w:lvl>
    <w:lvl w:ilvl="1">
      <w:start w:val="1"/>
      <w:numFmt w:val="bullet"/>
      <w:lvlText w:val="o"/>
      <w:lvlJc w:val="left"/>
      <w:pPr>
        <w:tabs>
          <w:tab w:val="num" w:pos="0"/>
        </w:tabs>
        <w:ind w:left="1865" w:hanging="360"/>
      </w:pPr>
      <w:rPr>
        <w:rFonts w:ascii="Courier New" w:hAnsi="Courier New" w:cs="Courier New" w:hint="default"/>
      </w:rPr>
    </w:lvl>
    <w:lvl w:ilvl="2">
      <w:start w:val="1"/>
      <w:numFmt w:val="bullet"/>
      <w:lvlText w:val=""/>
      <w:lvlJc w:val="left"/>
      <w:pPr>
        <w:tabs>
          <w:tab w:val="num" w:pos="0"/>
        </w:tabs>
        <w:ind w:left="2585" w:hanging="360"/>
      </w:pPr>
      <w:rPr>
        <w:rFonts w:ascii="Wingdings" w:hAnsi="Wingdings" w:cs="Wingdings" w:hint="default"/>
      </w:rPr>
    </w:lvl>
    <w:lvl w:ilvl="3">
      <w:start w:val="1"/>
      <w:numFmt w:val="bullet"/>
      <w:lvlText w:val=""/>
      <w:lvlJc w:val="left"/>
      <w:pPr>
        <w:tabs>
          <w:tab w:val="num" w:pos="0"/>
        </w:tabs>
        <w:ind w:left="3305" w:hanging="360"/>
      </w:pPr>
      <w:rPr>
        <w:rFonts w:ascii="Symbol" w:hAnsi="Symbol" w:cs="Symbol" w:hint="default"/>
      </w:rPr>
    </w:lvl>
    <w:lvl w:ilvl="4">
      <w:start w:val="1"/>
      <w:numFmt w:val="bullet"/>
      <w:lvlText w:val="o"/>
      <w:lvlJc w:val="left"/>
      <w:pPr>
        <w:tabs>
          <w:tab w:val="num" w:pos="0"/>
        </w:tabs>
        <w:ind w:left="4025" w:hanging="360"/>
      </w:pPr>
      <w:rPr>
        <w:rFonts w:ascii="Courier New" w:hAnsi="Courier New" w:cs="Courier New" w:hint="default"/>
      </w:rPr>
    </w:lvl>
    <w:lvl w:ilvl="5">
      <w:start w:val="1"/>
      <w:numFmt w:val="bullet"/>
      <w:lvlText w:val=""/>
      <w:lvlJc w:val="left"/>
      <w:pPr>
        <w:tabs>
          <w:tab w:val="num" w:pos="0"/>
        </w:tabs>
        <w:ind w:left="4745" w:hanging="360"/>
      </w:pPr>
      <w:rPr>
        <w:rFonts w:ascii="Wingdings" w:hAnsi="Wingdings" w:cs="Wingdings" w:hint="default"/>
      </w:rPr>
    </w:lvl>
    <w:lvl w:ilvl="6">
      <w:start w:val="1"/>
      <w:numFmt w:val="bullet"/>
      <w:lvlText w:val=""/>
      <w:lvlJc w:val="left"/>
      <w:pPr>
        <w:tabs>
          <w:tab w:val="num" w:pos="0"/>
        </w:tabs>
        <w:ind w:left="5465" w:hanging="360"/>
      </w:pPr>
      <w:rPr>
        <w:rFonts w:ascii="Symbol" w:hAnsi="Symbol" w:cs="Symbol" w:hint="default"/>
      </w:rPr>
    </w:lvl>
    <w:lvl w:ilvl="7">
      <w:start w:val="1"/>
      <w:numFmt w:val="bullet"/>
      <w:lvlText w:val="o"/>
      <w:lvlJc w:val="left"/>
      <w:pPr>
        <w:tabs>
          <w:tab w:val="num" w:pos="0"/>
        </w:tabs>
        <w:ind w:left="6185" w:hanging="360"/>
      </w:pPr>
      <w:rPr>
        <w:rFonts w:ascii="Courier New" w:hAnsi="Courier New" w:cs="Courier New" w:hint="default"/>
      </w:rPr>
    </w:lvl>
    <w:lvl w:ilvl="8">
      <w:start w:val="1"/>
      <w:numFmt w:val="bullet"/>
      <w:lvlText w:val=""/>
      <w:lvlJc w:val="left"/>
      <w:pPr>
        <w:tabs>
          <w:tab w:val="num" w:pos="0"/>
        </w:tabs>
        <w:ind w:left="6905" w:hanging="360"/>
      </w:pPr>
      <w:rPr>
        <w:rFonts w:ascii="Wingdings" w:hAnsi="Wingdings" w:cs="Wingdings" w:hint="default"/>
      </w:rPr>
    </w:lvl>
  </w:abstractNum>
  <w:abstractNum w:abstractNumId="8">
    <w:lvl w:ilvl="0">
      <w:start w:val="1"/>
      <w:numFmt w:val="bullet"/>
      <w:lvlText w:val=""/>
      <w:lvlJc w:val="left"/>
      <w:pPr>
        <w:tabs>
          <w:tab w:val="num" w:pos="0"/>
        </w:tabs>
        <w:ind w:left="720" w:hanging="360"/>
      </w:pPr>
      <w:rPr>
        <w:rFonts w:ascii="Wingdings" w:hAnsi="Wingdings" w:cs="Wingdings" w:hint="default"/>
        <w:sz w:val="16"/>
        <w:szCs w:val="16"/>
        <w:color w:val="auto"/>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lvl w:ilvl="0">
      <w:start w:val="1"/>
      <w:numFmt w:val="bullet"/>
      <w:lvlText w:val=""/>
      <w:lvlJc w:val="left"/>
      <w:pPr>
        <w:tabs>
          <w:tab w:val="num" w:pos="0"/>
        </w:tabs>
        <w:ind w:left="720" w:hanging="360"/>
      </w:pPr>
      <w:rPr>
        <w:rFonts w:ascii="Wingdings" w:hAnsi="Wingdings" w:cs="Wingdings" w:hint="default"/>
        <w:sz w:val="16"/>
        <w:szCs w:val="16"/>
        <w:color w:val="808080"/>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lvl w:ilvl="0">
      <w:start w:val="1"/>
      <w:numFmt w:val="bullet"/>
      <w:lvlText w:val=""/>
      <w:lvlJc w:val="left"/>
      <w:pPr>
        <w:tabs>
          <w:tab w:val="num" w:pos="0"/>
        </w:tabs>
        <w:ind w:left="720" w:hanging="360"/>
      </w:pPr>
      <w:rPr>
        <w:rFonts w:ascii="Wingdings" w:hAnsi="Wingdings" w:cs="Wingdings" w:hint="default"/>
        <w:sz w:val="12"/>
        <w:szCs w:val="12"/>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lvl w:ilvl="0">
      <w:start w:val="1"/>
      <w:numFmt w:val="decimal"/>
      <w:lvlText w:val="%1."/>
      <w:lvlJc w:val="left"/>
      <w:pPr>
        <w:tabs>
          <w:tab w:val="num" w:pos="284"/>
        </w:tabs>
        <w:ind w:left="0" w:hanging="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2">
    <w:lvl w:ilvl="0">
      <w:start w:val="1"/>
      <w:numFmt w:val="decimal"/>
      <w:lvlText w:val="%1."/>
      <w:lvlJc w:val="left"/>
      <w:pPr>
        <w:tabs>
          <w:tab w:val="num" w:pos="284"/>
        </w:tabs>
        <w:ind w:left="0" w:hanging="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3">
    <w:lvl w:ilvl="0">
      <w:start w:val="1"/>
      <w:numFmt w:val="decimal"/>
      <w:lvlText w:val="Section %1"/>
      <w:lvlJc w:val="left"/>
      <w:pPr>
        <w:tabs>
          <w:tab w:val="num" w:pos="0"/>
        </w:tabs>
        <w:ind w:left="720" w:hanging="360"/>
      </w:pPr>
      <w:rPr>
        <w:caps/>
        <w:sz w:val="30"/>
        <w:szCs w:val="30"/>
        <w:color w:val="7F7F7F"/>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lvl w:ilvl="0">
      <w:start w:val="1"/>
      <w:numFmt w:val="upperLetter"/>
      <w:lvlText w:val="ANNEXE %1."/>
      <w:lvlJc w:val="left"/>
      <w:pPr>
        <w:tabs>
          <w:tab w:val="num" w:pos="0"/>
        </w:tabs>
        <w:ind w:left="720" w:hanging="360"/>
      </w:pPr>
      <w:rPr>
        <w:smallCaps w:val="false"/>
        <w:caps w:val="false"/>
        <w:dstrike w:val="false"/>
        <w:strike w:val="false"/>
        <w:vertAlign w:val="baseline"/>
        <w:position w:val="0"/>
        <w:sz w:val="30"/>
        <w:sz w:val="30"/>
        <w:spacing w:val="0"/>
        <w:i w:val="false"/>
        <w:u w:val="none"/>
        <w:b w:val="false"/>
        <w:kern w:val="0"/>
        <w:effect w:val="none"/>
        <w:szCs w:val="30"/>
        <w:iCs w:val="false"/>
        <w:bCs w:val="false"/>
        <w:em w:val="none"/>
        <w:vanish w:val="false"/>
        <w:rFonts w:cs="Times New Roman"/>
        <w:color w:val="7F7F7F"/>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5">
    <w:lvl w:ilvl="0">
      <w:start w:val="1"/>
      <w:numFmt w:val="decimal"/>
      <w:lvlText w:val="Annexe %1"/>
      <w:lvlJc w:val="left"/>
      <w:pPr>
        <w:tabs>
          <w:tab w:val="num" w:pos="0"/>
        </w:tabs>
        <w:ind w:left="360" w:hanging="360"/>
      </w:pPr>
      <w:rPr>
        <w:caps/>
        <w:sz w:val="30"/>
        <w:szCs w:val="30"/>
        <w:color w:val="7F7F7F"/>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6">
    <w:lvl w:ilvl="0">
      <w:start w:val="1"/>
      <w:numFmt w:val="bullet"/>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lvl w:ilvl="0">
      <w:start w:val="1"/>
      <w:numFmt w:val="bullet"/>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2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1">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5">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9">
    <w:lvl w:ilvl="0">
      <w:numFmt w:val="bullet"/>
      <w:lvlText w:val="-"/>
      <w:lvlJc w:val="left"/>
      <w:pPr>
        <w:tabs>
          <w:tab w:val="num" w:pos="0"/>
        </w:tabs>
        <w:ind w:left="1437" w:hanging="360"/>
      </w:pPr>
      <w:rPr>
        <w:rFonts w:ascii="Arial" w:hAnsi="Arial" w:cs="Arial" w:hint="default"/>
        <w:rFonts w:eastAsiaTheme="minorHAnsi"/>
      </w:rPr>
    </w:lvl>
    <w:lvl w:ilvl="1">
      <w:start w:val="1"/>
      <w:numFmt w:val="bullet"/>
      <w:lvlText w:val="o"/>
      <w:lvlJc w:val="left"/>
      <w:pPr>
        <w:tabs>
          <w:tab w:val="num" w:pos="0"/>
        </w:tabs>
        <w:ind w:left="2157" w:hanging="360"/>
      </w:pPr>
      <w:rPr>
        <w:rFonts w:ascii="Courier New" w:hAnsi="Courier New" w:cs="Courier New" w:hint="default"/>
      </w:rPr>
    </w:lvl>
    <w:lvl w:ilvl="2">
      <w:start w:val="1"/>
      <w:numFmt w:val="bullet"/>
      <w:lvlText w:val=""/>
      <w:lvlJc w:val="left"/>
      <w:pPr>
        <w:tabs>
          <w:tab w:val="num" w:pos="0"/>
        </w:tabs>
        <w:ind w:left="2877" w:hanging="360"/>
      </w:pPr>
      <w:rPr>
        <w:rFonts w:ascii="Wingdings" w:hAnsi="Wingdings" w:cs="Wingdings" w:hint="default"/>
      </w:rPr>
    </w:lvl>
    <w:lvl w:ilvl="3">
      <w:start w:val="1"/>
      <w:numFmt w:val="bullet"/>
      <w:lvlText w:val=""/>
      <w:lvlJc w:val="left"/>
      <w:pPr>
        <w:tabs>
          <w:tab w:val="num" w:pos="0"/>
        </w:tabs>
        <w:ind w:left="3597" w:hanging="360"/>
      </w:pPr>
      <w:rPr>
        <w:rFonts w:ascii="Symbol" w:hAnsi="Symbol" w:cs="Symbol" w:hint="default"/>
      </w:rPr>
    </w:lvl>
    <w:lvl w:ilvl="4">
      <w:start w:val="1"/>
      <w:numFmt w:val="bullet"/>
      <w:lvlText w:val="o"/>
      <w:lvlJc w:val="left"/>
      <w:pPr>
        <w:tabs>
          <w:tab w:val="num" w:pos="0"/>
        </w:tabs>
        <w:ind w:left="4317" w:hanging="360"/>
      </w:pPr>
      <w:rPr>
        <w:rFonts w:ascii="Courier New" w:hAnsi="Courier New" w:cs="Courier New" w:hint="default"/>
      </w:rPr>
    </w:lvl>
    <w:lvl w:ilvl="5">
      <w:start w:val="1"/>
      <w:numFmt w:val="bullet"/>
      <w:lvlText w:val=""/>
      <w:lvlJc w:val="left"/>
      <w:pPr>
        <w:tabs>
          <w:tab w:val="num" w:pos="0"/>
        </w:tabs>
        <w:ind w:left="5037" w:hanging="360"/>
      </w:pPr>
      <w:rPr>
        <w:rFonts w:ascii="Wingdings" w:hAnsi="Wingdings" w:cs="Wingdings" w:hint="default"/>
      </w:rPr>
    </w:lvl>
    <w:lvl w:ilvl="6">
      <w:start w:val="1"/>
      <w:numFmt w:val="bullet"/>
      <w:lvlText w:val=""/>
      <w:lvlJc w:val="left"/>
      <w:pPr>
        <w:tabs>
          <w:tab w:val="num" w:pos="0"/>
        </w:tabs>
        <w:ind w:left="5757" w:hanging="360"/>
      </w:pPr>
      <w:rPr>
        <w:rFonts w:ascii="Symbol" w:hAnsi="Symbol" w:cs="Symbol" w:hint="default"/>
      </w:rPr>
    </w:lvl>
    <w:lvl w:ilvl="7">
      <w:start w:val="1"/>
      <w:numFmt w:val="bullet"/>
      <w:lvlText w:val="o"/>
      <w:lvlJc w:val="left"/>
      <w:pPr>
        <w:tabs>
          <w:tab w:val="num" w:pos="0"/>
        </w:tabs>
        <w:ind w:left="6477" w:hanging="360"/>
      </w:pPr>
      <w:rPr>
        <w:rFonts w:ascii="Courier New" w:hAnsi="Courier New" w:cs="Courier New" w:hint="default"/>
      </w:rPr>
    </w:lvl>
    <w:lvl w:ilvl="8">
      <w:start w:val="1"/>
      <w:numFmt w:val="bullet"/>
      <w:lvlText w:val=""/>
      <w:lvlJc w:val="left"/>
      <w:pPr>
        <w:tabs>
          <w:tab w:val="num" w:pos="0"/>
        </w:tabs>
        <w:ind w:left="7197" w:hanging="360"/>
      </w:pPr>
      <w:rPr>
        <w:rFonts w:ascii="Wingdings" w:hAnsi="Wingdings" w:cs="Wingdings" w:hint="default"/>
      </w:rPr>
    </w:lvl>
  </w:abstractNum>
  <w:abstractNum w:abstractNumId="3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1">
    <w:lvl w:ilvl="0">
      <w:start w:val="1"/>
      <w:numFmt w:val="bullet"/>
      <w:lvlText w:val="o"/>
      <w:lvlJc w:val="left"/>
      <w:pPr>
        <w:tabs>
          <w:tab w:val="num" w:pos="0"/>
        </w:tabs>
        <w:ind w:left="1440" w:hanging="360"/>
      </w:pPr>
      <w:rPr>
        <w:rFonts w:ascii="Courier New" w:hAnsi="Courier New" w:cs="Courier New" w:hint="default"/>
      </w:r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32">
    <w:lvl w:ilvl="0">
      <w:start w:val="1"/>
      <w:numFmt w:val="bullet"/>
      <w:lvlText w:val=""/>
      <w:lvlJc w:val="left"/>
      <w:pPr>
        <w:tabs>
          <w:tab w:val="num" w:pos="0"/>
        </w:tabs>
        <w:ind w:left="785" w:hanging="360"/>
      </w:pPr>
      <w:rPr>
        <w:rFonts w:ascii="Symbol" w:hAnsi="Symbol" w:cs="Symbol" w:hint="default"/>
      </w:rPr>
    </w:lvl>
    <w:lvl w:ilvl="1">
      <w:start w:val="1"/>
      <w:numFmt w:val="lowerLetter"/>
      <w:lvlText w:val="%2."/>
      <w:lvlJc w:val="left"/>
      <w:pPr>
        <w:tabs>
          <w:tab w:val="num" w:pos="0"/>
        </w:tabs>
        <w:ind w:left="1505" w:hanging="360"/>
      </w:pPr>
    </w:lvl>
    <w:lvl w:ilvl="2">
      <w:start w:val="1"/>
      <w:numFmt w:val="lowerRoman"/>
      <w:lvlText w:val="%3."/>
      <w:lvlJc w:val="right"/>
      <w:pPr>
        <w:tabs>
          <w:tab w:val="num" w:pos="0"/>
        </w:tabs>
        <w:ind w:left="2225" w:hanging="180"/>
      </w:pPr>
    </w:lvl>
    <w:lvl w:ilvl="3">
      <w:start w:val="1"/>
      <w:numFmt w:val="decimal"/>
      <w:lvlText w:val="%4."/>
      <w:lvlJc w:val="left"/>
      <w:pPr>
        <w:tabs>
          <w:tab w:val="num" w:pos="0"/>
        </w:tabs>
        <w:ind w:left="2945" w:hanging="360"/>
      </w:pPr>
    </w:lvl>
    <w:lvl w:ilvl="4">
      <w:start w:val="1"/>
      <w:numFmt w:val="lowerLetter"/>
      <w:lvlText w:val="%5."/>
      <w:lvlJc w:val="left"/>
      <w:pPr>
        <w:tabs>
          <w:tab w:val="num" w:pos="0"/>
        </w:tabs>
        <w:ind w:left="3665" w:hanging="360"/>
      </w:pPr>
    </w:lvl>
    <w:lvl w:ilvl="5">
      <w:start w:val="1"/>
      <w:numFmt w:val="lowerRoman"/>
      <w:lvlText w:val="%6."/>
      <w:lvlJc w:val="right"/>
      <w:pPr>
        <w:tabs>
          <w:tab w:val="num" w:pos="0"/>
        </w:tabs>
        <w:ind w:left="4385" w:hanging="180"/>
      </w:pPr>
    </w:lvl>
    <w:lvl w:ilvl="6">
      <w:start w:val="1"/>
      <w:numFmt w:val="decimal"/>
      <w:lvlText w:val="%7."/>
      <w:lvlJc w:val="left"/>
      <w:pPr>
        <w:tabs>
          <w:tab w:val="num" w:pos="0"/>
        </w:tabs>
        <w:ind w:left="5105" w:hanging="360"/>
      </w:pPr>
    </w:lvl>
    <w:lvl w:ilvl="7">
      <w:start w:val="1"/>
      <w:numFmt w:val="lowerLetter"/>
      <w:lvlText w:val="%8."/>
      <w:lvlJc w:val="left"/>
      <w:pPr>
        <w:tabs>
          <w:tab w:val="num" w:pos="0"/>
        </w:tabs>
        <w:ind w:left="5825" w:hanging="360"/>
      </w:pPr>
    </w:lvl>
    <w:lvl w:ilvl="8">
      <w:start w:val="1"/>
      <w:numFmt w:val="lowerRoman"/>
      <w:lvlText w:val="%9."/>
      <w:lvlJc w:val="right"/>
      <w:pPr>
        <w:tabs>
          <w:tab w:val="num" w:pos="0"/>
        </w:tabs>
        <w:ind w:left="6545" w:hanging="180"/>
      </w:pPr>
    </w:lvl>
  </w:abstractNum>
  <w:abstractNum w:abstractNumId="33">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5">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7">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9">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0">
    <w:lvl w:ilvl="0">
      <w:start w:val="1"/>
      <w:numFmt w:val="bullet"/>
      <w:lvlText w:val=""/>
      <w:lvlJc w:val="left"/>
      <w:pPr>
        <w:tabs>
          <w:tab w:val="num" w:pos="720"/>
        </w:tabs>
        <w:ind w:left="720" w:hanging="360"/>
      </w:pPr>
      <w:rPr>
        <w:rFonts w:ascii="Symbol" w:hAnsi="Symbol" w:cs="Symbol"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1">
    <w:lvl w:ilvl="0">
      <w:start w:val="1"/>
      <w:numFmt w:val="bullet"/>
      <w:lvlText w:val="-"/>
      <w:lvlJc w:val="left"/>
      <w:pPr>
        <w:tabs>
          <w:tab w:val="num" w:pos="360"/>
        </w:tabs>
        <w:ind w:left="360" w:hanging="360"/>
      </w:pPr>
      <w:rPr>
        <w:rFonts w:ascii="Arial MT Black" w:hAnsi="Arial MT Black" w:cs="Arial MT Black"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3">
    <w:lvl w:ilvl="0">
      <w:start w:val="1"/>
      <w:numFmt w:val="bullet"/>
      <w:lvlText w:val=""/>
      <w:lvlJc w:val="left"/>
      <w:pPr>
        <w:tabs>
          <w:tab w:val="num" w:pos="502"/>
        </w:tabs>
        <w:ind w:left="502"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5">
    <w:lvl w:ilvl="0">
      <w:start w:val="1"/>
      <w:numFmt w:val="bullet"/>
      <w:lvlText w:val="o"/>
      <w:lvlJc w:val="left"/>
      <w:pPr>
        <w:tabs>
          <w:tab w:val="num" w:pos="0"/>
        </w:tabs>
        <w:ind w:left="1068" w:hanging="360"/>
      </w:pPr>
      <w:rPr>
        <w:rFonts w:ascii="Courier New" w:hAnsi="Courier New" w:cs="Courier New" w:hint="default"/>
      </w:rPr>
    </w:lvl>
    <w:lvl w:ilvl="1">
      <w:start w:val="1"/>
      <w:numFmt w:val="bullet"/>
      <w:lvlText w:val="o"/>
      <w:lvlJc w:val="left"/>
      <w:pPr>
        <w:tabs>
          <w:tab w:val="num" w:pos="0"/>
        </w:tabs>
        <w:ind w:left="1788" w:hanging="360"/>
      </w:pPr>
      <w:rPr>
        <w:rFonts w:ascii="Courier New" w:hAnsi="Courier New" w:cs="Courier New" w:hint="default"/>
      </w:rPr>
    </w:lvl>
    <w:lvl w:ilvl="2">
      <w:start w:val="1"/>
      <w:numFmt w:val="bullet"/>
      <w:lvlText w:val=""/>
      <w:lvlJc w:val="left"/>
      <w:pPr>
        <w:tabs>
          <w:tab w:val="num" w:pos="0"/>
        </w:tabs>
        <w:ind w:left="2508" w:hanging="360"/>
      </w:pPr>
      <w:rPr>
        <w:rFonts w:ascii="Wingdings" w:hAnsi="Wingdings" w:cs="Wingdings" w:hint="default"/>
      </w:rPr>
    </w:lvl>
    <w:lvl w:ilvl="3">
      <w:start w:val="1"/>
      <w:numFmt w:val="bullet"/>
      <w:lvlText w:val=""/>
      <w:lvlJc w:val="left"/>
      <w:pPr>
        <w:tabs>
          <w:tab w:val="num" w:pos="0"/>
        </w:tabs>
        <w:ind w:left="3228" w:hanging="360"/>
      </w:pPr>
      <w:rPr>
        <w:rFonts w:ascii="Symbol" w:hAnsi="Symbol" w:cs="Symbol" w:hint="default"/>
      </w:rPr>
    </w:lvl>
    <w:lvl w:ilvl="4">
      <w:start w:val="1"/>
      <w:numFmt w:val="bullet"/>
      <w:lvlText w:val="o"/>
      <w:lvlJc w:val="left"/>
      <w:pPr>
        <w:tabs>
          <w:tab w:val="num" w:pos="0"/>
        </w:tabs>
        <w:ind w:left="3948" w:hanging="360"/>
      </w:pPr>
      <w:rPr>
        <w:rFonts w:ascii="Courier New" w:hAnsi="Courier New" w:cs="Courier New" w:hint="default"/>
      </w:rPr>
    </w:lvl>
    <w:lvl w:ilvl="5">
      <w:start w:val="1"/>
      <w:numFmt w:val="bullet"/>
      <w:lvlText w:val=""/>
      <w:lvlJc w:val="left"/>
      <w:pPr>
        <w:tabs>
          <w:tab w:val="num" w:pos="0"/>
        </w:tabs>
        <w:ind w:left="4668" w:hanging="360"/>
      </w:pPr>
      <w:rPr>
        <w:rFonts w:ascii="Wingdings" w:hAnsi="Wingdings" w:cs="Wingdings" w:hint="default"/>
      </w:rPr>
    </w:lvl>
    <w:lvl w:ilvl="6">
      <w:start w:val="1"/>
      <w:numFmt w:val="bullet"/>
      <w:lvlText w:val=""/>
      <w:lvlJc w:val="left"/>
      <w:pPr>
        <w:tabs>
          <w:tab w:val="num" w:pos="0"/>
        </w:tabs>
        <w:ind w:left="5388" w:hanging="360"/>
      </w:pPr>
      <w:rPr>
        <w:rFonts w:ascii="Symbol" w:hAnsi="Symbol" w:cs="Symbol" w:hint="default"/>
      </w:rPr>
    </w:lvl>
    <w:lvl w:ilvl="7">
      <w:start w:val="1"/>
      <w:numFmt w:val="bullet"/>
      <w:lvlText w:val="o"/>
      <w:lvlJc w:val="left"/>
      <w:pPr>
        <w:tabs>
          <w:tab w:val="num" w:pos="0"/>
        </w:tabs>
        <w:ind w:left="6108" w:hanging="360"/>
      </w:pPr>
      <w:rPr>
        <w:rFonts w:ascii="Courier New" w:hAnsi="Courier New" w:cs="Courier New" w:hint="default"/>
      </w:rPr>
    </w:lvl>
    <w:lvl w:ilvl="8">
      <w:start w:val="1"/>
      <w:numFmt w:val="bullet"/>
      <w:lvlText w:val=""/>
      <w:lvlJc w:val="left"/>
      <w:pPr>
        <w:tabs>
          <w:tab w:val="num" w:pos="0"/>
        </w:tabs>
        <w:ind w:left="6828" w:hanging="360"/>
      </w:pPr>
      <w:rPr>
        <w:rFonts w:ascii="Wingdings" w:hAnsi="Wingdings" w:cs="Wingdings" w:hint="default"/>
      </w:rPr>
    </w:lvl>
  </w:abstractNum>
  <w:abstractNum w:abstractNumId="4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7">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9">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1">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2">
    <w:lvl w:ilvl="0">
      <w:start w:val="1"/>
      <w:numFmt w:val="bullet"/>
      <w:lvlText w:val="o"/>
      <w:lvlJc w:val="left"/>
      <w:pPr>
        <w:tabs>
          <w:tab w:val="num" w:pos="0"/>
        </w:tabs>
        <w:ind w:left="1080" w:hanging="360"/>
      </w:pPr>
      <w:rPr>
        <w:rFonts w:ascii="Courier New" w:hAnsi="Courier New" w:cs="Courier New" w:hint="default"/>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53">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5">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7">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9">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1">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2">
    <w:lvl w:ilvl="0">
      <w:start w:val="1"/>
      <w:numFmt w:val="bullet"/>
      <w:lvlText w:val="o"/>
      <w:lvlJc w:val="left"/>
      <w:pPr>
        <w:tabs>
          <w:tab w:val="num" w:pos="0"/>
        </w:tabs>
        <w:ind w:left="1440" w:hanging="360"/>
      </w:pPr>
      <w:rPr>
        <w:rFonts w:ascii="Courier New" w:hAnsi="Courier New" w:cs="Courier New"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63">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4">
    <w:lvl w:ilvl="0">
      <w:start w:val="1"/>
      <w:numFmt w:val="bullet"/>
      <w:lvlText w:val="o"/>
      <w:lvlJc w:val="left"/>
      <w:pPr>
        <w:tabs>
          <w:tab w:val="num" w:pos="1224"/>
        </w:tabs>
        <w:ind w:left="1224" w:hanging="360"/>
      </w:pPr>
      <w:rPr>
        <w:rFonts w:ascii="Courier New" w:hAnsi="Courier New" w:cs="Courier New" w:hint="default"/>
      </w:rPr>
    </w:lvl>
    <w:lvl w:ilvl="1">
      <w:start w:val="1"/>
      <w:numFmt w:val="bullet"/>
      <w:lvlText w:val="o"/>
      <w:lvlJc w:val="left"/>
      <w:pPr>
        <w:tabs>
          <w:tab w:val="num" w:pos="1944"/>
        </w:tabs>
        <w:ind w:left="1944" w:hanging="360"/>
      </w:pPr>
      <w:rPr>
        <w:rFonts w:ascii="Courier New" w:hAnsi="Courier New" w:cs="Courier New" w:hint="default"/>
      </w:rPr>
    </w:lvl>
    <w:lvl w:ilvl="2">
      <w:start w:val="1"/>
      <w:numFmt w:val="bullet"/>
      <w:lvlText w:val=""/>
      <w:lvlJc w:val="left"/>
      <w:pPr>
        <w:tabs>
          <w:tab w:val="num" w:pos="2664"/>
        </w:tabs>
        <w:ind w:left="2664" w:hanging="360"/>
      </w:pPr>
      <w:rPr>
        <w:rFonts w:ascii="Wingdings" w:hAnsi="Wingdings" w:cs="Wingdings" w:hint="default"/>
      </w:rPr>
    </w:lvl>
    <w:lvl w:ilvl="3">
      <w:start w:val="1"/>
      <w:numFmt w:val="bullet"/>
      <w:lvlText w:val=""/>
      <w:lvlJc w:val="left"/>
      <w:pPr>
        <w:tabs>
          <w:tab w:val="num" w:pos="3384"/>
        </w:tabs>
        <w:ind w:left="3384" w:hanging="360"/>
      </w:pPr>
      <w:rPr>
        <w:rFonts w:ascii="Symbol" w:hAnsi="Symbol" w:cs="Symbol" w:hint="default"/>
      </w:rPr>
    </w:lvl>
    <w:lvl w:ilvl="4">
      <w:start w:val="1"/>
      <w:numFmt w:val="bullet"/>
      <w:lvlText w:val="o"/>
      <w:lvlJc w:val="left"/>
      <w:pPr>
        <w:tabs>
          <w:tab w:val="num" w:pos="4104"/>
        </w:tabs>
        <w:ind w:left="4104" w:hanging="360"/>
      </w:pPr>
      <w:rPr>
        <w:rFonts w:ascii="Courier New" w:hAnsi="Courier New" w:cs="Courier New" w:hint="default"/>
      </w:rPr>
    </w:lvl>
    <w:lvl w:ilvl="5">
      <w:start w:val="1"/>
      <w:numFmt w:val="bullet"/>
      <w:lvlText w:val=""/>
      <w:lvlJc w:val="left"/>
      <w:pPr>
        <w:tabs>
          <w:tab w:val="num" w:pos="4824"/>
        </w:tabs>
        <w:ind w:left="4824" w:hanging="360"/>
      </w:pPr>
      <w:rPr>
        <w:rFonts w:ascii="Wingdings" w:hAnsi="Wingdings" w:cs="Wingdings" w:hint="default"/>
      </w:rPr>
    </w:lvl>
    <w:lvl w:ilvl="6">
      <w:start w:val="1"/>
      <w:numFmt w:val="bullet"/>
      <w:lvlText w:val=""/>
      <w:lvlJc w:val="left"/>
      <w:pPr>
        <w:tabs>
          <w:tab w:val="num" w:pos="5544"/>
        </w:tabs>
        <w:ind w:left="5544" w:hanging="360"/>
      </w:pPr>
      <w:rPr>
        <w:rFonts w:ascii="Symbol" w:hAnsi="Symbol" w:cs="Symbol" w:hint="default"/>
      </w:rPr>
    </w:lvl>
    <w:lvl w:ilvl="7">
      <w:start w:val="1"/>
      <w:numFmt w:val="bullet"/>
      <w:lvlText w:val="o"/>
      <w:lvlJc w:val="left"/>
      <w:pPr>
        <w:tabs>
          <w:tab w:val="num" w:pos="6264"/>
        </w:tabs>
        <w:ind w:left="6264" w:hanging="360"/>
      </w:pPr>
      <w:rPr>
        <w:rFonts w:ascii="Courier New" w:hAnsi="Courier New" w:cs="Courier New" w:hint="default"/>
      </w:rPr>
    </w:lvl>
    <w:lvl w:ilvl="8">
      <w:start w:val="1"/>
      <w:numFmt w:val="bullet"/>
      <w:lvlText w:val=""/>
      <w:lvlJc w:val="left"/>
      <w:pPr>
        <w:tabs>
          <w:tab w:val="num" w:pos="6984"/>
        </w:tabs>
        <w:ind w:left="6984" w:hanging="360"/>
      </w:pPr>
      <w:rPr>
        <w:rFonts w:ascii="Wingdings" w:hAnsi="Wingdings" w:cs="Wingdings" w:hint="default"/>
      </w:rPr>
    </w:lvl>
  </w:abstractNum>
  <w:abstractNum w:abstractNumId="65">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6">
    <w:lvl w:ilvl="0">
      <w:start w:val="1"/>
      <w:numFmt w:val="bullet"/>
      <w:lvlText w:val="o"/>
      <w:lvlJc w:val="left"/>
      <w:pPr>
        <w:tabs>
          <w:tab w:val="num" w:pos="720"/>
        </w:tabs>
        <w:ind w:left="400" w:hanging="40"/>
      </w:pPr>
      <w:rPr>
        <w:rFonts w:ascii="OpenSymbol" w:hAnsi="OpenSymbol" w:cs="Open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7">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8">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9">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0">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3">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4">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5">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6">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7">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8">
    <w:lvl w:ilvl="0">
      <w:start w:val="1"/>
      <w:numFmt w:val="bullet"/>
      <w:lvlText w:val=""/>
      <w:lvlJc w:val="left"/>
      <w:pPr>
        <w:tabs>
          <w:tab w:val="num" w:pos="0"/>
        </w:tabs>
        <w:ind w:left="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9">
    <w:lvl w:ilvl="0">
      <w:start w:val="1"/>
      <w:numFmt w:val="bullet"/>
      <w:lvlText w:val=""/>
      <w:lvlJc w:val="left"/>
      <w:pPr>
        <w:tabs>
          <w:tab w:val="num" w:pos="1068"/>
        </w:tabs>
        <w:ind w:left="1068" w:hanging="360"/>
      </w:pPr>
      <w:rPr>
        <w:rFonts w:ascii="Symbol" w:hAnsi="Symbol" w:cs="Symbol"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cs="Wingdings" w:hint="default"/>
      </w:rPr>
    </w:lvl>
    <w:lvl w:ilvl="3">
      <w:start w:val="1"/>
      <w:numFmt w:val="bullet"/>
      <w:lvlText w:val=""/>
      <w:lvlJc w:val="left"/>
      <w:pPr>
        <w:tabs>
          <w:tab w:val="num" w:pos="3228"/>
        </w:tabs>
        <w:ind w:left="3228" w:hanging="360"/>
      </w:pPr>
      <w:rPr>
        <w:rFonts w:ascii="Symbol" w:hAnsi="Symbol" w:cs="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cs="Wingdings" w:hint="default"/>
      </w:rPr>
    </w:lvl>
    <w:lvl w:ilvl="6">
      <w:start w:val="1"/>
      <w:numFmt w:val="bullet"/>
      <w:lvlText w:val=""/>
      <w:lvlJc w:val="left"/>
      <w:pPr>
        <w:tabs>
          <w:tab w:val="num" w:pos="5388"/>
        </w:tabs>
        <w:ind w:left="5388" w:hanging="360"/>
      </w:pPr>
      <w:rPr>
        <w:rFonts w:ascii="Symbol" w:hAnsi="Symbol" w:cs="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cs="Wingdings" w:hint="default"/>
      </w:rPr>
    </w:lvl>
  </w:abstractNum>
  <w:abstractNum w:abstractNumId="80">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81">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3">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5">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7">
    <w:lvl w:ilvl="0">
      <w:start w:val="1"/>
      <w:numFmt w:val="bullet"/>
      <w:lvlText w:val=""/>
      <w:lvlJc w:val="left"/>
      <w:pPr>
        <w:tabs>
          <w:tab w:val="num" w:pos="992"/>
        </w:tabs>
        <w:ind w:left="992" w:hanging="283"/>
      </w:pPr>
      <w:rPr>
        <w:rFonts w:ascii="Symbol" w:hAnsi="Symbol" w:cs="Symbol" w:hint="default"/>
        <w:sz w:val="16"/>
        <w:szCs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88">
    <w:lvl w:ilvl="0">
      <w:start w:val="1"/>
      <w:numFmt w:val="bullet"/>
      <w:lvlText w:val=""/>
      <w:lvlJc w:val="left"/>
      <w:pPr>
        <w:tabs>
          <w:tab w:val="num" w:pos="1276"/>
        </w:tabs>
        <w:ind w:left="1276" w:hanging="284"/>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89">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0">
    <w:lvl w:ilvl="0">
      <w:start w:val="1"/>
      <w:numFmt w:val="bullet"/>
      <w:lvlText w:val=""/>
      <w:lvlJc w:val="left"/>
      <w:pPr>
        <w:tabs>
          <w:tab w:val="num" w:pos="567"/>
        </w:tabs>
        <w:ind w:left="567" w:hanging="567"/>
      </w:pPr>
      <w:rPr>
        <w:rFonts w:ascii="Wingdings 2" w:hAnsi="Wingdings 2" w:cs="Wingdings 2" w:hint="default"/>
        <w:sz w:val="12"/>
        <w:szCs w:val="1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1">
    <w:lvl w:ilvl="0">
      <w:start w:val="1"/>
      <w:numFmt w:val="bullet"/>
      <w:lvlText w:val=""/>
      <w:lvlJc w:val="left"/>
      <w:pPr>
        <w:tabs>
          <w:tab w:val="num" w:pos="567"/>
        </w:tabs>
        <w:ind w:left="567" w:hanging="283"/>
      </w:pPr>
      <w:rPr>
        <w:rFonts w:ascii="Wingdings 2" w:hAnsi="Wingdings 2" w:cs="Wingdings 2" w:hint="default"/>
        <w:sz w:val="20"/>
        <w:szCs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2">
    <w:lvl w:ilvl="0">
      <w:start w:val="1"/>
      <w:numFmt w:val="bullet"/>
      <w:lvlText w:val=""/>
      <w:lvlJc w:val="left"/>
      <w:pPr>
        <w:tabs>
          <w:tab w:val="num" w:pos="360"/>
        </w:tabs>
        <w:ind w:left="360" w:hanging="360"/>
      </w:pPr>
      <w:rPr>
        <w:rFonts w:ascii="Wingdings 2" w:hAnsi="Wingdings 2" w:cs="Wingdings 2" w:hint="default"/>
        <w:sz w:val="18"/>
        <w:szCs w:val="18"/>
        <w:color w:val="808080"/>
      </w:rPr>
    </w:lvl>
    <w:lvl w:ilvl="1">
      <w:start w:val="1"/>
      <w:numFmt w:val="bullet"/>
      <w:lvlText w:val=""/>
      <w:lvlJc w:val="left"/>
      <w:pPr>
        <w:tabs>
          <w:tab w:val="num" w:pos="1440"/>
        </w:tabs>
        <w:ind w:left="1437" w:hanging="357"/>
      </w:pPr>
      <w:rPr>
        <w:rFonts w:ascii="Wingdings 2" w:hAnsi="Wingdings 2" w:cs="Wingdings 2" w:hint="default"/>
        <w:sz w:val="22"/>
        <w:szCs w:val="22"/>
        <w:color w:val="808080"/>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3">
    <w:lvl w:ilvl="0">
      <w:start w:val="1"/>
      <w:numFmt w:val="bullet"/>
      <w:lvlText w:val=""/>
      <w:lvlJc w:val="left"/>
      <w:pPr>
        <w:tabs>
          <w:tab w:val="num" w:pos="1559"/>
        </w:tabs>
        <w:ind w:left="1559" w:hanging="283"/>
      </w:pPr>
      <w:rPr>
        <w:rFonts w:ascii="Symbol" w:hAnsi="Symbol" w:cs="Symbol" w:hint="default"/>
        <w:sz w:val="16"/>
        <w:szCs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4">
    <w:lvl w:ilvl="0">
      <w:start w:val="1"/>
      <w:numFmt w:val="bullet"/>
      <w:lvlText w:val="o"/>
      <w:lvlJc w:val="left"/>
      <w:pPr>
        <w:tabs>
          <w:tab w:val="num" w:pos="0"/>
        </w:tabs>
        <w:ind w:left="1494" w:hanging="360"/>
      </w:pPr>
      <w:rPr>
        <w:rFonts w:ascii="Courier New" w:hAnsi="Courier New" w:cs="Courier New"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5">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6">
    <w:lvl w:ilvl="0">
      <w:start w:val="1"/>
      <w:numFmt w:val="decimal"/>
      <w:lvlText w:val="%1."/>
      <w:lvlJc w:val="left"/>
      <w:pPr>
        <w:tabs>
          <w:tab w:val="num" w:pos="1134"/>
        </w:tabs>
        <w:ind w:left="1134" w:hanging="1134"/>
      </w:pPr>
      <w:rPr>
        <w:smallCaps w:val="false"/>
        <w:caps w:val="false"/>
        <w:dstrike w:val="false"/>
        <w:strike w:val="false"/>
        <w:vertAlign w:val="baseline"/>
        <w:position w:val="0"/>
        <w:sz w:val="34"/>
        <w:sz w:val="34"/>
        <w:spacing w:val="0"/>
        <w:i w:val="false"/>
        <w:u w:val="none"/>
        <w:b w:val="false"/>
        <w:kern w:val="0"/>
        <w:effect w:val="none"/>
        <w:szCs w:val="34"/>
        <w:iCs w:val="false"/>
        <w:bCs w:val="false"/>
        <w:em w:val="none"/>
        <w:vanish w:val="false"/>
        <w:rFonts w:cs="Times New Roman"/>
        <w:color w:val="000000"/>
      </w:rPr>
    </w:lvl>
    <w:lvl w:ilvl="1">
      <w:start w:val="1"/>
      <w:numFmt w:val="decimal"/>
      <w:lvlText w:val="%1.%2."/>
      <w:lvlJc w:val="left"/>
      <w:pPr>
        <w:tabs>
          <w:tab w:val="num" w:pos="1844"/>
        </w:tabs>
        <w:ind w:left="1844" w:hanging="1134"/>
      </w:pPr>
      <w:rPr>
        <w:sz w:val="24"/>
        <w:i w:val="false"/>
        <w:u w:val="none"/>
        <w:b/>
        <w:szCs w:val="24"/>
        <w:rFonts w:ascii="Arial Black" w:hAnsi="Arial Black"/>
      </w:rPr>
    </w:lvl>
    <w:lvl w:ilvl="2">
      <w:start w:val="1"/>
      <w:numFmt w:val="decimal"/>
      <w:lvlText w:val="%1.%2.%3."/>
      <w:lvlJc w:val="left"/>
      <w:pPr>
        <w:tabs>
          <w:tab w:val="num" w:pos="1134"/>
        </w:tabs>
        <w:ind w:left="1134" w:hanging="1134"/>
      </w:pPr>
      <w:rPr>
        <w:smallCaps w:val="false"/>
        <w:caps w:val="false"/>
        <w:outline w:val="false"/>
        <w:dstrike w:val="false"/>
        <w:strike w:val="false"/>
        <w:vertAlign w:val="baseline"/>
        <w:position w:val="0"/>
        <w:sz w:val="20"/>
        <w:spacing w:val="0"/>
        <w:i w:val="false"/>
        <w:shadow w:val="false"/>
        <w:u w:val="none"/>
        <w:b w:val="false"/>
        <w:kern w:val="0"/>
        <w:effect w:val="none"/>
        <w:iCs w:val="false"/>
        <w:bCs w:val="false"/>
        <w:em w:val="none"/>
        <w:emboss w:val="false"/>
        <w:imprint w:val="false"/>
        <w:vanish w:val="false"/>
        <w:rFonts w:cs="Times New Roman"/>
        <w14:cntxtAlts w14:val="0"/>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3">
      <w:start w:val="1"/>
      <w:numFmt w:val="decimal"/>
      <w:lvlText w:val="%1.%2.%3.%4."/>
      <w:lvlJc w:val="left"/>
      <w:pPr>
        <w:tabs>
          <w:tab w:val="num" w:pos="1134"/>
        </w:tabs>
        <w:ind w:left="1134" w:hanging="1134"/>
      </w:pPr>
      <w:rPr>
        <w:smallCaps w:val="false"/>
        <w:caps w:val="false"/>
        <w:dstrike w:val="false"/>
        <w:strike w:val="false"/>
        <w:vertAlign w:val="baseline"/>
        <w:position w:val="0"/>
        <w:sz w:val="20"/>
        <w:sz w:val="20"/>
        <w:spacing w:val="0"/>
        <w:i w:val="false"/>
        <w:u w:val="none"/>
        <w:b w:val="false"/>
        <w:kern w:val="0"/>
        <w:effect w:val="none"/>
        <w:szCs w:val="20"/>
        <w:iCs w:val="false"/>
        <w:bCs w:val="false"/>
        <w:em w:val="none"/>
        <w:vanish w:val="false"/>
        <w:rFonts w:cs="Times New Roman"/>
        <w:color w:val="auto"/>
      </w:rPr>
    </w:lvl>
    <w:lvl w:ilvl="4">
      <w:start w:val="1"/>
      <w:numFmt w:val="decimal"/>
      <w:lvlText w:val="%1.%2.%3.%4.%5."/>
      <w:lvlJc w:val="left"/>
      <w:pPr>
        <w:tabs>
          <w:tab w:val="num" w:pos="1844"/>
        </w:tabs>
        <w:ind w:left="1844" w:hanging="1134"/>
      </w:pPr>
      <w:rPr>
        <w:sz w:val="20"/>
        <w:i w:val="false"/>
        <w:u w:val="none"/>
        <w:b w:val="false"/>
        <w:szCs w:val="18"/>
        <w:rFonts w:ascii="Arial" w:hAnsi="Arial"/>
      </w:rPr>
    </w:lvl>
    <w:lvl w:ilvl="5">
      <w:start w:val="1"/>
      <w:numFmt w:val="upperLetter"/>
      <w:lvlText w:val="%6."/>
      <w:lvlJc w:val="left"/>
      <w:pPr>
        <w:tabs>
          <w:tab w:val="num" w:pos="567"/>
        </w:tabs>
        <w:ind w:left="567" w:hanging="567"/>
      </w:pPr>
      <w:rPr>
        <w:sz w:val="20"/>
        <w:i w:val="false"/>
        <w:u w:val="none"/>
        <w:b/>
        <w:szCs w:val="20"/>
        <w:rFonts w:ascii="Arial Gras" w:hAnsi="Arial Gras"/>
      </w:rPr>
    </w:lvl>
    <w:lvl w:ilvl="6">
      <w:start w:val="1"/>
      <w:numFmt w:val="lowerLetter"/>
      <w:lvlText w:val="%7)"/>
      <w:lvlJc w:val="left"/>
      <w:pPr>
        <w:tabs>
          <w:tab w:val="num" w:pos="709"/>
        </w:tabs>
        <w:ind w:left="1559" w:hanging="425"/>
      </w:pPr>
      <w:rPr>
        <w:sz w:val="20"/>
        <w:u w:val="none"/>
        <w:szCs w:val="20"/>
      </w:rPr>
    </w:lvl>
    <w:lvl w:ilvl="7">
      <w:start w:val="1"/>
      <w:numFmt w:val="decimal"/>
      <w:lvlText w:val="%8)"/>
      <w:lvlJc w:val="left"/>
      <w:pPr>
        <w:tabs>
          <w:tab w:val="num" w:pos="1559"/>
        </w:tabs>
        <w:ind w:left="1559" w:hanging="425"/>
      </w:pPr>
      <w:rPr>
        <w:sz w:val="20"/>
        <w:i w:val="false"/>
        <w:u w:val="none"/>
        <w:b w:val="false"/>
        <w:szCs w:val="20"/>
        <w:rFonts w:ascii="Arial" w:hAnsi="Arial"/>
      </w:rPr>
    </w:lvl>
    <w:lvl w:ilvl="8">
      <w:start w:val="1"/>
      <w:numFmt w:val="lowerRoman"/>
      <w:lvlText w:val="%9)"/>
      <w:lvlJc w:val="left"/>
      <w:pPr>
        <w:tabs>
          <w:tab w:val="num" w:pos="1559"/>
        </w:tabs>
        <w:ind w:left="1559" w:hanging="425"/>
      </w:pPr>
      <w:rPr>
        <w:sz w:val="20"/>
        <w:i w:val="false"/>
        <w:u w:val="none"/>
        <w:b w:val="false"/>
        <w:szCs w:val="20"/>
        <w:rFonts w:ascii="Arial" w:hAnsi="Arial"/>
      </w:rPr>
    </w:lvl>
  </w:abstractNum>
  <w:abstractNum w:abstractNumId="97">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9">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0">
    <w:lvl w:ilvl="0">
      <w:start w:val="1"/>
      <w:numFmt w:val="bullet"/>
      <w:lvlText w:val=""/>
      <w:lvlJc w:val="left"/>
      <w:pPr>
        <w:tabs>
          <w:tab w:val="num" w:pos="357"/>
        </w:tabs>
        <w:ind w:left="357" w:hanging="357"/>
      </w:pPr>
      <w:rPr>
        <w:rFonts w:ascii="Wingdings 2" w:hAnsi="Wingdings 2" w:cs="Wingdings 2" w:hint="default"/>
        <w:sz w:val="18"/>
        <w:szCs w:val="18"/>
        <w:color w:val="80808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1">
    <w:lvl w:ilvl="0">
      <w:start w:val="1"/>
      <w:numFmt w:val="bullet"/>
      <w:lvlText w:val=""/>
      <w:lvlJc w:val="left"/>
      <w:pPr>
        <w:tabs>
          <w:tab w:val="num" w:pos="717"/>
        </w:tabs>
        <w:ind w:left="714" w:hanging="357"/>
      </w:pPr>
      <w:rPr>
        <w:rFonts w:ascii="Wingdings 2" w:hAnsi="Wingdings 2" w:cs="Wingdings 2" w:hint="default"/>
        <w:sz w:val="22"/>
        <w:szCs w:val="22"/>
        <w:color w:val="80808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2">
    <w:lvl w:ilvl="0">
      <w:start w:val="1"/>
      <w:numFmt w:val="bullet"/>
      <w:lvlText w:val=""/>
      <w:lvlJc w:val="left"/>
      <w:pPr>
        <w:tabs>
          <w:tab w:val="num" w:pos="714"/>
        </w:tabs>
        <w:ind w:left="714" w:hanging="357"/>
      </w:pPr>
      <w:rPr>
        <w:rFonts w:ascii="Wingdings 2" w:hAnsi="Wingdings 2" w:cs="Wingdings 2" w:hint="default"/>
        <w:sz w:val="22"/>
        <w:szCs w:val="22"/>
        <w:color w:val="80808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3">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0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5">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7">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9">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1">
    <w:lvl w:ilvl="0">
      <w:start w:val="1"/>
      <w:numFmt w:val="decimal"/>
      <w:lvlText w:val="%1."/>
      <w:lvlJc w:val="left"/>
      <w:pPr>
        <w:tabs>
          <w:tab w:val="num" w:pos="1134"/>
        </w:tabs>
        <w:ind w:left="1134" w:hanging="1134"/>
      </w:pPr>
      <w:rPr>
        <w:smallCaps w:val="false"/>
        <w:caps w:val="false"/>
        <w:dstrike w:val="false"/>
        <w:strike w:val="false"/>
        <w:vertAlign w:val="baseline"/>
        <w:position w:val="0"/>
        <w:sz w:val="34"/>
        <w:sz w:val="34"/>
        <w:spacing w:val="0"/>
        <w:i w:val="false"/>
        <w:u w:val="none"/>
        <w:b w:val="false"/>
        <w:kern w:val="0"/>
        <w:effect w:val="none"/>
        <w:szCs w:val="34"/>
        <w:iCs w:val="false"/>
        <w:bCs w:val="false"/>
        <w:em w:val="none"/>
        <w:vanish w:val="false"/>
        <w:rFonts w:cs="Times New Roman"/>
        <w:color w:val="000000"/>
      </w:rPr>
    </w:lvl>
    <w:lvl w:ilvl="1">
      <w:start w:val="1"/>
      <w:numFmt w:val="decimal"/>
      <w:lvlText w:val="%1.%2."/>
      <w:lvlJc w:val="left"/>
      <w:pPr>
        <w:tabs>
          <w:tab w:val="num" w:pos="1134"/>
        </w:tabs>
        <w:ind w:left="1134" w:hanging="1134"/>
      </w:pPr>
      <w:rPr>
        <w:sz w:val="24"/>
        <w:i w:val="false"/>
        <w:u w:val="none"/>
        <w:b/>
        <w:szCs w:val="24"/>
        <w:rFonts w:ascii="Arial Black" w:hAnsi="Arial Black"/>
      </w:rPr>
    </w:lvl>
    <w:lvl w:ilvl="2">
      <w:start w:val="1"/>
      <w:numFmt w:val="decimal"/>
      <w:lvlText w:val="%1.%2.%3."/>
      <w:lvlJc w:val="left"/>
      <w:pPr>
        <w:tabs>
          <w:tab w:val="num" w:pos="1134"/>
        </w:tabs>
        <w:ind w:left="1134" w:hanging="1134"/>
      </w:pPr>
      <w:rPr>
        <w:sz w:val="20"/>
        <w:i w:val="false"/>
        <w:u w:val="none"/>
        <w:b/>
        <w:szCs w:val="20"/>
        <w:rFonts w:ascii="Arial Black" w:hAnsi="Arial Black"/>
      </w:rPr>
    </w:lvl>
    <w:lvl w:ilvl="3">
      <w:start w:val="1"/>
      <w:numFmt w:val="decimal"/>
      <w:lvlText w:val="%1.%2.%3.%4."/>
      <w:lvlJc w:val="left"/>
      <w:pPr>
        <w:tabs>
          <w:tab w:val="num" w:pos="1134"/>
        </w:tabs>
        <w:ind w:left="1134" w:hanging="1134"/>
      </w:pPr>
      <w:rPr>
        <w:smallCaps w:val="false"/>
        <w:caps w:val="false"/>
        <w:dstrike w:val="false"/>
        <w:strike w:val="false"/>
        <w:vertAlign w:val="baseline"/>
        <w:position w:val="0"/>
        <w:sz w:val="20"/>
        <w:sz w:val="20"/>
        <w:spacing w:val="0"/>
        <w:i w:val="false"/>
        <w:u w:val="none"/>
        <w:b w:val="false"/>
        <w:kern w:val="0"/>
        <w:effect w:val="none"/>
        <w:szCs w:val="20"/>
        <w:iCs w:val="false"/>
        <w:bCs w:val="false"/>
        <w:em w:val="none"/>
        <w:vanish w:val="false"/>
        <w:rFonts w:cs="Times New Roman"/>
        <w:color w:val="auto"/>
      </w:rPr>
    </w:lvl>
    <w:lvl w:ilvl="4">
      <w:start w:val="1"/>
      <w:numFmt w:val="decimal"/>
      <w:lvlText w:val="%1.%2.%3.%4.%5."/>
      <w:lvlJc w:val="left"/>
      <w:pPr>
        <w:tabs>
          <w:tab w:val="num" w:pos="1844"/>
        </w:tabs>
        <w:ind w:left="1844" w:hanging="1134"/>
      </w:pPr>
      <w:rPr>
        <w:smallCaps w:val="false"/>
        <w:caps w:val="false"/>
        <w:outline w:val="false"/>
        <w:dstrike w:val="false"/>
        <w:strike w:val="false"/>
        <w:vertAlign w:val="baseline"/>
        <w:position w:val="0"/>
        <w:sz w:val="20"/>
        <w:spacing w:val="0"/>
        <w:i w:val="false"/>
        <w:shadow w:val="false"/>
        <w:u w:val="none"/>
        <w:b w:val="false"/>
        <w:kern w:val="0"/>
        <w:effect w:val="none"/>
        <w:iCs w:val="false"/>
        <w:bCs w:val="false"/>
        <w:em w:val="none"/>
        <w:emboss w:val="false"/>
        <w:imprint w:val="false"/>
        <w:vanish w:val="false"/>
        <w:rFonts w:cs="Times New Roman"/>
        <w14:cntxtAlts w14:val="0"/>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5">
      <w:start w:val="1"/>
      <w:numFmt w:val="upperLetter"/>
      <w:lvlText w:val="%6."/>
      <w:lvlJc w:val="left"/>
      <w:pPr>
        <w:tabs>
          <w:tab w:val="num" w:pos="567"/>
        </w:tabs>
        <w:ind w:left="567" w:hanging="567"/>
      </w:pPr>
      <w:rPr>
        <w:sz w:val="20"/>
        <w:i w:val="false"/>
        <w:u w:val="none"/>
        <w:b/>
        <w:szCs w:val="20"/>
        <w:rFonts w:ascii="Arial Gras" w:hAnsi="Arial Gras"/>
      </w:rPr>
    </w:lvl>
    <w:lvl w:ilvl="6">
      <w:start w:val="1"/>
      <w:numFmt w:val="lowerLetter"/>
      <w:lvlText w:val="%7)"/>
      <w:lvlJc w:val="left"/>
      <w:pPr>
        <w:tabs>
          <w:tab w:val="num" w:pos="709"/>
        </w:tabs>
        <w:ind w:left="1559" w:hanging="425"/>
      </w:pPr>
      <w:rPr>
        <w:sz w:val="20"/>
        <w:u w:val="none"/>
        <w:szCs w:val="20"/>
      </w:rPr>
    </w:lvl>
    <w:lvl w:ilvl="7">
      <w:start w:val="1"/>
      <w:numFmt w:val="decimal"/>
      <w:lvlText w:val="%8)"/>
      <w:lvlJc w:val="left"/>
      <w:pPr>
        <w:tabs>
          <w:tab w:val="num" w:pos="1559"/>
        </w:tabs>
        <w:ind w:left="1559" w:hanging="425"/>
      </w:pPr>
      <w:rPr>
        <w:sz w:val="20"/>
        <w:i w:val="false"/>
        <w:u w:val="none"/>
        <w:b w:val="false"/>
        <w:szCs w:val="20"/>
        <w:rFonts w:ascii="Arial" w:hAnsi="Arial"/>
      </w:rPr>
    </w:lvl>
    <w:lvl w:ilvl="8">
      <w:start w:val="1"/>
      <w:numFmt w:val="lowerRoman"/>
      <w:lvlText w:val="%9)"/>
      <w:lvlJc w:val="left"/>
      <w:pPr>
        <w:tabs>
          <w:tab w:val="num" w:pos="1559"/>
        </w:tabs>
        <w:ind w:left="1559" w:hanging="425"/>
      </w:pPr>
      <w:rPr>
        <w:sz w:val="20"/>
        <w:i w:val="false"/>
        <w:u w:val="none"/>
        <w:b w:val="false"/>
        <w:szCs w:val="20"/>
        <w:rFonts w:ascii="Arial" w:hAnsi="Arial"/>
      </w:rPr>
    </w:lvl>
  </w:abstractNum>
  <w:abstractNum w:abstractNumId="11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3">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5">
    <w:lvl w:ilvl="0">
      <w:start w:val="1"/>
      <w:numFmt w:val="bullet"/>
      <w:lvlText w:val=""/>
      <w:lvlJc w:val="left"/>
      <w:pPr>
        <w:tabs>
          <w:tab w:val="num" w:pos="0"/>
        </w:tabs>
        <w:ind w:left="1797" w:hanging="360"/>
      </w:pPr>
      <w:rPr>
        <w:rFonts w:ascii="Symbol" w:hAnsi="Symbol" w:cs="Symbol" w:hint="default"/>
      </w:rPr>
    </w:lvl>
    <w:lvl w:ilvl="1">
      <w:start w:val="1"/>
      <w:numFmt w:val="bullet"/>
      <w:lvlText w:val="o"/>
      <w:lvlJc w:val="left"/>
      <w:pPr>
        <w:tabs>
          <w:tab w:val="num" w:pos="0"/>
        </w:tabs>
        <w:ind w:left="2517" w:hanging="360"/>
      </w:pPr>
      <w:rPr>
        <w:rFonts w:ascii="Courier New" w:hAnsi="Courier New" w:cs="Courier New" w:hint="default"/>
      </w:rPr>
    </w:lvl>
    <w:lvl w:ilvl="2">
      <w:start w:val="1"/>
      <w:numFmt w:val="bullet"/>
      <w:lvlText w:val=""/>
      <w:lvlJc w:val="left"/>
      <w:pPr>
        <w:tabs>
          <w:tab w:val="num" w:pos="0"/>
        </w:tabs>
        <w:ind w:left="3237" w:hanging="360"/>
      </w:pPr>
      <w:rPr>
        <w:rFonts w:ascii="Wingdings" w:hAnsi="Wingdings" w:cs="Wingdings" w:hint="default"/>
      </w:rPr>
    </w:lvl>
    <w:lvl w:ilvl="3">
      <w:start w:val="1"/>
      <w:numFmt w:val="bullet"/>
      <w:lvlText w:val=""/>
      <w:lvlJc w:val="left"/>
      <w:pPr>
        <w:tabs>
          <w:tab w:val="num" w:pos="0"/>
        </w:tabs>
        <w:ind w:left="3957" w:hanging="360"/>
      </w:pPr>
      <w:rPr>
        <w:rFonts w:ascii="Symbol" w:hAnsi="Symbol" w:cs="Symbol" w:hint="default"/>
      </w:rPr>
    </w:lvl>
    <w:lvl w:ilvl="4">
      <w:start w:val="1"/>
      <w:numFmt w:val="bullet"/>
      <w:lvlText w:val="o"/>
      <w:lvlJc w:val="left"/>
      <w:pPr>
        <w:tabs>
          <w:tab w:val="num" w:pos="0"/>
        </w:tabs>
        <w:ind w:left="4677" w:hanging="360"/>
      </w:pPr>
      <w:rPr>
        <w:rFonts w:ascii="Courier New" w:hAnsi="Courier New" w:cs="Courier New" w:hint="default"/>
      </w:rPr>
    </w:lvl>
    <w:lvl w:ilvl="5">
      <w:start w:val="1"/>
      <w:numFmt w:val="bullet"/>
      <w:lvlText w:val=""/>
      <w:lvlJc w:val="left"/>
      <w:pPr>
        <w:tabs>
          <w:tab w:val="num" w:pos="0"/>
        </w:tabs>
        <w:ind w:left="5397" w:hanging="360"/>
      </w:pPr>
      <w:rPr>
        <w:rFonts w:ascii="Wingdings" w:hAnsi="Wingdings" w:cs="Wingdings" w:hint="default"/>
      </w:rPr>
    </w:lvl>
    <w:lvl w:ilvl="6">
      <w:start w:val="1"/>
      <w:numFmt w:val="bullet"/>
      <w:lvlText w:val=""/>
      <w:lvlJc w:val="left"/>
      <w:pPr>
        <w:tabs>
          <w:tab w:val="num" w:pos="0"/>
        </w:tabs>
        <w:ind w:left="6117" w:hanging="360"/>
      </w:pPr>
      <w:rPr>
        <w:rFonts w:ascii="Symbol" w:hAnsi="Symbol" w:cs="Symbol" w:hint="default"/>
      </w:rPr>
    </w:lvl>
    <w:lvl w:ilvl="7">
      <w:start w:val="1"/>
      <w:numFmt w:val="bullet"/>
      <w:lvlText w:val="o"/>
      <w:lvlJc w:val="left"/>
      <w:pPr>
        <w:tabs>
          <w:tab w:val="num" w:pos="0"/>
        </w:tabs>
        <w:ind w:left="6837" w:hanging="360"/>
      </w:pPr>
      <w:rPr>
        <w:rFonts w:ascii="Courier New" w:hAnsi="Courier New" w:cs="Courier New" w:hint="default"/>
      </w:rPr>
    </w:lvl>
    <w:lvl w:ilvl="8">
      <w:start w:val="1"/>
      <w:numFmt w:val="bullet"/>
      <w:lvlText w:val=""/>
      <w:lvlJc w:val="left"/>
      <w:pPr>
        <w:tabs>
          <w:tab w:val="num" w:pos="0"/>
        </w:tabs>
        <w:ind w:left="7557" w:hanging="360"/>
      </w:pPr>
      <w:rPr>
        <w:rFonts w:ascii="Wingdings" w:hAnsi="Wingdings" w:cs="Wingdings" w:hint="default"/>
      </w:rPr>
    </w:lvl>
  </w:abstractNum>
  <w:abstractNum w:abstractNumId="1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7">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9">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21">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22">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23">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24">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25">
    <w:abstractNumId w:val="1"/>
    <w:lvlOverride w:ilvl="4">
      <w:startOverride w:val="1"/>
    </w:lvlOverride>
    <w:lvlOverride w:ilvl="7">
      <w:lvl w:ilvl="7">
        <w:start w:val="1"/>
        <w:numFmt w:val="decimal"/>
        <w:lvlText w:val="%8)"/>
        <w:lvlJc w:val="left"/>
        <w:pPr>
          <w:tabs>
            <w:tab w:val="num" w:pos="1559"/>
          </w:tabs>
          <w:ind w:left="1559" w:hanging="425"/>
        </w:pPr>
        <w:rPr>
          <w:sz w:val="20"/>
          <w:i w:val="false"/>
          <w:u w:val="none"/>
          <w:b w:val="false"/>
          <w:szCs w:val="20"/>
          <w:rFonts w:ascii="Arial" w:hAnsi="Arial"/>
        </w:rPr>
      </w:lvl>
    </w:lvlOverride>
    <w:lvlOverride w:ilvl="8">
      <w:lvl w:ilvl="8">
        <w:start w:val="1"/>
        <w:numFmt w:val="lowerRoman"/>
        <w:lvlText w:val="%9)"/>
        <w:lvlJc w:val="left"/>
        <w:pPr>
          <w:tabs>
            <w:tab w:val="num" w:pos="1559"/>
          </w:tabs>
          <w:ind w:left="1559" w:hanging="425"/>
        </w:pPr>
        <w:rPr>
          <w:sz w:val="20"/>
          <w:i w:val="false"/>
          <w:u w:val="none"/>
          <w:b w:val="false"/>
          <w:szCs w:val="20"/>
          <w:rFonts w:ascii="Arial" w:hAnsi="Arial"/>
        </w:rPr>
      </w:lvl>
    </w:lvlOverride>
  </w:num>
  <w:num w:numId="126">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27">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28">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29">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30">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31">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32">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33">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34">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35">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36">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37">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38">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39">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40">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41">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42">
    <w:abstractNumId w:val="78"/>
    <w:lvlOverride w:ilvl="0">
      <w:lvl w:ilvl="0">
        <w:start w:val="1"/>
        <w:numFmt w:val="bullet"/>
        <w:lvlText w:val="o"/>
        <w:lvlJc w:val="left"/>
        <w:pPr>
          <w:tabs>
            <w:tab w:val="num" w:pos="0"/>
          </w:tabs>
          <w:ind w:left="1494" w:hanging="360"/>
        </w:pPr>
        <w:rPr>
          <w:rFonts w:ascii="Courier New" w:hAnsi="Courier New" w:cs="Courier New" w:hint="default"/>
        </w:rPr>
      </w:lvl>
    </w:lvlOverride>
  </w:num>
  <w:num w:numId="143">
    <w:abstractNumId w:val="42"/>
  </w:num>
  <w:num w:numId="144">
    <w:abstractNumId w:val="42"/>
  </w:num>
  <w:num w:numId="145">
    <w:abstractNumId w:val="42"/>
  </w:num>
  <w:num w:numId="146">
    <w:abstractNumId w:val="42"/>
  </w:num>
  <w:num w:numId="147">
    <w:abstractNumId w:val="42"/>
  </w:num>
</w:numbering>
</file>

<file path=word/settings.xml><?xml version="1.0" encoding="utf-8"?>
<w:settings xmlns:w="http://schemas.openxmlformats.org/wordprocessingml/2006/main">
  <w:zoom w:percent="110"/>
  <w:defaultTabStop w:val="708"/>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hyphenationZone w:val="425"/>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fr-FR" w:eastAsia="fr-FR" w:bidi="ar-SA"/>
      </w:rPr>
    </w:rPrDefault>
    <w:pPrDefault>
      <w:pPr>
        <w:suppressAutoHyphens w:val="true"/>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uiPriority="99" w:semiHidden="1" w:unhideWhenUsed="1"/>
    <w:lsdException w:name="index heading" w:semiHidden="1" w:unhideWhenUsed="1"/>
    <w:lsdException w:name="caption" w:semiHidden="1" w:unhideWhenUsed="1" w:qFormat="1"/>
    <w:lsdException w:name="table of figures" w:uiPriority="99"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99"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99"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eb5346"/>
    <w:pPr>
      <w:widowControl/>
      <w:bidi w:val="0"/>
      <w:spacing w:before="0" w:after="0"/>
      <w:jc w:val="both"/>
    </w:pPr>
    <w:rPr>
      <w:rFonts w:ascii="Arial" w:hAnsi="Arial" w:eastAsia="Times New Roman" w:cs="Times New Roman"/>
      <w:color w:val="auto"/>
      <w:kern w:val="0"/>
      <w:sz w:val="20"/>
      <w:szCs w:val="20"/>
      <w:lang w:val="fr-FR" w:eastAsia="fr-FR" w:bidi="ar-SA"/>
    </w:rPr>
  </w:style>
  <w:style w:type="paragraph" w:styleId="Titre1">
    <w:name w:val="Heading 1"/>
    <w:basedOn w:val="Normal"/>
    <w:next w:val="Corpsdetexte"/>
    <w:link w:val="Titre1Car"/>
    <w:qFormat/>
    <w:rsid w:val="0071334f"/>
    <w:pPr>
      <w:keepNext w:val="true"/>
      <w:numPr>
        <w:ilvl w:val="0"/>
        <w:numId w:val="1"/>
      </w:numPr>
      <w:tabs>
        <w:tab w:val="clear" w:pos="708"/>
        <w:tab w:val="left" w:pos="0" w:leader="none"/>
        <w:tab w:val="right" w:pos="8789" w:leader="underscore"/>
      </w:tabs>
      <w:spacing w:before="840" w:after="0"/>
      <w:jc w:val="left"/>
      <w:outlineLvl w:val="0"/>
    </w:pPr>
    <w:rPr>
      <w:rFonts w:ascii="Arial Black" w:hAnsi="Arial Black" w:cs="Arial"/>
      <w:bCs/>
      <w:caps/>
      <w:kern w:val="2"/>
      <w:sz w:val="34"/>
      <w:szCs w:val="30"/>
    </w:rPr>
  </w:style>
  <w:style w:type="paragraph" w:styleId="Titre2">
    <w:name w:val="Heading 2"/>
    <w:basedOn w:val="Titre1"/>
    <w:next w:val="Corpsdetexte"/>
    <w:link w:val="Titre2Car"/>
    <w:qFormat/>
    <w:rsid w:val="0071334f"/>
    <w:pPr>
      <w:numPr>
        <w:ilvl w:val="1"/>
        <w:numId w:val="1"/>
      </w:numPr>
      <w:spacing w:before="480" w:after="0"/>
      <w:outlineLvl w:val="1"/>
    </w:pPr>
    <w:rPr>
      <w:bCs w:val="false"/>
      <w:iCs/>
      <w:sz w:val="24"/>
      <w:szCs w:val="26"/>
    </w:rPr>
  </w:style>
  <w:style w:type="paragraph" w:styleId="Titre3">
    <w:name w:val="Heading 3"/>
    <w:basedOn w:val="Titre2"/>
    <w:next w:val="Corpsdetexte"/>
    <w:link w:val="Titre3Car"/>
    <w:qFormat/>
    <w:rsid w:val="0071334f"/>
    <w:pPr>
      <w:numPr>
        <w:ilvl w:val="2"/>
        <w:numId w:val="1"/>
      </w:numPr>
      <w:spacing w:before="360" w:after="0"/>
      <w:outlineLvl w:val="2"/>
    </w:pPr>
    <w:rPr>
      <w:bCs/>
      <w:caps w:val="false"/>
      <w:smallCaps w:val="false"/>
      <w:sz w:val="22"/>
      <w:szCs w:val="22"/>
    </w:rPr>
  </w:style>
  <w:style w:type="paragraph" w:styleId="Titre4">
    <w:name w:val="Heading 4"/>
    <w:basedOn w:val="Titre3"/>
    <w:next w:val="Corpsdetexte"/>
    <w:link w:val="Titre4Car"/>
    <w:qFormat/>
    <w:rsid w:val="00bd596b"/>
    <w:pPr>
      <w:numPr>
        <w:ilvl w:val="3"/>
        <w:numId w:val="1"/>
      </w:numPr>
      <w:spacing w:before="300" w:after="0"/>
      <w:outlineLvl w:val="3"/>
    </w:pPr>
    <w:rPr>
      <w:rFonts w:ascii="Arial" w:hAnsi="Arial"/>
      <w:bCs w:val="false"/>
      <w:sz w:val="20"/>
      <w:szCs w:val="20"/>
    </w:rPr>
  </w:style>
  <w:style w:type="paragraph" w:styleId="Titre5">
    <w:name w:val="Heading 5"/>
    <w:basedOn w:val="Titre4"/>
    <w:next w:val="Corpsdetexte"/>
    <w:link w:val="Titre5Car"/>
    <w:qFormat/>
    <w:rsid w:val="008b76df"/>
    <w:pPr>
      <w:numPr>
        <w:ilvl w:val="4"/>
        <w:numId w:val="1"/>
      </w:numPr>
      <w:tabs>
        <w:tab w:val="clear" w:pos="0"/>
        <w:tab w:val="clear" w:pos="8789"/>
      </w:tabs>
      <w:spacing w:before="240" w:after="0"/>
      <w:outlineLvl w:val="4"/>
    </w:pPr>
    <w:rPr>
      <w:bCs/>
      <w:iCs w:val="false"/>
    </w:rPr>
  </w:style>
  <w:style w:type="paragraph" w:styleId="Titre6">
    <w:name w:val="Heading 6"/>
    <w:basedOn w:val="Normal"/>
    <w:next w:val="Normal"/>
    <w:link w:val="Titre6Car"/>
    <w:qFormat/>
    <w:rsid w:val="0071334f"/>
    <w:pPr>
      <w:keepNext w:val="true"/>
      <w:numPr>
        <w:ilvl w:val="5"/>
        <w:numId w:val="1"/>
      </w:numPr>
      <w:tabs>
        <w:tab w:val="clear" w:pos="708"/>
        <w:tab w:val="left" w:pos="0" w:leader="none"/>
        <w:tab w:val="right" w:pos="8789" w:leader="underscore"/>
      </w:tabs>
      <w:spacing w:before="240" w:after="0"/>
      <w:jc w:val="left"/>
      <w:outlineLvl w:val="5"/>
    </w:pPr>
    <w:rPr>
      <w:rFonts w:ascii="Arial Black" w:hAnsi="Arial Black"/>
      <w:bCs/>
      <w:sz w:val="18"/>
    </w:rPr>
  </w:style>
  <w:style w:type="paragraph" w:styleId="Titre7">
    <w:name w:val="Heading 7"/>
    <w:basedOn w:val="Normal"/>
    <w:next w:val="Normal"/>
    <w:link w:val="Titre7Car"/>
    <w:qFormat/>
    <w:rsid w:val="0071334f"/>
    <w:pPr>
      <w:numPr>
        <w:ilvl w:val="6"/>
        <w:numId w:val="1"/>
      </w:numPr>
      <w:tabs>
        <w:tab w:val="clear" w:pos="708"/>
        <w:tab w:val="left" w:pos="425" w:leader="none"/>
        <w:tab w:val="right" w:pos="8789" w:leader="underscore"/>
      </w:tabs>
      <w:spacing w:before="180" w:after="0"/>
      <w:outlineLvl w:val="6"/>
    </w:pPr>
    <w:rPr/>
  </w:style>
  <w:style w:type="paragraph" w:styleId="Titre8">
    <w:name w:val="Heading 8"/>
    <w:basedOn w:val="Normal"/>
    <w:next w:val="Normal"/>
    <w:link w:val="Titre8Car"/>
    <w:qFormat/>
    <w:rsid w:val="0071334f"/>
    <w:pPr>
      <w:numPr>
        <w:ilvl w:val="7"/>
        <w:numId w:val="1"/>
      </w:numPr>
      <w:tabs>
        <w:tab w:val="clear" w:pos="708"/>
        <w:tab w:val="left" w:pos="426" w:leader="none"/>
        <w:tab w:val="right" w:pos="8789" w:leader="underscore"/>
      </w:tabs>
      <w:spacing w:before="180" w:after="0"/>
      <w:ind w:left="426" w:hanging="426"/>
      <w:outlineLvl w:val="7"/>
    </w:pPr>
    <w:rPr>
      <w:iCs/>
    </w:rPr>
  </w:style>
  <w:style w:type="paragraph" w:styleId="Titre9">
    <w:name w:val="Heading 9"/>
    <w:basedOn w:val="Normal"/>
    <w:next w:val="Normal"/>
    <w:link w:val="Titre9Car"/>
    <w:qFormat/>
    <w:rsid w:val="00c32fc5"/>
    <w:pPr>
      <w:numPr>
        <w:ilvl w:val="0"/>
        <w:numId w:val="1"/>
      </w:numPr>
      <w:tabs>
        <w:tab w:val="clear" w:pos="708"/>
        <w:tab w:val="left" w:pos="1276" w:leader="none"/>
        <w:tab w:val="right" w:pos="8789" w:leader="underscore"/>
      </w:tabs>
      <w:spacing w:before="120" w:after="0"/>
      <w:ind w:left="1276" w:hanging="425"/>
    </w:pPr>
    <w:rPr>
      <w:rFonts w:cs="Arial"/>
    </w:rPr>
  </w:style>
  <w:style w:type="character" w:styleId="DefaultParagraphFont" w:default="1">
    <w:name w:val="Default Paragraph Font"/>
    <w:uiPriority w:val="1"/>
    <w:unhideWhenUsed/>
    <w:qFormat/>
    <w:rPr/>
  </w:style>
  <w:style w:type="character" w:styleId="CorpsdetexteCar" w:customStyle="1">
    <w:name w:val="Corps de texte Car"/>
    <w:link w:val="Corpsdetexte"/>
    <w:qFormat/>
    <w:rsid w:val="00c45847"/>
    <w:rPr>
      <w:rFonts w:ascii="Arial" w:hAnsi="Arial"/>
    </w:rPr>
  </w:style>
  <w:style w:type="character" w:styleId="Titre1Car" w:customStyle="1">
    <w:name w:val="Titre 1 Car"/>
    <w:link w:val="Titre1"/>
    <w:qFormat/>
    <w:rsid w:val="0071334f"/>
    <w:rPr>
      <w:rFonts w:ascii="Arial Black" w:hAnsi="Arial Black" w:cs="Arial"/>
      <w:bCs/>
      <w:caps/>
      <w:kern w:val="2"/>
      <w:sz w:val="34"/>
      <w:szCs w:val="30"/>
    </w:rPr>
  </w:style>
  <w:style w:type="character" w:styleId="Titre2Car" w:customStyle="1">
    <w:name w:val="Titre 2 Car"/>
    <w:link w:val="Titre2"/>
    <w:qFormat/>
    <w:rsid w:val="0071334f"/>
    <w:rPr>
      <w:rFonts w:ascii="Arial Black" w:hAnsi="Arial Black" w:cs="Arial"/>
      <w:iCs/>
      <w:caps/>
      <w:kern w:val="2"/>
      <w:sz w:val="24"/>
      <w:szCs w:val="26"/>
    </w:rPr>
  </w:style>
  <w:style w:type="character" w:styleId="Titre3Car" w:customStyle="1">
    <w:name w:val="Titre 3 Car"/>
    <w:link w:val="Titre3"/>
    <w:qFormat/>
    <w:rsid w:val="0071334f"/>
    <w:rPr>
      <w:rFonts w:ascii="Arial Black" w:hAnsi="Arial Black" w:cs="Arial"/>
      <w:bCs/>
      <w:iCs/>
      <w:kern w:val="2"/>
      <w:sz w:val="22"/>
      <w:szCs w:val="22"/>
    </w:rPr>
  </w:style>
  <w:style w:type="character" w:styleId="Titre4Car" w:customStyle="1">
    <w:name w:val="Titre 4 Car"/>
    <w:link w:val="Titre4"/>
    <w:qFormat/>
    <w:rsid w:val="00bd596b"/>
    <w:rPr>
      <w:rFonts w:ascii="Arial" w:hAnsi="Arial" w:cs="Arial"/>
      <w:iCs/>
      <w:kern w:val="2"/>
    </w:rPr>
  </w:style>
  <w:style w:type="character" w:styleId="Titre5Car" w:customStyle="1">
    <w:name w:val="Titre 5 Car"/>
    <w:link w:val="Titre5"/>
    <w:qFormat/>
    <w:rsid w:val="008b76df"/>
    <w:rPr>
      <w:rFonts w:ascii="Arial" w:hAnsi="Arial" w:cs="Arial"/>
      <w:bCs/>
      <w:kern w:val="2"/>
    </w:rPr>
  </w:style>
  <w:style w:type="character" w:styleId="Titre6Car" w:customStyle="1">
    <w:name w:val="Titre 6 Car"/>
    <w:link w:val="Titre6"/>
    <w:qFormat/>
    <w:rsid w:val="0071334f"/>
    <w:rPr>
      <w:rFonts w:ascii="Arial Black" w:hAnsi="Arial Black"/>
      <w:bCs/>
      <w:sz w:val="18"/>
    </w:rPr>
  </w:style>
  <w:style w:type="character" w:styleId="Titre7Car" w:customStyle="1">
    <w:name w:val="Titre 7 Car"/>
    <w:link w:val="Titre7"/>
    <w:qFormat/>
    <w:rsid w:val="0071334f"/>
    <w:rPr>
      <w:rFonts w:ascii="Arial" w:hAnsi="Arial"/>
    </w:rPr>
  </w:style>
  <w:style w:type="character" w:styleId="Titre8Car" w:customStyle="1">
    <w:name w:val="Titre 8 Car"/>
    <w:link w:val="Titre8"/>
    <w:qFormat/>
    <w:rsid w:val="0071334f"/>
    <w:rPr>
      <w:rFonts w:ascii="Arial" w:hAnsi="Arial"/>
      <w:iCs/>
    </w:rPr>
  </w:style>
  <w:style w:type="character" w:styleId="Titre9Car" w:customStyle="1">
    <w:name w:val="Titre 9 Car"/>
    <w:link w:val="Titre9"/>
    <w:qFormat/>
    <w:rsid w:val="00c32fc5"/>
    <w:rPr>
      <w:rFonts w:ascii="Arial" w:hAnsi="Arial" w:cs="Arial"/>
    </w:rPr>
  </w:style>
  <w:style w:type="character" w:styleId="Ancredenotedefin">
    <w:name w:val="Ancre de note de fin"/>
    <w:rPr>
      <w:vertAlign w:val="superscript"/>
    </w:rPr>
  </w:style>
  <w:style w:type="character" w:styleId="EndnoteCharacters">
    <w:name w:val="Endnote Characters"/>
    <w:semiHidden/>
    <w:qFormat/>
    <w:rsid w:val="00066acb"/>
    <w:rPr>
      <w:vertAlign w:val="superscript"/>
    </w:rPr>
  </w:style>
  <w:style w:type="character" w:styleId="EntteCar" w:customStyle="1">
    <w:name w:val="En-tête Car"/>
    <w:link w:val="En-tte"/>
    <w:qFormat/>
    <w:rsid w:val="00a1049b"/>
    <w:rPr>
      <w:rFonts w:ascii="Arial" w:hAnsi="Arial"/>
    </w:rPr>
  </w:style>
  <w:style w:type="character" w:styleId="PieddepageCar" w:customStyle="1">
    <w:name w:val="Pied de page Car"/>
    <w:link w:val="Pieddepage"/>
    <w:uiPriority w:val="99"/>
    <w:qFormat/>
    <w:rsid w:val="00a1049b"/>
    <w:rPr>
      <w:rFonts w:ascii="Arial" w:hAnsi="Arial"/>
    </w:rPr>
  </w:style>
  <w:style w:type="character" w:styleId="LienInternet">
    <w:name w:val="Lien Internet"/>
    <w:uiPriority w:val="99"/>
    <w:rsid w:val="00066acb"/>
    <w:rPr>
      <w:color w:val="0000FF"/>
      <w:u w:val="single"/>
    </w:rPr>
  </w:style>
  <w:style w:type="character" w:styleId="Pagenumber">
    <w:name w:val="page number"/>
    <w:qFormat/>
    <w:rsid w:val="00bc2822"/>
    <w:rPr>
      <w:rFonts w:ascii="Arial" w:hAnsi="Arial"/>
      <w:b w:val="false"/>
      <w:i w:val="false"/>
      <w:color w:val="auto"/>
      <w:sz w:val="16"/>
    </w:rPr>
  </w:style>
  <w:style w:type="character" w:styleId="NotedebasdepageCar" w:customStyle="1">
    <w:name w:val="Note de bas de page Car"/>
    <w:link w:val="Notedebasdepage"/>
    <w:qFormat/>
    <w:rsid w:val="00a76785"/>
    <w:rPr>
      <w:rFonts w:ascii="Arial" w:hAnsi="Arial" w:cs="Arial"/>
      <w:sz w:val="18"/>
      <w:lang w:val="en-GB"/>
    </w:rPr>
  </w:style>
  <w:style w:type="character" w:styleId="Ancredenotedebasdepage">
    <w:name w:val="Ancre de note de bas de page"/>
    <w:rPr>
      <w:vertAlign w:val="superscript"/>
    </w:rPr>
  </w:style>
  <w:style w:type="character" w:styleId="FootnoteCharacters">
    <w:name w:val="Footnote Characters"/>
    <w:qFormat/>
    <w:rsid w:val="00f27ca5"/>
    <w:rPr>
      <w:vertAlign w:val="superscript"/>
    </w:rPr>
  </w:style>
  <w:style w:type="character" w:styleId="TITCCar" w:customStyle="1">
    <w:name w:val="TITC Car"/>
    <w:link w:val="TITC"/>
    <w:qFormat/>
    <w:rsid w:val="00a7241e"/>
    <w:rPr>
      <w:rFonts w:ascii="Arial Black" w:hAnsi="Arial Black"/>
      <w:sz w:val="40"/>
      <w:szCs w:val="40"/>
    </w:rPr>
  </w:style>
  <w:style w:type="character" w:styleId="TextedebullesCar" w:customStyle="1">
    <w:name w:val="Texte de bulles Car"/>
    <w:basedOn w:val="DefaultParagraphFont"/>
    <w:link w:val="Textedebulles"/>
    <w:qFormat/>
    <w:rsid w:val="005c58d9"/>
    <w:rPr>
      <w:rFonts w:ascii="Tahoma" w:hAnsi="Tahoma" w:cs="Tahoma"/>
      <w:sz w:val="16"/>
      <w:szCs w:val="16"/>
    </w:rPr>
  </w:style>
  <w:style w:type="character" w:styleId="Annotationreference">
    <w:name w:val="annotation reference"/>
    <w:basedOn w:val="DefaultParagraphFont"/>
    <w:qFormat/>
    <w:rsid w:val="004f127b"/>
    <w:rPr>
      <w:sz w:val="16"/>
      <w:szCs w:val="16"/>
    </w:rPr>
  </w:style>
  <w:style w:type="character" w:styleId="CommentaireCar" w:customStyle="1">
    <w:name w:val="Commentaire Car"/>
    <w:basedOn w:val="DefaultParagraphFont"/>
    <w:link w:val="Commentaire"/>
    <w:qFormat/>
    <w:rsid w:val="004f127b"/>
    <w:rPr>
      <w:rFonts w:ascii="Arial" w:hAnsi="Arial"/>
    </w:rPr>
  </w:style>
  <w:style w:type="character" w:styleId="ObjetducommentaireCar" w:customStyle="1">
    <w:name w:val="Objet du commentaire Car"/>
    <w:basedOn w:val="CommentaireCar"/>
    <w:link w:val="Objetducommentaire"/>
    <w:qFormat/>
    <w:rsid w:val="004f127b"/>
    <w:rPr>
      <w:rFonts w:ascii="Arial" w:hAnsi="Arial"/>
      <w:b/>
      <w:bCs/>
    </w:rPr>
  </w:style>
  <w:style w:type="character" w:styleId="St" w:customStyle="1">
    <w:name w:val="st"/>
    <w:basedOn w:val="DefaultParagraphFont"/>
    <w:qFormat/>
    <w:rsid w:val="003301fe"/>
    <w:rPr/>
  </w:style>
  <w:style w:type="character" w:styleId="Strong">
    <w:name w:val="Strong"/>
    <w:basedOn w:val="DefaultParagraphFont"/>
    <w:qFormat/>
    <w:rsid w:val="003e7952"/>
    <w:rPr>
      <w:b/>
      <w:bCs/>
    </w:rPr>
  </w:style>
  <w:style w:type="character" w:styleId="Accentuation">
    <w:name w:val="Accentuation"/>
    <w:basedOn w:val="DefaultParagraphFont"/>
    <w:uiPriority w:val="20"/>
    <w:qFormat/>
    <w:rsid w:val="00d13b81"/>
    <w:rPr>
      <w:b/>
      <w:bCs/>
      <w:i w:val="false"/>
      <w:iCs w:val="false"/>
    </w:rPr>
  </w:style>
  <w:style w:type="character" w:styleId="F1Car" w:customStyle="1">
    <w:name w:val="F1 Car"/>
    <w:basedOn w:val="DefaultParagraphFont"/>
    <w:link w:val="F1"/>
    <w:qFormat/>
    <w:rsid w:val="001f27f6"/>
    <w:rPr>
      <w:rFonts w:ascii="Arial" w:hAnsi="Arial"/>
    </w:rPr>
  </w:style>
  <w:style w:type="character" w:styleId="Caractresdenotedebasdepage" w:customStyle="1">
    <w:name w:val="Caractères de note de bas de page"/>
    <w:basedOn w:val="DefaultParagraphFont"/>
    <w:qFormat/>
    <w:rsid w:val="000f01c8"/>
    <w:rPr>
      <w:sz w:val="16"/>
      <w:vertAlign w:val="superscript"/>
    </w:rPr>
  </w:style>
  <w:style w:type="character" w:styleId="TexteCar" w:customStyle="1">
    <w:name w:val="Texte Car"/>
    <w:link w:val="Texte0"/>
    <w:qFormat/>
    <w:rsid w:val="00de1fea"/>
    <w:rPr>
      <w:rFonts w:ascii="Arial" w:hAnsi="Arial"/>
      <w:szCs w:val="24"/>
      <w:lang w:eastAsia="en-US"/>
    </w:rPr>
  </w:style>
  <w:style w:type="character" w:styleId="F2Car" w:customStyle="1">
    <w:name w:val="F2 Car"/>
    <w:link w:val="F2"/>
    <w:qFormat/>
    <w:rsid w:val="008e3e14"/>
    <w:rPr>
      <w:rFonts w:ascii="Arial" w:hAnsi="Arial" w:cs="Arial"/>
      <w:szCs w:val="24"/>
    </w:rPr>
  </w:style>
  <w:style w:type="character" w:styleId="ListeCar" w:customStyle="1">
    <w:name w:val="Liste Car"/>
    <w:basedOn w:val="DefaultParagraphFont"/>
    <w:link w:val="Liste0"/>
    <w:qFormat/>
    <w:locked/>
    <w:rsid w:val="00e851fd"/>
    <w:rPr>
      <w:rFonts w:ascii="Arial" w:hAnsi="Arial" w:cs="Arial"/>
    </w:rPr>
  </w:style>
  <w:style w:type="character" w:styleId="Sautdindex">
    <w:name w:val="Saut d'index"/>
    <w:qFormat/>
    <w:rPr/>
  </w:style>
  <w:style w:type="paragraph" w:styleId="Titre">
    <w:name w:val="Titre"/>
    <w:basedOn w:val="Normal"/>
    <w:next w:val="Corpsdetexte"/>
    <w:qFormat/>
    <w:pPr>
      <w:keepNext w:val="true"/>
      <w:spacing w:before="240" w:after="120"/>
    </w:pPr>
    <w:rPr>
      <w:rFonts w:ascii="Liberation Sans" w:hAnsi="Liberation Sans" w:eastAsia="Microsoft YaHei" w:cs="Arial"/>
      <w:sz w:val="28"/>
      <w:szCs w:val="28"/>
    </w:rPr>
  </w:style>
  <w:style w:type="paragraph" w:styleId="Corpsdetexte">
    <w:name w:val="Body Text"/>
    <w:basedOn w:val="Normal"/>
    <w:link w:val="CorpsdetexteCar"/>
    <w:rsid w:val="00c45847"/>
    <w:pPr>
      <w:tabs>
        <w:tab w:val="clear" w:pos="708"/>
        <w:tab w:val="right" w:pos="8789" w:leader="underscore"/>
      </w:tabs>
      <w:spacing w:before="200" w:after="240"/>
    </w:pPr>
    <w:rPr/>
  </w:style>
  <w:style w:type="paragraph" w:styleId="Liste">
    <w:name w:val="List"/>
    <w:basedOn w:val="Normal"/>
    <w:link w:val="ListeCar"/>
    <w:unhideWhenUsed/>
    <w:rsid w:val="00e851fd"/>
    <w:pPr>
      <w:spacing w:before="0" w:after="80"/>
    </w:pPr>
    <w:rPr>
      <w:rFonts w:cs="Arial"/>
    </w:rPr>
  </w:style>
  <w:style w:type="paragraph" w:styleId="Lgende">
    <w:name w:val="Caption"/>
    <w:basedOn w:val="Normal"/>
    <w:qFormat/>
    <w:pPr>
      <w:suppressLineNumbers/>
      <w:spacing w:before="120" w:after="120"/>
    </w:pPr>
    <w:rPr>
      <w:rFonts w:cs="Arial"/>
      <w:i/>
      <w:iCs/>
      <w:sz w:val="24"/>
      <w:szCs w:val="24"/>
    </w:rPr>
  </w:style>
  <w:style w:type="paragraph" w:styleId="Index">
    <w:name w:val="Index"/>
    <w:basedOn w:val="Normal"/>
    <w:qFormat/>
    <w:pPr>
      <w:suppressLineNumbers/>
    </w:pPr>
    <w:rPr>
      <w:rFonts w:cs="Arial"/>
    </w:rPr>
  </w:style>
  <w:style w:type="paragraph" w:styleId="AD" w:customStyle="1">
    <w:name w:val="AD"/>
    <w:basedOn w:val="Normal"/>
    <w:qFormat/>
    <w:rsid w:val="00066acb"/>
    <w:pPr>
      <w:keepLines/>
      <w:ind w:left="4820" w:hanging="0"/>
    </w:pPr>
    <w:rPr>
      <w:smallCaps/>
    </w:rPr>
  </w:style>
  <w:style w:type="paragraph" w:styleId="PDG8" w:customStyle="1">
    <w:name w:val="PDG8"/>
    <w:basedOn w:val="Normal"/>
    <w:qFormat/>
    <w:rsid w:val="0036216c"/>
    <w:pPr>
      <w:spacing w:lineRule="exact" w:line="200"/>
      <w:jc w:val="left"/>
    </w:pPr>
    <w:rPr>
      <w:rFonts w:ascii="Arial Black" w:hAnsi="Arial Black"/>
      <w:b/>
      <w:caps/>
      <w:sz w:val="16"/>
      <w:lang w:val="en-US"/>
    </w:rPr>
  </w:style>
  <w:style w:type="paragraph" w:styleId="REF" w:customStyle="1">
    <w:name w:val="REF"/>
    <w:basedOn w:val="Normal"/>
    <w:qFormat/>
    <w:rsid w:val="0036216c"/>
    <w:pPr>
      <w:spacing w:lineRule="exact" w:line="200"/>
    </w:pPr>
    <w:rPr>
      <w:rFonts w:ascii="Arial Black" w:hAnsi="Arial Black"/>
      <w:caps/>
      <w:sz w:val="16"/>
    </w:rPr>
  </w:style>
  <w:style w:type="paragraph" w:styleId="Entteetpieddepage">
    <w:name w:val="En-tête et pied de page"/>
    <w:basedOn w:val="Normal"/>
    <w:qFormat/>
    <w:pPr/>
    <w:rPr/>
  </w:style>
  <w:style w:type="paragraph" w:styleId="Entte">
    <w:name w:val="Header"/>
    <w:basedOn w:val="Normal"/>
    <w:link w:val="En-tteCar"/>
    <w:rsid w:val="00a1049b"/>
    <w:pPr>
      <w:tabs>
        <w:tab w:val="clear" w:pos="708"/>
        <w:tab w:val="center" w:pos="4536" w:leader="none"/>
        <w:tab w:val="right" w:pos="9072" w:leader="none"/>
      </w:tabs>
    </w:pPr>
    <w:rPr/>
  </w:style>
  <w:style w:type="paragraph" w:styleId="CLP" w:customStyle="1">
    <w:name w:val="CLP"/>
    <w:basedOn w:val="Normal"/>
    <w:qFormat/>
    <w:rsid w:val="000023e5"/>
    <w:pPr>
      <w:spacing w:before="840" w:after="0"/>
      <w:jc w:val="center"/>
    </w:pPr>
    <w:rPr>
      <w:sz w:val="21"/>
      <w:szCs w:val="21"/>
    </w:rPr>
  </w:style>
  <w:style w:type="paragraph" w:styleId="Pieddepage">
    <w:name w:val="Footer"/>
    <w:basedOn w:val="Normal"/>
    <w:link w:val="PieddepageCar"/>
    <w:uiPriority w:val="99"/>
    <w:rsid w:val="00a1049b"/>
    <w:pPr>
      <w:tabs>
        <w:tab w:val="clear" w:pos="708"/>
        <w:tab w:val="center" w:pos="4536" w:leader="none"/>
        <w:tab w:val="right" w:pos="9072" w:leader="none"/>
      </w:tabs>
    </w:pPr>
    <w:rPr/>
  </w:style>
  <w:style w:type="paragraph" w:styleId="S1" w:customStyle="1">
    <w:name w:val="S1"/>
    <w:basedOn w:val="Corpsdetexte"/>
    <w:qFormat/>
    <w:rsid w:val="00f16717"/>
    <w:pPr>
      <w:widowControl w:val="false"/>
      <w:spacing w:before="120" w:after="240"/>
    </w:pPr>
    <w:rPr/>
  </w:style>
  <w:style w:type="paragraph" w:styleId="Caption">
    <w:name w:val="caption"/>
    <w:basedOn w:val="Normal"/>
    <w:next w:val="Normal"/>
    <w:qFormat/>
    <w:rsid w:val="00612299"/>
    <w:pPr>
      <w:jc w:val="center"/>
    </w:pPr>
    <w:rPr>
      <w:bCs/>
    </w:rPr>
  </w:style>
  <w:style w:type="paragraph" w:styleId="TTA" w:customStyle="1">
    <w:name w:val="TTA"/>
    <w:basedOn w:val="Normal"/>
    <w:qFormat/>
    <w:rsid w:val="00c32fc5"/>
    <w:pPr>
      <w:numPr>
        <w:ilvl w:val="0"/>
        <w:numId w:val="2"/>
      </w:numPr>
      <w:tabs>
        <w:tab w:val="clear" w:pos="708"/>
        <w:tab w:val="left" w:pos="851" w:leader="none"/>
        <w:tab w:val="right" w:pos="8789" w:leader="underscore"/>
      </w:tabs>
      <w:spacing w:before="120" w:after="0"/>
      <w:ind w:left="850" w:hanging="425"/>
    </w:pPr>
    <w:rPr/>
  </w:style>
  <w:style w:type="paragraph" w:styleId="Notedefin">
    <w:name w:val="Endnote Text"/>
    <w:basedOn w:val="Normal"/>
    <w:semiHidden/>
    <w:rsid w:val="00066acb"/>
    <w:pPr/>
    <w:rPr/>
  </w:style>
  <w:style w:type="paragraph" w:styleId="TTUN" w:customStyle="1">
    <w:name w:val="TTUN"/>
    <w:basedOn w:val="Normal"/>
    <w:qFormat/>
    <w:rsid w:val="0071334f"/>
    <w:pPr>
      <w:numPr>
        <w:ilvl w:val="0"/>
        <w:numId w:val="3"/>
      </w:numPr>
      <w:tabs>
        <w:tab w:val="clear" w:pos="708"/>
        <w:tab w:val="left" w:pos="851" w:leader="none"/>
        <w:tab w:val="right" w:pos="8789" w:leader="underscore"/>
      </w:tabs>
      <w:spacing w:before="120" w:after="0"/>
      <w:ind w:left="850" w:hanging="0"/>
    </w:pPr>
    <w:rPr/>
  </w:style>
  <w:style w:type="paragraph" w:styleId="S2" w:customStyle="1">
    <w:name w:val="S2"/>
    <w:basedOn w:val="S1"/>
    <w:qFormat/>
    <w:rsid w:val="00f16717"/>
    <w:pPr>
      <w:spacing w:before="0" w:after="240"/>
    </w:pPr>
    <w:rPr/>
  </w:style>
  <w:style w:type="paragraph" w:styleId="CC0" w:customStyle="1">
    <w:name w:val="CC0"/>
    <w:basedOn w:val="Normal"/>
    <w:qFormat/>
    <w:rsid w:val="005c7688"/>
    <w:pPr>
      <w:tabs>
        <w:tab w:val="clear" w:pos="708"/>
        <w:tab w:val="right" w:pos="8789" w:leader="underscore"/>
      </w:tabs>
      <w:jc w:val="center"/>
    </w:pPr>
    <w:rPr/>
  </w:style>
  <w:style w:type="paragraph" w:styleId="R21" w:customStyle="1">
    <w:name w:val="R21"/>
    <w:basedOn w:val="R2"/>
    <w:qFormat/>
    <w:rsid w:val="00f16717"/>
    <w:pPr>
      <w:spacing w:before="40" w:after="0"/>
    </w:pPr>
    <w:rPr/>
  </w:style>
  <w:style w:type="paragraph" w:styleId="R2" w:customStyle="1">
    <w:name w:val="R2"/>
    <w:basedOn w:val="Corpsdetexte"/>
    <w:qFormat/>
    <w:rsid w:val="008d4ece"/>
    <w:pPr>
      <w:spacing w:before="120" w:after="240"/>
      <w:ind w:left="851" w:hanging="0"/>
    </w:pPr>
    <w:rPr/>
  </w:style>
  <w:style w:type="paragraph" w:styleId="R31" w:customStyle="1">
    <w:name w:val="R31"/>
    <w:basedOn w:val="R3"/>
    <w:qFormat/>
    <w:rsid w:val="00f16717"/>
    <w:pPr>
      <w:spacing w:before="40" w:after="0"/>
    </w:pPr>
    <w:rPr/>
  </w:style>
  <w:style w:type="paragraph" w:styleId="R3" w:customStyle="1">
    <w:name w:val="R3"/>
    <w:basedOn w:val="Corpsdetexte"/>
    <w:qFormat/>
    <w:rsid w:val="00f16717"/>
    <w:pPr>
      <w:tabs>
        <w:tab w:val="left" w:pos="1701" w:leader="none"/>
        <w:tab w:val="right" w:pos="8789" w:leader="underscore"/>
      </w:tabs>
      <w:spacing w:before="120" w:after="240"/>
      <w:ind w:left="1701" w:hanging="425"/>
    </w:pPr>
    <w:rPr/>
  </w:style>
  <w:style w:type="paragraph" w:styleId="PuceTAB2" w:customStyle="1">
    <w:name w:val="PuceTAB2"/>
    <w:basedOn w:val="PuceTAB1"/>
    <w:qFormat/>
    <w:rsid w:val="00f16717"/>
    <w:pPr>
      <w:tabs>
        <w:tab w:val="clear" w:pos="284"/>
        <w:tab w:val="left" w:pos="567" w:leader="none"/>
      </w:tabs>
    </w:pPr>
    <w:rPr/>
  </w:style>
  <w:style w:type="paragraph" w:styleId="PuceTAB1" w:customStyle="1">
    <w:name w:val="PuceTAB1"/>
    <w:basedOn w:val="TAB"/>
    <w:qFormat/>
    <w:rsid w:val="00f16717"/>
    <w:pPr>
      <w:tabs>
        <w:tab w:val="clear" w:pos="708"/>
        <w:tab w:val="left" w:pos="284" w:leader="none"/>
      </w:tabs>
      <w:ind w:left="720" w:hanging="360"/>
    </w:pPr>
    <w:rPr/>
  </w:style>
  <w:style w:type="paragraph" w:styleId="TAB" w:customStyle="1">
    <w:name w:val="TAB"/>
    <w:basedOn w:val="Normal"/>
    <w:qFormat/>
    <w:rsid w:val="00f16717"/>
    <w:pPr>
      <w:spacing w:lineRule="exact" w:line="180" w:before="40" w:after="40"/>
      <w:jc w:val="left"/>
    </w:pPr>
    <w:rPr>
      <w:sz w:val="18"/>
    </w:rPr>
  </w:style>
  <w:style w:type="paragraph" w:styleId="CAV" w:customStyle="1">
    <w:name w:val="CAV"/>
    <w:basedOn w:val="Corpsdetexte"/>
    <w:qFormat/>
    <w:rsid w:val="00f16717"/>
    <w:pPr>
      <w:spacing w:before="200" w:after="120"/>
    </w:pPr>
    <w:rPr/>
  </w:style>
  <w:style w:type="paragraph" w:styleId="TFIG" w:customStyle="1">
    <w:name w:val="TFIG"/>
    <w:basedOn w:val="Caption"/>
    <w:next w:val="Corpsdetexte"/>
    <w:qFormat/>
    <w:rsid w:val="0036216c"/>
    <w:pPr>
      <w:numPr>
        <w:ilvl w:val="0"/>
        <w:numId w:val="4"/>
      </w:numPr>
      <w:tabs>
        <w:tab w:val="clear" w:pos="708"/>
        <w:tab w:val="left" w:pos="709" w:leader="none"/>
        <w:tab w:val="left" w:pos="851" w:leader="none"/>
      </w:tabs>
      <w:spacing w:before="180" w:after="300"/>
    </w:pPr>
    <w:rPr>
      <w:rFonts w:ascii="Arial Black" w:hAnsi="Arial Black"/>
      <w:b/>
      <w:i/>
      <w:sz w:val="18"/>
    </w:rPr>
  </w:style>
  <w:style w:type="paragraph" w:styleId="TSOM" w:customStyle="1">
    <w:name w:val="TSOM"/>
    <w:basedOn w:val="Normal"/>
    <w:qFormat/>
    <w:rsid w:val="00560656"/>
    <w:pPr>
      <w:spacing w:before="600" w:after="0"/>
      <w:jc w:val="left"/>
    </w:pPr>
    <w:rPr>
      <w:rFonts w:ascii="Arial Black" w:hAnsi="Arial Black"/>
      <w:bCs/>
      <w:caps/>
      <w:sz w:val="34"/>
      <w:szCs w:val="36"/>
    </w:rPr>
  </w:style>
  <w:style w:type="paragraph" w:styleId="TTAB" w:customStyle="1">
    <w:name w:val="TTAB"/>
    <w:next w:val="Corpsdetexte"/>
    <w:qFormat/>
    <w:rsid w:val="0036216c"/>
    <w:pPr>
      <w:keepNext w:val="true"/>
      <w:widowControl/>
      <w:numPr>
        <w:ilvl w:val="0"/>
        <w:numId w:val="5"/>
      </w:numPr>
      <w:tabs>
        <w:tab w:val="clear" w:pos="708"/>
        <w:tab w:val="left" w:pos="851" w:leader="none"/>
        <w:tab w:val="left" w:pos="992" w:leader="none"/>
        <w:tab w:val="right" w:pos="8789" w:leader="underscore"/>
        <w:tab w:val="right" w:pos="9072" w:leader="underscore"/>
      </w:tabs>
      <w:bidi w:val="0"/>
      <w:spacing w:before="300" w:after="120"/>
      <w:ind w:left="0" w:hanging="0"/>
      <w:jc w:val="left"/>
    </w:pPr>
    <w:rPr>
      <w:rFonts w:ascii="Arial Black" w:hAnsi="Arial Black" w:eastAsia="Times New Roman" w:cs="Times New Roman"/>
      <w:bCs/>
      <w:color w:val="auto"/>
      <w:kern w:val="0"/>
      <w:sz w:val="18"/>
      <w:szCs w:val="20"/>
      <w:lang w:val="fr-FR" w:eastAsia="fr-FR" w:bidi="ar-SA"/>
    </w:rPr>
  </w:style>
  <w:style w:type="paragraph" w:styleId="P1" w:customStyle="1">
    <w:name w:val="P1"/>
    <w:basedOn w:val="Corpsdetexte"/>
    <w:qFormat/>
    <w:rsid w:val="00a16219"/>
    <w:pPr/>
    <w:rPr>
      <w:lang w:val="fr-CA"/>
    </w:rPr>
  </w:style>
  <w:style w:type="paragraph" w:styleId="P4" w:customStyle="1">
    <w:name w:val="P4"/>
    <w:basedOn w:val="R31"/>
    <w:qFormat/>
    <w:rsid w:val="00d36cdf"/>
    <w:pPr>
      <w:numPr>
        <w:ilvl w:val="0"/>
        <w:numId w:val="6"/>
      </w:numPr>
      <w:ind w:left="1701" w:hanging="425"/>
    </w:pPr>
    <w:rPr/>
  </w:style>
  <w:style w:type="paragraph" w:styleId="Tabledesmatiresniveau1">
    <w:name w:val="TOC 1"/>
    <w:basedOn w:val="Normal"/>
    <w:next w:val="Normal"/>
    <w:uiPriority w:val="39"/>
    <w:rsid w:val="00902e1f"/>
    <w:pPr>
      <w:spacing w:before="120" w:after="120"/>
      <w:jc w:val="left"/>
    </w:pPr>
    <w:rPr>
      <w:rFonts w:ascii="Calibri" w:hAnsi="Calibri" w:cs="Calibri" w:asciiTheme="minorHAnsi" w:cstheme="minorHAnsi" w:hAnsiTheme="minorHAnsi"/>
      <w:b/>
      <w:bCs/>
      <w:caps/>
    </w:rPr>
  </w:style>
  <w:style w:type="paragraph" w:styleId="Tabledesmatiresniveau2">
    <w:name w:val="TOC 2"/>
    <w:basedOn w:val="Normal"/>
    <w:next w:val="Normal"/>
    <w:autoRedefine/>
    <w:uiPriority w:val="39"/>
    <w:rsid w:val="00902e1f"/>
    <w:pPr>
      <w:ind w:left="200" w:hanging="0"/>
      <w:jc w:val="left"/>
    </w:pPr>
    <w:rPr>
      <w:rFonts w:ascii="Calibri" w:hAnsi="Calibri" w:cs="Calibri" w:asciiTheme="minorHAnsi" w:cstheme="minorHAnsi" w:hAnsiTheme="minorHAnsi"/>
      <w:smallCaps/>
    </w:rPr>
  </w:style>
  <w:style w:type="paragraph" w:styleId="Tabledesmatiresniveau3">
    <w:name w:val="TOC 3"/>
    <w:basedOn w:val="Normal"/>
    <w:next w:val="Normal"/>
    <w:autoRedefine/>
    <w:uiPriority w:val="39"/>
    <w:rsid w:val="00902e1f"/>
    <w:pPr>
      <w:ind w:left="400" w:hanging="0"/>
      <w:jc w:val="left"/>
    </w:pPr>
    <w:rPr>
      <w:rFonts w:ascii="Calibri" w:hAnsi="Calibri" w:cs="Calibri" w:asciiTheme="minorHAnsi" w:cstheme="minorHAnsi" w:hAnsiTheme="minorHAnsi"/>
      <w:i/>
      <w:iCs/>
    </w:rPr>
  </w:style>
  <w:style w:type="paragraph" w:styleId="Tabledesmatiresniveau4">
    <w:name w:val="TOC 4"/>
    <w:basedOn w:val="Normal"/>
    <w:next w:val="Normal"/>
    <w:uiPriority w:val="39"/>
    <w:rsid w:val="00902e1f"/>
    <w:pPr>
      <w:ind w:left="600" w:hanging="0"/>
      <w:jc w:val="left"/>
    </w:pPr>
    <w:rPr>
      <w:rFonts w:ascii="Calibri" w:hAnsi="Calibri" w:cs="Calibri" w:asciiTheme="minorHAnsi" w:cstheme="minorHAnsi" w:hAnsiTheme="minorHAnsi"/>
      <w:sz w:val="18"/>
      <w:szCs w:val="18"/>
    </w:rPr>
  </w:style>
  <w:style w:type="paragraph" w:styleId="Tabledesmatiresniveau5">
    <w:name w:val="TOC 5"/>
    <w:basedOn w:val="Normal"/>
    <w:next w:val="Normal"/>
    <w:uiPriority w:val="39"/>
    <w:rsid w:val="00902e1f"/>
    <w:pPr>
      <w:ind w:left="800" w:hanging="0"/>
      <w:jc w:val="left"/>
    </w:pPr>
    <w:rPr>
      <w:rFonts w:ascii="Calibri" w:hAnsi="Calibri" w:cs="Calibri" w:asciiTheme="minorHAnsi" w:cstheme="minorHAnsi" w:hAnsiTheme="minorHAnsi"/>
      <w:sz w:val="18"/>
      <w:szCs w:val="18"/>
    </w:rPr>
  </w:style>
  <w:style w:type="paragraph" w:styleId="P2" w:customStyle="1">
    <w:name w:val="P2"/>
    <w:basedOn w:val="Corpsdetexte"/>
    <w:qFormat/>
    <w:rsid w:val="00a16219"/>
    <w:pPr>
      <w:numPr>
        <w:ilvl w:val="0"/>
        <w:numId w:val="19"/>
      </w:numPr>
    </w:pPr>
    <w:rPr/>
  </w:style>
  <w:style w:type="paragraph" w:styleId="Taben" w:customStyle="1">
    <w:name w:val="Taben"/>
    <w:basedOn w:val="TBN"/>
    <w:qFormat/>
    <w:rsid w:val="00f16717"/>
    <w:pPr>
      <w:widowControl w:val="false"/>
      <w:spacing w:before="20" w:after="0"/>
    </w:pPr>
    <w:rPr>
      <w:rFonts w:ascii="Arial Gras" w:hAnsi="Arial Gras"/>
      <w:b/>
      <w:i w:val="false"/>
      <w:caps w:val="false"/>
      <w:smallCaps w:val="false"/>
      <w:sz w:val="16"/>
    </w:rPr>
  </w:style>
  <w:style w:type="paragraph" w:styleId="TBN" w:customStyle="1">
    <w:name w:val="TBN"/>
    <w:basedOn w:val="Normal"/>
    <w:qFormat/>
    <w:rsid w:val="00f16717"/>
    <w:pPr>
      <w:spacing w:lineRule="exact" w:line="160" w:before="60" w:after="20"/>
      <w:jc w:val="center"/>
    </w:pPr>
    <w:rPr>
      <w:i/>
      <w:smallCaps/>
      <w:color w:val="000000"/>
      <w:sz w:val="14"/>
    </w:rPr>
  </w:style>
  <w:style w:type="paragraph" w:styleId="PDG5" w:customStyle="1">
    <w:name w:val="PDG5"/>
    <w:basedOn w:val="Normal"/>
    <w:qFormat/>
    <w:rsid w:val="00f16717"/>
    <w:pPr>
      <w:jc w:val="left"/>
    </w:pPr>
    <w:rPr>
      <w:rFonts w:ascii="Arial Gras" w:hAnsi="Arial Gras"/>
      <w:b/>
      <w:color w:val="6EAA00"/>
      <w:sz w:val="18"/>
      <w:szCs w:val="24"/>
    </w:rPr>
  </w:style>
  <w:style w:type="paragraph" w:styleId="S0" w:customStyle="1">
    <w:name w:val="S0"/>
    <w:basedOn w:val="REF"/>
    <w:qFormat/>
    <w:rsid w:val="00085d04"/>
    <w:pPr/>
    <w:rPr/>
  </w:style>
  <w:style w:type="paragraph" w:styleId="P3" w:customStyle="1">
    <w:name w:val="P3"/>
    <w:basedOn w:val="P2"/>
    <w:qFormat/>
    <w:rsid w:val="008d4ece"/>
    <w:pPr>
      <w:numPr>
        <w:ilvl w:val="0"/>
        <w:numId w:val="7"/>
      </w:numPr>
      <w:tabs>
        <w:tab w:val="left" w:pos="1276" w:leader="none"/>
        <w:tab w:val="right" w:pos="8789" w:leader="underscore"/>
      </w:tabs>
    </w:pPr>
    <w:rPr/>
  </w:style>
  <w:style w:type="paragraph" w:styleId="P11" w:customStyle="1">
    <w:name w:val="P11"/>
    <w:basedOn w:val="P1"/>
    <w:qFormat/>
    <w:rsid w:val="00f16717"/>
    <w:pPr>
      <w:numPr>
        <w:ilvl w:val="0"/>
        <w:numId w:val="8"/>
      </w:numPr>
      <w:spacing w:before="40" w:after="240"/>
      <w:ind w:left="425" w:hanging="425"/>
    </w:pPr>
    <w:rPr/>
  </w:style>
  <w:style w:type="paragraph" w:styleId="P21" w:customStyle="1">
    <w:name w:val="P21"/>
    <w:basedOn w:val="P2"/>
    <w:qFormat/>
    <w:rsid w:val="00f16717"/>
    <w:pPr>
      <w:numPr>
        <w:ilvl w:val="0"/>
        <w:numId w:val="9"/>
      </w:numPr>
      <w:spacing w:before="40" w:after="240"/>
    </w:pPr>
    <w:rPr/>
  </w:style>
  <w:style w:type="paragraph" w:styleId="P31" w:customStyle="1">
    <w:name w:val="P31"/>
    <w:basedOn w:val="P3"/>
    <w:qFormat/>
    <w:rsid w:val="006a297d"/>
    <w:pPr>
      <w:numPr>
        <w:ilvl w:val="0"/>
        <w:numId w:val="10"/>
      </w:numPr>
      <w:spacing w:before="40" w:after="240"/>
      <w:ind w:left="1259" w:hanging="408"/>
    </w:pPr>
    <w:rPr/>
  </w:style>
  <w:style w:type="paragraph" w:styleId="R1" w:customStyle="1">
    <w:name w:val="R1"/>
    <w:basedOn w:val="Corpsdetexte"/>
    <w:qFormat/>
    <w:rsid w:val="00f16717"/>
    <w:pPr>
      <w:spacing w:before="180" w:after="240"/>
      <w:ind w:left="425" w:hanging="0"/>
    </w:pPr>
    <w:rPr/>
  </w:style>
  <w:style w:type="paragraph" w:styleId="NormalWeb">
    <w:name w:val="Normal (Web)"/>
    <w:basedOn w:val="Normal"/>
    <w:uiPriority w:val="99"/>
    <w:unhideWhenUsed/>
    <w:qFormat/>
    <w:rsid w:val="00f728c9"/>
    <w:pPr>
      <w:spacing w:beforeAutospacing="1" w:afterAutospacing="1"/>
      <w:jc w:val="left"/>
    </w:pPr>
    <w:rPr>
      <w:rFonts w:ascii="Times New Roman" w:hAnsi="Times New Roman"/>
      <w:sz w:val="24"/>
      <w:szCs w:val="24"/>
    </w:rPr>
  </w:style>
  <w:style w:type="paragraph" w:styleId="Tabledesmatiresniveau6">
    <w:name w:val="TOC 6"/>
    <w:basedOn w:val="Tabledesmatiresniveau5"/>
    <w:next w:val="Normal"/>
    <w:uiPriority w:val="39"/>
    <w:rsid w:val="004c6d36"/>
    <w:pPr>
      <w:ind w:left="1000" w:hanging="0"/>
    </w:pPr>
    <w:rPr/>
  </w:style>
  <w:style w:type="paragraph" w:styleId="Tabledesmatiresniveau7">
    <w:name w:val="TOC 7"/>
    <w:basedOn w:val="Tabledesmatiresniveau6"/>
    <w:next w:val="Normal"/>
    <w:uiPriority w:val="39"/>
    <w:rsid w:val="00f27ca5"/>
    <w:pPr>
      <w:ind w:left="1200" w:hanging="0"/>
    </w:pPr>
    <w:rPr/>
  </w:style>
  <w:style w:type="paragraph" w:styleId="Tabledesmatiresniveau8">
    <w:name w:val="TOC 8"/>
    <w:basedOn w:val="Tabledesmatiresniveau7"/>
    <w:next w:val="Normal"/>
    <w:uiPriority w:val="39"/>
    <w:rsid w:val="00f27ca5"/>
    <w:pPr>
      <w:ind w:left="1400" w:hanging="0"/>
    </w:pPr>
    <w:rPr/>
  </w:style>
  <w:style w:type="paragraph" w:styleId="Tabledesmatiresniveau9">
    <w:name w:val="TOC 9"/>
    <w:basedOn w:val="Tabledesmatiresniveau8"/>
    <w:next w:val="Normal"/>
    <w:uiPriority w:val="39"/>
    <w:rsid w:val="00f27ca5"/>
    <w:pPr>
      <w:ind w:left="1600" w:hanging="0"/>
    </w:pPr>
    <w:rPr/>
  </w:style>
  <w:style w:type="paragraph" w:styleId="Notedebasdepage">
    <w:name w:val="Footnote Text"/>
    <w:basedOn w:val="Normal"/>
    <w:link w:val="NotedebasdepageCar"/>
    <w:autoRedefine/>
    <w:rsid w:val="00a76785"/>
    <w:pPr>
      <w:spacing w:before="240" w:after="0"/>
      <w:jc w:val="left"/>
    </w:pPr>
    <w:rPr>
      <w:rFonts w:cs="Arial"/>
      <w:sz w:val="18"/>
      <w:lang w:val="en-GB"/>
    </w:rPr>
  </w:style>
  <w:style w:type="paragraph" w:styleId="NTB" w:customStyle="1">
    <w:name w:val="NTB"/>
    <w:basedOn w:val="Normal"/>
    <w:qFormat/>
    <w:rsid w:val="00c928a0"/>
    <w:pPr>
      <w:keepLines/>
      <w:tabs>
        <w:tab w:val="clear" w:pos="708"/>
        <w:tab w:val="left" w:pos="284" w:leader="none"/>
        <w:tab w:val="right" w:pos="8789" w:leader="underscore"/>
      </w:tabs>
      <w:spacing w:before="120" w:after="0"/>
      <w:ind w:left="426" w:hanging="426"/>
    </w:pPr>
    <w:rPr>
      <w:rFonts w:cs="Arial"/>
      <w:sz w:val="18"/>
      <w:szCs w:val="24"/>
    </w:rPr>
  </w:style>
  <w:style w:type="paragraph" w:styleId="R11" w:customStyle="1">
    <w:name w:val="R11"/>
    <w:basedOn w:val="R1"/>
    <w:qFormat/>
    <w:rsid w:val="00f16717"/>
    <w:pPr>
      <w:spacing w:before="40" w:after="240"/>
    </w:pPr>
    <w:rPr/>
  </w:style>
  <w:style w:type="paragraph" w:styleId="AG" w:customStyle="1">
    <w:name w:val="AG"/>
    <w:basedOn w:val="Normal"/>
    <w:qFormat/>
    <w:rsid w:val="00c226ec"/>
    <w:pPr>
      <w:keepLines/>
      <w:spacing w:lineRule="exact" w:line="160" w:before="60" w:after="0"/>
      <w:jc w:val="left"/>
    </w:pPr>
    <w:rPr>
      <w:bCs/>
      <w:sz w:val="16"/>
      <w:szCs w:val="16"/>
    </w:rPr>
  </w:style>
  <w:style w:type="paragraph" w:styleId="PDG2" w:customStyle="1">
    <w:name w:val="PDG2"/>
    <w:basedOn w:val="Normal"/>
    <w:qFormat/>
    <w:rsid w:val="001a5061"/>
    <w:pPr>
      <w:tabs>
        <w:tab w:val="clear" w:pos="708"/>
        <w:tab w:val="left" w:pos="567" w:leader="none"/>
      </w:tabs>
      <w:spacing w:lineRule="auto" w:line="204" w:before="600" w:after="0"/>
      <w:jc w:val="left"/>
    </w:pPr>
    <w:rPr>
      <w:rFonts w:ascii="Arial Black" w:hAnsi="Arial Black"/>
      <w:color w:val="00375A"/>
      <w:sz w:val="48"/>
      <w:szCs w:val="52"/>
    </w:rPr>
  </w:style>
  <w:style w:type="paragraph" w:styleId="PDG3" w:customStyle="1">
    <w:name w:val="PDG3"/>
    <w:basedOn w:val="Normal"/>
    <w:qFormat/>
    <w:rsid w:val="001d3fea"/>
    <w:pPr>
      <w:spacing w:before="120" w:after="0"/>
      <w:jc w:val="left"/>
    </w:pPr>
    <w:rPr>
      <w:smallCaps/>
      <w:color w:val="00375A"/>
      <w:spacing w:val="30"/>
      <w:sz w:val="24"/>
    </w:rPr>
  </w:style>
  <w:style w:type="paragraph" w:styleId="PDG4" w:customStyle="1">
    <w:name w:val="PDG4"/>
    <w:basedOn w:val="Normal"/>
    <w:qFormat/>
    <w:rsid w:val="001d3fea"/>
    <w:pPr>
      <w:spacing w:before="480" w:after="0"/>
      <w:jc w:val="left"/>
    </w:pPr>
    <w:rPr>
      <w:rFonts w:ascii="Arial Gras" w:hAnsi="Arial Gras"/>
      <w:b/>
      <w:smallCaps/>
      <w:color w:val="00375A"/>
      <w:sz w:val="24"/>
      <w:szCs w:val="32"/>
    </w:rPr>
  </w:style>
  <w:style w:type="paragraph" w:styleId="PDG1" w:customStyle="1">
    <w:name w:val="PDG1"/>
    <w:qFormat/>
    <w:rsid w:val="00f16717"/>
    <w:pPr>
      <w:widowControl/>
      <w:bidi w:val="0"/>
      <w:spacing w:before="0" w:after="0"/>
      <w:jc w:val="center"/>
    </w:pPr>
    <w:rPr>
      <w:rFonts w:ascii="Arial" w:hAnsi="Arial" w:eastAsia="Times New Roman" w:cs="Times New Roman"/>
      <w:color w:val="auto"/>
      <w:kern w:val="0"/>
      <w:sz w:val="20"/>
      <w:szCs w:val="24"/>
      <w:lang w:val="fr-FR" w:eastAsia="fr-FR" w:bidi="ar-SA"/>
    </w:rPr>
  </w:style>
  <w:style w:type="paragraph" w:styleId="PDG0" w:customStyle="1">
    <w:name w:val="PDG0"/>
    <w:basedOn w:val="Normal"/>
    <w:qFormat/>
    <w:rsid w:val="00f16717"/>
    <w:pPr>
      <w:spacing w:lineRule="exact" w:line="200"/>
      <w:jc w:val="center"/>
    </w:pPr>
    <w:rPr>
      <w:rFonts w:ascii="Arial Gras" w:hAnsi="Arial Gras"/>
      <w:b/>
      <w:bCs/>
      <w:caps/>
    </w:rPr>
  </w:style>
  <w:style w:type="paragraph" w:styleId="PHOTOCHAP" w:customStyle="1">
    <w:name w:val="PHOTOCHAP"/>
    <w:basedOn w:val="Corpsdetexte"/>
    <w:qFormat/>
    <w:rsid w:val="00f16717"/>
    <w:pPr>
      <w:widowControl w:val="false"/>
      <w:spacing w:before="2800" w:after="240"/>
      <w:jc w:val="left"/>
    </w:pPr>
    <w:rPr>
      <w:bCs/>
    </w:rPr>
  </w:style>
  <w:style w:type="paragraph" w:styleId="Sentence" w:customStyle="1">
    <w:name w:val="sentence"/>
    <w:basedOn w:val="Normal"/>
    <w:qFormat/>
    <w:rsid w:val="003b2465"/>
    <w:pPr>
      <w:spacing w:before="40" w:after="0"/>
      <w:ind w:right="28" w:hanging="0"/>
      <w:jc w:val="right"/>
    </w:pPr>
    <w:rPr/>
  </w:style>
  <w:style w:type="paragraph" w:styleId="PDG7" w:customStyle="1">
    <w:name w:val="PDG7"/>
    <w:basedOn w:val="Normal"/>
    <w:qFormat/>
    <w:rsid w:val="0036216c"/>
    <w:pPr>
      <w:spacing w:lineRule="exact" w:line="200"/>
      <w:jc w:val="left"/>
    </w:pPr>
    <w:rPr>
      <w:caps/>
      <w:sz w:val="16"/>
    </w:rPr>
  </w:style>
  <w:style w:type="paragraph" w:styleId="PT" w:customStyle="1">
    <w:name w:val="PT"/>
    <w:basedOn w:val="Normal"/>
    <w:qFormat/>
    <w:rsid w:val="00f16717"/>
    <w:pPr>
      <w:jc w:val="left"/>
    </w:pPr>
    <w:rPr>
      <w:sz w:val="6"/>
    </w:rPr>
  </w:style>
  <w:style w:type="paragraph" w:styleId="TITC" w:customStyle="1">
    <w:name w:val="TITC"/>
    <w:basedOn w:val="Normal"/>
    <w:next w:val="Corpsdetexte"/>
    <w:link w:val="TITCCar"/>
    <w:qFormat/>
    <w:rsid w:val="00a7241e"/>
    <w:pPr>
      <w:pageBreakBefore/>
      <w:tabs>
        <w:tab w:val="clear" w:pos="708"/>
        <w:tab w:val="right" w:pos="8789" w:leader="underscore"/>
      </w:tabs>
      <w:spacing w:lineRule="auto" w:line="204"/>
      <w:ind w:left="-851" w:hanging="0"/>
      <w:jc w:val="left"/>
    </w:pPr>
    <w:rPr>
      <w:rFonts w:ascii="Arial Black" w:hAnsi="Arial Black"/>
      <w:sz w:val="40"/>
      <w:szCs w:val="40"/>
    </w:rPr>
  </w:style>
  <w:style w:type="paragraph" w:styleId="ENT4" w:customStyle="1">
    <w:name w:val="ENT4"/>
    <w:basedOn w:val="ENT3"/>
    <w:qFormat/>
    <w:rsid w:val="00f16717"/>
    <w:pPr>
      <w:pBdr>
        <w:bottom w:val="single" w:sz="8" w:space="9" w:color="7F7F7F"/>
      </w:pBdr>
      <w:spacing w:lineRule="auto" w:line="240" w:before="0" w:after="0"/>
    </w:pPr>
    <w:rPr>
      <w:rFonts w:ascii="Arial Gras" w:hAnsi="Arial Gras"/>
      <w:b/>
      <w:caps/>
      <w:spacing w:val="0"/>
    </w:rPr>
  </w:style>
  <w:style w:type="paragraph" w:styleId="ENT3" w:customStyle="1">
    <w:name w:val="ENT3"/>
    <w:basedOn w:val="Normal"/>
    <w:qFormat/>
    <w:rsid w:val="00f16717"/>
    <w:pPr>
      <w:spacing w:lineRule="exact" w:line="240" w:before="0" w:after="60"/>
      <w:jc w:val="right"/>
    </w:pPr>
    <w:rPr>
      <w:rFonts w:cs="Arial"/>
      <w:spacing w:val="30"/>
      <w:sz w:val="16"/>
    </w:rPr>
  </w:style>
  <w:style w:type="paragraph" w:styleId="ENT1" w:customStyle="1">
    <w:name w:val="ENT1"/>
    <w:basedOn w:val="Normal"/>
    <w:qFormat/>
    <w:rsid w:val="00f16717"/>
    <w:pPr>
      <w:jc w:val="right"/>
    </w:pPr>
    <w:rPr>
      <w:caps/>
      <w:sz w:val="16"/>
    </w:rPr>
  </w:style>
  <w:style w:type="paragraph" w:styleId="ENT2" w:customStyle="1">
    <w:name w:val="ENT2"/>
    <w:basedOn w:val="Normal"/>
    <w:qFormat/>
    <w:rsid w:val="00f16717"/>
    <w:pPr>
      <w:tabs>
        <w:tab w:val="clear" w:pos="708"/>
        <w:tab w:val="left" w:pos="0" w:leader="none"/>
      </w:tabs>
      <w:spacing w:lineRule="auto" w:line="204" w:before="60" w:after="0"/>
      <w:jc w:val="right"/>
    </w:pPr>
    <w:rPr>
      <w:rFonts w:ascii="Arial Black" w:hAnsi="Arial Black"/>
    </w:rPr>
  </w:style>
  <w:style w:type="paragraph" w:styleId="Ppar" w:customStyle="1">
    <w:name w:val="ppar"/>
    <w:basedOn w:val="Normal"/>
    <w:qFormat/>
    <w:rsid w:val="0071082c"/>
    <w:pPr>
      <w:pBdr>
        <w:top w:val="single" w:sz="8" w:space="9" w:color="7F7F7F"/>
      </w:pBdr>
      <w:tabs>
        <w:tab w:val="clear" w:pos="708"/>
        <w:tab w:val="right" w:pos="9582" w:leader="none"/>
      </w:tabs>
      <w:jc w:val="left"/>
    </w:pPr>
    <w:rPr>
      <w:caps/>
      <w:sz w:val="16"/>
    </w:rPr>
  </w:style>
  <w:style w:type="paragraph" w:styleId="TILAT" w:customStyle="1">
    <w:name w:val="TILAT"/>
    <w:basedOn w:val="Titre1"/>
    <w:qFormat/>
    <w:rsid w:val="00b404d2"/>
    <w:pPr>
      <w:numPr>
        <w:ilvl w:val="0"/>
        <w:numId w:val="0"/>
      </w:numPr>
      <w:tabs>
        <w:tab w:val="left" w:pos="0" w:leader="none"/>
        <w:tab w:val="right" w:pos="8789" w:leader="underscore"/>
        <w:tab w:val="right" w:pos="9072" w:leader="underscore"/>
      </w:tabs>
      <w:ind w:left="0" w:hanging="851"/>
      <w:outlineLvl w:val="9"/>
    </w:pPr>
    <w:rPr>
      <w:sz w:val="26"/>
    </w:rPr>
  </w:style>
  <w:style w:type="paragraph" w:styleId="PDG6" w:customStyle="1">
    <w:name w:val="PDG6"/>
    <w:basedOn w:val="Normal"/>
    <w:qFormat/>
    <w:rsid w:val="00f16717"/>
    <w:pPr>
      <w:jc w:val="left"/>
    </w:pPr>
    <w:rPr>
      <w:rFonts w:ascii="Arial Black" w:hAnsi="Arial Black"/>
      <w:color w:val="6EAA00"/>
      <w:szCs w:val="24"/>
    </w:rPr>
  </w:style>
  <w:style w:type="paragraph" w:styleId="TABC" w:customStyle="1">
    <w:name w:val="TABC"/>
    <w:basedOn w:val="TAB"/>
    <w:qFormat/>
    <w:rsid w:val="00f16717"/>
    <w:pPr>
      <w:jc w:val="center"/>
    </w:pPr>
    <w:rPr/>
  </w:style>
  <w:style w:type="paragraph" w:styleId="TABG" w:customStyle="1">
    <w:name w:val="TABG"/>
    <w:basedOn w:val="TAB"/>
    <w:qFormat/>
    <w:rsid w:val="00f16717"/>
    <w:pPr/>
    <w:rPr/>
  </w:style>
  <w:style w:type="paragraph" w:styleId="TAB0" w:customStyle="1">
    <w:name w:val="TAB0"/>
    <w:basedOn w:val="TABG"/>
    <w:qFormat/>
    <w:rsid w:val="00f16717"/>
    <w:pPr>
      <w:spacing w:before="0" w:after="0"/>
    </w:pPr>
    <w:rPr/>
  </w:style>
  <w:style w:type="paragraph" w:styleId="ST1" w:customStyle="1">
    <w:name w:val="ST1"/>
    <w:basedOn w:val="Normal"/>
    <w:qFormat/>
    <w:rsid w:val="00c32fc5"/>
    <w:pPr>
      <w:numPr>
        <w:ilvl w:val="0"/>
        <w:numId w:val="11"/>
      </w:numPr>
      <w:spacing w:before="360" w:after="0"/>
      <w:jc w:val="left"/>
    </w:pPr>
    <w:rPr>
      <w:rFonts w:ascii="Arial Black" w:hAnsi="Arial Black"/>
      <w:caps/>
      <w:sz w:val="24"/>
    </w:rPr>
  </w:style>
  <w:style w:type="paragraph" w:styleId="ST2" w:customStyle="1">
    <w:name w:val="ST2"/>
    <w:basedOn w:val="Normal"/>
    <w:qFormat/>
    <w:rsid w:val="00fd7cc2"/>
    <w:pPr>
      <w:numPr>
        <w:ilvl w:val="0"/>
        <w:numId w:val="12"/>
      </w:numPr>
      <w:tabs>
        <w:tab w:val="clear" w:pos="708"/>
        <w:tab w:val="left" w:pos="425" w:leader="none"/>
        <w:tab w:val="left" w:pos="567" w:leader="none"/>
      </w:tabs>
      <w:spacing w:before="240" w:after="0"/>
      <w:ind w:left="0" w:hanging="0"/>
      <w:jc w:val="left"/>
    </w:pPr>
    <w:rPr>
      <w:rFonts w:ascii="Arial Black" w:hAnsi="Arial Black"/>
      <w:caps/>
    </w:rPr>
  </w:style>
  <w:style w:type="paragraph" w:styleId="EX" w:customStyle="1">
    <w:name w:val="EX"/>
    <w:basedOn w:val="PDG4"/>
    <w:qFormat/>
    <w:rsid w:val="00f16717"/>
    <w:pPr>
      <w:spacing w:before="0" w:after="0"/>
    </w:pPr>
    <w:rPr>
      <w:rFonts w:ascii="Arial Black" w:hAnsi="Arial Black"/>
      <w:b w:val="false"/>
      <w:color w:val="FF0000"/>
      <w:sz w:val="26"/>
    </w:rPr>
  </w:style>
  <w:style w:type="paragraph" w:styleId="ST3" w:customStyle="1">
    <w:name w:val="ST3"/>
    <w:qFormat/>
    <w:rsid w:val="00fd7cc2"/>
    <w:pPr>
      <w:widowControl/>
      <w:numPr>
        <w:ilvl w:val="0"/>
        <w:numId w:val="12"/>
      </w:numPr>
      <w:tabs>
        <w:tab w:val="clear" w:pos="708"/>
        <w:tab w:val="left" w:pos="709" w:leader="none"/>
        <w:tab w:val="left" w:pos="851" w:leader="none"/>
      </w:tabs>
      <w:bidi w:val="0"/>
      <w:spacing w:before="240" w:after="0"/>
      <w:ind w:left="0" w:hanging="0"/>
      <w:jc w:val="left"/>
    </w:pPr>
    <w:rPr>
      <w:rFonts w:ascii="Arial Black" w:hAnsi="Arial Black" w:eastAsia="Times New Roman" w:cs="Times New Roman"/>
      <w:color w:val="auto"/>
      <w:kern w:val="0"/>
      <w:sz w:val="20"/>
      <w:szCs w:val="20"/>
      <w:lang w:val="fr-FR" w:eastAsia="fr-FR" w:bidi="ar-SA"/>
    </w:rPr>
  </w:style>
  <w:style w:type="paragraph" w:styleId="TSEC" w:customStyle="1">
    <w:name w:val="TSEC"/>
    <w:qFormat/>
    <w:rsid w:val="0071334f"/>
    <w:pPr>
      <w:widowControl/>
      <w:numPr>
        <w:ilvl w:val="0"/>
        <w:numId w:val="13"/>
      </w:numPr>
      <w:tabs>
        <w:tab w:val="clear" w:pos="708"/>
        <w:tab w:val="left" w:pos="1701" w:leader="none"/>
      </w:tabs>
      <w:bidi w:val="0"/>
      <w:spacing w:lineRule="auto" w:line="216" w:before="4400" w:after="0"/>
      <w:ind w:left="0" w:hanging="0"/>
      <w:jc w:val="left"/>
    </w:pPr>
    <w:rPr>
      <w:rFonts w:ascii="Arial Black" w:hAnsi="Arial Black" w:eastAsia="Times New Roman" w:cs="Times New Roman"/>
      <w:caps/>
      <w:color w:val="auto"/>
      <w:kern w:val="0"/>
      <w:sz w:val="36"/>
      <w:szCs w:val="36"/>
      <w:lang w:val="fr-FR" w:eastAsia="fr-FR" w:bidi="ar-SA"/>
    </w:rPr>
  </w:style>
  <w:style w:type="paragraph" w:styleId="C0" w:customStyle="1">
    <w:name w:val="C0"/>
    <w:basedOn w:val="Normal"/>
    <w:qFormat/>
    <w:rsid w:val="005c7688"/>
    <w:pPr>
      <w:tabs>
        <w:tab w:val="clear" w:pos="708"/>
        <w:tab w:val="right" w:pos="8789" w:leader="underscore"/>
      </w:tabs>
      <w:jc w:val="center"/>
    </w:pPr>
    <w:rPr/>
  </w:style>
  <w:style w:type="paragraph" w:styleId="TNXA" w:customStyle="1">
    <w:name w:val="TNXA"/>
    <w:basedOn w:val="Normal"/>
    <w:qFormat/>
    <w:rsid w:val="00902e1f"/>
    <w:pPr>
      <w:pageBreakBefore/>
      <w:numPr>
        <w:ilvl w:val="0"/>
        <w:numId w:val="14"/>
      </w:numPr>
      <w:tabs>
        <w:tab w:val="clear" w:pos="708"/>
        <w:tab w:val="left" w:pos="1985" w:leader="none"/>
      </w:tabs>
      <w:spacing w:before="4400" w:after="0"/>
      <w:ind w:left="0" w:hanging="0"/>
      <w:jc w:val="left"/>
    </w:pPr>
    <w:rPr>
      <w:rFonts w:ascii="Arial Black" w:hAnsi="Arial Black"/>
      <w:caps/>
      <w:sz w:val="36"/>
      <w:szCs w:val="36"/>
    </w:rPr>
  </w:style>
  <w:style w:type="paragraph" w:styleId="TNX1" w:customStyle="1">
    <w:name w:val="TNX1"/>
    <w:qFormat/>
    <w:rsid w:val="00f16717"/>
    <w:pPr>
      <w:pageBreakBefore/>
      <w:widowControl/>
      <w:numPr>
        <w:ilvl w:val="0"/>
        <w:numId w:val="15"/>
      </w:numPr>
      <w:tabs>
        <w:tab w:val="clear" w:pos="708"/>
        <w:tab w:val="left" w:pos="1701" w:leader="none"/>
      </w:tabs>
      <w:bidi w:val="0"/>
      <w:spacing w:before="4400" w:after="0"/>
      <w:jc w:val="left"/>
    </w:pPr>
    <w:rPr>
      <w:rFonts w:ascii="Arial Black" w:hAnsi="Arial Black" w:eastAsia="Times New Roman" w:cs="Times New Roman"/>
      <w:color w:val="auto"/>
      <w:kern w:val="0"/>
      <w:sz w:val="36"/>
      <w:szCs w:val="36"/>
      <w:lang w:val="fr-FR" w:eastAsia="fr-FR" w:bidi="ar-SA"/>
    </w:rPr>
  </w:style>
  <w:style w:type="paragraph" w:styleId="FS" w:customStyle="1">
    <w:name w:val="FS"/>
    <w:basedOn w:val="Normal"/>
    <w:qFormat/>
    <w:rsid w:val="005c7688"/>
    <w:pPr>
      <w:keepNext w:val="true"/>
      <w:widowControl w:val="false"/>
      <w:tabs>
        <w:tab w:val="clear" w:pos="708"/>
        <w:tab w:val="right" w:pos="8789" w:leader="underscore"/>
      </w:tabs>
      <w:spacing w:before="200" w:after="0"/>
      <w:jc w:val="center"/>
    </w:pPr>
    <w:rPr/>
  </w:style>
  <w:style w:type="paragraph" w:styleId="ListBullet3">
    <w:name w:val="List Bullet 3"/>
    <w:basedOn w:val="Normal"/>
    <w:autoRedefine/>
    <w:qFormat/>
    <w:rsid w:val="00a5769d"/>
    <w:pPr>
      <w:numPr>
        <w:ilvl w:val="0"/>
        <w:numId w:val="16"/>
      </w:numPr>
      <w:jc w:val="left"/>
    </w:pPr>
    <w:rPr>
      <w:rFonts w:ascii="Times New Roman" w:hAnsi="Times New Roman"/>
      <w:sz w:val="24"/>
      <w:szCs w:val="24"/>
    </w:rPr>
  </w:style>
  <w:style w:type="paragraph" w:styleId="BalloonText">
    <w:name w:val="Balloon Text"/>
    <w:basedOn w:val="Normal"/>
    <w:link w:val="TextedebullesCar"/>
    <w:qFormat/>
    <w:rsid w:val="005c58d9"/>
    <w:pPr/>
    <w:rPr>
      <w:rFonts w:ascii="Tahoma" w:hAnsi="Tahoma" w:cs="Tahoma"/>
      <w:sz w:val="16"/>
      <w:szCs w:val="16"/>
    </w:rPr>
  </w:style>
  <w:style w:type="paragraph" w:styleId="Default" w:customStyle="1">
    <w:name w:val="Default"/>
    <w:qFormat/>
    <w:rsid w:val="008d24be"/>
    <w:pPr>
      <w:widowControl/>
      <w:bidi w:val="0"/>
      <w:spacing w:before="0" w:after="0"/>
      <w:jc w:val="left"/>
    </w:pPr>
    <w:rPr>
      <w:rFonts w:ascii="Calibri" w:hAnsi="Calibri" w:cs="Calibri" w:eastAsia="Times New Roman"/>
      <w:color w:val="000000"/>
      <w:kern w:val="0"/>
      <w:sz w:val="24"/>
      <w:szCs w:val="24"/>
      <w:lang w:val="fr-FR" w:eastAsia="fr-FR" w:bidi="ar-SA"/>
    </w:rPr>
  </w:style>
  <w:style w:type="paragraph" w:styleId="TEXTE" w:customStyle="1">
    <w:name w:val="TEXTE"/>
    <w:basedOn w:val="Corpsdetexte"/>
    <w:qFormat/>
    <w:rsid w:val="00a16219"/>
    <w:pPr/>
    <w:rPr/>
  </w:style>
  <w:style w:type="paragraph" w:styleId="ListBullet">
    <w:name w:val="List Bullet"/>
    <w:basedOn w:val="Normal"/>
    <w:autoRedefine/>
    <w:qFormat/>
    <w:rsid w:val="00ca3851"/>
    <w:pPr>
      <w:numPr>
        <w:ilvl w:val="0"/>
        <w:numId w:val="17"/>
      </w:numPr>
      <w:jc w:val="left"/>
    </w:pPr>
    <w:rPr>
      <w:rFonts w:ascii="Times New Roman" w:hAnsi="Times New Roman"/>
      <w:sz w:val="24"/>
      <w:szCs w:val="24"/>
    </w:rPr>
  </w:style>
  <w:style w:type="paragraph" w:styleId="NormalIndent">
    <w:name w:val="Normal Indent"/>
    <w:basedOn w:val="Normal"/>
    <w:qFormat/>
    <w:rsid w:val="00ef4627"/>
    <w:pPr>
      <w:ind w:left="708" w:hanging="0"/>
    </w:pPr>
    <w:rPr/>
  </w:style>
  <w:style w:type="paragraph" w:styleId="ListBullet5">
    <w:name w:val="List Bullet 5"/>
    <w:basedOn w:val="Normal"/>
    <w:qFormat/>
    <w:rsid w:val="00ef4627"/>
    <w:pPr>
      <w:numPr>
        <w:ilvl w:val="0"/>
        <w:numId w:val="18"/>
      </w:numPr>
      <w:spacing w:before="0" w:after="0"/>
      <w:contextualSpacing/>
    </w:pPr>
    <w:rPr/>
  </w:style>
  <w:style w:type="paragraph" w:styleId="ListParagraph">
    <w:name w:val="List Paragraph"/>
    <w:basedOn w:val="Normal"/>
    <w:uiPriority w:val="34"/>
    <w:qFormat/>
    <w:rsid w:val="00517b67"/>
    <w:pPr>
      <w:spacing w:before="0" w:after="0"/>
      <w:ind w:left="720" w:hanging="0"/>
      <w:contextualSpacing/>
    </w:pPr>
    <w:rPr/>
  </w:style>
  <w:style w:type="paragraph" w:styleId="Tableoffigures">
    <w:name w:val="table of figures"/>
    <w:basedOn w:val="Normal"/>
    <w:next w:val="Normal"/>
    <w:uiPriority w:val="99"/>
    <w:qFormat/>
    <w:rsid w:val="002217be"/>
    <w:pPr/>
    <w:rPr/>
  </w:style>
  <w:style w:type="paragraph" w:styleId="Annotationtext">
    <w:name w:val="annotation text"/>
    <w:basedOn w:val="Normal"/>
    <w:link w:val="CommentaireCar"/>
    <w:qFormat/>
    <w:rsid w:val="004f127b"/>
    <w:pPr/>
    <w:rPr/>
  </w:style>
  <w:style w:type="paragraph" w:styleId="Annotationsubject">
    <w:name w:val="annotation subject"/>
    <w:basedOn w:val="Annotationtext"/>
    <w:next w:val="Annotationtext"/>
    <w:link w:val="ObjetducommentaireCar"/>
    <w:qFormat/>
    <w:rsid w:val="004f127b"/>
    <w:pPr/>
    <w:rPr>
      <w:b/>
      <w:bCs/>
    </w:rPr>
  </w:style>
  <w:style w:type="paragraph" w:styleId="F5" w:customStyle="1">
    <w:name w:val="F5"/>
    <w:basedOn w:val="Normal"/>
    <w:qFormat/>
    <w:rsid w:val="0001195d"/>
    <w:pPr>
      <w:spacing w:before="0" w:after="120"/>
      <w:ind w:left="1559" w:hanging="0"/>
    </w:pPr>
    <w:rPr/>
  </w:style>
  <w:style w:type="paragraph" w:styleId="Revision">
    <w:name w:val="Revision"/>
    <w:uiPriority w:val="99"/>
    <w:semiHidden/>
    <w:qFormat/>
    <w:rsid w:val="00f55461"/>
    <w:pPr>
      <w:widowControl/>
      <w:bidi w:val="0"/>
      <w:spacing w:before="0" w:after="0"/>
      <w:jc w:val="left"/>
    </w:pPr>
    <w:rPr>
      <w:rFonts w:ascii="Arial" w:hAnsi="Arial" w:eastAsia="Times New Roman" w:cs="Times New Roman"/>
      <w:color w:val="auto"/>
      <w:kern w:val="0"/>
      <w:sz w:val="20"/>
      <w:szCs w:val="20"/>
      <w:lang w:val="fr-FR" w:eastAsia="fr-FR" w:bidi="ar-SA"/>
    </w:rPr>
  </w:style>
  <w:style w:type="paragraph" w:styleId="TABEN1" w:customStyle="1">
    <w:name w:val="TABEN"/>
    <w:basedOn w:val="Normal"/>
    <w:qFormat/>
    <w:rsid w:val="00392643"/>
    <w:pPr>
      <w:keepLines/>
      <w:spacing w:lineRule="exact" w:line="160" w:before="20" w:after="0"/>
      <w:ind w:left="-57" w:right="-57" w:hanging="0"/>
      <w:jc w:val="center"/>
    </w:pPr>
    <w:rPr>
      <w:smallCaps/>
      <w:color w:val="000000"/>
      <w:sz w:val="16"/>
      <w:szCs w:val="16"/>
    </w:rPr>
  </w:style>
  <w:style w:type="paragraph" w:styleId="Teteliste" w:customStyle="1">
    <w:name w:val="tete liste"/>
    <w:basedOn w:val="Normal"/>
    <w:next w:val="Liste1"/>
    <w:qFormat/>
    <w:rsid w:val="00e76c57"/>
    <w:pPr>
      <w:keepNext w:val="true"/>
      <w:overflowPunct w:val="true"/>
      <w:textAlignment w:val="baseline"/>
    </w:pPr>
    <w:rPr>
      <w:rFonts w:ascii="Times New Roman" w:hAnsi="Times New Roman"/>
      <w:sz w:val="24"/>
      <w:szCs w:val="24"/>
    </w:rPr>
  </w:style>
  <w:style w:type="paragraph" w:styleId="Liste1" w:customStyle="1">
    <w:name w:val="liste"/>
    <w:basedOn w:val="Teteliste"/>
    <w:qFormat/>
    <w:rsid w:val="00e76c57"/>
    <w:pPr>
      <w:ind w:left="284" w:hanging="284"/>
    </w:pPr>
    <w:rPr/>
  </w:style>
  <w:style w:type="paragraph" w:styleId="Finliste" w:customStyle="1">
    <w:name w:val="fin liste"/>
    <w:basedOn w:val="Liste1"/>
    <w:next w:val="TEXTE"/>
    <w:qFormat/>
    <w:rsid w:val="00e76c57"/>
    <w:pPr>
      <w:keepNext w:val="false"/>
      <w:spacing w:before="0" w:after="240"/>
    </w:pPr>
    <w:rPr/>
  </w:style>
  <w:style w:type="paragraph" w:styleId="F1" w:customStyle="1">
    <w:name w:val="F1"/>
    <w:basedOn w:val="Normal"/>
    <w:link w:val="F1Car"/>
    <w:qFormat/>
    <w:rsid w:val="00434dbb"/>
    <w:pPr>
      <w:tabs>
        <w:tab w:val="clear" w:pos="708"/>
        <w:tab w:val="left" w:pos="425" w:leader="none"/>
      </w:tabs>
      <w:spacing w:before="0" w:after="120"/>
    </w:pPr>
    <w:rPr/>
  </w:style>
  <w:style w:type="paragraph" w:styleId="F3" w:customStyle="1">
    <w:name w:val="F3"/>
    <w:basedOn w:val="Normal"/>
    <w:qFormat/>
    <w:rsid w:val="00e5339a"/>
    <w:pPr>
      <w:tabs>
        <w:tab w:val="clear" w:pos="708"/>
        <w:tab w:val="left" w:pos="1276" w:leader="none"/>
      </w:tabs>
      <w:spacing w:before="0" w:after="120"/>
      <w:ind w:left="992" w:hanging="0"/>
    </w:pPr>
    <w:rPr/>
  </w:style>
  <w:style w:type="paragraph" w:styleId="Numration2" w:customStyle="1">
    <w:name w:val="énumération2"/>
    <w:basedOn w:val="Normal"/>
    <w:qFormat/>
    <w:rsid w:val="000f01c8"/>
    <w:pPr>
      <w:keepNext w:val="true"/>
      <w:numPr>
        <w:ilvl w:val="0"/>
        <w:numId w:val="41"/>
      </w:numPr>
      <w:spacing w:before="0" w:after="120"/>
    </w:pPr>
    <w:rPr/>
  </w:style>
  <w:style w:type="paragraph" w:styleId="Puceniveau1" w:customStyle="1">
    <w:name w:val="Puce niveau 1"/>
    <w:basedOn w:val="TEXTE"/>
    <w:autoRedefine/>
    <w:qFormat/>
    <w:rsid w:val="000f01c8"/>
    <w:pPr>
      <w:keepNext w:val="true"/>
      <w:widowControl w:val="false"/>
      <w:numPr>
        <w:ilvl w:val="0"/>
        <w:numId w:val="43"/>
      </w:numPr>
      <w:tabs>
        <w:tab w:val="clear" w:pos="8789"/>
      </w:tabs>
      <w:overflowPunct w:val="true"/>
      <w:spacing w:before="0" w:after="120"/>
      <w:textAlignment w:val="baseline"/>
    </w:pPr>
    <w:rPr>
      <w:szCs w:val="24"/>
      <w:lang w:eastAsia="en-US"/>
    </w:rPr>
  </w:style>
  <w:style w:type="paragraph" w:styleId="F2" w:customStyle="1">
    <w:name w:val="F2"/>
    <w:basedOn w:val="F1"/>
    <w:link w:val="F2Car"/>
    <w:qFormat/>
    <w:rsid w:val="000f01c8"/>
    <w:pPr>
      <w:tabs>
        <w:tab w:val="clear" w:pos="425"/>
        <w:tab w:val="left" w:pos="992" w:leader="none"/>
      </w:tabs>
      <w:ind w:left="709" w:hanging="0"/>
      <w:jc w:val="left"/>
    </w:pPr>
    <w:rPr>
      <w:rFonts w:cs="Arial"/>
      <w:szCs w:val="24"/>
    </w:rPr>
  </w:style>
  <w:style w:type="paragraph" w:styleId="Texte1" w:customStyle="1">
    <w:name w:val="Texte"/>
    <w:basedOn w:val="Normal"/>
    <w:link w:val="TexteCar"/>
    <w:autoRedefine/>
    <w:qFormat/>
    <w:rsid w:val="00de1fea"/>
    <w:pPr>
      <w:overflowPunct w:val="true"/>
      <w:spacing w:before="0" w:after="120"/>
      <w:ind w:right="74" w:hanging="0"/>
      <w:textAlignment w:val="baseline"/>
    </w:pPr>
    <w:rPr>
      <w:szCs w:val="24"/>
      <w:lang w:eastAsia="en-US"/>
    </w:rPr>
  </w:style>
  <w:style w:type="paragraph" w:styleId="Puceniveau2" w:customStyle="1">
    <w:name w:val="Puce niveau 2"/>
    <w:basedOn w:val="Texte1"/>
    <w:autoRedefine/>
    <w:qFormat/>
    <w:rsid w:val="009b7569"/>
    <w:pPr>
      <w:keepNext w:val="true"/>
      <w:numPr>
        <w:ilvl w:val="0"/>
        <w:numId w:val="64"/>
      </w:numPr>
      <w:ind w:left="1219" w:right="74" w:hanging="357"/>
    </w:pPr>
    <w:rPr>
      <w:lang w:val="en-US"/>
    </w:rPr>
  </w:style>
  <w:style w:type="paragraph" w:styleId="Para" w:customStyle="1">
    <w:name w:val="Para"/>
    <w:qFormat/>
    <w:rsid w:val="00b02029"/>
    <w:pPr>
      <w:widowControl/>
      <w:bidi w:val="0"/>
      <w:spacing w:before="60" w:after="60"/>
      <w:jc w:val="both"/>
    </w:pPr>
    <w:rPr>
      <w:rFonts w:ascii="Arial" w:hAnsi="Arial" w:eastAsia="Times New Roman" w:cs="Times New Roman"/>
      <w:color w:val="auto"/>
      <w:kern w:val="0"/>
      <w:sz w:val="20"/>
      <w:szCs w:val="20"/>
      <w:lang w:val="fr-FR" w:eastAsia="fr-FR" w:bidi="ar-SA"/>
    </w:rPr>
  </w:style>
  <w:style w:type="paragraph" w:styleId="Msiresume" w:customStyle="1">
    <w:name w:val="msi_resume"/>
    <w:basedOn w:val="Normal"/>
    <w:qFormat/>
    <w:rsid w:val="00065512"/>
    <w:pPr>
      <w:spacing w:beforeAutospacing="1" w:afterAutospacing="1"/>
      <w:jc w:val="left"/>
    </w:pPr>
    <w:rPr>
      <w:rFonts w:ascii="Times New Roman" w:hAnsi="Times New Roman"/>
      <w:sz w:val="24"/>
      <w:szCs w:val="24"/>
    </w:rPr>
  </w:style>
  <w:style w:type="paragraph" w:styleId="L2r" w:customStyle="1">
    <w:name w:val="L2r"/>
    <w:basedOn w:val="F2"/>
    <w:qFormat/>
    <w:rsid w:val="007a2d09"/>
    <w:pPr>
      <w:numPr>
        <w:ilvl w:val="0"/>
        <w:numId w:val="87"/>
      </w:numPr>
      <w:suppressAutoHyphens w:val="true"/>
      <w:jc w:val="both"/>
    </w:pPr>
    <w:rPr>
      <w:szCs w:val="20"/>
    </w:rPr>
  </w:style>
  <w:style w:type="paragraph" w:styleId="L3c" w:customStyle="1">
    <w:name w:val="L3c"/>
    <w:basedOn w:val="F3"/>
    <w:qFormat/>
    <w:rsid w:val="007a2d09"/>
    <w:pPr>
      <w:numPr>
        <w:ilvl w:val="0"/>
        <w:numId w:val="88"/>
      </w:numPr>
      <w:suppressAutoHyphens w:val="true"/>
    </w:pPr>
    <w:rPr>
      <w:rFonts w:cs="Arial"/>
    </w:rPr>
  </w:style>
  <w:style w:type="paragraph" w:styleId="Tiret1" w:customStyle="1">
    <w:name w:val="Tiret 1"/>
    <w:basedOn w:val="Normal"/>
    <w:autoRedefine/>
    <w:qFormat/>
    <w:rsid w:val="0078252b"/>
    <w:pPr>
      <w:numPr>
        <w:ilvl w:val="0"/>
        <w:numId w:val="90"/>
      </w:numPr>
      <w:tabs>
        <w:tab w:val="clear" w:pos="708"/>
        <w:tab w:val="left" w:pos="284" w:leader="none"/>
      </w:tabs>
      <w:spacing w:before="120" w:after="120"/>
    </w:pPr>
    <w:rPr>
      <w:rFonts w:ascii="Arial Narrow" w:hAnsi="Arial Narrow" w:eastAsia="SimSun"/>
      <w:sz w:val="24"/>
      <w:szCs w:val="24"/>
      <w:lang w:eastAsia="zh-CN"/>
    </w:rPr>
  </w:style>
  <w:style w:type="paragraph" w:styleId="Tiret2" w:customStyle="1">
    <w:name w:val="Tiret 2"/>
    <w:basedOn w:val="Normal"/>
    <w:autoRedefine/>
    <w:qFormat/>
    <w:rsid w:val="003c6000"/>
    <w:pPr>
      <w:numPr>
        <w:ilvl w:val="0"/>
        <w:numId w:val="91"/>
      </w:numPr>
      <w:spacing w:before="120" w:after="120"/>
    </w:pPr>
    <w:rPr>
      <w:rFonts w:ascii="Arial Narrow" w:hAnsi="Arial Narrow" w:eastAsia="SimSun"/>
      <w:sz w:val="24"/>
      <w:szCs w:val="24"/>
      <w:lang w:eastAsia="zh-CN"/>
    </w:rPr>
  </w:style>
  <w:style w:type="paragraph" w:styleId="Textefragment" w:customStyle="1">
    <w:name w:val="Texte fragment"/>
    <w:qFormat/>
    <w:rsid w:val="003c6000"/>
    <w:pPr>
      <w:widowControl/>
      <w:bidi w:val="0"/>
      <w:spacing w:before="120" w:after="0"/>
      <w:ind w:left="57" w:hanging="0"/>
      <w:jc w:val="left"/>
    </w:pPr>
    <w:rPr>
      <w:rFonts w:ascii="Times New Roman" w:hAnsi="Times New Roman" w:eastAsia="Times New Roman" w:cs="Times New Roman"/>
      <w:color w:val="auto"/>
      <w:kern w:val="0"/>
      <w:sz w:val="22"/>
      <w:szCs w:val="20"/>
      <w:lang w:val="fr-FR" w:eastAsia="fr-FR" w:bidi="ar-SA"/>
    </w:rPr>
  </w:style>
  <w:style w:type="paragraph" w:styleId="Textetableau" w:customStyle="1">
    <w:name w:val="Texte tableau"/>
    <w:qFormat/>
    <w:rsid w:val="003c6000"/>
    <w:pPr>
      <w:widowControl/>
      <w:bidi w:val="0"/>
      <w:spacing w:before="60" w:after="60"/>
      <w:ind w:left="74" w:right="74" w:hanging="0"/>
      <w:jc w:val="left"/>
    </w:pPr>
    <w:rPr>
      <w:rFonts w:ascii="Times New Roman" w:hAnsi="Times New Roman" w:eastAsia="Times New Roman" w:cs="Times New Roman"/>
      <w:color w:val="auto"/>
      <w:kern w:val="0"/>
      <w:sz w:val="22"/>
      <w:szCs w:val="20"/>
      <w:lang w:val="fr-FR" w:eastAsia="fr-FR" w:bidi="ar-SA"/>
    </w:rPr>
  </w:style>
  <w:style w:type="paragraph" w:styleId="Puce112pts" w:customStyle="1">
    <w:name w:val="Puce1-12pts"/>
    <w:basedOn w:val="Corpsdetexte"/>
    <w:qFormat/>
    <w:rsid w:val="001f5862"/>
    <w:pPr>
      <w:keepLines/>
      <w:numPr>
        <w:ilvl w:val="0"/>
        <w:numId w:val="92"/>
      </w:numPr>
      <w:tabs>
        <w:tab w:val="clear" w:pos="8789"/>
      </w:tabs>
      <w:spacing w:before="0" w:after="240"/>
    </w:pPr>
    <w:rPr>
      <w:sz w:val="22"/>
      <w:szCs w:val="22"/>
    </w:rPr>
  </w:style>
  <w:style w:type="paragraph" w:styleId="L4r" w:customStyle="1">
    <w:name w:val="L4r"/>
    <w:basedOn w:val="Normal"/>
    <w:qFormat/>
    <w:rsid w:val="00976907"/>
    <w:pPr>
      <w:numPr>
        <w:ilvl w:val="0"/>
        <w:numId w:val="93"/>
      </w:numPr>
      <w:suppressAutoHyphens w:val="true"/>
      <w:overflowPunct w:val="true"/>
      <w:spacing w:before="0" w:after="120"/>
      <w:textAlignment w:val="baseline"/>
    </w:pPr>
    <w:rPr>
      <w:rFonts w:ascii="Times New Roman" w:hAnsi="Times New Roman" w:cs="Arial"/>
      <w:sz w:val="24"/>
    </w:rPr>
  </w:style>
  <w:style w:type="paragraph" w:styleId="Texte11" w:customStyle="1">
    <w:name w:val="Texte 1"/>
    <w:basedOn w:val="Normal"/>
    <w:qFormat/>
    <w:rsid w:val="00976907"/>
    <w:pPr>
      <w:overflowPunct w:val="true"/>
      <w:spacing w:lineRule="atLeast" w:line="360" w:before="120" w:after="0"/>
      <w:ind w:left="567" w:hanging="0"/>
    </w:pPr>
    <w:rPr>
      <w:rFonts w:cs="Arial"/>
    </w:rPr>
  </w:style>
  <w:style w:type="paragraph" w:styleId="Puce10pt" w:customStyle="1">
    <w:name w:val="Puce1-0pt"/>
    <w:basedOn w:val="Corpsdetexte"/>
    <w:qFormat/>
    <w:rsid w:val="00c05d36"/>
    <w:pPr>
      <w:keepLines/>
      <w:numPr>
        <w:ilvl w:val="0"/>
        <w:numId w:val="100"/>
      </w:numPr>
      <w:tabs>
        <w:tab w:val="clear" w:pos="8789"/>
      </w:tabs>
      <w:spacing w:before="0" w:after="0"/>
    </w:pPr>
    <w:rPr>
      <w:sz w:val="22"/>
      <w:szCs w:val="22"/>
    </w:rPr>
  </w:style>
  <w:style w:type="paragraph" w:styleId="Puce20pt" w:customStyle="1">
    <w:name w:val="Puce2-0pt"/>
    <w:basedOn w:val="Corpsdetexte"/>
    <w:qFormat/>
    <w:rsid w:val="003721a0"/>
    <w:pPr>
      <w:keepLines/>
      <w:numPr>
        <w:ilvl w:val="0"/>
        <w:numId w:val="102"/>
      </w:numPr>
      <w:tabs>
        <w:tab w:val="clear" w:pos="8789"/>
      </w:tabs>
      <w:spacing w:before="0" w:after="0"/>
    </w:pPr>
    <w:rPr>
      <w:sz w:val="22"/>
      <w:szCs w:val="22"/>
    </w:rPr>
  </w:style>
  <w:style w:type="paragraph" w:styleId="Puce212pts" w:customStyle="1">
    <w:name w:val="Puce2-12pts"/>
    <w:basedOn w:val="Corpsdetexte"/>
    <w:qFormat/>
    <w:rsid w:val="003721a0"/>
    <w:pPr>
      <w:keepLines/>
      <w:numPr>
        <w:ilvl w:val="0"/>
        <w:numId w:val="101"/>
      </w:numPr>
      <w:tabs>
        <w:tab w:val="clear" w:pos="8789"/>
      </w:tabs>
      <w:spacing w:before="0" w:after="240"/>
    </w:pPr>
    <w:rPr>
      <w:sz w:val="22"/>
      <w:szCs w:val="22"/>
    </w:rPr>
  </w:style>
  <w:style w:type="paragraph" w:styleId="Liste2">
    <w:name w:val="List Bullet 3"/>
    <w:basedOn w:val="Normal"/>
    <w:rsid w:val="00e851fd"/>
    <w:pPr>
      <w:spacing w:before="0" w:after="0"/>
      <w:ind w:left="566" w:hanging="283"/>
      <w:contextualSpacing/>
    </w:pPr>
    <w:rPr/>
  </w:style>
  <w:style w:type="numbering" w:styleId="NoList" w:default="1">
    <w:name w:val="No List"/>
    <w:uiPriority w:val="99"/>
    <w:semiHidden/>
    <w:unhideWhenUsed/>
    <w:qFormat/>
  </w:style>
  <w:style w:type="numbering" w:styleId="ListeTitre" w:customStyle="1">
    <w:name w:val="Liste Titre"/>
    <w:uiPriority w:val="99"/>
    <w:qFormat/>
    <w:rsid w:val="0028225f"/>
  </w:style>
  <w:style w:type="table" w:default="1" w:styleId="TableauNormal">
    <w:name w:val="Normal Table"/>
    <w:uiPriority w:val="99"/>
    <w:semiHidden/>
    <w:unhideWhenUsed/>
    <w:tblPr>
      <w:tblCellMar>
        <w:top w:w="0" w:type="dxa"/>
        <w:left w:w="108" w:type="dxa"/>
        <w:bottom w:w="0" w:type="dxa"/>
        <w:right w:w="108" w:type="dxa"/>
      </w:tblCellMar>
    </w:tblPr>
  </w:style>
  <w:style w:type="table" w:styleId="Grilledetableau1">
    <w:name w:val="Table Grid 1"/>
    <w:basedOn w:val="TableauNormal"/>
    <w:rsid w:val="007b1a58"/>
    <w:pPr>
      <w:jc w:val="both"/>
    </w:pPr>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57" w:type="dxa"/>
        <w:right w:w="57" w:type="dxa"/>
      </w:tblCellMar>
    </w:tblPr>
    <w:tcPr>
      <w:shd w:val="clear" w:color="auto" w:fill="auto"/>
      <w:vAlign w:val="center"/>
    </w:tcPr>
    <w:tblStylePr w:type="lastRow">
      <w:rPr>
        <w:i w:val="0"/>
      </w:rPr>
      <w:tblPr/>
      <w:tcPr>
        <w:tcBorders>
          <w:tl2br w:val="none" w:color="auto" w:sz="0" w:space="0"/>
          <w:tr2bl w:val="none" w:color="auto" w:sz="0" w:space="0"/>
        </w:tcBorders>
      </w:tcPr>
    </w:tblStylePr>
    <w:tblStylePr w:type="lastCol">
      <w:rPr>
        <w:i w:val="0"/>
      </w:rPr>
      <w:tblPr/>
      <w:tcPr>
        <w:tcBorders>
          <w:tl2br w:val="none" w:color="auto" w:sz="0" w:space="0"/>
          <w:tr2bl w:val="none" w:color="auto" w:sz="0" w:space="0"/>
        </w:tcBorders>
      </w:tcPr>
    </w:tblStylePr>
  </w:style>
  <w:style w:type="table" w:styleId="Grilledetableau2">
    <w:name w:val="Table Grid 2"/>
    <w:basedOn w:val="Grilledetableau1"/>
    <w:rsid w:val="000b1ee9"/>
    <w:tblPr>
      <w:tblStyleRowBandSize w:val="1"/>
      <w:tblStyleColBandSize w:val="1"/>
      <w:tblCellMar>
        <w:left w:w="0" w:type="dxa"/>
        <w:right w:w="0" w:type="dxa"/>
      </w:tblCellMar>
    </w:tblPr>
    <w:tcPr>
      <w:shd w:val="clear" w:color="auto" w:fill="auto"/>
    </w:tcPr>
    <w:tblStylePr w:type="firstRow">
      <w:rPr>
        <w:b w:val="0"/>
        <w:bCs/>
      </w:rPr>
      <w:tblPr/>
      <w:tcPr>
        <w:tcBorders>
          <w:tl2br w:val="none" w:color="auto" w:sz="0" w:space="0"/>
          <w:tr2bl w:val="none" w:color="auto" w:sz="0" w:space="0"/>
        </w:tcBorders>
      </w:tcPr>
    </w:tblStylePr>
    <w:tblStylePr w:type="lastRow">
      <w:rPr>
        <w:b w:val="0"/>
        <w:bCs/>
        <w:i w:val="0"/>
      </w:rPr>
      <w:tblPr/>
      <w:tcPr>
        <w:tcBorders>
          <w:top w:val="nil"/>
          <w:left w:val="nil"/>
          <w:bottom w:val="nil"/>
          <w:right w:val="nil"/>
          <w:insideH w:val="nil"/>
          <w:insideV w:val="nil"/>
          <w:tl2br w:val="nil"/>
          <w:tr2bl w:val="nil"/>
        </w:tcBorders>
        <w:shd w:val="clear" w:color="auto" w:fill="auto"/>
      </w:tcPr>
    </w:tblStylePr>
    <w:tblStylePr w:type="firstCol">
      <w:rPr>
        <w:b w:val="0"/>
        <w:bCs/>
      </w:rPr>
      <w:tblPr/>
      <w:tcPr>
        <w:tcBorders>
          <w:tl2br w:val="none" w:color="auto" w:sz="0" w:space="0"/>
          <w:tr2bl w:val="none" w:color="auto" w:sz="0" w:space="0"/>
        </w:tcBorders>
      </w:tcPr>
    </w:tblStylePr>
    <w:tblStylePr w:type="lastCol">
      <w:rPr>
        <w:b w:val="0"/>
        <w:bCs/>
        <w:i w:val="0"/>
      </w:rPr>
      <w:tblPr/>
      <w:tcPr>
        <w:tcBorders>
          <w:tl2br w:val="none" w:color="auto" w:sz="0" w:space="0"/>
          <w:tr2bl w:val="none" w:color="auto" w:sz="0" w:space="0"/>
        </w:tcBorders>
      </w:tcPr>
    </w:tblStylePr>
    <w:tblStylePr w:type="neCell">
      <w:rPr>
        <w:b w:val="0"/>
      </w:rPr>
      <w:tblPr/>
    </w:tblStylePr>
    <w:tblStylePr w:type="nwCell">
      <w:rPr>
        <w:b w:val="0"/>
      </w:rPr>
      <w:tblPr/>
    </w:tblStylePr>
  </w:style>
  <w:style w:type="table" w:styleId="Grilledutableau">
    <w:name w:val="Table Grid"/>
    <w:basedOn w:val="TableauNormal"/>
    <w:uiPriority w:val="59"/>
    <w:rsid w:val="00642a2b"/>
    <w:pPr>
      <w:jc w:val="both"/>
    </w:pPr>
    <w:tblPr>
      <w:tblBorders>
        <w:left w:val="single" w:color="auto" w:sz="4" w:space="0"/>
        <w:bottom w:val="single" w:color="auto" w:sz="12" w:space="0"/>
        <w:right w:val="single" w:color="auto" w:sz="4" w:space="0"/>
        <w:insideH w:val="single" w:color="auto" w:sz="4" w:space="0"/>
        <w:insideV w:val="single" w:color="auto" w:sz="4" w:space="0"/>
      </w:tblBorders>
      <w:tblCellMar>
        <w:left w:w="57" w:type="dxa"/>
        <w:right w:w="57" w:type="dxa"/>
      </w:tblCellMar>
    </w:tblPr>
    <w:tcPr>
      <w:shd w:val="clear" w:color="auto" w:fill="auto"/>
      <w:vAlign w:val="center"/>
    </w:tcPr>
    <w:tblStylePr w:type="firstRow">
      <w:tblPr/>
      <w:tcPr>
        <w:shd w:val="clear" w:color="auto" w:fill="D9D9D9"/>
      </w:tcPr>
    </w:tblStylePr>
  </w:style>
  <w:style w:type="table" w:customStyle="1" w:styleId="Grilledutableau1">
    <w:name w:val="Grille du tableau1"/>
    <w:basedOn w:val="TableauNormal"/>
    <w:uiPriority w:val="59"/>
    <w:rsid w:val="00a41881"/>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image" Target="media/image3.png"/><Relationship Id="rId6" Type="http://schemas.openxmlformats.org/officeDocument/2006/relationships/image" Target="media/image4.jpe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oleObject" Target="embeddings/oleObject1.bin"/><Relationship Id="rId10" Type="http://schemas.openxmlformats.org/officeDocument/2006/relationships/image" Target="media/image7.wmf"/><Relationship Id="rId11" Type="http://schemas.openxmlformats.org/officeDocument/2006/relationships/image" Target="media/image6.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wmf"/><Relationship Id="rId20" Type="http://schemas.openxmlformats.org/officeDocument/2006/relationships/image" Target="media/image16.wmf"/><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wmf"/><Relationship Id="rId25" Type="http://schemas.openxmlformats.org/officeDocument/2006/relationships/oleObject" Target="embeddings/oleObject2.bin"/><Relationship Id="rId26" Type="http://schemas.openxmlformats.org/officeDocument/2006/relationships/image" Target="media/image21.wmf"/><Relationship Id="rId27" Type="http://schemas.openxmlformats.org/officeDocument/2006/relationships/image" Target="media/image22.png"/><Relationship Id="rId28" Type="http://schemas.openxmlformats.org/officeDocument/2006/relationships/header" Target="header2.xml"/><Relationship Id="rId29" Type="http://schemas.openxmlformats.org/officeDocument/2006/relationships/footer" Target="footer2.xml"/><Relationship Id="rId30" Type="http://schemas.openxmlformats.org/officeDocument/2006/relationships/image" Target="media/image23.png"/><Relationship Id="rId31" Type="http://schemas.openxmlformats.org/officeDocument/2006/relationships/header" Target="header3.xml"/><Relationship Id="rId32" Type="http://schemas.openxmlformats.org/officeDocument/2006/relationships/footer" Target="footer3.xml"/><Relationship Id="rId33" Type="http://schemas.openxmlformats.org/officeDocument/2006/relationships/image" Target="media/image24.wmf"/><Relationship Id="rId34" Type="http://schemas.openxmlformats.org/officeDocument/2006/relationships/package" Target="embeddings/oleObject3.xlsx"/><Relationship Id="rId35" Type="http://schemas.openxmlformats.org/officeDocument/2006/relationships/image" Target="media/image25.emf"/><Relationship Id="rId36" Type="http://schemas.openxmlformats.org/officeDocument/2006/relationships/header" Target="header4.xml"/><Relationship Id="rId37" Type="http://schemas.openxmlformats.org/officeDocument/2006/relationships/footer" Target="footer4.xml"/><Relationship Id="rId38" Type="http://schemas.openxmlformats.org/officeDocument/2006/relationships/numbering" Target="numbering.xml"/><Relationship Id="rId39" Type="http://schemas.openxmlformats.org/officeDocument/2006/relationships/fontTable" Target="fontTable.xml"/><Relationship Id="rId40" Type="http://schemas.openxmlformats.org/officeDocument/2006/relationships/settings" Target="settings.xml"/><Relationship Id="rId41" Type="http://schemas.openxmlformats.org/officeDocument/2006/relationships/theme" Target="theme/theme1.xml"/><Relationship Id="rId42" Type="http://schemas.openxmlformats.org/officeDocument/2006/relationships/customXml" Target="../customXml/item1.xml"/>
</Relationships>
</file>

<file path=word/_rels/footer1.xml.rels><?xml version="1.0" encoding="UTF-8"?>
<Relationships xmlns="http://schemas.openxmlformats.org/package/2006/relationships"><Relationship Id="rId1" Type="http://schemas.openxmlformats.org/officeDocument/2006/relationships/image" Target="media/image2.jpeg"/>
</Relationships>
</file>

<file path=word/_rels/footer2.xml.rels><?xml version="1.0" encoding="UTF-8"?>
<Relationships xmlns="http://schemas.openxmlformats.org/package/2006/relationships"><Relationship Id="rId1" Type="http://schemas.openxmlformats.org/officeDocument/2006/relationships/image" Target="media/image2.jpeg"/>
</Relationships>
</file>

<file path=word/_rels/footer3.xml.rels><?xml version="1.0" encoding="UTF-8"?>
<Relationships xmlns="http://schemas.openxmlformats.org/package/2006/relationships"><Relationship Id="rId1" Type="http://schemas.openxmlformats.org/officeDocument/2006/relationships/image" Target="media/image2.jpeg"/>
</Relationships>
</file>

<file path=word/_rels/footer4.xml.rels><?xml version="1.0" encoding="UTF-8"?>
<Relationships xmlns="http://schemas.openxmlformats.org/package/2006/relationships"><Relationship Id="rId1" Type="http://schemas.openxmlformats.org/officeDocument/2006/relationships/image" Target="media/image2.jpeg"/>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C47613-1EBF-4C0D-AD52-9F7AE62B5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ARTELIA_NB_simple_CLIENT_fr</Template>
  <TotalTime>0</TotalTime>
  <Application>LibreOffice/7.2.7.2.M8$Windows_X86_64 LibreOffice_project/cf1bdbb7fdbe4cc2bde03370057fbbb79d316db5</Application>
  <AppVersion>15.0000</AppVersion>
  <Pages>198</Pages>
  <Words>61547</Words>
  <Characters>338614</Characters>
  <CharactersWithSpaces>394000</CharactersWithSpaces>
  <Paragraphs>4321</Paragraphs>
  <Company>sets</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2023-09-21T15:16:12Z</dcterms:created>
  <dc:creator/>
  <dc:description/>
  <dc:language>fr-FR</dc:language>
  <cp:lastModifiedBy/>
  <cp:revision>1</cp:revision>
  <dc:subject/>
  <dc:title/>
</cp:coreProperties>
</file>

<file path=docProps/custom.xml><?xml version="1.0" encoding="utf-8"?>
<Properties xmlns="http://schemas.openxmlformats.org/officeDocument/2006/custom-properties" xmlns:vt="http://schemas.openxmlformats.org/officeDocument/2006/docPropsVTypes"/>
</file>