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11544" w14:textId="6B97176D" w:rsidR="00326634" w:rsidRPr="00326634" w:rsidRDefault="00326634" w:rsidP="00326634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FF0000"/>
          <w:szCs w:val="20"/>
          <w:lang w:eastAsia="zh-C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2"/>
        <w:gridCol w:w="8118"/>
      </w:tblGrid>
      <w:tr w:rsidR="00F36F65" w14:paraId="2FB68664" w14:textId="77777777" w:rsidTr="00F36F65">
        <w:tc>
          <w:tcPr>
            <w:tcW w:w="1569" w:type="dxa"/>
          </w:tcPr>
          <w:p w14:paraId="3A0427CE" w14:textId="3754578B" w:rsidR="00F36F65" w:rsidRDefault="00E34974" w:rsidP="00F36F65">
            <w:pPr>
              <w:suppressAutoHyphens/>
              <w:rPr>
                <w:rFonts w:ascii="CG Times (W1)" w:eastAsia="Times New Roman" w:hAnsi="CG Times (W1)" w:cs="Times New Roman"/>
                <w:b/>
                <w:sz w:val="32"/>
                <w:szCs w:val="20"/>
                <w:lang w:eastAsia="zh-CN"/>
              </w:rPr>
            </w:pPr>
            <w:r>
              <w:rPr>
                <w:rFonts w:cs="Arial"/>
                <w:b/>
                <w:i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2336" behindDoc="0" locked="0" layoutInCell="1" allowOverlap="1" wp14:anchorId="72CB6669" wp14:editId="1EB559D6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0</wp:posOffset>
                  </wp:positionV>
                  <wp:extent cx="918210" cy="908050"/>
                  <wp:effectExtent l="0" t="0" r="0" b="6350"/>
                  <wp:wrapSquare wrapText="bothSides"/>
                  <wp:docPr id="1" name="Image 1" descr="C:\Users\lauriane.in\AppData\Local\Microsoft\Windows\INetCache\Content.Word\LOGO_CNRS_BLE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lauriane.in\AppData\Local\Microsoft\Windows\INetCache\Content.Word\LOGO_CNRS_BLE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210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93" w:type="dxa"/>
            <w:vAlign w:val="center"/>
          </w:tcPr>
          <w:p w14:paraId="27578564" w14:textId="04A7E04B" w:rsidR="002677DF" w:rsidRPr="00F65B6E" w:rsidRDefault="00F36F65" w:rsidP="00E34974">
            <w:pPr>
              <w:suppressAutoHyphens/>
              <w:rPr>
                <w:rFonts w:eastAsia="Times New Roman" w:cstheme="minorHAnsi"/>
                <w:b/>
                <w:color w:val="002060"/>
                <w:sz w:val="28"/>
                <w:szCs w:val="20"/>
                <w:lang w:eastAsia="zh-CN"/>
              </w:rPr>
            </w:pPr>
            <w:r w:rsidRPr="00F65B6E">
              <w:rPr>
                <w:rFonts w:eastAsia="Times New Roman" w:cstheme="minorHAnsi"/>
                <w:b/>
                <w:color w:val="002060"/>
                <w:sz w:val="28"/>
                <w:szCs w:val="20"/>
                <w:lang w:eastAsia="zh-CN"/>
              </w:rPr>
              <w:t xml:space="preserve">Centre National de la Recherche Scientifique </w:t>
            </w:r>
          </w:p>
          <w:p w14:paraId="4C77EC71" w14:textId="14695110" w:rsidR="00F36F65" w:rsidRPr="00F36F65" w:rsidRDefault="00F36F65" w:rsidP="00E34974">
            <w:pPr>
              <w:suppressAutoHyphens/>
              <w:rPr>
                <w:rFonts w:eastAsia="Times New Roman" w:cstheme="minorHAnsi"/>
                <w:b/>
                <w:sz w:val="32"/>
                <w:szCs w:val="20"/>
                <w:lang w:eastAsia="zh-CN"/>
              </w:rPr>
            </w:pPr>
            <w:r w:rsidRPr="00D02BC4">
              <w:rPr>
                <w:rFonts w:eastAsia="Times New Roman" w:cstheme="minorHAnsi"/>
                <w:b/>
                <w:color w:val="002060"/>
                <w:sz w:val="24"/>
                <w:szCs w:val="20"/>
                <w:lang w:eastAsia="zh-CN"/>
              </w:rPr>
              <w:t xml:space="preserve">Délégation Rhône Auvergne  </w:t>
            </w:r>
          </w:p>
        </w:tc>
      </w:tr>
    </w:tbl>
    <w:p w14:paraId="19C9D73A" w14:textId="21F6961C" w:rsidR="00326634" w:rsidRPr="00326634" w:rsidRDefault="00326634" w:rsidP="00F36F65">
      <w:pPr>
        <w:suppressAutoHyphens/>
        <w:spacing w:after="0" w:line="240" w:lineRule="auto"/>
        <w:rPr>
          <w:rFonts w:ascii="CG Times (W1)" w:eastAsia="Times New Roman" w:hAnsi="CG Times (W1)" w:cs="Times New Roman"/>
          <w:b/>
          <w:sz w:val="32"/>
          <w:szCs w:val="20"/>
          <w:lang w:eastAsia="zh-CN"/>
        </w:rPr>
      </w:pPr>
    </w:p>
    <w:p w14:paraId="6F5299EB" w14:textId="2CDE188E" w:rsidR="00326634" w:rsidRPr="00326634" w:rsidRDefault="00326634" w:rsidP="00326634">
      <w:pPr>
        <w:suppressAutoHyphens/>
        <w:spacing w:after="0" w:line="240" w:lineRule="auto"/>
        <w:rPr>
          <w:rFonts w:ascii="CG Times (W1)" w:eastAsia="Times New Roman" w:hAnsi="CG Times (W1)" w:cs="Times New Roman"/>
          <w:b/>
          <w:sz w:val="20"/>
          <w:szCs w:val="20"/>
          <w:lang w:eastAsia="zh-CN"/>
        </w:rPr>
      </w:pPr>
    </w:p>
    <w:p w14:paraId="12AC2F78" w14:textId="5F60CFFB" w:rsidR="00326634" w:rsidRDefault="00E34974" w:rsidP="00326634">
      <w:pPr>
        <w:spacing w:after="200" w:line="240" w:lineRule="auto"/>
        <w:jc w:val="center"/>
        <w:rPr>
          <w:rFonts w:ascii="CG Times (W1)" w:eastAsia="Times New Roman" w:hAnsi="CG Times (W1)" w:cs="Times New Roman"/>
          <w:sz w:val="24"/>
          <w:szCs w:val="20"/>
          <w:lang w:eastAsia="zh-CN"/>
        </w:rPr>
      </w:pPr>
      <w:r>
        <w:rPr>
          <w:rFonts w:ascii="CG Times (W1)" w:eastAsia="Times New Roman" w:hAnsi="CG Times (W1)" w:cs="Times New Roman"/>
          <w:b/>
          <w:noProof/>
          <w:sz w:val="32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A4CCC0" wp14:editId="34D58C01">
                <wp:simplePos x="0" y="0"/>
                <wp:positionH relativeFrom="margin">
                  <wp:align>center</wp:align>
                </wp:positionH>
                <wp:positionV relativeFrom="paragraph">
                  <wp:posOffset>287020</wp:posOffset>
                </wp:positionV>
                <wp:extent cx="3219450" cy="1200150"/>
                <wp:effectExtent l="0" t="0" r="19050" b="19050"/>
                <wp:wrapNone/>
                <wp:docPr id="3" name="Organigramme : Alternativ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200150"/>
                        </a:xfrm>
                        <a:prstGeom prst="flowChartAlternateProcess">
                          <a:avLst/>
                        </a:prstGeom>
                        <a:noFill/>
                        <a:ln w="1905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0F57335A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3" o:spid="_x0000_s1026" type="#_x0000_t176" style="position:absolute;margin-left:0;margin-top:22.6pt;width:253.5pt;height:94.5pt;z-index:25166336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gLOuAIAAN4FAAAOAAAAZHJzL2Uyb0RvYy54bWysVFFvEzEMfkfiP0R5Z9frWmCnXaeq0xDS&#10;YBUb2nOWS3qRkjgkaa/l1/Bb+GU4uWtXjQokRB+ucWx/tr/YvrzaGk02wgcFtqbl2YgSYTk0yq5q&#10;+vXh5s17SkJktmEarKjpTgR6NXv96rJzlRhDC7oRniCIDVXnatrG6KqiCLwVhoUzcMKiUoI3LKLo&#10;V0XjWYfoRhfj0eht0YFvnAcuQsDb615JZxlfSsHjnZRBRKJrirnF/PX5+5S+xeySVSvPXKv4kAb7&#10;hywMUxaDHqCuWWRk7dVvUEZxDwFkPONgCpBScZFrwGrK0Ytq7lvmRK4FyQnuQFP4f7D882bpiWpq&#10;ek6JZQaf6M6vmFXIiTHi54+KzHUU3rKoNoKcJ8I6Fyr0u3dLP0gBj6n6rfQm/WNdZJtJ3h1IFttI&#10;OF6ej8uLyRTfgqOuxDcsUUCc4tnd+RA/CDAkHWoqNXSLlvm4z0Qs+wfPjLPNbYi9/94vpWDhRmmN&#10;96zSlnQY6mKEgZIcQKsmabOQOk0stCcbhj3COBc2TrOdXptP0PT30xH+hjRzcyaXnPQRGpagLV4m&#10;gnpK8inutOjz+CIkco0kjPtETsUue1XLGvG30NoiYEKWWMwBewA4jd0TNdgnV5GH5OA8MPQn54NH&#10;jgw2HpyNsuBPVaZjOXAne/s9ST01iaUnaHbYiR76EQ2O3yh8/VsW4pJ5nEnsGNwz8Q4/qSFqCsOJ&#10;khb891P3yR5HBbWUdDjjNQ3f1swLSvRHi0N0UU4maSlkYTJ9N0bBH2uejjV2bRaALVLiRnM8H5N9&#10;1Puj9GAecR3NU1RUMcsxdk159HthEfvdgwuNi/k8m+EicCze2nvHE3hiNTXyw/aReTeMQMTp+Qz7&#10;fcCqF03f2yZPC/N1BKnyRDzzOvCNSyT37LDw0pY6lrPV81qe/QIAAP//AwBQSwMEFAAGAAgAAAAh&#10;AH0buzbgAAAABwEAAA8AAABkcnMvZG93bnJldi54bWxMj8FOwzAQRO9I/IO1SFxQ6xBaoCFORUEg&#10;JIQqUi69OfGShMbrKHaa8PcsJzjuzGjmbbqebCuO2PvGkYLLeQQCqXSmoUrBx+5pdgvCB01Gt45Q&#10;wTd6WGenJ6lOjBvpHY95qASXkE+0gjqELpHSlzVa7eeuQ2Lv0/VWBz77Sppej1xuWxlH0bW0uiFe&#10;qHWHDzWWh3ywCh7Hzb7YH77obXi+eMl3r2a12a6UOj+b7u9ABJzCXxh+8RkdMmYq3EDGi1YBPxIU&#10;LJYxCHaX0Q0LhYL4ahGDzFL5nz/7AQAA//8DAFBLAQItABQABgAIAAAAIQC2gziS/gAAAOEBAAAT&#10;AAAAAAAAAAAAAAAAAAAAAABbQ29udGVudF9UeXBlc10ueG1sUEsBAi0AFAAGAAgAAAAhADj9If/W&#10;AAAAlAEAAAsAAAAAAAAAAAAAAAAALwEAAF9yZWxzLy5yZWxzUEsBAi0AFAAGAAgAAAAhAJdmAs64&#10;AgAA3gUAAA4AAAAAAAAAAAAAAAAALgIAAGRycy9lMm9Eb2MueG1sUEsBAi0AFAAGAAgAAAAhAH0b&#10;uzbgAAAABwEAAA8AAAAAAAAAAAAAAAAAEgUAAGRycy9kb3ducmV2LnhtbFBLBQYAAAAABAAEAPMA&#10;AAAfBgAAAAA=&#10;" filled="f" strokecolor="#1f3763 [1608]" strokeweight="1.5pt">
                <w10:wrap anchorx="margin"/>
              </v:shape>
            </w:pict>
          </mc:Fallback>
        </mc:AlternateContent>
      </w:r>
    </w:p>
    <w:p w14:paraId="6E763E0E" w14:textId="77777777" w:rsidR="00E34974" w:rsidRPr="00E34974" w:rsidRDefault="00E34974" w:rsidP="003B6CBD">
      <w:pPr>
        <w:jc w:val="center"/>
        <w:rPr>
          <w:rFonts w:cs="Arial"/>
          <w:b/>
          <w:color w:val="1F3864" w:themeColor="accent5" w:themeShade="80"/>
          <w:sz w:val="16"/>
          <w:szCs w:val="16"/>
        </w:rPr>
      </w:pPr>
    </w:p>
    <w:p w14:paraId="7282D618" w14:textId="59E2D79B" w:rsidR="003B6CBD" w:rsidRPr="00F65B6E" w:rsidRDefault="00E34974" w:rsidP="003B6CBD">
      <w:pPr>
        <w:jc w:val="center"/>
        <w:rPr>
          <w:rFonts w:cs="Arial"/>
          <w:b/>
          <w:color w:val="002060"/>
          <w:sz w:val="36"/>
          <w:szCs w:val="32"/>
        </w:rPr>
      </w:pPr>
      <w:r w:rsidRPr="00F65B6E">
        <w:rPr>
          <w:rFonts w:cs="Arial"/>
          <w:b/>
          <w:color w:val="002060"/>
          <w:sz w:val="36"/>
          <w:szCs w:val="32"/>
        </w:rPr>
        <w:t>Cadre de réponse technique</w:t>
      </w:r>
    </w:p>
    <w:p w14:paraId="205C4384" w14:textId="6246C590" w:rsidR="003B6CBD" w:rsidRPr="00E34974" w:rsidRDefault="003B6CBD" w:rsidP="003B6CBD">
      <w:pPr>
        <w:jc w:val="center"/>
        <w:rPr>
          <w:rFonts w:cs="Arial"/>
          <w:b/>
        </w:rPr>
      </w:pPr>
      <w:r w:rsidRPr="00E34974">
        <w:rPr>
          <w:rFonts w:cs="Arial"/>
          <w:b/>
          <w:sz w:val="24"/>
          <w:szCs w:val="24"/>
        </w:rPr>
        <w:t>Annexe n° 2 à l'acte d'engagement</w:t>
      </w:r>
    </w:p>
    <w:p w14:paraId="505BF983" w14:textId="5212EE23" w:rsidR="003B6CBD" w:rsidRDefault="003B6CBD" w:rsidP="003B6CBD">
      <w:pPr>
        <w:rPr>
          <w:rFonts w:cstheme="minorHAnsi"/>
          <w:b/>
          <w:color w:val="1F4E79"/>
          <w:sz w:val="24"/>
          <w:szCs w:val="24"/>
          <w:u w:val="single"/>
        </w:rPr>
      </w:pPr>
    </w:p>
    <w:p w14:paraId="17A8F39C" w14:textId="709B0D71" w:rsidR="00D41F45" w:rsidRDefault="00D41F45" w:rsidP="003B6CBD">
      <w:pPr>
        <w:rPr>
          <w:rFonts w:cstheme="minorHAnsi"/>
          <w:b/>
          <w:color w:val="1F4E79"/>
          <w:sz w:val="24"/>
          <w:szCs w:val="24"/>
          <w:u w:val="single"/>
        </w:rPr>
      </w:pPr>
    </w:p>
    <w:p w14:paraId="554D6AFF" w14:textId="77777777" w:rsidR="00D41F45" w:rsidRPr="00F65B6E" w:rsidRDefault="00D41F45" w:rsidP="003B6CBD">
      <w:pPr>
        <w:rPr>
          <w:rFonts w:cstheme="minorHAnsi"/>
          <w:b/>
          <w:color w:val="002060"/>
          <w:sz w:val="24"/>
          <w:szCs w:val="24"/>
          <w:u w:val="single"/>
        </w:rPr>
      </w:pPr>
    </w:p>
    <w:p w14:paraId="44BB5ACE" w14:textId="566916F1" w:rsidR="00326634" w:rsidRPr="00D02BC4" w:rsidRDefault="00853714" w:rsidP="00D02BC4">
      <w:pPr>
        <w:jc w:val="both"/>
        <w:rPr>
          <w:rFonts w:cstheme="minorHAnsi"/>
          <w:b/>
          <w:color w:val="002060"/>
          <w:sz w:val="24"/>
          <w:szCs w:val="24"/>
        </w:rPr>
      </w:pPr>
      <w:r w:rsidRPr="00F65B6E">
        <w:rPr>
          <w:rFonts w:cstheme="minorHAnsi"/>
          <w:b/>
          <w:color w:val="002060"/>
          <w:sz w:val="24"/>
          <w:szCs w:val="24"/>
          <w:u w:val="single"/>
        </w:rPr>
        <w:t>Objet du marché</w:t>
      </w:r>
      <w:r w:rsidRPr="00F65B6E">
        <w:rPr>
          <w:rFonts w:cstheme="minorHAnsi"/>
          <w:b/>
          <w:color w:val="002060"/>
          <w:sz w:val="24"/>
          <w:szCs w:val="24"/>
        </w:rPr>
        <w:t> </w:t>
      </w:r>
      <w:r w:rsidRPr="00F65B6E">
        <w:rPr>
          <w:rFonts w:cstheme="minorHAnsi"/>
          <w:color w:val="002060"/>
          <w:sz w:val="24"/>
          <w:szCs w:val="24"/>
        </w:rPr>
        <w:t>:</w:t>
      </w:r>
      <w:r w:rsidRPr="00F65B6E">
        <w:rPr>
          <w:rFonts w:cstheme="minorHAnsi"/>
          <w:b/>
          <w:color w:val="002060"/>
          <w:sz w:val="24"/>
          <w:szCs w:val="24"/>
        </w:rPr>
        <w:t xml:space="preserve"> </w:t>
      </w:r>
      <w:r w:rsidR="00D02BC4" w:rsidRPr="00D02BC4">
        <w:rPr>
          <w:rFonts w:cstheme="minorHAnsi"/>
          <w:b/>
          <w:color w:val="002060"/>
          <w:sz w:val="24"/>
          <w:szCs w:val="24"/>
        </w:rPr>
        <w:t>Fourniture de 326 modu</w:t>
      </w:r>
      <w:r w:rsidR="00D02BC4">
        <w:rPr>
          <w:rFonts w:cstheme="minorHAnsi"/>
          <w:b/>
          <w:color w:val="002060"/>
          <w:sz w:val="24"/>
          <w:szCs w:val="24"/>
        </w:rPr>
        <w:t xml:space="preserve">les MicroTCA Carrier Hub (MCH) </w:t>
      </w:r>
      <w:r w:rsidR="00D02BC4" w:rsidRPr="00D02BC4">
        <w:rPr>
          <w:rFonts w:cstheme="minorHAnsi"/>
          <w:b/>
          <w:color w:val="002060"/>
          <w:sz w:val="24"/>
          <w:szCs w:val="24"/>
        </w:rPr>
        <w:t xml:space="preserve">pour l’Institut de Physique des 2 Infinis (IP2I) </w:t>
      </w:r>
      <w:r w:rsidR="009651D6">
        <w:rPr>
          <w:rFonts w:cstheme="minorHAnsi"/>
          <w:b/>
          <w:color w:val="002060"/>
          <w:sz w:val="24"/>
          <w:szCs w:val="24"/>
        </w:rPr>
        <w:t xml:space="preserve">du </w:t>
      </w:r>
      <w:r w:rsidR="00D02BC4" w:rsidRPr="00D02BC4">
        <w:rPr>
          <w:rFonts w:cstheme="minorHAnsi"/>
          <w:b/>
          <w:color w:val="002060"/>
          <w:sz w:val="24"/>
          <w:szCs w:val="24"/>
        </w:rPr>
        <w:t>CNR</w:t>
      </w:r>
      <w:r w:rsidR="00465597">
        <w:rPr>
          <w:rFonts w:cstheme="minorHAnsi"/>
          <w:b/>
          <w:color w:val="002060"/>
          <w:sz w:val="24"/>
          <w:szCs w:val="24"/>
        </w:rPr>
        <w:t>S</w:t>
      </w:r>
    </w:p>
    <w:p w14:paraId="168CEC6F" w14:textId="77777777" w:rsidR="00316E8A" w:rsidRPr="0079422B" w:rsidRDefault="00316E8A" w:rsidP="00326634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701CEE73" w14:textId="45EA1564" w:rsidR="00326634" w:rsidRPr="0079422B" w:rsidRDefault="00326634" w:rsidP="00326634">
      <w:pPr>
        <w:suppressAutoHyphens/>
        <w:spacing w:after="0" w:line="240" w:lineRule="auto"/>
        <w:jc w:val="both"/>
        <w:rPr>
          <w:rFonts w:eastAsia="Times New Roman" w:cstheme="minorHAnsi"/>
          <w:bCs/>
          <w:iCs/>
          <w:lang w:eastAsia="zh-CN"/>
        </w:rPr>
      </w:pPr>
      <w:r w:rsidRPr="0079422B">
        <w:rPr>
          <w:rFonts w:eastAsia="Times New Roman" w:cstheme="minorHAnsi"/>
          <w:lang w:eastAsia="zh-CN"/>
        </w:rPr>
        <w:t xml:space="preserve">Le présent </w:t>
      </w:r>
      <w:r w:rsidR="00CE31DC" w:rsidRPr="0079422B">
        <w:rPr>
          <w:rFonts w:eastAsia="Times New Roman" w:cstheme="minorHAnsi"/>
          <w:lang w:eastAsia="zh-CN"/>
        </w:rPr>
        <w:t>cadre de réponse</w:t>
      </w:r>
      <w:r w:rsidRPr="0079422B">
        <w:rPr>
          <w:rFonts w:eastAsia="Times New Roman" w:cstheme="minorHAnsi"/>
          <w:lang w:eastAsia="zh-CN"/>
        </w:rPr>
        <w:t xml:space="preserve"> technique a </w:t>
      </w:r>
      <w:r w:rsidR="00887C1B" w:rsidRPr="0079422B">
        <w:rPr>
          <w:rFonts w:eastAsia="Times New Roman" w:cstheme="minorHAnsi"/>
          <w:lang w:eastAsia="zh-CN"/>
        </w:rPr>
        <w:t xml:space="preserve">principalement </w:t>
      </w:r>
      <w:r w:rsidRPr="0079422B">
        <w:rPr>
          <w:rFonts w:eastAsia="Times New Roman" w:cstheme="minorHAnsi"/>
          <w:lang w:eastAsia="zh-CN"/>
        </w:rPr>
        <w:t>pour objet de juger la valeur tech</w:t>
      </w:r>
      <w:r w:rsidR="00853714" w:rsidRPr="0079422B">
        <w:rPr>
          <w:rFonts w:eastAsia="Times New Roman" w:cstheme="minorHAnsi"/>
          <w:lang w:eastAsia="zh-CN"/>
        </w:rPr>
        <w:t xml:space="preserve">nique de l’offre remise par le </w:t>
      </w:r>
      <w:r w:rsidR="00583F7F">
        <w:rPr>
          <w:rFonts w:eastAsia="Times New Roman" w:cstheme="minorHAnsi"/>
          <w:lang w:eastAsia="zh-CN"/>
        </w:rPr>
        <w:t xml:space="preserve">soumissionnaire. </w:t>
      </w:r>
    </w:p>
    <w:p w14:paraId="20F4B7E7" w14:textId="77777777" w:rsidR="00326634" w:rsidRPr="0079422B" w:rsidRDefault="00326634" w:rsidP="00326634">
      <w:pPr>
        <w:suppressAutoHyphens/>
        <w:spacing w:after="0" w:line="240" w:lineRule="auto"/>
        <w:rPr>
          <w:rFonts w:eastAsia="Times New Roman" w:cstheme="minorHAnsi"/>
          <w:bCs/>
          <w:iCs/>
          <w:lang w:eastAsia="zh-CN"/>
        </w:rPr>
      </w:pPr>
    </w:p>
    <w:p w14:paraId="52D0B02C" w14:textId="1DE14752" w:rsidR="00326634" w:rsidRPr="0079422B" w:rsidRDefault="00853714" w:rsidP="00326634">
      <w:pPr>
        <w:suppressAutoHyphens/>
        <w:spacing w:after="0" w:line="240" w:lineRule="auto"/>
        <w:jc w:val="both"/>
        <w:rPr>
          <w:rFonts w:eastAsia="Times New Roman" w:cstheme="minorHAnsi"/>
          <w:bCs/>
          <w:iCs/>
          <w:lang w:eastAsia="zh-CN"/>
        </w:rPr>
      </w:pPr>
      <w:r w:rsidRPr="0079422B">
        <w:rPr>
          <w:rFonts w:eastAsia="Times New Roman" w:cstheme="minorHAnsi"/>
          <w:lang w:eastAsia="zh-CN"/>
        </w:rPr>
        <w:t>Celui-ci</w:t>
      </w:r>
      <w:r w:rsidR="00326634" w:rsidRPr="0079422B">
        <w:rPr>
          <w:rFonts w:eastAsia="Times New Roman" w:cstheme="minorHAnsi"/>
          <w:lang w:eastAsia="zh-CN"/>
        </w:rPr>
        <w:t xml:space="preserve"> doit indiquer, par item, les dispositions qu'il compte adopter en complément des conditions figurant au cahier des charges.</w:t>
      </w:r>
    </w:p>
    <w:p w14:paraId="2B0362B9" w14:textId="77777777" w:rsidR="00326634" w:rsidRPr="0079422B" w:rsidRDefault="00326634" w:rsidP="00326634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3BEF2BC6" w14:textId="564FEA63" w:rsidR="00326634" w:rsidRPr="0079422B" w:rsidRDefault="00326634" w:rsidP="00CE31DC">
      <w:pPr>
        <w:pStyle w:val="Sansinterligne"/>
        <w:jc w:val="both"/>
        <w:rPr>
          <w:rFonts w:cstheme="minorHAnsi"/>
          <w:lang w:eastAsia="zh-CN"/>
        </w:rPr>
      </w:pPr>
      <w:r w:rsidRPr="0079422B">
        <w:rPr>
          <w:rFonts w:cstheme="minorHAnsi"/>
          <w:lang w:eastAsia="zh-CN"/>
        </w:rPr>
        <w:t xml:space="preserve">Les renseignements </w:t>
      </w:r>
      <w:r w:rsidR="00853714" w:rsidRPr="0079422B">
        <w:rPr>
          <w:rFonts w:cstheme="minorHAnsi"/>
          <w:lang w:eastAsia="zh-CN"/>
        </w:rPr>
        <w:t>figurant</w:t>
      </w:r>
      <w:r w:rsidRPr="0079422B">
        <w:rPr>
          <w:rFonts w:cstheme="minorHAnsi"/>
          <w:lang w:eastAsia="zh-CN"/>
        </w:rPr>
        <w:t xml:space="preserve"> dans le </w:t>
      </w:r>
      <w:r w:rsidR="00CE31DC" w:rsidRPr="0079422B">
        <w:rPr>
          <w:rFonts w:cstheme="minorHAnsi"/>
          <w:lang w:eastAsia="zh-CN"/>
        </w:rPr>
        <w:t xml:space="preserve">présent document </w:t>
      </w:r>
      <w:r w:rsidRPr="0079422B">
        <w:rPr>
          <w:rFonts w:cstheme="minorHAnsi"/>
          <w:lang w:eastAsia="zh-CN"/>
        </w:rPr>
        <w:t xml:space="preserve">doivent être liés </w:t>
      </w:r>
      <w:r w:rsidR="00853714" w:rsidRPr="0079422B">
        <w:rPr>
          <w:rFonts w:cstheme="minorHAnsi"/>
          <w:lang w:eastAsia="zh-CN"/>
        </w:rPr>
        <w:t>directement à l’objet du marché</w:t>
      </w:r>
      <w:r w:rsidRPr="0079422B">
        <w:rPr>
          <w:rFonts w:cstheme="minorHAnsi"/>
          <w:lang w:eastAsia="zh-CN"/>
        </w:rPr>
        <w:t xml:space="preserve"> et ne doivent pas être une simple énumération de l’organisation des moyens généraux </w:t>
      </w:r>
      <w:r w:rsidR="00853714" w:rsidRPr="0079422B">
        <w:rPr>
          <w:rFonts w:cstheme="minorHAnsi"/>
          <w:lang w:eastAsia="zh-CN"/>
        </w:rPr>
        <w:t xml:space="preserve">du </w:t>
      </w:r>
      <w:r w:rsidR="00617E04">
        <w:rPr>
          <w:rFonts w:cstheme="minorHAnsi"/>
          <w:lang w:eastAsia="zh-CN"/>
        </w:rPr>
        <w:t>soumissionnaire</w:t>
      </w:r>
      <w:r w:rsidRPr="0079422B">
        <w:rPr>
          <w:rFonts w:cstheme="minorHAnsi"/>
          <w:lang w:eastAsia="zh-CN"/>
        </w:rPr>
        <w:t>.</w:t>
      </w:r>
    </w:p>
    <w:p w14:paraId="7E27BF27" w14:textId="73D03E04" w:rsidR="00326634" w:rsidRPr="0079422B" w:rsidRDefault="00326634" w:rsidP="00326634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55DD2963" w14:textId="77777777" w:rsidR="00326634" w:rsidRPr="0079422B" w:rsidRDefault="00326634" w:rsidP="00326634">
      <w:pPr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79422B">
        <w:rPr>
          <w:rFonts w:eastAsia="Times New Roman" w:cstheme="minorHAnsi"/>
          <w:lang w:eastAsia="zh-CN"/>
        </w:rPr>
        <w:t>Les différents éléments demandés sont à renseigner sur le présent document en le complétant par des documents annexes quand ils sont exigés.</w:t>
      </w:r>
    </w:p>
    <w:p w14:paraId="20899C4D" w14:textId="77777777" w:rsidR="00326634" w:rsidRPr="0079422B" w:rsidRDefault="00326634" w:rsidP="00326634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5A3DE793" w14:textId="209528D7" w:rsidR="00326634" w:rsidRPr="0079422B" w:rsidRDefault="00583F7F" w:rsidP="00326634">
      <w:pPr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>Si le soumissionnaire</w:t>
      </w:r>
      <w:r w:rsidR="00326634" w:rsidRPr="0079422B">
        <w:rPr>
          <w:rFonts w:eastAsia="Times New Roman" w:cstheme="minorHAnsi"/>
          <w:lang w:eastAsia="zh-CN"/>
        </w:rPr>
        <w:t xml:space="preserve"> le souhaite, des documents complémentaires peuvent être joints</w:t>
      </w:r>
      <w:r w:rsidR="00CE31DC" w:rsidRPr="0079422B">
        <w:rPr>
          <w:rFonts w:eastAsia="Times New Roman" w:cstheme="minorHAnsi"/>
          <w:lang w:eastAsia="zh-CN"/>
        </w:rPr>
        <w:t xml:space="preserve"> (</w:t>
      </w:r>
      <w:r w:rsidR="00853714" w:rsidRPr="0079422B">
        <w:rPr>
          <w:rFonts w:eastAsia="Times New Roman" w:cstheme="minorHAnsi"/>
          <w:lang w:eastAsia="zh-CN"/>
        </w:rPr>
        <w:t>il</w:t>
      </w:r>
      <w:r w:rsidR="00CE31DC" w:rsidRPr="0079422B">
        <w:rPr>
          <w:rFonts w:eastAsia="Times New Roman" w:cstheme="minorHAnsi"/>
          <w:lang w:eastAsia="zh-CN"/>
        </w:rPr>
        <w:t xml:space="preserve"> devra alors </w:t>
      </w:r>
      <w:r w:rsidR="00AF4751" w:rsidRPr="0079422B">
        <w:rPr>
          <w:rFonts w:eastAsia="Times New Roman" w:cstheme="minorHAnsi"/>
          <w:lang w:eastAsia="zh-CN"/>
        </w:rPr>
        <w:t xml:space="preserve">clairement </w:t>
      </w:r>
      <w:r w:rsidR="00CE31DC" w:rsidRPr="0079422B">
        <w:rPr>
          <w:rFonts w:eastAsia="Times New Roman" w:cstheme="minorHAnsi"/>
          <w:lang w:eastAsia="zh-CN"/>
        </w:rPr>
        <w:t xml:space="preserve">indiquer le </w:t>
      </w:r>
      <w:r w:rsidR="00AF4751" w:rsidRPr="0079422B">
        <w:rPr>
          <w:rFonts w:eastAsia="Times New Roman" w:cstheme="minorHAnsi"/>
          <w:lang w:eastAsia="zh-CN"/>
        </w:rPr>
        <w:t xml:space="preserve">document auquel il </w:t>
      </w:r>
      <w:r w:rsidR="00CE31DC" w:rsidRPr="0079422B">
        <w:rPr>
          <w:rFonts w:eastAsia="Times New Roman" w:cstheme="minorHAnsi"/>
          <w:lang w:eastAsia="zh-CN"/>
        </w:rPr>
        <w:t>renvoi</w:t>
      </w:r>
      <w:r w:rsidR="00AF4751" w:rsidRPr="0079422B">
        <w:rPr>
          <w:rFonts w:eastAsia="Times New Roman" w:cstheme="minorHAnsi"/>
          <w:lang w:eastAsia="zh-CN"/>
        </w:rPr>
        <w:t xml:space="preserve">e, </w:t>
      </w:r>
      <w:r w:rsidR="00CE31DC" w:rsidRPr="0079422B">
        <w:rPr>
          <w:rFonts w:eastAsia="Times New Roman" w:cstheme="minorHAnsi"/>
          <w:lang w:eastAsia="zh-CN"/>
        </w:rPr>
        <w:t>avec mention de la page ou du paragraphe exact de la réponse apportée)</w:t>
      </w:r>
      <w:r w:rsidR="00326634" w:rsidRPr="0079422B">
        <w:rPr>
          <w:rFonts w:eastAsia="Times New Roman" w:cstheme="minorHAnsi"/>
          <w:lang w:eastAsia="zh-CN"/>
        </w:rPr>
        <w:t>.</w:t>
      </w:r>
    </w:p>
    <w:p w14:paraId="3FF8225C" w14:textId="77777777" w:rsidR="00326634" w:rsidRPr="0079422B" w:rsidRDefault="00326634" w:rsidP="00326634">
      <w:pPr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14:paraId="654BA53B" w14:textId="769F5DDB" w:rsidR="00F6567D" w:rsidRPr="0079422B" w:rsidRDefault="00326634" w:rsidP="003B6CBD">
      <w:pPr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79422B">
        <w:rPr>
          <w:rFonts w:eastAsia="Times New Roman" w:cstheme="minorHAnsi"/>
          <w:lang w:eastAsia="zh-CN"/>
        </w:rPr>
        <w:t xml:space="preserve">Il est de plus rappelé que le présent </w:t>
      </w:r>
      <w:r w:rsidR="00CE31DC" w:rsidRPr="0079422B">
        <w:rPr>
          <w:rFonts w:eastAsia="Times New Roman" w:cstheme="minorHAnsi"/>
          <w:lang w:eastAsia="zh-CN"/>
        </w:rPr>
        <w:t>cadre de réponse technique</w:t>
      </w:r>
      <w:r w:rsidRPr="0079422B">
        <w:rPr>
          <w:rFonts w:eastAsia="Times New Roman" w:cstheme="minorHAnsi"/>
          <w:lang w:eastAsia="zh-CN"/>
        </w:rPr>
        <w:t xml:space="preserve"> est une pièce contractuelle du marché</w:t>
      </w:r>
      <w:r w:rsidR="00FE69A8" w:rsidRPr="0079422B">
        <w:rPr>
          <w:rFonts w:eastAsia="Times New Roman" w:cstheme="minorHAnsi"/>
          <w:lang w:eastAsia="zh-CN"/>
        </w:rPr>
        <w:t xml:space="preserve"> </w:t>
      </w:r>
      <w:r w:rsidRPr="0079422B">
        <w:rPr>
          <w:rFonts w:eastAsia="Times New Roman" w:cstheme="minorHAnsi"/>
          <w:lang w:eastAsia="zh-CN"/>
        </w:rPr>
        <w:t>; à ce titre, les informations et dispositions renseignées dans le présent document engagent contractuellement le titulaire quant au respect des moyens mis en œuvre pour l’exécution de ses prestations.</w:t>
      </w:r>
    </w:p>
    <w:p w14:paraId="2B27F92D" w14:textId="77777777" w:rsidR="00F6567D" w:rsidRPr="0079422B" w:rsidRDefault="00F6567D" w:rsidP="00EB0C5D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7A1DAEB8" w14:textId="011F306B" w:rsidR="00853714" w:rsidRPr="00E34974" w:rsidRDefault="00EB0C5D" w:rsidP="00EB0C5D">
      <w:pPr>
        <w:pStyle w:val="Sansinterligne"/>
        <w:jc w:val="both"/>
        <w:rPr>
          <w:rFonts w:cstheme="minorHAnsi"/>
          <w:b/>
          <w:lang w:eastAsia="zh-CN"/>
        </w:rPr>
      </w:pPr>
      <w:bookmarkStart w:id="0" w:name="_Hlk157691946"/>
      <w:r w:rsidRPr="00E34974">
        <w:rPr>
          <w:rFonts w:cstheme="minorHAnsi"/>
          <w:b/>
          <w:lang w:eastAsia="zh-CN"/>
        </w:rPr>
        <w:t>Le présent cadre de réponse technique</w:t>
      </w:r>
      <w:r w:rsidR="00C23C93">
        <w:rPr>
          <w:rFonts w:cstheme="minorHAnsi"/>
          <w:b/>
          <w:lang w:eastAsia="zh-CN"/>
        </w:rPr>
        <w:t xml:space="preserve"> ou les réponses aux critères d’attribution</w:t>
      </w:r>
      <w:r w:rsidR="00853714" w:rsidRPr="00E34974">
        <w:rPr>
          <w:rFonts w:cstheme="minorHAnsi"/>
          <w:b/>
          <w:lang w:eastAsia="zh-CN"/>
        </w:rPr>
        <w:t xml:space="preserve"> doi</w:t>
      </w:r>
      <w:r w:rsidR="00C23C93">
        <w:rPr>
          <w:rFonts w:cstheme="minorHAnsi"/>
          <w:b/>
          <w:lang w:eastAsia="zh-CN"/>
        </w:rPr>
        <w:t>ven</w:t>
      </w:r>
      <w:r w:rsidR="00853714" w:rsidRPr="00E34974">
        <w:rPr>
          <w:rFonts w:cstheme="minorHAnsi"/>
          <w:b/>
          <w:lang w:eastAsia="zh-CN"/>
        </w:rPr>
        <w:t>t obligatoirement être présent</w:t>
      </w:r>
      <w:r w:rsidR="00C23C93">
        <w:rPr>
          <w:rFonts w:cstheme="minorHAnsi"/>
          <w:b/>
          <w:lang w:eastAsia="zh-CN"/>
        </w:rPr>
        <w:t>s</w:t>
      </w:r>
      <w:r w:rsidR="00853714" w:rsidRPr="00E34974">
        <w:rPr>
          <w:rFonts w:cstheme="minorHAnsi"/>
          <w:b/>
          <w:lang w:eastAsia="zh-CN"/>
        </w:rPr>
        <w:t xml:space="preserve"> parmi par les pièces remises dans </w:t>
      </w:r>
      <w:r w:rsidR="00583F7F">
        <w:rPr>
          <w:rFonts w:cstheme="minorHAnsi"/>
          <w:b/>
          <w:lang w:eastAsia="zh-CN"/>
        </w:rPr>
        <w:t>l’offre du soumissionnaire</w:t>
      </w:r>
      <w:r w:rsidR="00853714" w:rsidRPr="00E34974">
        <w:rPr>
          <w:rFonts w:cstheme="minorHAnsi"/>
          <w:b/>
          <w:lang w:eastAsia="zh-CN"/>
        </w:rPr>
        <w:t xml:space="preserve"> sous peine d’irrégularité de l’offre. </w:t>
      </w:r>
    </w:p>
    <w:bookmarkEnd w:id="0"/>
    <w:p w14:paraId="73B28244" w14:textId="01CC2CA8" w:rsidR="00FE69A8" w:rsidRPr="00E34974" w:rsidRDefault="00FE69A8" w:rsidP="00EB0C5D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10D9E26E" w14:textId="0D37C0ED" w:rsidR="00FE69A8" w:rsidRPr="00E34974" w:rsidRDefault="00F6567D" w:rsidP="00EB0C5D">
      <w:pPr>
        <w:suppressAutoHyphens/>
        <w:spacing w:after="0" w:line="240" w:lineRule="auto"/>
        <w:jc w:val="both"/>
        <w:rPr>
          <w:rFonts w:cstheme="minorHAnsi"/>
          <w:b/>
          <w:lang w:eastAsia="zh-CN"/>
        </w:rPr>
      </w:pPr>
      <w:r w:rsidRPr="00E34974">
        <w:rPr>
          <w:rFonts w:cstheme="minorHAnsi"/>
          <w:b/>
          <w:lang w:eastAsia="zh-CN"/>
        </w:rPr>
        <w:t xml:space="preserve">Si </w:t>
      </w:r>
      <w:r w:rsidR="00EB0C5D" w:rsidRPr="00E34974">
        <w:rPr>
          <w:rFonts w:cstheme="minorHAnsi"/>
          <w:b/>
          <w:lang w:eastAsia="zh-CN"/>
        </w:rPr>
        <w:t>le cadre de réponse technique est présent mais qu’</w:t>
      </w:r>
      <w:r w:rsidRPr="00E34974">
        <w:rPr>
          <w:rFonts w:cstheme="minorHAnsi"/>
          <w:b/>
          <w:lang w:eastAsia="zh-CN"/>
        </w:rPr>
        <w:t>un item n’est pas renseigné</w:t>
      </w:r>
      <w:r w:rsidR="00B02BC7" w:rsidRPr="00E34974">
        <w:rPr>
          <w:rFonts w:cstheme="minorHAnsi"/>
          <w:b/>
          <w:lang w:eastAsia="zh-CN"/>
        </w:rPr>
        <w:t xml:space="preserve"> et qu’aucun renvoi n’est fait à un document complémentaire</w:t>
      </w:r>
      <w:r w:rsidR="00583F7F">
        <w:rPr>
          <w:rFonts w:cstheme="minorHAnsi"/>
          <w:b/>
          <w:lang w:eastAsia="zh-CN"/>
        </w:rPr>
        <w:t>, le soumissionnaire</w:t>
      </w:r>
      <w:r w:rsidRPr="00E34974">
        <w:rPr>
          <w:rFonts w:cstheme="minorHAnsi"/>
          <w:b/>
          <w:lang w:eastAsia="zh-CN"/>
        </w:rPr>
        <w:t xml:space="preserve"> obtiendra la note de zéro à l’item concerné.</w:t>
      </w:r>
    </w:p>
    <w:p w14:paraId="047DFDFA" w14:textId="2A7EEB99" w:rsidR="00A80BC5" w:rsidRDefault="00A80BC5" w:rsidP="00EB0C5D">
      <w:pPr>
        <w:suppressAutoHyphens/>
        <w:spacing w:after="0" w:line="240" w:lineRule="auto"/>
        <w:jc w:val="both"/>
        <w:rPr>
          <w:rFonts w:cstheme="minorHAnsi"/>
          <w:b/>
          <w:color w:val="FF0000"/>
          <w:lang w:eastAsia="zh-CN"/>
        </w:rPr>
      </w:pPr>
    </w:p>
    <w:p w14:paraId="622128D1" w14:textId="77777777" w:rsidR="00F65B6E" w:rsidRDefault="00F65B6E" w:rsidP="00EB0C5D">
      <w:pPr>
        <w:suppressAutoHyphens/>
        <w:spacing w:after="0" w:line="240" w:lineRule="auto"/>
        <w:jc w:val="both"/>
        <w:rPr>
          <w:rFonts w:cstheme="minorHAnsi"/>
          <w:b/>
          <w:color w:val="FF0000"/>
          <w:lang w:eastAsia="zh-CN"/>
        </w:rPr>
      </w:pPr>
    </w:p>
    <w:p w14:paraId="42707DFD" w14:textId="02824EF8" w:rsidR="00A80BC5" w:rsidRDefault="00A80BC5" w:rsidP="00EB0C5D">
      <w:pPr>
        <w:suppressAutoHyphens/>
        <w:spacing w:after="0" w:line="240" w:lineRule="auto"/>
        <w:jc w:val="both"/>
        <w:rPr>
          <w:rFonts w:cstheme="minorHAnsi"/>
          <w:b/>
          <w:color w:val="FF0000"/>
          <w:lang w:eastAsia="zh-CN"/>
        </w:rPr>
      </w:pPr>
    </w:p>
    <w:p w14:paraId="5F416132" w14:textId="0604A7D5" w:rsidR="00A80BC5" w:rsidRDefault="00B11B24" w:rsidP="00A80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DENOMINATION SOCIALE</w:t>
      </w:r>
      <w:r w:rsidR="00FE69A8" w:rsidRPr="0079422B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 xml:space="preserve"> </w:t>
      </w:r>
      <w:r w:rsidR="00583F7F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DU SOUMISSIONNAIRE</w:t>
      </w:r>
      <w:r w:rsidR="00FE69A8" w:rsidRPr="0079422B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:</w:t>
      </w:r>
      <w:r w:rsidR="002677DF" w:rsidRPr="0079422B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</w:p>
    <w:p w14:paraId="6D63EF25" w14:textId="77777777" w:rsidR="00A80BC5" w:rsidRPr="0079422B" w:rsidRDefault="00A80BC5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521D9B6B" w14:textId="5EDB6D76" w:rsidR="00A80BC5" w:rsidRPr="0079422B" w:rsidRDefault="00C231BE" w:rsidP="00E34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t xml:space="preserve">VALEUR TECHNIQUE - </w:t>
      </w:r>
      <w:r w:rsidR="00985915">
        <w:rPr>
          <w:rFonts w:eastAsia="Times New Roman" w:cstheme="minorHAnsi"/>
          <w:b/>
          <w:bCs/>
          <w:sz w:val="28"/>
          <w:szCs w:val="28"/>
          <w:lang w:eastAsia="zh-CN"/>
        </w:rPr>
        <w:t>3</w:t>
      </w:r>
      <w:r>
        <w:rPr>
          <w:rFonts w:eastAsia="Times New Roman" w:cstheme="minorHAnsi"/>
          <w:b/>
          <w:bCs/>
          <w:sz w:val="28"/>
          <w:szCs w:val="28"/>
          <w:lang w:eastAsia="zh-CN"/>
        </w:rPr>
        <w:t>0</w:t>
      </w:r>
      <w:r w:rsidR="00A80BC5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</w:t>
      </w:r>
      <w:r w:rsidR="00A80BC5" w:rsidRPr="0079422B">
        <w:rPr>
          <w:rFonts w:eastAsia="Times New Roman" w:cstheme="minorHAnsi"/>
          <w:b/>
          <w:bCs/>
          <w:sz w:val="28"/>
          <w:szCs w:val="28"/>
          <w:lang w:eastAsia="zh-CN"/>
        </w:rPr>
        <w:t>%</w:t>
      </w:r>
    </w:p>
    <w:p w14:paraId="54E047F6" w14:textId="77777777" w:rsidR="00A80BC5" w:rsidRPr="0079422B" w:rsidRDefault="00A80BC5" w:rsidP="00A80BC5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5B49DB8" w14:textId="0E5C9878" w:rsidR="003B6CBD" w:rsidRPr="0079422B" w:rsidRDefault="003B6CBD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9D6C2B6" w14:textId="19E984CB" w:rsidR="0087042A" w:rsidRPr="0087042A" w:rsidRDefault="003B6CBD" w:rsidP="0087042A">
      <w:pPr>
        <w:tabs>
          <w:tab w:val="center" w:pos="6480"/>
        </w:tabs>
        <w:spacing w:after="0"/>
        <w:rPr>
          <w:rFonts w:ascii="Calibri" w:eastAsia="Times New Roman" w:hAnsi="Calibri" w:cs="Arial"/>
          <w:szCs w:val="20"/>
          <w:lang w:eastAsia="fr-FR"/>
        </w:rPr>
      </w:pPr>
      <w:r w:rsidRPr="0087042A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Sous-critère n° 1</w:t>
      </w:r>
      <w:r w:rsidRPr="0087042A">
        <w:rPr>
          <w:rFonts w:eastAsia="Times New Roman" w:cstheme="minorHAnsi"/>
          <w:b/>
          <w:bCs/>
          <w:sz w:val="24"/>
          <w:szCs w:val="24"/>
          <w:lang w:eastAsia="zh-CN"/>
        </w:rPr>
        <w:t xml:space="preserve"> : </w:t>
      </w:r>
      <w:r w:rsidR="002A307A" w:rsidRPr="002A307A">
        <w:rPr>
          <w:rFonts w:eastAsia="Times New Roman" w:cstheme="minorHAnsi"/>
          <w:b/>
          <w:bCs/>
          <w:sz w:val="24"/>
          <w:szCs w:val="24"/>
          <w:lang w:eastAsia="zh-CN"/>
        </w:rPr>
        <w:t>Garanties apportées en termes de moyens mis en œuvre pour l’obtention des spécifications techniques demandées</w:t>
      </w:r>
    </w:p>
    <w:p w14:paraId="1151F60F" w14:textId="6BEF6431" w:rsidR="003B6CBD" w:rsidRPr="0087042A" w:rsidRDefault="00C231BE" w:rsidP="00895C7F">
      <w:pPr>
        <w:pStyle w:val="Paragraphedeliste"/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>20</w:t>
      </w:r>
      <w:r w:rsidR="003B6CBD" w:rsidRPr="0087042A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  <w:r w:rsidR="00A80BC5">
        <w:rPr>
          <w:rFonts w:eastAsia="Times New Roman" w:cstheme="minorHAnsi"/>
          <w:b/>
          <w:bCs/>
          <w:sz w:val="24"/>
          <w:szCs w:val="24"/>
          <w:lang w:eastAsia="zh-CN"/>
        </w:rPr>
        <w:t>%</w:t>
      </w:r>
    </w:p>
    <w:p w14:paraId="0621A583" w14:textId="2EDEF766" w:rsidR="003B6CBD" w:rsidRPr="0079422B" w:rsidRDefault="003B6CBD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3E7E32B1" w14:textId="0576AE3E" w:rsidR="00E0674C" w:rsidRPr="00E34974" w:rsidRDefault="00E0674C" w:rsidP="003B6CBD">
      <w:pPr>
        <w:spacing w:after="0" w:line="240" w:lineRule="auto"/>
        <w:rPr>
          <w:rFonts w:eastAsia="Times New Roman" w:cstheme="minorHAnsi"/>
          <w:bCs/>
          <w:color w:val="1F3864" w:themeColor="accent5" w:themeShade="80"/>
          <w:sz w:val="24"/>
          <w:szCs w:val="24"/>
          <w:lang w:eastAsia="zh-CN"/>
        </w:rPr>
      </w:pP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 xml:space="preserve">Réponse du </w:t>
      </w:r>
      <w:r w:rsidR="00583F7F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soumissionnaire</w:t>
      </w: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  <w:t> :</w:t>
      </w:r>
    </w:p>
    <w:p w14:paraId="0CA716AA" w14:textId="6A4A6566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320E31B" w14:textId="6F4E593F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BC2AFC3" w14:textId="56A02D0A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A47F88A" w14:textId="695A6FC2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2732967" w14:textId="77777777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8B4689E" w14:textId="0CF48F57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0D66A68" w14:textId="691D57A2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485B599" w14:textId="09FC6DCF" w:rsidR="00E0674C" w:rsidRPr="00B11B24" w:rsidRDefault="00E0674C" w:rsidP="002673FC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2673FC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 xml:space="preserve">Sous-critère n° 2 : </w:t>
      </w:r>
      <w:r w:rsidR="002A307A" w:rsidRPr="002A307A">
        <w:rPr>
          <w:rFonts w:eastAsia="Times New Roman" w:cstheme="minorHAnsi"/>
          <w:b/>
          <w:bCs/>
          <w:sz w:val="24"/>
          <w:szCs w:val="24"/>
          <w:lang w:eastAsia="zh-CN"/>
        </w:rPr>
        <w:t xml:space="preserve">Garanties apportées par le candidat et ses partenaires dans la mise en œuvre de la norme </w:t>
      </w:r>
      <w:proofErr w:type="spellStart"/>
      <w:r w:rsidR="002A307A" w:rsidRPr="002A307A">
        <w:rPr>
          <w:rFonts w:eastAsia="Times New Roman" w:cstheme="minorHAnsi"/>
          <w:b/>
          <w:bCs/>
          <w:sz w:val="24"/>
          <w:szCs w:val="24"/>
          <w:lang w:eastAsia="zh-CN"/>
        </w:rPr>
        <w:t>uTCA</w:t>
      </w:r>
      <w:proofErr w:type="spellEnd"/>
      <w:r w:rsidR="002A307A" w:rsidRPr="002A307A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pour la fabrication et l’assemblage de modules MCH</w:t>
      </w:r>
    </w:p>
    <w:p w14:paraId="64B41727" w14:textId="0C572115" w:rsidR="00E0674C" w:rsidRPr="0079422B" w:rsidRDefault="002673FC" w:rsidP="00E0674C">
      <w:pPr>
        <w:pStyle w:val="Paragraphedeliste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>1</w:t>
      </w:r>
      <w:r w:rsidR="00BF2D2A" w:rsidRPr="0079422B">
        <w:rPr>
          <w:rFonts w:eastAsia="Times New Roman" w:cstheme="minorHAnsi"/>
          <w:b/>
          <w:bCs/>
          <w:sz w:val="24"/>
          <w:szCs w:val="24"/>
          <w:lang w:eastAsia="zh-CN"/>
        </w:rPr>
        <w:t>0</w:t>
      </w:r>
      <w:r w:rsidR="00E0674C" w:rsidRPr="0079422B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  <w:r w:rsidR="00A80BC5">
        <w:rPr>
          <w:rFonts w:eastAsia="Times New Roman" w:cstheme="minorHAnsi"/>
          <w:b/>
          <w:bCs/>
          <w:sz w:val="24"/>
          <w:szCs w:val="24"/>
          <w:lang w:eastAsia="zh-CN"/>
        </w:rPr>
        <w:t>%</w:t>
      </w:r>
    </w:p>
    <w:p w14:paraId="4196E076" w14:textId="20113BA9" w:rsidR="00E0674C" w:rsidRPr="0079422B" w:rsidRDefault="00E0674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C3B9388" w14:textId="3416A65B" w:rsidR="00E0674C" w:rsidRPr="00E34974" w:rsidRDefault="00E0674C" w:rsidP="00E0674C">
      <w:pPr>
        <w:spacing w:after="0" w:line="240" w:lineRule="auto"/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</w:pP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 xml:space="preserve">Réponse du </w:t>
      </w:r>
      <w:r w:rsidR="00583F7F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soumissionnaire</w:t>
      </w: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  <w:t> :</w:t>
      </w:r>
    </w:p>
    <w:p w14:paraId="648029CF" w14:textId="72DE9523" w:rsidR="00E0674C" w:rsidRPr="0079422B" w:rsidRDefault="00E0674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00C61B7" w14:textId="78CB7B2E" w:rsidR="00E0674C" w:rsidRDefault="00E0674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9C8313B" w14:textId="587E919D" w:rsidR="003F0D84" w:rsidRDefault="003F0D84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E88D682" w14:textId="0FFD9AC9" w:rsidR="002673FC" w:rsidRDefault="002673F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FAFD959" w14:textId="3772C80D" w:rsidR="00A80BC5" w:rsidRDefault="00A80BC5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9716248" w14:textId="53BDA7A2" w:rsidR="00A80BC5" w:rsidRDefault="00A80BC5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D78C0A4" w14:textId="0294A328" w:rsidR="00A80BC5" w:rsidRDefault="00A80BC5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8E7B9B7" w14:textId="77777777" w:rsidR="00A80BC5" w:rsidRDefault="00A80BC5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EB98279" w14:textId="25B7DF0F" w:rsidR="00D331F7" w:rsidRPr="0079422B" w:rsidRDefault="00C231BE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  <w:r w:rsidRPr="0079422B">
        <w:rPr>
          <w:rFonts w:eastAsia="Times New Roman" w:cstheme="minorHAnsi"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CADBA6" wp14:editId="166C7406">
                <wp:simplePos x="0" y="0"/>
                <wp:positionH relativeFrom="page">
                  <wp:align>center</wp:align>
                </wp:positionH>
                <wp:positionV relativeFrom="paragraph">
                  <wp:posOffset>13184</wp:posOffset>
                </wp:positionV>
                <wp:extent cx="1304925" cy="0"/>
                <wp:effectExtent l="0" t="0" r="28575" b="190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7A50C0A1" id="Connecteur droit 2" o:spid="_x0000_s1026" style="position:absolute;z-index:251661312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from="0,1.05pt" to="102.7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37qzQEAAAEEAAAOAAAAZHJzL2Uyb0RvYy54bWysU02P2yAQvVfqf0DcGzvuh1orzh6y2l6q&#10;Nmq3P4DFQ4wEDAI2dv59B5w4q7ZS1dVesAfmvZn3GDY3kzXsCCFqdB1fr2rOwEnstTt0/Of93ZuP&#10;nMUkXC8MOuj4CSK/2b5+tRl9Cw0OaHoIjEhcbEff8SEl31ZVlANYEVfowdGhwmBFojAcqj6Ikdit&#10;qZq6/lCNGHofUEKMtHs7H/Jt4VcKZPqmVITETMept1TWUNaHvFbbjWgPQfhBy3Mb4hldWKEdFV2o&#10;bkUS7DHoP6islgEjqrSSaCtUSksoGkjNuv5NzY9BeChayJzoF5viy9HKr8d9YLrveMOZE5auaIfO&#10;kW/wGFgfUCfWZJdGH1tK3rl9OEfR70OWPKlg85fEsKk4e1qchSkxSZvrt/W7T817zuTlrLoCfYjp&#10;M6Bl+afjRrssWrTi+CUmKkapl5S8bVxeIxrd32ljSpDHBXYmsKOgi07TOrdMuCdZFGVklYXMrZe/&#10;dDIws34HRUbkZkv1MoJXTiEluHThNY6yM0xRBwuw/jfwnJ+hUMbzf8ALolRGlxaw1Q7D36pfrVBz&#10;/sWBWXe24AH7U7nUYg3NWXHu/CbyID+NC/z6cre/AAAA//8DAFBLAwQUAAYACAAAACEA1fB56NoA&#10;AAAEAQAADwAAAGRycy9kb3ducmV2LnhtbEyPQUvDQBSE74L/YXmCF2k3jaRImk2RQC8eBJtSPG6z&#10;r9lg9m3Ibpv03/v0osdhhplviu3senHFMXSeFKyWCQikxpuOWgWHerd4ARGiJqN7T6jghgG25f1d&#10;oXPjJ/rA6z62gkso5FqBjXHIpQyNRafD0g9I7J396HRkObbSjHrictfLNEnW0umOeMHqASuLzdf+&#10;4hR8tk/Pu2NN9VTF9/PazrfjW1Yp9fgwv25ARJzjXxh+8BkdSmY6+QuZIHoFfCQqSFcg2EyTLANx&#10;+tWyLOR/+PIbAAD//wMAUEsBAi0AFAAGAAgAAAAhALaDOJL+AAAA4QEAABMAAAAAAAAAAAAAAAAA&#10;AAAAAFtDb250ZW50X1R5cGVzXS54bWxQSwECLQAUAAYACAAAACEAOP0h/9YAAACUAQAACwAAAAAA&#10;AAAAAAAAAAAvAQAAX3JlbHMvLnJlbHNQSwECLQAUAAYACAAAACEAB4t+6s0BAAABBAAADgAAAAAA&#10;AAAAAAAAAAAuAgAAZHJzL2Uyb0RvYy54bWxQSwECLQAUAAYACAAAACEA1fB56NoAAAAEAQAADwAA&#10;AAAAAAAAAAAAAAAnBAAAZHJzL2Rvd25yZXYueG1sUEsFBgAAAAAEAAQA8wAAAC4FAAAAAA=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55EC182A" w14:textId="50C1DA89" w:rsidR="00F25F81" w:rsidRPr="002E46D5" w:rsidRDefault="00B11B24" w:rsidP="002E46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t>SECURITE DES APPROVISIONNEMENTS</w:t>
      </w:r>
      <w:r w:rsidR="00C231BE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</w:t>
      </w:r>
      <w:r w:rsidR="002673FC">
        <w:rPr>
          <w:rFonts w:eastAsia="Times New Roman" w:cstheme="minorHAnsi"/>
          <w:b/>
          <w:bCs/>
          <w:sz w:val="28"/>
          <w:szCs w:val="28"/>
          <w:lang w:eastAsia="zh-CN"/>
        </w:rPr>
        <w:t xml:space="preserve">- 20 </w:t>
      </w:r>
      <w:r w:rsidR="00A715A7" w:rsidRPr="0079422B">
        <w:rPr>
          <w:rFonts w:eastAsia="Times New Roman" w:cstheme="minorHAnsi"/>
          <w:b/>
          <w:bCs/>
          <w:sz w:val="28"/>
          <w:szCs w:val="28"/>
          <w:lang w:eastAsia="zh-CN"/>
        </w:rPr>
        <w:t>%</w:t>
      </w:r>
    </w:p>
    <w:p w14:paraId="4AA6E2DE" w14:textId="37E99748" w:rsidR="001C5072" w:rsidRDefault="001C5072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75D7302" w14:textId="77777777" w:rsidR="002E46D5" w:rsidRPr="0079422B" w:rsidRDefault="002E46D5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08DBA66" w14:textId="1B539436" w:rsidR="008713CD" w:rsidRPr="00E34974" w:rsidRDefault="008713CD" w:rsidP="008713CD">
      <w:pPr>
        <w:spacing w:after="0" w:line="240" w:lineRule="auto"/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</w:pP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 xml:space="preserve">Réponse du </w:t>
      </w:r>
      <w:r w:rsidR="00583F7F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soumissionnaire</w:t>
      </w: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 :</w:t>
      </w:r>
    </w:p>
    <w:p w14:paraId="44E2B8E9" w14:textId="0E252C6B" w:rsidR="00F25F81" w:rsidRDefault="00F25F81" w:rsidP="00A715A7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</w:pPr>
    </w:p>
    <w:p w14:paraId="7912155E" w14:textId="6330B9B1" w:rsidR="00422B5F" w:rsidRDefault="00422B5F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F50A852" w14:textId="211E8B73" w:rsidR="00E34974" w:rsidRDefault="00E3497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BD8724D" w14:textId="67D9168A" w:rsidR="00E34974" w:rsidRDefault="00E3497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E42A60B" w14:textId="3C2E6D64" w:rsidR="00E34974" w:rsidRDefault="00E3497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C276A98" w14:textId="46547F7C" w:rsidR="00E34974" w:rsidRDefault="00E3497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2AB8A3F" w14:textId="0D66B13A" w:rsidR="00E34974" w:rsidRDefault="00E3497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7A9A449" w14:textId="6D11F92D" w:rsidR="00E34974" w:rsidRDefault="00E3497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5912251" w14:textId="42112794" w:rsidR="00E34974" w:rsidRDefault="00E3497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7282259" w14:textId="3B525513" w:rsidR="00E34974" w:rsidRDefault="00E3497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F01BEB2" w14:textId="017676AD" w:rsidR="00E34974" w:rsidRDefault="00E3497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8B37555" w14:textId="32E4C964" w:rsidR="00D02BC4" w:rsidRDefault="00D02BC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E0EC19F" w14:textId="653009EB" w:rsidR="00D02BC4" w:rsidRDefault="00D02BC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EF978E6" w14:textId="77777777" w:rsidR="00D02BC4" w:rsidRDefault="00D02BC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72FA63E" w14:textId="4FAD1FEA" w:rsidR="00C231BE" w:rsidRPr="0079422B" w:rsidRDefault="00612BAD" w:rsidP="00C23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t>PERTINENCE DU DELAI GLOBAL</w:t>
      </w:r>
      <w:bookmarkStart w:id="1" w:name="_GoBack"/>
      <w:bookmarkEnd w:id="1"/>
      <w:r w:rsidR="001A605A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D’EXECUTION</w:t>
      </w:r>
      <w:r w:rsidR="00C231BE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- </w:t>
      </w:r>
      <w:r w:rsidR="00E07040">
        <w:rPr>
          <w:rFonts w:eastAsia="Times New Roman" w:cstheme="minorHAnsi"/>
          <w:b/>
          <w:bCs/>
          <w:sz w:val="28"/>
          <w:szCs w:val="28"/>
          <w:lang w:eastAsia="zh-CN"/>
        </w:rPr>
        <w:t>1</w:t>
      </w:r>
      <w:r w:rsidR="00C231BE">
        <w:rPr>
          <w:rFonts w:eastAsia="Times New Roman" w:cstheme="minorHAnsi"/>
          <w:b/>
          <w:bCs/>
          <w:sz w:val="28"/>
          <w:szCs w:val="28"/>
          <w:lang w:eastAsia="zh-CN"/>
        </w:rPr>
        <w:t xml:space="preserve">0 </w:t>
      </w:r>
      <w:r w:rsidR="00C231BE" w:rsidRPr="0079422B">
        <w:rPr>
          <w:rFonts w:eastAsia="Times New Roman" w:cstheme="minorHAnsi"/>
          <w:b/>
          <w:bCs/>
          <w:sz w:val="28"/>
          <w:szCs w:val="28"/>
          <w:lang w:eastAsia="zh-CN"/>
        </w:rPr>
        <w:t>%</w:t>
      </w:r>
    </w:p>
    <w:p w14:paraId="7760D5B1" w14:textId="08744B5B" w:rsidR="00E34974" w:rsidRDefault="00E3497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  <w:bookmarkStart w:id="2" w:name="_Hlk156498177"/>
    </w:p>
    <w:p w14:paraId="036D51C1" w14:textId="77777777" w:rsidR="00857DB0" w:rsidRDefault="00857DB0" w:rsidP="00857DB0">
      <w:pPr>
        <w:jc w:val="both"/>
      </w:pPr>
      <w:bookmarkStart w:id="3" w:name="_Hlk156498428"/>
      <w:r w:rsidRPr="003362C1">
        <w:t>Le titulaire doit fournir dans son offre une estimation des délais des différentes phases d’exécution sous la forme d’un calendrier similaire</w:t>
      </w:r>
      <w:r>
        <w:t xml:space="preserve"> et compatible</w:t>
      </w:r>
      <w:r w:rsidRPr="003362C1">
        <w:t xml:space="preserve"> à celui donné ci-dessous (donné à titre indicatif uniquement).</w:t>
      </w:r>
      <w:r>
        <w:t xml:space="preserve"> </w:t>
      </w:r>
    </w:p>
    <w:p w14:paraId="6C08AE80" w14:textId="7C1627AB" w:rsidR="00B11B24" w:rsidRPr="00857DB0" w:rsidRDefault="00857DB0" w:rsidP="001A605A">
      <w:pPr>
        <w:jc w:val="both"/>
      </w:pPr>
      <w:r>
        <w:t>Un</w:t>
      </w:r>
      <w:r w:rsidRPr="001506FF">
        <w:t xml:space="preserve"> calendrier définitif sera </w:t>
      </w:r>
      <w:r>
        <w:t>déterminé par l’IP2I et le titulaire</w:t>
      </w:r>
      <w:r w:rsidRPr="001506FF">
        <w:t xml:space="preserve"> lors de la réunion de lancement</w:t>
      </w:r>
      <w:r>
        <w:t xml:space="preserve"> qui suivra</w:t>
      </w:r>
      <w:r w:rsidRPr="003362C1">
        <w:t xml:space="preserve"> la notification du marché. </w:t>
      </w:r>
    </w:p>
    <w:bookmarkEnd w:id="2"/>
    <w:bookmarkEnd w:id="3"/>
    <w:tbl>
      <w:tblPr>
        <w:tblW w:w="96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7"/>
        <w:gridCol w:w="5245"/>
        <w:gridCol w:w="1398"/>
        <w:gridCol w:w="2400"/>
      </w:tblGrid>
      <w:tr w:rsidR="00B11B24" w:rsidRPr="000703DA" w14:paraId="723F143E" w14:textId="77777777" w:rsidTr="00A549E4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B5352" w14:textId="77777777" w:rsidR="00B11B24" w:rsidRPr="000703DA" w:rsidRDefault="00B11B24" w:rsidP="00A549E4">
            <w:pPr>
              <w:widowControl w:val="0"/>
              <w:spacing w:after="0" w:line="240" w:lineRule="auto"/>
              <w:jc w:val="center"/>
              <w:rPr>
                <w:highlight w:val="cyan"/>
              </w:rPr>
            </w:pP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83D24" w14:textId="77777777" w:rsidR="00B11B24" w:rsidRPr="001506FF" w:rsidRDefault="00B11B24" w:rsidP="00A549E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E6B71" w14:textId="77777777" w:rsidR="00B11B24" w:rsidRPr="001506FF" w:rsidRDefault="00B11B24" w:rsidP="00A549E4">
            <w:pPr>
              <w:widowControl w:val="0"/>
              <w:spacing w:after="0" w:line="240" w:lineRule="auto"/>
              <w:jc w:val="center"/>
            </w:pPr>
            <w:r w:rsidRPr="001506FF">
              <w:t>Semaines</w:t>
            </w: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C8DF7" w14:textId="26F163BF" w:rsidR="00B11B24" w:rsidRPr="001506FF" w:rsidRDefault="00B11B24" w:rsidP="00A549E4">
            <w:pPr>
              <w:widowControl w:val="0"/>
              <w:spacing w:after="0" w:line="240" w:lineRule="auto"/>
              <w:jc w:val="center"/>
            </w:pPr>
            <w:r w:rsidRPr="001506FF">
              <w:t xml:space="preserve">Date </w:t>
            </w:r>
            <w:r w:rsidR="001A605A">
              <w:t>prévisionnelle</w:t>
            </w:r>
          </w:p>
        </w:tc>
      </w:tr>
      <w:tr w:rsidR="00B11B24" w:rsidRPr="000703DA" w14:paraId="38DD292E" w14:textId="77777777" w:rsidTr="00A549E4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894B8" w14:textId="77777777" w:rsidR="00B11B24" w:rsidRPr="001506FF" w:rsidRDefault="00B11B24" w:rsidP="00A549E4">
            <w:pPr>
              <w:widowControl w:val="0"/>
            </w:pPr>
            <w:r w:rsidRPr="001506FF">
              <w:t>T0</w:t>
            </w: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E3CF8" w14:textId="71A99800" w:rsidR="00B11B24" w:rsidRPr="001506FF" w:rsidRDefault="00B11B24" w:rsidP="00A549E4">
            <w:r w:rsidRPr="001506FF">
              <w:t xml:space="preserve">Notification du </w:t>
            </w:r>
            <w:r w:rsidR="00857DB0">
              <w:t>marché</w:t>
            </w:r>
            <w:r w:rsidRPr="001506FF">
              <w:t xml:space="preserve"> au titulaire</w:t>
            </w:r>
          </w:p>
        </w:tc>
        <w:tc>
          <w:tcPr>
            <w:tcW w:w="1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5E61C" w14:textId="77777777" w:rsidR="00B11B24" w:rsidRPr="001506FF" w:rsidRDefault="00B11B24" w:rsidP="00A549E4">
            <w:pPr>
              <w:widowControl w:val="0"/>
              <w:spacing w:after="0" w:line="240" w:lineRule="auto"/>
            </w:pP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9AF4B" w14:textId="77777777" w:rsidR="00B11B24" w:rsidRPr="001506FF" w:rsidRDefault="00B11B24" w:rsidP="00A549E4">
            <w:pPr>
              <w:widowControl w:val="0"/>
              <w:spacing w:after="0" w:line="240" w:lineRule="auto"/>
              <w:jc w:val="center"/>
            </w:pPr>
          </w:p>
          <w:p w14:paraId="0CC69209" w14:textId="080DAA60" w:rsidR="00B11B24" w:rsidRPr="001506FF" w:rsidRDefault="002A307A" w:rsidP="00A549E4">
            <w:pPr>
              <w:widowControl w:val="0"/>
              <w:spacing w:after="0" w:line="240" w:lineRule="auto"/>
              <w:jc w:val="center"/>
            </w:pPr>
            <w:r>
              <w:t>Janvier</w:t>
            </w:r>
            <w:r w:rsidR="00B11B24" w:rsidRPr="001506FF">
              <w:t xml:space="preserve"> 202</w:t>
            </w:r>
            <w:r>
              <w:t>5</w:t>
            </w:r>
          </w:p>
        </w:tc>
      </w:tr>
      <w:tr w:rsidR="00B11B24" w:rsidRPr="000703DA" w14:paraId="2EF30CD0" w14:textId="77777777" w:rsidTr="00A549E4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18F3F" w14:textId="77777777" w:rsidR="00B11B24" w:rsidRPr="001506FF" w:rsidRDefault="00B11B24" w:rsidP="00A549E4">
            <w:pPr>
              <w:widowControl w:val="0"/>
              <w:spacing w:after="0" w:line="240" w:lineRule="auto"/>
            </w:pP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12CF1" w14:textId="77777777" w:rsidR="00B11B24" w:rsidRPr="001506FF" w:rsidRDefault="00B11B24" w:rsidP="00A549E4">
            <w:r w:rsidRPr="001506FF">
              <w:t>Livraison des unités d’évaluation (</w:t>
            </w:r>
            <w:r w:rsidRPr="001506FF">
              <w:rPr>
                <w:color w:val="000000" w:themeColor="text1"/>
              </w:rPr>
              <w:t>2 unités</w:t>
            </w:r>
            <w:r w:rsidRPr="001506FF">
              <w:t>) et de la documentation technique de suivi.</w:t>
            </w:r>
          </w:p>
        </w:tc>
        <w:tc>
          <w:tcPr>
            <w:tcW w:w="1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5F737" w14:textId="77777777" w:rsidR="00B11B24" w:rsidRPr="001506FF" w:rsidRDefault="00B11B24" w:rsidP="00A549E4">
            <w:pPr>
              <w:widowControl w:val="0"/>
              <w:spacing w:after="0" w:line="240" w:lineRule="auto"/>
              <w:jc w:val="center"/>
            </w:pPr>
          </w:p>
          <w:p w14:paraId="7EE9AE67" w14:textId="77777777" w:rsidR="00B11B24" w:rsidRPr="001506FF" w:rsidRDefault="00B11B24" w:rsidP="00A549E4">
            <w:pPr>
              <w:widowControl w:val="0"/>
              <w:spacing w:after="0" w:line="240" w:lineRule="auto"/>
              <w:jc w:val="center"/>
            </w:pPr>
          </w:p>
          <w:p w14:paraId="65D492D0" w14:textId="77777777" w:rsidR="00B11B24" w:rsidRPr="001506FF" w:rsidRDefault="00B11B24" w:rsidP="00A549E4">
            <w:pPr>
              <w:widowControl w:val="0"/>
              <w:spacing w:after="0" w:line="240" w:lineRule="auto"/>
              <w:jc w:val="center"/>
            </w:pPr>
            <w:r w:rsidRPr="001506FF">
              <w:t>T0+4</w:t>
            </w: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116E5" w14:textId="77777777" w:rsidR="00B11B24" w:rsidRPr="001506FF" w:rsidRDefault="00B11B24" w:rsidP="00A549E4">
            <w:pPr>
              <w:widowControl w:val="0"/>
              <w:spacing w:after="0" w:line="240" w:lineRule="auto"/>
              <w:jc w:val="center"/>
            </w:pPr>
          </w:p>
          <w:p w14:paraId="55A82728" w14:textId="6206B69B" w:rsidR="00B11B24" w:rsidRPr="001506FF" w:rsidRDefault="002A307A" w:rsidP="00A549E4">
            <w:pPr>
              <w:widowControl w:val="0"/>
              <w:jc w:val="center"/>
            </w:pPr>
            <w:r>
              <w:t>Février</w:t>
            </w:r>
            <w:r w:rsidR="00B11B24" w:rsidRPr="001506FF">
              <w:t xml:space="preserve"> 202</w:t>
            </w:r>
            <w:r>
              <w:t>5</w:t>
            </w:r>
          </w:p>
        </w:tc>
      </w:tr>
      <w:tr w:rsidR="00B11B24" w:rsidRPr="000703DA" w14:paraId="2F7C421D" w14:textId="77777777" w:rsidTr="00A549E4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F54E4" w14:textId="77777777" w:rsidR="00B11B24" w:rsidRPr="001506FF" w:rsidRDefault="00B11B24" w:rsidP="00A549E4">
            <w:pPr>
              <w:widowControl w:val="0"/>
              <w:spacing w:after="0" w:line="240" w:lineRule="auto"/>
            </w:pPr>
          </w:p>
          <w:p w14:paraId="41A873B0" w14:textId="380CF3C2" w:rsidR="00B11B24" w:rsidRPr="001506FF" w:rsidRDefault="00B11B24" w:rsidP="00A549E4">
            <w:pPr>
              <w:widowControl w:val="0"/>
              <w:spacing w:after="0" w:line="240" w:lineRule="auto"/>
            </w:pPr>
            <w:r w:rsidRPr="001506FF">
              <w:t>T</w:t>
            </w:r>
            <w:r w:rsidR="001506FF" w:rsidRPr="001506FF">
              <w:t>1</w:t>
            </w: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AFE00" w14:textId="77777777" w:rsidR="00B11B24" w:rsidRPr="001506FF" w:rsidRDefault="00B11B24" w:rsidP="00A549E4">
            <w:r w:rsidRPr="001506FF">
              <w:t>Autorisation par l'IP2I de poursuivre la livraison sur la base du lot d’évaluation (2 semaines de tests et vérifications)</w:t>
            </w:r>
          </w:p>
        </w:tc>
        <w:tc>
          <w:tcPr>
            <w:tcW w:w="1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F48C1" w14:textId="77777777" w:rsidR="00B11B24" w:rsidRPr="001506FF" w:rsidRDefault="00B11B24" w:rsidP="00A549E4">
            <w:pPr>
              <w:widowControl w:val="0"/>
              <w:spacing w:after="0" w:line="240" w:lineRule="auto"/>
            </w:pPr>
            <w:r w:rsidRPr="001506FF">
              <w:t xml:space="preserve">      </w:t>
            </w:r>
          </w:p>
          <w:p w14:paraId="56B6C63D" w14:textId="77777777" w:rsidR="00B11B24" w:rsidRPr="001506FF" w:rsidRDefault="00B11B24" w:rsidP="00A549E4">
            <w:pPr>
              <w:widowControl w:val="0"/>
              <w:spacing w:after="0" w:line="240" w:lineRule="auto"/>
            </w:pPr>
            <w:r w:rsidRPr="001506FF">
              <w:t xml:space="preserve">      T0+6</w:t>
            </w: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FFFDB" w14:textId="77777777" w:rsidR="00B11B24" w:rsidRPr="001506FF" w:rsidRDefault="00B11B24" w:rsidP="00A549E4">
            <w:pPr>
              <w:widowControl w:val="0"/>
              <w:jc w:val="center"/>
            </w:pPr>
          </w:p>
          <w:p w14:paraId="786756DD" w14:textId="29C80710" w:rsidR="00B11B24" w:rsidRPr="001506FF" w:rsidRDefault="002A307A" w:rsidP="00A549E4">
            <w:pPr>
              <w:widowControl w:val="0"/>
              <w:jc w:val="center"/>
            </w:pPr>
            <w:r>
              <w:t>Mars</w:t>
            </w:r>
            <w:r w:rsidR="00B11B24" w:rsidRPr="001506FF">
              <w:t xml:space="preserve"> 202</w:t>
            </w:r>
            <w:r>
              <w:t>5</w:t>
            </w:r>
          </w:p>
        </w:tc>
      </w:tr>
      <w:tr w:rsidR="00B11B24" w:rsidRPr="000703DA" w14:paraId="28B551E2" w14:textId="77777777" w:rsidTr="00A549E4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126AE" w14:textId="77777777" w:rsidR="00B11B24" w:rsidRPr="000703DA" w:rsidRDefault="00B11B24" w:rsidP="00A549E4">
            <w:pPr>
              <w:widowControl w:val="0"/>
              <w:spacing w:after="0" w:line="240" w:lineRule="auto"/>
              <w:rPr>
                <w:highlight w:val="cyan"/>
              </w:rPr>
            </w:pP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5BA60" w14:textId="77777777" w:rsidR="00B11B24" w:rsidRPr="001506FF" w:rsidRDefault="00B11B24" w:rsidP="00A549E4">
            <w:r w:rsidRPr="001506FF">
              <w:t xml:space="preserve">Livraison </w:t>
            </w:r>
            <w:r w:rsidRPr="001506FF">
              <w:rPr>
                <w:rStyle w:val="rynqvb"/>
              </w:rPr>
              <w:t xml:space="preserve">du premier lot </w:t>
            </w:r>
            <w:r w:rsidRPr="001506FF">
              <w:t xml:space="preserve">de la série principale </w:t>
            </w:r>
            <w:r w:rsidRPr="001506FF">
              <w:rPr>
                <w:color w:val="000000" w:themeColor="text1"/>
              </w:rPr>
              <w:t xml:space="preserve">(28 unités) </w:t>
            </w:r>
          </w:p>
        </w:tc>
        <w:tc>
          <w:tcPr>
            <w:tcW w:w="1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BD48E" w14:textId="77777777" w:rsidR="00B11B24" w:rsidRPr="001506FF" w:rsidRDefault="00B11B24" w:rsidP="00A549E4">
            <w:pPr>
              <w:widowControl w:val="0"/>
              <w:spacing w:after="0" w:line="240" w:lineRule="auto"/>
              <w:jc w:val="center"/>
            </w:pPr>
          </w:p>
          <w:p w14:paraId="5A564A10" w14:textId="1071E1A9" w:rsidR="00B11B24" w:rsidRPr="001506FF" w:rsidRDefault="00B11B24" w:rsidP="00A549E4">
            <w:pPr>
              <w:widowControl w:val="0"/>
              <w:spacing w:after="0" w:line="240" w:lineRule="auto"/>
              <w:jc w:val="center"/>
            </w:pPr>
            <w:r w:rsidRPr="001506FF">
              <w:t>T</w:t>
            </w:r>
            <w:r w:rsidR="001506FF" w:rsidRPr="001506FF">
              <w:t>1</w:t>
            </w:r>
            <w:r w:rsidRPr="001506FF">
              <w:t>+4</w:t>
            </w: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43908" w14:textId="77777777" w:rsidR="00B11B24" w:rsidRPr="001506FF" w:rsidRDefault="00B11B24" w:rsidP="00A549E4">
            <w:pPr>
              <w:widowControl w:val="0"/>
              <w:spacing w:after="0" w:line="240" w:lineRule="auto"/>
              <w:jc w:val="center"/>
            </w:pPr>
          </w:p>
          <w:p w14:paraId="0EECACFE" w14:textId="3AA8260C" w:rsidR="00B11B24" w:rsidRPr="001506FF" w:rsidRDefault="002A307A" w:rsidP="00A549E4">
            <w:pPr>
              <w:widowControl w:val="0"/>
              <w:spacing w:after="0" w:line="240" w:lineRule="auto"/>
              <w:jc w:val="center"/>
            </w:pPr>
            <w:r>
              <w:t>Avril</w:t>
            </w:r>
            <w:r w:rsidR="00B11B24" w:rsidRPr="001506FF">
              <w:t xml:space="preserve"> 202</w:t>
            </w:r>
            <w:r>
              <w:t>5</w:t>
            </w:r>
          </w:p>
        </w:tc>
      </w:tr>
      <w:tr w:rsidR="00B11B24" w:rsidRPr="000703DA" w14:paraId="2D24391D" w14:textId="77777777" w:rsidTr="00A549E4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31B20" w14:textId="77777777" w:rsidR="00B11B24" w:rsidRPr="000703DA" w:rsidRDefault="00B11B24" w:rsidP="00A549E4">
            <w:pPr>
              <w:widowControl w:val="0"/>
              <w:spacing w:after="0" w:line="240" w:lineRule="auto"/>
              <w:rPr>
                <w:highlight w:val="cyan"/>
              </w:rPr>
            </w:pP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4742A" w14:textId="77777777" w:rsidR="00B11B24" w:rsidRPr="001506FF" w:rsidRDefault="00B11B24" w:rsidP="00A549E4">
            <w:r w:rsidRPr="001506FF">
              <w:rPr>
                <w:rStyle w:val="rynqvb"/>
              </w:rPr>
              <w:t>Livraison des lots successifs (lot n, n=</w:t>
            </w:r>
            <w:proofErr w:type="gramStart"/>
            <w:r w:rsidRPr="001506FF">
              <w:rPr>
                <w:rStyle w:val="rynqvb"/>
              </w:rPr>
              <w:t>2,…</w:t>
            </w:r>
            <w:proofErr w:type="gramEnd"/>
            <w:r w:rsidRPr="001506FF">
              <w:rPr>
                <w:rStyle w:val="rynqvb"/>
              </w:rPr>
              <w:t xml:space="preserve">,12) </w:t>
            </w:r>
            <w:r w:rsidRPr="001506FF">
              <w:t>de la série principale</w:t>
            </w:r>
          </w:p>
        </w:tc>
        <w:tc>
          <w:tcPr>
            <w:tcW w:w="13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94B6B" w14:textId="7BE70B76" w:rsidR="00B11B24" w:rsidRPr="001506FF" w:rsidRDefault="00B11B24" w:rsidP="00A549E4">
            <w:pPr>
              <w:widowControl w:val="0"/>
              <w:spacing w:after="0" w:line="240" w:lineRule="auto"/>
              <w:jc w:val="center"/>
            </w:pPr>
            <w:r w:rsidRPr="001506FF">
              <w:t>T</w:t>
            </w:r>
            <w:r w:rsidR="001506FF" w:rsidRPr="001506FF">
              <w:t>1</w:t>
            </w:r>
            <w:r w:rsidRPr="001506FF">
              <w:t>+n*4</w:t>
            </w: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F31BE" w14:textId="01BE327E" w:rsidR="00B11B24" w:rsidRPr="001506FF" w:rsidRDefault="002A307A" w:rsidP="00A549E4">
            <w:pPr>
              <w:widowControl w:val="0"/>
              <w:spacing w:after="0" w:line="240" w:lineRule="auto"/>
              <w:jc w:val="center"/>
            </w:pPr>
            <w:r>
              <w:t>Mai</w:t>
            </w:r>
            <w:r w:rsidR="00B11B24" w:rsidRPr="001506FF">
              <w:t xml:space="preserve"> 202</w:t>
            </w:r>
            <w:r>
              <w:t>5</w:t>
            </w:r>
            <w:r w:rsidR="001506FF">
              <w:t xml:space="preserve"> </w:t>
            </w:r>
            <w:r w:rsidR="00B11B24" w:rsidRPr="001506FF">
              <w:t>-</w:t>
            </w:r>
            <w:r w:rsidR="001506FF">
              <w:br/>
            </w:r>
            <w:r>
              <w:t>Mai</w:t>
            </w:r>
            <w:r w:rsidR="00B11B24" w:rsidRPr="001506FF">
              <w:t xml:space="preserve"> 202</w:t>
            </w:r>
            <w:r>
              <w:t>6</w:t>
            </w:r>
          </w:p>
        </w:tc>
      </w:tr>
    </w:tbl>
    <w:p w14:paraId="61AFE75F" w14:textId="69DCC47B" w:rsidR="00B11B24" w:rsidRDefault="00B11B24" w:rsidP="00B11B24">
      <w:pPr>
        <w:rPr>
          <w:highlight w:val="cyan"/>
        </w:rPr>
      </w:pPr>
    </w:p>
    <w:p w14:paraId="76C9B234" w14:textId="77777777" w:rsidR="0082104B" w:rsidRPr="00E34974" w:rsidRDefault="0082104B" w:rsidP="0082104B">
      <w:pPr>
        <w:spacing w:after="0" w:line="240" w:lineRule="auto"/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</w:pP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 xml:space="preserve">Réponse du </w:t>
      </w:r>
      <w:r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soumissionnaire</w:t>
      </w: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  <w:t> :</w:t>
      </w:r>
    </w:p>
    <w:p w14:paraId="556AA1B0" w14:textId="77777777" w:rsidR="0082104B" w:rsidRPr="0082104B" w:rsidRDefault="0082104B" w:rsidP="00B11B24">
      <w:pPr>
        <w:rPr>
          <w:highlight w:val="cyan"/>
        </w:rPr>
      </w:pPr>
    </w:p>
    <w:p w14:paraId="707B9F0C" w14:textId="242E2A09" w:rsidR="00E34974" w:rsidRDefault="00E3497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A0F62C2" w14:textId="6F0740B0" w:rsidR="00E34974" w:rsidRDefault="00E3497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449991A" w14:textId="4D4FDFAF" w:rsidR="00E34974" w:rsidRDefault="00E3497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C4516CB" w14:textId="75301408" w:rsidR="00E34974" w:rsidRDefault="00E3497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07D6653" w14:textId="0E9013FE" w:rsidR="00E34974" w:rsidRDefault="00E3497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85B9E16" w14:textId="06F6C60F" w:rsidR="00E34974" w:rsidRDefault="00E3497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418D60F" w14:textId="5B00CD99" w:rsidR="00D02BC4" w:rsidRDefault="00D02BC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8DC5E04" w14:textId="0AB92394" w:rsidR="00D02BC4" w:rsidRDefault="00D02BC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B968DD3" w14:textId="77E86D8E" w:rsidR="00D02BC4" w:rsidRDefault="00D02BC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ABFDB8B" w14:textId="77ED2B49" w:rsidR="00D02BC4" w:rsidRDefault="00D02BC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0A28E99" w14:textId="124F407C" w:rsidR="00D02BC4" w:rsidRDefault="00D02BC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56981DC" w14:textId="1F663C2D" w:rsidR="00D02BC4" w:rsidRDefault="00D02BC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01F3B94" w14:textId="259B527D" w:rsidR="00D02BC4" w:rsidRDefault="00D02BC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2B83F67" w14:textId="12016910" w:rsidR="00D02BC4" w:rsidRDefault="00D02BC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B28567D" w14:textId="77777777" w:rsidR="00D02BC4" w:rsidRDefault="00D02BC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6E73D06" w14:textId="21973DE3" w:rsidR="00D02BC4" w:rsidRDefault="00D02BC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22DF2C6" w14:textId="170FFC61" w:rsidR="00D02BC4" w:rsidRDefault="00D02BC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112D970" w14:textId="7A240FE0" w:rsidR="00D02BC4" w:rsidRDefault="00D02BC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939B6ED" w14:textId="50739F2C" w:rsidR="00D02BC4" w:rsidRDefault="00D02BC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107EBCB" w14:textId="37946BAD" w:rsidR="00D02BC4" w:rsidRDefault="00D02BC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3F39A12" w14:textId="77777777" w:rsidR="00D02BC4" w:rsidRPr="0079422B" w:rsidRDefault="00D02BC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A3AE0F2" w14:textId="033BB285" w:rsidR="00E041B0" w:rsidRPr="0079422B" w:rsidRDefault="00C231BE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  <w:r w:rsidRPr="0079422B">
        <w:rPr>
          <w:rFonts w:eastAsia="Times New Roman" w:cstheme="minorHAnsi"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5A9712" wp14:editId="4112505E">
                <wp:simplePos x="0" y="0"/>
                <wp:positionH relativeFrom="page">
                  <wp:align>center</wp:align>
                </wp:positionH>
                <wp:positionV relativeFrom="paragraph">
                  <wp:posOffset>53686</wp:posOffset>
                </wp:positionV>
                <wp:extent cx="1304925" cy="0"/>
                <wp:effectExtent l="0" t="0" r="28575" b="1905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652158C0" id="Connecteur droit 7" o:spid="_x0000_s1026" style="position:absolute;z-index:251667456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from="0,4.25pt" to="102.7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JABzQEAAAEEAAAOAAAAZHJzL2Uyb0RvYy54bWysU02P0zAQvSPxHyzfadLysRA13UNXywVB&#10;xcIP8Drj1pLtscbepv33jN02XQESAnFxMva8N/Oex8vbg3diD5Qshl7OZ60UEDQONmx7+f3b/av3&#10;UqSswqAcBujlEZK8Xb18sRxjBwvcoRuABJOE1I2xl7ucY9c0Se/AqzTDCIEPDZJXmUPaNgOpkdm9&#10;axZt+64ZkYZIqCEl3r07HcpV5TcGdP5iTIIsXC+5t1xXqutjWZvVUnVbUnFn9bkN9Q9deGUDF52o&#10;7lRW4onsL1TeasKEJs80+gaNsRqqBlYzb39S87BTEaoWNifFyab0/2j15/2GhB16eSNFUJ6vaI0h&#10;sG/wRGIgtFncFJfGmDpOXocNnaMUN1QkHwz58mUx4lCdPU7OwiELzZvz1+2bD4u3UujLWXMFRkr5&#10;I6AX5aeXzoYiWnVq/yllLsapl5Sy7UJZEzo73FvnalDGBdaOxF7xRefDvLTMuGdZHBVkU4ScWq9/&#10;+ejgxPoVDBtRmq3V6wheOZXWEPKF1wXOLjDDHUzA9s/Ac36BQh3PvwFPiFoZQ57A3gak31W/WmFO&#10;+RcHTrqLBY84HOulVmt4zqpz5zdRBvl5XOHXl7v6AQAA//8DAFBLAwQUAAYACAAAACEA7hCuX9sA&#10;AAAEAQAADwAAAGRycy9kb3ducmV2LnhtbEyPwWrDMBBE74X+g9hCLyWRk+IQXMshGHLpodA4hBwV&#10;a2OZWitjKbHz99320t5mmGXmbb6ZXCduOITWk4LFPAGBVHvTUqPgUO1maxAhajK684QK7hhgUzw+&#10;5DozfqRPvO1jI7iEQqYV2Bj7TMpQW3Q6zH2PxNnFD05HtkMjzaBHLnedXCbJSjrdEi9Y3WNpsf7a&#10;X52CU/PyujtWVI1l/Lis7HQ/vqelUs9P0/YNRMQp/h3DDz6jQ8FMZ38lE0SngB+JCtYpCA6XScri&#10;/Otlkcv/8MU3AAAA//8DAFBLAQItABQABgAIAAAAIQC2gziS/gAAAOEBAAATAAAAAAAAAAAAAAAA&#10;AAAAAABbQ29udGVudF9UeXBlc10ueG1sUEsBAi0AFAAGAAgAAAAhADj9If/WAAAAlAEAAAsAAAAA&#10;AAAAAAAAAAAALwEAAF9yZWxzLy5yZWxzUEsBAi0AFAAGAAgAAAAhAFmgkAHNAQAAAQQAAA4AAAAA&#10;AAAAAAAAAAAALgIAAGRycy9lMm9Eb2MueG1sUEsBAi0AFAAGAAgAAAAhAO4Qrl/bAAAABAEAAA8A&#10;AAAAAAAAAAAAAAAAJwQAAGRycy9kb3ducmV2LnhtbFBLBQYAAAAABAAEAPMAAAAv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0B3BA625" w14:textId="40FAC82B" w:rsidR="00E041B0" w:rsidRPr="0079422B" w:rsidRDefault="002B051E" w:rsidP="00E34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t>MOYENS MIS EN ŒUVRE POUR LIMITER L’EMPREINTE ECOLOGI</w:t>
      </w:r>
      <w:r w:rsidR="00FE2BAA">
        <w:rPr>
          <w:rFonts w:eastAsia="Times New Roman" w:cstheme="minorHAnsi"/>
          <w:b/>
          <w:bCs/>
          <w:sz w:val="28"/>
          <w:szCs w:val="28"/>
          <w:lang w:eastAsia="zh-CN"/>
        </w:rPr>
        <w:t xml:space="preserve">QUE </w:t>
      </w:r>
      <w:r w:rsidR="00A80BC5">
        <w:rPr>
          <w:rFonts w:eastAsia="Times New Roman" w:cstheme="minorHAnsi"/>
          <w:b/>
          <w:bCs/>
          <w:sz w:val="28"/>
          <w:szCs w:val="28"/>
          <w:lang w:eastAsia="zh-CN"/>
        </w:rPr>
        <w:t>DANS L’EXECUTION DU MARCHE</w:t>
      </w:r>
      <w:r w:rsidR="00C231BE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- 10</w:t>
      </w:r>
      <w:r w:rsidR="002673FC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</w:t>
      </w:r>
      <w:r w:rsidR="00E041B0" w:rsidRPr="0079422B">
        <w:rPr>
          <w:rFonts w:eastAsia="Times New Roman" w:cstheme="minorHAnsi"/>
          <w:b/>
          <w:bCs/>
          <w:sz w:val="28"/>
          <w:szCs w:val="28"/>
          <w:lang w:eastAsia="zh-CN"/>
        </w:rPr>
        <w:t>%</w:t>
      </w:r>
    </w:p>
    <w:p w14:paraId="2FDAEC62" w14:textId="3C40CF2F" w:rsidR="00E041B0" w:rsidRPr="002673FC" w:rsidRDefault="00E041B0" w:rsidP="002673FC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879FFCD" w14:textId="08B641CD" w:rsidR="00E041B0" w:rsidRPr="0079422B" w:rsidRDefault="00E041B0" w:rsidP="00E041B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5306FA69" w14:textId="77777777" w:rsidR="00E041B0" w:rsidRPr="0079422B" w:rsidRDefault="00E041B0" w:rsidP="00E041B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11C4C7B0" w14:textId="654EEBB2" w:rsidR="00E041B0" w:rsidRPr="00E34974" w:rsidRDefault="00E041B0" w:rsidP="00E041B0">
      <w:pPr>
        <w:spacing w:after="0" w:line="240" w:lineRule="auto"/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</w:pP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 xml:space="preserve">Réponse du </w:t>
      </w:r>
      <w:r w:rsidR="00583F7F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soumissionnaire</w:t>
      </w: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  <w:t> :</w:t>
      </w:r>
    </w:p>
    <w:p w14:paraId="134C5A7C" w14:textId="16A99DF8" w:rsidR="00E041B0" w:rsidRPr="0079422B" w:rsidRDefault="00E041B0" w:rsidP="00E041B0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41DE5F9" w14:textId="081851EB" w:rsidR="00E041B0" w:rsidRPr="0079422B" w:rsidRDefault="00E041B0" w:rsidP="00E041B0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80B5826" w14:textId="57C4BFE0" w:rsidR="00E041B0" w:rsidRPr="0079422B" w:rsidRDefault="00E041B0" w:rsidP="00E041B0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201CD04" w14:textId="3D8D3139" w:rsidR="00E041B0" w:rsidRPr="0079422B" w:rsidRDefault="00E041B0" w:rsidP="00E041B0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CA63AD6" w14:textId="7E24E523" w:rsidR="00E041B0" w:rsidRPr="0079422B" w:rsidRDefault="00E041B0" w:rsidP="00E041B0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87766D9" w14:textId="6B879B91" w:rsidR="00E041B0" w:rsidRPr="0079422B" w:rsidRDefault="00E041B0" w:rsidP="00E041B0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90A28C5" w14:textId="17B7BDCD" w:rsidR="00C231BE" w:rsidRDefault="00C231BE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474AFC69" w14:textId="640FB389" w:rsidR="00C231BE" w:rsidRDefault="00C231BE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49677618" w14:textId="27FB4676" w:rsidR="00C231BE" w:rsidRDefault="00C231BE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6DCAD3B6" w14:textId="6DCE4500" w:rsidR="00C231BE" w:rsidRDefault="00C231BE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1D3A09F9" w14:textId="2A5D9CF6" w:rsidR="00C231BE" w:rsidRDefault="00C231BE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645B4947" w14:textId="12850D87" w:rsidR="00C231BE" w:rsidRDefault="00C231BE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1564C15F" w14:textId="50D65C44" w:rsidR="00C231BE" w:rsidRDefault="00C231BE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4A9E87A0" w14:textId="02A8F1D2" w:rsidR="00C231BE" w:rsidRDefault="00C231BE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2651B253" w14:textId="06F1FA32" w:rsidR="00C231BE" w:rsidRDefault="00C231BE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0C17FF99" w14:textId="6B2FAEB8" w:rsidR="00C231BE" w:rsidRDefault="00C231BE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5A94AD50" w14:textId="77777777" w:rsidR="0061670F" w:rsidRDefault="0061670F" w:rsidP="006167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DEDED" w:themeFill="accent3" w:themeFillTint="33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t>INFORMATIONS COMPLEMENTAIRES</w:t>
      </w:r>
    </w:p>
    <w:p w14:paraId="14C9B90C" w14:textId="77777777" w:rsidR="0061670F" w:rsidRDefault="0061670F" w:rsidP="0061670F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315778A6" w14:textId="1A866F3A" w:rsidR="0061670F" w:rsidRPr="0061670F" w:rsidRDefault="0061670F" w:rsidP="0061670F">
      <w:pPr>
        <w:jc w:val="both"/>
      </w:pPr>
      <w:r>
        <w:rPr>
          <w:b/>
        </w:rPr>
        <w:t>Le soumissionnaire doit fournir dans son offre</w:t>
      </w:r>
      <w:r>
        <w:t xml:space="preserve"> </w:t>
      </w:r>
      <w:r>
        <w:rPr>
          <w:b/>
        </w:rPr>
        <w:t>la documentation complète </w:t>
      </w:r>
      <w:r w:rsidRPr="0061670F">
        <w:rPr>
          <w:b/>
        </w:rPr>
        <w:t>des modules MicroTCA Carrier Hub (MCH).</w:t>
      </w:r>
    </w:p>
    <w:p w14:paraId="03702556" w14:textId="77777777" w:rsidR="0061670F" w:rsidRDefault="0061670F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5A0484C8" w14:textId="77777777" w:rsidR="0061670F" w:rsidRDefault="0061670F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54443169" w14:textId="77777777" w:rsidR="0061670F" w:rsidRDefault="0061670F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42C93676" w14:textId="77777777" w:rsidR="0061670F" w:rsidRDefault="0061670F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444E7F2B" w14:textId="77777777" w:rsidR="0061670F" w:rsidRDefault="0061670F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235A058B" w14:textId="77777777" w:rsidR="0061670F" w:rsidRDefault="0061670F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655E3C62" w14:textId="77777777" w:rsidR="0061670F" w:rsidRDefault="0061670F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795B8F19" w14:textId="77777777" w:rsidR="0061670F" w:rsidRDefault="0061670F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7C400BD2" w14:textId="77777777" w:rsidR="0061670F" w:rsidRDefault="0061670F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1BEFB798" w14:textId="77777777" w:rsidR="0061670F" w:rsidRDefault="0061670F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2FCB8491" w14:textId="77777777" w:rsidR="0061670F" w:rsidRDefault="0061670F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5A79F20C" w14:textId="77777777" w:rsidR="0061670F" w:rsidRDefault="0061670F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3F143C6D" w14:textId="77777777" w:rsidR="0061670F" w:rsidRDefault="0061670F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068D1618" w14:textId="77777777" w:rsidR="0061670F" w:rsidRDefault="0061670F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13325301" w14:textId="77777777" w:rsidR="0061670F" w:rsidRDefault="0061670F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7D98CC9E" w14:textId="77777777" w:rsidR="0061670F" w:rsidRDefault="0061670F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0ABE536B" w14:textId="77777777" w:rsidR="0061670F" w:rsidRDefault="0061670F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</w:p>
    <w:p w14:paraId="74F5F70C" w14:textId="69EED716" w:rsidR="00C231BE" w:rsidRPr="001C1FFA" w:rsidRDefault="00C231BE" w:rsidP="001C1FFA">
      <w:pPr>
        <w:spacing w:after="0" w:line="240" w:lineRule="auto"/>
        <w:rPr>
          <w:rFonts w:eastAsia="Times New Roman" w:cstheme="minorHAnsi"/>
          <w:b/>
          <w:bCs/>
          <w:color w:val="0070C0"/>
          <w:sz w:val="24"/>
          <w:szCs w:val="24"/>
          <w:lang w:eastAsia="zh-CN"/>
        </w:rPr>
      </w:pPr>
      <w:r w:rsidRPr="0079422B">
        <w:rPr>
          <w:rFonts w:eastAsia="Times New Roman" w:cstheme="minorHAnsi"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09F1C9" wp14:editId="19410F02">
                <wp:simplePos x="0" y="0"/>
                <wp:positionH relativeFrom="margin">
                  <wp:align>center</wp:align>
                </wp:positionH>
                <wp:positionV relativeFrom="paragraph">
                  <wp:posOffset>424877</wp:posOffset>
                </wp:positionV>
                <wp:extent cx="1304925" cy="0"/>
                <wp:effectExtent l="0" t="0" r="28575" b="1905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3537BDBD" id="Connecteur droit 8" o:spid="_x0000_s1026" style="position:absolute;z-index:25166950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33.45pt" to="102.7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9PmzQEAAAEEAAAOAAAAZHJzL2Uyb0RvYy54bWysU02P2yAQvVfqf0DcGzvZttpacfaQ1fZS&#10;tVE/fgCLhwQJGDSwcfLvO5DEWbWVqlZ7wR6Y92beY1jeHbwTe6BkMfRyPmulgKBxsGHbyx/fH97c&#10;SpGyCoNyGKCXR0jybvX61XKMHSxwh24AEkwSUjfGXu5yjl3TJL0Dr9IMIwQ+NEheZQ5p2wykRmb3&#10;rlm07ftmRBoioYaUePf+dChXld8Y0PmLMQmycL3k3nJdqa6PZW1WS9VtScWd1ec21H904ZUNXHSi&#10;uldZiSeyv1F5qwkTmjzT6Bs0xmqoGljNvP1FzbedilC1sDkpTjall6PVn/cbEnboJV9UUJ6vaI0h&#10;sG/wRGIgtFncFpfGmDpOXocNnaMUN1QkHwz58mUx4lCdPU7OwiELzZvzm/bth8U7KfTlrLkCI6X8&#10;EdCL8tNLZ0MRrTq1/5QyF+PUS0rZdqGsCZ0dHqxzNSjjAmtHYq/4ovNhXlpm3LMsjgqyKUJOrde/&#10;fHRwYv0Kho0ozdbqdQSvnEprCPnC6wJnF5jhDiZg+3fgOb9AoY7nv4AnRK2MIU9gbwPSn6pfrTCn&#10;/IsDJ93FgkccjvVSqzU8Z9W585sog/w8rvDry139BAAA//8DAFBLAwQUAAYACAAAACEA0mFfQtwA&#10;AAAGAQAADwAAAGRycy9kb3ducmV2LnhtbEyPQUvDQBCF74L/YRnBi9iNlQSbZlIk0IsHwUaKx212&#10;mg1mZ0N226T/3hUP9jjvPd77ptjMthdnGn3nGOFpkYAgbpzuuEX4rLePLyB8UKxV75gQLuRhU97e&#10;FCrXbuIPOu9CK2IJ+1whmBCGXErfGLLKL9xAHL2jG60K8RxbqUc1xXLby2WSZNKqjuOCUQNVhprv&#10;3ckifLUPz9t9zfVUhfdjZubL/i2tEO/v5tc1iEBz+A/DL35EhzIyHdyJtRc9QnwkIGTZCkR0l0ma&#10;gjj8CbIs5DV++QMAAP//AwBQSwECLQAUAAYACAAAACEAtoM4kv4AAADhAQAAEwAAAAAAAAAAAAAA&#10;AAAAAAAAW0NvbnRlbnRfVHlwZXNdLnhtbFBLAQItABQABgAIAAAAIQA4/SH/1gAAAJQBAAALAAAA&#10;AAAAAAAAAAAAAC8BAABfcmVscy8ucmVsc1BLAQItABQABgAIAAAAIQD629PmzQEAAAEEAAAOAAAA&#10;AAAAAAAAAAAAAC4CAABkcnMvZTJvRG9jLnhtbFBLAQItABQABgAIAAAAIQDSYV9C3AAAAAYBAAAP&#10;AAAAAAAAAAAAAAAAACcEAABkcnMvZG93bnJldi54bWxQSwUGAAAAAAQABADzAAAAMA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sectPr w:rsidR="00C231BE" w:rsidRPr="001C1FFA" w:rsidSect="00C72BFD">
      <w:footerReference w:type="even" r:id="rId9"/>
      <w:footerReference w:type="default" r:id="rId10"/>
      <w:footerReference w:type="first" r:id="rId11"/>
      <w:pgSz w:w="11906" w:h="16838"/>
      <w:pgMar w:top="719" w:right="1226" w:bottom="765" w:left="900" w:header="720" w:footer="709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625179" w16cex:dateUtc="2024-01-29T15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B77E5" w14:textId="77777777" w:rsidR="00F073D6" w:rsidRDefault="00F073D6">
      <w:pPr>
        <w:spacing w:after="0" w:line="240" w:lineRule="auto"/>
      </w:pPr>
      <w:r>
        <w:separator/>
      </w:r>
    </w:p>
  </w:endnote>
  <w:endnote w:type="continuationSeparator" w:id="0">
    <w:p w14:paraId="7A950723" w14:textId="77777777" w:rsidR="00F073D6" w:rsidRDefault="00F07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EF71C" w14:textId="77777777" w:rsidR="00A6033C" w:rsidRDefault="00612BA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2351978"/>
      <w:docPartObj>
        <w:docPartGallery w:val="Page Numbers (Bottom of Page)"/>
        <w:docPartUnique/>
      </w:docPartObj>
    </w:sdtPr>
    <w:sdtEndPr/>
    <w:sdtContent>
      <w:p w14:paraId="6981094F" w14:textId="7AEBE3D3" w:rsidR="00834C96" w:rsidRDefault="00834C9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E04">
          <w:rPr>
            <w:noProof/>
          </w:rPr>
          <w:t>2</w:t>
        </w:r>
        <w:r>
          <w:fldChar w:fldCharType="end"/>
        </w:r>
      </w:p>
    </w:sdtContent>
  </w:sdt>
  <w:p w14:paraId="63BD5BDC" w14:textId="42086DA4" w:rsidR="00A6033C" w:rsidRPr="00834C96" w:rsidRDefault="00612BAD" w:rsidP="00834C9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FA184" w14:textId="77777777" w:rsidR="00A6033C" w:rsidRDefault="00612B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CBECF" w14:textId="77777777" w:rsidR="00F073D6" w:rsidRDefault="00F073D6">
      <w:pPr>
        <w:spacing w:after="0" w:line="240" w:lineRule="auto"/>
      </w:pPr>
      <w:r>
        <w:separator/>
      </w:r>
    </w:p>
  </w:footnote>
  <w:footnote w:type="continuationSeparator" w:id="0">
    <w:p w14:paraId="76578A94" w14:textId="77777777" w:rsidR="00F073D6" w:rsidRDefault="00F07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06117"/>
    <w:multiLevelType w:val="hybridMultilevel"/>
    <w:tmpl w:val="DE3644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F0BC6"/>
    <w:multiLevelType w:val="hybridMultilevel"/>
    <w:tmpl w:val="359E80CC"/>
    <w:lvl w:ilvl="0" w:tplc="3CECADB6">
      <w:start w:val="2"/>
      <w:numFmt w:val="bullet"/>
      <w:lvlText w:val="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930D77"/>
    <w:multiLevelType w:val="hybridMultilevel"/>
    <w:tmpl w:val="1F347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50A43"/>
    <w:multiLevelType w:val="hybridMultilevel"/>
    <w:tmpl w:val="78AA7344"/>
    <w:lvl w:ilvl="0" w:tplc="F50671F6">
      <w:start w:val="2"/>
      <w:numFmt w:val="bullet"/>
      <w:lvlText w:val=""/>
      <w:lvlJc w:val="left"/>
      <w:pPr>
        <w:ind w:left="1068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4C21249"/>
    <w:multiLevelType w:val="hybridMultilevel"/>
    <w:tmpl w:val="253850EA"/>
    <w:lvl w:ilvl="0" w:tplc="3CECADB6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3CECADB6">
      <w:start w:val="2"/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145F7"/>
    <w:multiLevelType w:val="hybridMultilevel"/>
    <w:tmpl w:val="DFB0F33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CECADB6">
      <w:start w:val="2"/>
      <w:numFmt w:val="bullet"/>
      <w:lvlText w:val=""/>
      <w:lvlJc w:val="left"/>
      <w:pPr>
        <w:ind w:left="1788" w:hanging="360"/>
      </w:pPr>
      <w:rPr>
        <w:rFonts w:ascii="Wingdings" w:eastAsia="Times New Roman" w:hAnsi="Wingdings" w:cstheme="minorHAnsi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8342B95"/>
    <w:multiLevelType w:val="hybridMultilevel"/>
    <w:tmpl w:val="D4A8E864"/>
    <w:lvl w:ilvl="0" w:tplc="5CA0CFC8">
      <w:start w:val="2"/>
      <w:numFmt w:val="bullet"/>
      <w:lvlText w:val="-"/>
      <w:lvlJc w:val="left"/>
      <w:pPr>
        <w:ind w:left="1080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0806295"/>
    <w:multiLevelType w:val="hybridMultilevel"/>
    <w:tmpl w:val="794A698C"/>
    <w:lvl w:ilvl="0" w:tplc="3CECADB6">
      <w:start w:val="2"/>
      <w:numFmt w:val="bullet"/>
      <w:lvlText w:val=""/>
      <w:lvlJc w:val="left"/>
      <w:pPr>
        <w:ind w:left="1425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60A26027"/>
    <w:multiLevelType w:val="hybridMultilevel"/>
    <w:tmpl w:val="0D8062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A6748E"/>
    <w:multiLevelType w:val="hybridMultilevel"/>
    <w:tmpl w:val="9D5A1C62"/>
    <w:lvl w:ilvl="0" w:tplc="3CECADB6">
      <w:start w:val="2"/>
      <w:numFmt w:val="bullet"/>
      <w:lvlText w:val=""/>
      <w:lvlJc w:val="left"/>
      <w:pPr>
        <w:ind w:left="1788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9"/>
  </w:num>
  <w:num w:numId="8">
    <w:abstractNumId w:val="6"/>
  </w:num>
  <w:num w:numId="9">
    <w:abstractNumId w:val="2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634"/>
    <w:rsid w:val="00000544"/>
    <w:rsid w:val="00016F5E"/>
    <w:rsid w:val="00047E71"/>
    <w:rsid w:val="000565A4"/>
    <w:rsid w:val="00066383"/>
    <w:rsid w:val="000706E2"/>
    <w:rsid w:val="000970CA"/>
    <w:rsid w:val="000B6036"/>
    <w:rsid w:val="00120324"/>
    <w:rsid w:val="00120A78"/>
    <w:rsid w:val="00137BB8"/>
    <w:rsid w:val="00140C0F"/>
    <w:rsid w:val="001506FF"/>
    <w:rsid w:val="001522F5"/>
    <w:rsid w:val="0015288A"/>
    <w:rsid w:val="0016368E"/>
    <w:rsid w:val="00164AA2"/>
    <w:rsid w:val="001724B5"/>
    <w:rsid w:val="00196FD1"/>
    <w:rsid w:val="001A27CD"/>
    <w:rsid w:val="001A605A"/>
    <w:rsid w:val="001A7966"/>
    <w:rsid w:val="001B584D"/>
    <w:rsid w:val="001C1FFA"/>
    <w:rsid w:val="001C5072"/>
    <w:rsid w:val="001F690E"/>
    <w:rsid w:val="002064F0"/>
    <w:rsid w:val="002114B2"/>
    <w:rsid w:val="00226F52"/>
    <w:rsid w:val="00235A11"/>
    <w:rsid w:val="00242B74"/>
    <w:rsid w:val="002478E1"/>
    <w:rsid w:val="002673FC"/>
    <w:rsid w:val="002677DF"/>
    <w:rsid w:val="0027139C"/>
    <w:rsid w:val="002716D1"/>
    <w:rsid w:val="00290845"/>
    <w:rsid w:val="002A307A"/>
    <w:rsid w:val="002B051E"/>
    <w:rsid w:val="002D6473"/>
    <w:rsid w:val="002E46D5"/>
    <w:rsid w:val="00316E8A"/>
    <w:rsid w:val="00326634"/>
    <w:rsid w:val="00334E6C"/>
    <w:rsid w:val="003547F0"/>
    <w:rsid w:val="00370A2B"/>
    <w:rsid w:val="003773AC"/>
    <w:rsid w:val="003778D2"/>
    <w:rsid w:val="00391170"/>
    <w:rsid w:val="00395F4C"/>
    <w:rsid w:val="003A04AC"/>
    <w:rsid w:val="003A09E8"/>
    <w:rsid w:val="003B6CBD"/>
    <w:rsid w:val="003C5FBF"/>
    <w:rsid w:val="003D6FD8"/>
    <w:rsid w:val="003F0D84"/>
    <w:rsid w:val="003F12F0"/>
    <w:rsid w:val="00422B5F"/>
    <w:rsid w:val="0042618B"/>
    <w:rsid w:val="00431025"/>
    <w:rsid w:val="00452680"/>
    <w:rsid w:val="004619CB"/>
    <w:rsid w:val="00462A42"/>
    <w:rsid w:val="00465597"/>
    <w:rsid w:val="00465617"/>
    <w:rsid w:val="00465C06"/>
    <w:rsid w:val="004C3770"/>
    <w:rsid w:val="004D4E8E"/>
    <w:rsid w:val="00521B4C"/>
    <w:rsid w:val="00523899"/>
    <w:rsid w:val="00555091"/>
    <w:rsid w:val="005835C6"/>
    <w:rsid w:val="00583F7F"/>
    <w:rsid w:val="00585679"/>
    <w:rsid w:val="005A1A7B"/>
    <w:rsid w:val="005C6EBE"/>
    <w:rsid w:val="005E7481"/>
    <w:rsid w:val="00612BAD"/>
    <w:rsid w:val="0061670F"/>
    <w:rsid w:val="00617E04"/>
    <w:rsid w:val="00624B26"/>
    <w:rsid w:val="00650804"/>
    <w:rsid w:val="0067284F"/>
    <w:rsid w:val="00686FAF"/>
    <w:rsid w:val="00696C2F"/>
    <w:rsid w:val="006C76E4"/>
    <w:rsid w:val="006D684F"/>
    <w:rsid w:val="00712985"/>
    <w:rsid w:val="007230C5"/>
    <w:rsid w:val="007403D7"/>
    <w:rsid w:val="007450C1"/>
    <w:rsid w:val="00750ADF"/>
    <w:rsid w:val="007855DD"/>
    <w:rsid w:val="00790C25"/>
    <w:rsid w:val="0079422B"/>
    <w:rsid w:val="007B07B2"/>
    <w:rsid w:val="007F6BF3"/>
    <w:rsid w:val="0082104B"/>
    <w:rsid w:val="008251BD"/>
    <w:rsid w:val="00834C96"/>
    <w:rsid w:val="00842D0A"/>
    <w:rsid w:val="00853714"/>
    <w:rsid w:val="0085640F"/>
    <w:rsid w:val="00857DB0"/>
    <w:rsid w:val="0087042A"/>
    <w:rsid w:val="008713CD"/>
    <w:rsid w:val="00887C1B"/>
    <w:rsid w:val="008B51BA"/>
    <w:rsid w:val="008C5856"/>
    <w:rsid w:val="008D2D9D"/>
    <w:rsid w:val="008D6A09"/>
    <w:rsid w:val="008E54DE"/>
    <w:rsid w:val="008F09FA"/>
    <w:rsid w:val="00915F55"/>
    <w:rsid w:val="00917BDA"/>
    <w:rsid w:val="00926949"/>
    <w:rsid w:val="00934789"/>
    <w:rsid w:val="00962E03"/>
    <w:rsid w:val="009651D6"/>
    <w:rsid w:val="00973D7F"/>
    <w:rsid w:val="00985915"/>
    <w:rsid w:val="009E1B4B"/>
    <w:rsid w:val="00A00915"/>
    <w:rsid w:val="00A154CF"/>
    <w:rsid w:val="00A25B76"/>
    <w:rsid w:val="00A507ED"/>
    <w:rsid w:val="00A63C0A"/>
    <w:rsid w:val="00A715A7"/>
    <w:rsid w:val="00A80BC5"/>
    <w:rsid w:val="00A80D88"/>
    <w:rsid w:val="00AB255A"/>
    <w:rsid w:val="00AB7F15"/>
    <w:rsid w:val="00AE29D8"/>
    <w:rsid w:val="00AE3FF4"/>
    <w:rsid w:val="00AF4751"/>
    <w:rsid w:val="00B02BC7"/>
    <w:rsid w:val="00B07261"/>
    <w:rsid w:val="00B11B24"/>
    <w:rsid w:val="00B779E6"/>
    <w:rsid w:val="00BF0C12"/>
    <w:rsid w:val="00BF2D2A"/>
    <w:rsid w:val="00C0162D"/>
    <w:rsid w:val="00C231BE"/>
    <w:rsid w:val="00C23C93"/>
    <w:rsid w:val="00C24471"/>
    <w:rsid w:val="00C62932"/>
    <w:rsid w:val="00C673F5"/>
    <w:rsid w:val="00C72BFD"/>
    <w:rsid w:val="00C96A62"/>
    <w:rsid w:val="00CB1435"/>
    <w:rsid w:val="00CB7BB5"/>
    <w:rsid w:val="00CC1EE5"/>
    <w:rsid w:val="00CC6511"/>
    <w:rsid w:val="00CE31DC"/>
    <w:rsid w:val="00D02241"/>
    <w:rsid w:val="00D02BC4"/>
    <w:rsid w:val="00D103AD"/>
    <w:rsid w:val="00D331F7"/>
    <w:rsid w:val="00D41F45"/>
    <w:rsid w:val="00D459F9"/>
    <w:rsid w:val="00D65EC6"/>
    <w:rsid w:val="00D74B25"/>
    <w:rsid w:val="00D838A4"/>
    <w:rsid w:val="00D845CB"/>
    <w:rsid w:val="00DA209A"/>
    <w:rsid w:val="00DA4F18"/>
    <w:rsid w:val="00DB7D92"/>
    <w:rsid w:val="00DD16C3"/>
    <w:rsid w:val="00DF70FE"/>
    <w:rsid w:val="00E041B0"/>
    <w:rsid w:val="00E0674C"/>
    <w:rsid w:val="00E07040"/>
    <w:rsid w:val="00E21A5B"/>
    <w:rsid w:val="00E34974"/>
    <w:rsid w:val="00E657C3"/>
    <w:rsid w:val="00E76988"/>
    <w:rsid w:val="00E94D03"/>
    <w:rsid w:val="00E96408"/>
    <w:rsid w:val="00EB0C5D"/>
    <w:rsid w:val="00EC0B8A"/>
    <w:rsid w:val="00EC2B14"/>
    <w:rsid w:val="00EC30EE"/>
    <w:rsid w:val="00EC7B09"/>
    <w:rsid w:val="00EC7C36"/>
    <w:rsid w:val="00EE3201"/>
    <w:rsid w:val="00F02DCE"/>
    <w:rsid w:val="00F0569B"/>
    <w:rsid w:val="00F073D6"/>
    <w:rsid w:val="00F25F81"/>
    <w:rsid w:val="00F36F65"/>
    <w:rsid w:val="00F37E60"/>
    <w:rsid w:val="00F41D26"/>
    <w:rsid w:val="00F53A8E"/>
    <w:rsid w:val="00F60745"/>
    <w:rsid w:val="00F62C98"/>
    <w:rsid w:val="00F6567D"/>
    <w:rsid w:val="00F65B6E"/>
    <w:rsid w:val="00FA5450"/>
    <w:rsid w:val="00FA5C89"/>
    <w:rsid w:val="00FC75C7"/>
    <w:rsid w:val="00FD7D28"/>
    <w:rsid w:val="00FE2BAA"/>
    <w:rsid w:val="00FE32E1"/>
    <w:rsid w:val="00FE69A8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76713"/>
  <w15:docId w15:val="{DFF4C1AF-2285-4692-99C2-925EC3D0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41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326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6634"/>
  </w:style>
  <w:style w:type="paragraph" w:styleId="Corpsdetexte">
    <w:name w:val="Body Text"/>
    <w:basedOn w:val="Normal"/>
    <w:link w:val="CorpsdetexteCar"/>
    <w:rsid w:val="006D68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D68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E3F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3FF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3FF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3FF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3FF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3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3FF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FA5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5C89"/>
  </w:style>
  <w:style w:type="paragraph" w:styleId="Normalcentr">
    <w:name w:val="Block Text"/>
    <w:basedOn w:val="Normal"/>
    <w:semiHidden/>
    <w:unhideWhenUsed/>
    <w:rsid w:val="00523899"/>
    <w:pPr>
      <w:pBdr>
        <w:top w:val="double" w:sz="4" w:space="1" w:color="auto"/>
        <w:left w:val="double" w:sz="4" w:space="31" w:color="auto"/>
        <w:bottom w:val="double" w:sz="4" w:space="1" w:color="auto"/>
        <w:right w:val="double" w:sz="4" w:space="31" w:color="auto"/>
      </w:pBdr>
      <w:spacing w:after="0" w:line="240" w:lineRule="auto"/>
      <w:ind w:left="993" w:right="1415"/>
      <w:jc w:val="center"/>
    </w:pPr>
    <w:rPr>
      <w:rFonts w:ascii="New York" w:eastAsia="Times" w:hAnsi="New York" w:cs="New York"/>
      <w:b/>
      <w:bCs/>
      <w:color w:val="FF0000"/>
      <w:sz w:val="24"/>
      <w:szCs w:val="24"/>
      <w:lang w:eastAsia="fr-FR"/>
    </w:rPr>
  </w:style>
  <w:style w:type="paragraph" w:styleId="Sansinterligne">
    <w:name w:val="No Spacing"/>
    <w:uiPriority w:val="1"/>
    <w:qFormat/>
    <w:rsid w:val="00CE31DC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F36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1"/>
    <w:qFormat/>
    <w:rsid w:val="00E0674C"/>
    <w:pPr>
      <w:ind w:left="720"/>
      <w:contextualSpacing/>
    </w:pPr>
  </w:style>
  <w:style w:type="character" w:customStyle="1" w:styleId="rynqvb">
    <w:name w:val="rynqvb"/>
    <w:basedOn w:val="Policepardfaut"/>
    <w:rsid w:val="00B11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4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74E64-B367-49D3-BCC9-D97C3DE15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567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Mimoun</dc:creator>
  <cp:keywords/>
  <dc:description/>
  <cp:lastModifiedBy>in lauriane</cp:lastModifiedBy>
  <cp:revision>21</cp:revision>
  <dcterms:created xsi:type="dcterms:W3CDTF">2024-01-09T16:29:00Z</dcterms:created>
  <dcterms:modified xsi:type="dcterms:W3CDTF">2024-12-04T14:56:00Z</dcterms:modified>
</cp:coreProperties>
</file>