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6.jpeg" ContentType="image/jpeg"/>
  <Override PartName="/word/media/image5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8734425</wp:posOffset>
            </wp:positionH>
            <wp:positionV relativeFrom="paragraph">
              <wp:posOffset>-32385</wp:posOffset>
            </wp:positionV>
            <wp:extent cx="1007745" cy="100774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Open Sans" w:ascii="Open Sans" w:hAnsi="Open Sans"/>
          <w:b/>
          <w:sz w:val="28"/>
          <w:szCs w:val="28"/>
        </w:rPr>
        <w:t xml:space="preserve">Annexe 1 </w:t>
      </w:r>
    </w:p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rPr/>
        <w:t>Consultation n° 2023SGAMI57045</w:t>
      </w:r>
    </w:p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cs="Open Sans" w:ascii="Open Sans" w:hAnsi="Open Sans"/>
          <w:b/>
          <w:sz w:val="28"/>
          <w:szCs w:val="2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40005</wp:posOffset>
            </wp:positionH>
            <wp:positionV relativeFrom="paragraph">
              <wp:posOffset>-798195</wp:posOffset>
            </wp:positionV>
            <wp:extent cx="1007745" cy="100774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Open Sans" w:ascii="Liberation Sans" w:hAnsi="Liberation Sans"/>
          <w:b/>
          <w:sz w:val="28"/>
          <w:szCs w:val="28"/>
        </w:rPr>
        <w:t>SOGED</w:t>
      </w:r>
    </w:p>
    <w:p>
      <w:pPr>
        <w:pStyle w:val="Normal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cs="Open Sans" w:ascii="Liberation Sans" w:hAnsi="Liberation Sans"/>
          <w:b/>
          <w:sz w:val="28"/>
          <w:szCs w:val="28"/>
        </w:rPr>
        <w:t>Schéma d’organisation et de gestion des déchets</w:t>
      </w:r>
    </w:p>
    <w:p>
      <w:pPr>
        <w:pStyle w:val="NormalFondTexteAdeme"/>
        <w:shd w:val="clear" w:fill="FFFFFF"/>
        <w:rPr>
          <w:rFonts w:eastAsia="Calibri" w:eastAsiaTheme="minorHAnsi"/>
          <w:b/>
          <w:i/>
          <w:i/>
          <w:sz w:val="22"/>
          <w:szCs w:val="22"/>
          <w:lang w:eastAsia="en-US"/>
        </w:rPr>
      </w:pPr>
      <w:r>
        <w:rPr>
          <w:rFonts w:eastAsia="Calibri" w:eastAsiaTheme="minorHAnsi"/>
          <w:b/>
          <w:i/>
          <w:sz w:val="22"/>
          <w:szCs w:val="22"/>
          <w:lang w:eastAsia="en-US"/>
        </w:rPr>
      </w:r>
    </w:p>
    <w:p>
      <w:pPr>
        <w:pStyle w:val="NormalFondTexteAdeme"/>
        <w:shd w:val="clear" w:fill="FFFFFF"/>
        <w:rPr>
          <w:rFonts w:eastAsia="Calibri" w:eastAsiaTheme="minorHAnsi"/>
          <w:b/>
          <w:i/>
          <w:i/>
          <w:sz w:val="22"/>
          <w:szCs w:val="22"/>
          <w:lang w:eastAsia="en-US"/>
        </w:rPr>
      </w:pPr>
      <w:r>
        <w:rPr>
          <w:rFonts w:eastAsia="Calibri" w:eastAsiaTheme="minorHAnsi"/>
          <w:b/>
          <w:i/>
          <w:sz w:val="22"/>
          <w:szCs w:val="22"/>
          <w:lang w:eastAsia="en-U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Objectifs :</w:t>
      </w:r>
    </w:p>
    <w:p>
      <w:pPr>
        <w:pStyle w:val="NormalFondTexteAdeme"/>
        <w:widowControl/>
        <w:numPr>
          <w:ilvl w:val="0"/>
          <w:numId w:val="1"/>
        </w:numPr>
        <w:shd w:val="clear" w:fill="FFFFFF"/>
        <w:bidi w:val="0"/>
        <w:spacing w:lineRule="auto" w:line="240" w:before="0" w:after="0"/>
        <w:jc w:val="left"/>
        <w:rPr>
          <w:rFonts w:ascii="Open Sans" w:hAnsi="Open Sans" w:eastAsia="Times New Roman" w:cs="Open Sans"/>
          <w:color w:val="auto"/>
          <w:kern w:val="0"/>
          <w:sz w:val="24"/>
          <w:szCs w:val="24"/>
          <w:lang w:val="fr-FR" w:eastAsia="fr-FR" w:bidi="ar-SA"/>
        </w:rPr>
      </w:pPr>
      <w:r>
        <w:rPr>
          <w:rFonts w:ascii="Liberation Sans" w:hAnsi="Liberation Sans"/>
          <w:i w:val="false"/>
          <w:iCs w:val="false"/>
          <w:u w:val="none"/>
        </w:rPr>
        <w:t xml:space="preserve">Décrire </w:t>
      </w:r>
      <w:r>
        <w:rPr>
          <w:rFonts w:ascii="Liberation Sans" w:hAnsi="Liberation Sans"/>
          <w:b/>
          <w:i w:val="false"/>
          <w:iCs w:val="false"/>
          <w:u w:val="none"/>
        </w:rPr>
        <w:t>l’organisation technique</w:t>
      </w:r>
      <w:r>
        <w:rPr>
          <w:rFonts w:ascii="Liberation Sans" w:hAnsi="Liberation Sans"/>
          <w:i w:val="false"/>
          <w:iCs w:val="false"/>
          <w:u w:val="none"/>
        </w:rPr>
        <w:t xml:space="preserve"> de la gestion des déchets du chantier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Anticiper</w:t>
      </w:r>
      <w:r>
        <w:rPr>
          <w:rFonts w:ascii="Liberation Sans" w:hAnsi="Liberation Sans"/>
          <w:i w:val="false"/>
          <w:iCs w:val="false"/>
          <w:u w:val="none"/>
        </w:rPr>
        <w:t xml:space="preserve"> les contraintes de gestion : espaces de stockage, filières de traitement, etc.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Format du document :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Spécifique</w:t>
      </w:r>
      <w:r>
        <w:rPr>
          <w:rFonts w:ascii="Liberation Sans" w:hAnsi="Liberation Sans"/>
          <w:i w:val="false"/>
          <w:iCs w:val="false"/>
          <w:u w:val="none"/>
        </w:rPr>
        <w:t xml:space="preserve"> à un chantier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b/>
          <w:i w:val="false"/>
          <w:iCs w:val="false"/>
          <w:u w:val="none"/>
        </w:rPr>
        <w:t>Évolutif</w:t>
      </w:r>
      <w:r>
        <w:rPr>
          <w:rFonts w:ascii="Liberation Sans" w:hAnsi="Liberation Sans"/>
          <w:i w:val="false"/>
          <w:iCs w:val="false"/>
          <w:u w:val="none"/>
        </w:rPr>
        <w:t xml:space="preserve"> durant le chantier (à mettre à jour, si besoin)</w:t>
      </w:r>
    </w:p>
    <w:p>
      <w:pPr>
        <w:pStyle w:val="NormalFondTexteAdeme"/>
        <w:numPr>
          <w:ilvl w:val="0"/>
          <w:numId w:val="1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>Fonctionnel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À quel moment compléter le SOGED ?</w:t>
      </w:r>
    </w:p>
    <w:p>
      <w:pPr>
        <w:pStyle w:val="NormalFondTexteAdeme"/>
        <w:numPr>
          <w:ilvl w:val="0"/>
          <w:numId w:val="2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>En phase de préparation du chantier</w:t>
      </w:r>
    </w:p>
    <w:p>
      <w:pPr>
        <w:pStyle w:val="NormalFondTexteAdeme"/>
        <w:numPr>
          <w:ilvl w:val="0"/>
          <w:numId w:val="2"/>
        </w:numPr>
        <w:shd w:val="clear" w:fill="FFFFFF"/>
        <w:rPr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  <w:t xml:space="preserve"> </w:t>
      </w:r>
      <w:r>
        <w:rPr>
          <w:rFonts w:ascii="Liberation Sans" w:hAnsi="Liberation Sans"/>
          <w:i w:val="false"/>
          <w:iCs w:val="false"/>
          <w:u w:val="none"/>
        </w:rPr>
        <w:t xml:space="preserve">Il est référencé dans le CCAP et le CCTP 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Qui complète le SOGED ?</w:t>
      </w:r>
    </w:p>
    <w:p>
      <w:pPr>
        <w:pStyle w:val="NormalFondTexteAdeme"/>
        <w:widowControl/>
        <w:numPr>
          <w:ilvl w:val="0"/>
          <w:numId w:val="2"/>
        </w:numPr>
        <w:shd w:val="clear" w:fill="FFFFFF"/>
        <w:suppressAutoHyphens w:val="true"/>
        <w:bidi w:val="0"/>
        <w:spacing w:lineRule="auto" w:line="240" w:before="0" w:after="0"/>
        <w:jc w:val="left"/>
        <w:rPr>
          <w:rFonts w:ascii="Liberation Sans" w:hAnsi="Liberation Sans" w:eastAsia="Calibri" w:cs="" w:cstheme="minorBidi" w:eastAsiaTheme="minorHAnsi"/>
          <w:i w:val="false"/>
          <w:i w:val="false"/>
          <w:iCs w:val="false"/>
          <w:color w:val="auto"/>
          <w:kern w:val="0"/>
          <w:sz w:val="24"/>
          <w:szCs w:val="24"/>
          <w:u w:val="none"/>
          <w:shd w:fill="FFFFFF" w:val="clear"/>
          <w:lang w:val="fr-FR" w:eastAsia="fr-FR" w:bidi="ar-SA"/>
        </w:rPr>
      </w:pPr>
      <w:r>
        <w:rPr>
          <w:rFonts w:eastAsia="Calibri" w:cs="" w:cstheme="minorBidi" w:eastAsiaTheme="minorHAnsi" w:ascii="Liberation Sans" w:hAnsi="Liberation Sans"/>
          <w:i w:val="false"/>
          <w:iCs w:val="false"/>
          <w:color w:val="000000"/>
          <w:kern w:val="0"/>
          <w:sz w:val="24"/>
          <w:szCs w:val="24"/>
          <w:u w:val="none"/>
          <w:shd w:fill="FFFFFF" w:val="clear"/>
          <w:lang w:val="fr-FR" w:eastAsia="fr-FR" w:bidi="ar-SA"/>
        </w:rPr>
        <w:t xml:space="preserve">le </w:t>
      </w:r>
      <w:r>
        <w:rPr>
          <w:rFonts w:eastAsia="Calibri" w:cs="" w:cstheme="minorBidi" w:eastAsiaTheme="minorHAnsi" w:ascii="Liberation Sans" w:hAnsi="Liberation Sans"/>
          <w:b/>
          <w:bCs/>
          <w:i w:val="false"/>
          <w:iCs w:val="false"/>
          <w:color w:val="000000"/>
          <w:kern w:val="0"/>
          <w:sz w:val="24"/>
          <w:szCs w:val="24"/>
          <w:u w:val="none"/>
          <w:shd w:fill="FFFFFF" w:val="clear"/>
          <w:lang w:val="fr-FR" w:eastAsia="fr-FR" w:bidi="ar-SA"/>
        </w:rPr>
        <w:t>responsable environnemental de chaque entreprise</w:t>
      </w:r>
      <w:r>
        <w:rPr>
          <w:rFonts w:eastAsia="Calibri" w:cs="" w:cstheme="minorBidi" w:eastAsiaTheme="minorHAnsi" w:ascii="Liberation Sans" w:hAnsi="Liberation Sans"/>
          <w:i w:val="false"/>
          <w:iCs w:val="false"/>
          <w:color w:val="000000"/>
          <w:kern w:val="0"/>
          <w:sz w:val="24"/>
          <w:szCs w:val="24"/>
          <w:u w:val="none"/>
          <w:shd w:fill="FFFFFF" w:val="clear"/>
          <w:lang w:val="fr-FR" w:eastAsia="fr-FR" w:bidi="ar-SA"/>
        </w:rPr>
        <w:t xml:space="preserve"> établira le SOGED.</w:t>
      </w:r>
    </w:p>
    <w:p>
      <w:pPr>
        <w:pStyle w:val="NormalFondTexteAdeme"/>
        <w:shd w:val="clear" w:fill="FFFFFF"/>
        <w:rPr>
          <w:rFonts w:ascii="Liberation Sans" w:hAnsi="Liberation Sans"/>
          <w:i w:val="false"/>
          <w:i w:val="false"/>
          <w:iCs w:val="false"/>
          <w:u w:val="none"/>
        </w:rPr>
      </w:pPr>
      <w:r>
        <w:rPr>
          <w:rFonts w:ascii="Liberation Sans" w:hAnsi="Liberation Sans"/>
          <w:i w:val="false"/>
          <w:iCs w:val="false"/>
          <w:u w:val="none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ind w:hanging="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widowControl/>
        <w:shd w:val="clear" w:color="auto" w:fill="FFFFFF" w:themeFill="background1"/>
        <w:bidi w:val="0"/>
        <w:spacing w:lineRule="auto" w:line="240" w:before="0" w:after="0"/>
        <w:jc w:val="left"/>
        <w:rPr>
          <w:rFonts w:ascii="Liberation Sans" w:hAnsi="Liberation Sans"/>
        </w:rPr>
      </w:pPr>
      <w:r>
        <w:rPr>
          <w:rFonts w:eastAsia="Times New Roman" w:cs="Open Sans" w:ascii="Liberation Sans" w:hAnsi="Liberation Sans"/>
          <w:color w:val="auto"/>
          <w:kern w:val="0"/>
          <w:sz w:val="24"/>
          <w:szCs w:val="24"/>
          <w:u w:val="none"/>
          <w:lang w:val="fr-FR" w:eastAsia="fr-FR" w:bidi="ar-SA"/>
        </w:rPr>
        <w:t>À noter : le SOGED traite uniquement de la thématique environnementale « déchets ». Il vient en complément de la charte verte « chantier à faible impact environnemental » jointe au dossier de consultation.</w:t>
      </w:r>
      <w:r>
        <w:br w:type="page"/>
      </w:r>
    </w:p>
    <w:p>
      <w:pPr>
        <w:pStyle w:val="NormalFondTexteAdeme"/>
        <w:shd w:val="clear" w:fill="FFFFFF"/>
        <w:spacing w:before="0" w:after="0"/>
        <w:rPr/>
      </w:pPr>
      <w:r>
        <w:rPr/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8837930</wp:posOffset>
            </wp:positionH>
            <wp:positionV relativeFrom="paragraph">
              <wp:posOffset>-262890</wp:posOffset>
            </wp:positionV>
            <wp:extent cx="1007745" cy="1007745"/>
            <wp:effectExtent l="0" t="0" r="0" b="0"/>
            <wp:wrapSquare wrapText="largest"/>
            <wp:docPr id="3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 xml:space="preserve">Interlocuteur(s) 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mc:AlternateContent>
          <mc:Choice Requires="wps">
            <w:drawing>
              <wp:anchor behindDoc="0" distT="40005" distB="67945" distL="108585" distR="136525" simplePos="0" locked="0" layoutInCell="0" allowOverlap="1" relativeHeight="5" wp14:anchorId="5334F326">
                <wp:simplePos x="0" y="0"/>
                <wp:positionH relativeFrom="margin">
                  <wp:posOffset>250825</wp:posOffset>
                </wp:positionH>
                <wp:positionV relativeFrom="paragraph">
                  <wp:posOffset>71120</wp:posOffset>
                </wp:positionV>
                <wp:extent cx="3905250" cy="1229995"/>
                <wp:effectExtent l="5080" t="5715" r="5080" b="4445"/>
                <wp:wrapSquare wrapText="bothSides"/>
                <wp:docPr id="4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80" cy="1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Entreprise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Prénom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Fonction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Tél.</w:t>
                            </w:r>
                          </w:p>
                          <w:p>
                            <w:pPr>
                              <w:pStyle w:val="NormalFondTexteAdeme"/>
                              <w:shd w:val="clear" w:fill="FFFFFF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Email 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Zone de texte 2" path="m0,0l-2147483645,0l-2147483645,-2147483646l0,-2147483646xe" fillcolor="white" stroked="t" o:allowincell="f" style="position:absolute;margin-left:19.75pt;margin-top:5.6pt;width:307.45pt;height:96.8pt;mso-wrap-style:square;v-text-anchor:top;mso-position-horizontal-relative:margin" wp14:anchorId="5334F326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Entreprise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Prénom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Fonction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Tél.</w:t>
                      </w:r>
                    </w:p>
                    <w:p>
                      <w:pPr>
                        <w:pStyle w:val="NormalFondTexteAdeme"/>
                        <w:shd w:val="clear" w:fill="FFFFFF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Email </w:t>
                      </w:r>
                    </w:p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8839835</wp:posOffset>
            </wp:positionH>
            <wp:positionV relativeFrom="paragraph">
              <wp:posOffset>74930</wp:posOffset>
            </wp:positionV>
            <wp:extent cx="1007745" cy="1007745"/>
            <wp:effectExtent l="0" t="0" r="0" b="0"/>
            <wp:wrapSquare wrapText="largest"/>
            <wp:docPr id="5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>Suivi des déchets</w:t>
      </w:r>
    </w:p>
    <w:p>
      <w:pPr>
        <w:pStyle w:val="Normal"/>
        <w:spacing w:lineRule="auto" w:line="259" w:before="0" w:after="160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jc w:val="both"/>
        <w:rPr>
          <w:rFonts w:ascii="Liberation Sans" w:hAnsi="Liberation Sans" w:cs="Open Sans"/>
        </w:rPr>
      </w:pPr>
      <w:r>
        <w:rPr>
          <w:rFonts w:cs="Open Sans" w:ascii="Liberation Sans" w:hAnsi="Liberation Sans"/>
        </w:rPr>
      </w:r>
    </w:p>
    <w:p>
      <w:pPr>
        <w:pStyle w:val="Normal"/>
        <w:spacing w:lineRule="auto" w:line="259" w:before="0" w:after="160"/>
        <w:jc w:val="both"/>
        <w:rPr>
          <w:rFonts w:ascii="Liberation Sans" w:hAnsi="Liberation Sans"/>
        </w:rPr>
      </w:pPr>
      <w:r>
        <w:rPr>
          <w:rFonts w:cs="Open Sans" w:ascii="Liberation Sans" w:hAnsi="Liberation Sans"/>
        </w:rPr>
        <w:t xml:space="preserve">Le suivi des déchets jusqu’au traitement final garantit la gestion des déchets conformément à la réglementation. </w:t>
      </w:r>
    </w:p>
    <w:p>
      <w:pPr>
        <w:pStyle w:val="Normal"/>
        <w:spacing w:lineRule="auto" w:line="259" w:before="0" w:after="160"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</w:rPr>
        <w:t xml:space="preserve">Les entreprises transmettent mensuellement au maître d’ouvrage les justificatifs de traitement des déchets : 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</w:rPr>
        <w:t>BSD</w:t>
      </w:r>
      <w:r>
        <w:rPr>
          <w:rFonts w:cs="Open Sans" w:ascii="Liberation Sans" w:hAnsi="Liberation Sans"/>
        </w:rPr>
        <w:t xml:space="preserve"> (bordereaux de suivi des déchets) pour les déchets réglementés (huiles, piles, batteries, VHE, pneus, DEEE et déchets inertes en province Sud)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</w:rPr>
        <w:t>factures</w:t>
      </w:r>
      <w:r>
        <w:rPr>
          <w:rFonts w:cs="Open Sans" w:ascii="Liberation Sans" w:hAnsi="Liberation Sans"/>
        </w:rPr>
        <w:t xml:space="preserve"> des prestataires de collecte et traitement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  <w:b/>
        </w:rPr>
      </w:pPr>
      <w:r>
        <w:rPr>
          <w:rFonts w:cs="Open Sans" w:ascii="Liberation Sans" w:hAnsi="Liberation Sans"/>
          <w:b/>
        </w:rPr>
        <w:t>bons de pesées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Open Sans" w:hAnsi="Open Sans" w:cs="Open Sans"/>
        </w:rPr>
      </w:pPr>
      <w:r>
        <w:rPr>
          <w:rFonts w:cs="Open Sans" w:ascii="Liberation Sans" w:hAnsi="Liberation Sans"/>
          <w:b/>
          <w:bCs/>
        </w:rPr>
        <w:t>bons de réception et</w:t>
      </w:r>
      <w:r>
        <w:rPr>
          <w:rFonts w:cs="Open Sans" w:ascii="Liberation Sans" w:hAnsi="Liberation Sans"/>
        </w:rPr>
        <w:t xml:space="preserve"> </w:t>
      </w:r>
      <w:r>
        <w:rPr>
          <w:rFonts w:cs="Open Sans" w:ascii="Liberation Sans" w:hAnsi="Liberation Sans"/>
          <w:b/>
        </w:rPr>
        <w:t>bons de destruction</w:t>
      </w:r>
      <w:r>
        <w:rPr>
          <w:rFonts w:cs="Open Sans" w:ascii="Liberation Sans" w:hAnsi="Liberation Sans"/>
        </w:rPr>
        <w:t xml:space="preserve"> des déchets dangereux</w:t>
      </w:r>
      <w:r>
        <w:br w:type="page"/>
      </w:r>
    </w:p>
    <w:p>
      <w:pPr>
        <w:pStyle w:val="Normal"/>
        <w:spacing w:lineRule="auto" w:line="259" w:before="0" w:after="160"/>
        <w:jc w:val="both"/>
        <w:rPr>
          <w:rFonts w:ascii="Open Sans" w:hAnsi="Open Sans" w:cs="Open Sans"/>
        </w:rPr>
      </w:pPr>
      <w:r>
        <w:rPr>
          <w:rFonts w:cs="Open Sans" w:ascii="Open Sans" w:hAnsi="Open Sans"/>
        </w:rPr>
        <w:drawing>
          <wp:anchor behindDoc="0" distT="0" distB="0" distL="114300" distR="117475" simplePos="0" locked="0" layoutInCell="0" allowOverlap="1" relativeHeight="2">
            <wp:simplePos x="0" y="0"/>
            <wp:positionH relativeFrom="column">
              <wp:posOffset>8607425</wp:posOffset>
            </wp:positionH>
            <wp:positionV relativeFrom="paragraph">
              <wp:posOffset>46990</wp:posOffset>
            </wp:positionV>
            <wp:extent cx="1151890" cy="1007745"/>
            <wp:effectExtent l="0" t="0" r="0" b="0"/>
            <wp:wrapTight wrapText="bothSides">
              <wp:wrapPolygon edited="0">
                <wp:start x="-331" y="0"/>
                <wp:lineTo x="-331" y="20749"/>
                <wp:lineTo x="21280" y="20749"/>
                <wp:lineTo x="21280" y="0"/>
                <wp:lineTo x="-331" y="0"/>
              </wp:wrapPolygon>
            </wp:wrapTight>
            <wp:docPr id="6" name="Image 2" descr="DECHETS DANGER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" descr="DECHETS DANGEREU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numPr>
          <w:ilvl w:val="0"/>
          <w:numId w:val="3"/>
        </w:numPr>
        <w:shd w:val="clear" w:fill="FFFFFF"/>
        <w:rPr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  <w:t>Gestion des déchets du chantier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DÉCHETS DANGEREUX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90"/>
        <w:gridCol w:w="3619"/>
        <w:gridCol w:w="3741"/>
        <w:gridCol w:w="3968"/>
      </w:tblGrid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chantier*</w:t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et type de traitement</w:t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de peinture (pots, outils…)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Bombes aérosols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Solvants, produits chimiques de traitement, cartouches de produits toxiques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Chiffons souillés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 xml:space="preserve">□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souillés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Terre polluée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Produits goudronnés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Liberation Sans" w:hAnsi="Liberation Sans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Kits antipollution souillés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 xml:space="preserve">□ </w:t>
            </w:r>
            <w:r>
              <w:rPr>
                <w:rFonts w:eastAsia="Calibri" w:cs="Arial" w:ascii="Liberation Sans" w:hAnsi="Liberation Sans"/>
                <w:sz w:val="22"/>
                <w:szCs w:val="22"/>
                <w:lang w:eastAsia="fr-FR"/>
              </w:rPr>
              <w:t>Batteries, accumulateurs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Huiles usagées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ind w:hanging="142" w:left="14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Amiante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4090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ind w:hanging="142" w:lef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3619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741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8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  <w:t>*Les déchets dangereux doivent être stockés à l’abri de la pluie.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  <w:t>** Exemples d’emballages souillés : pots émulsion de bitume, pots de colle, cartouches de mousse polyuréthane…</w:t>
      </w:r>
    </w:p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  <w:r>
        <w:br w:type="page"/>
      </w:r>
    </w:p>
    <w:p>
      <w:pPr>
        <w:pStyle w:val="Normal"/>
        <w:spacing w:before="0" w:after="0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drawing>
          <wp:anchor behindDoc="0" distT="0" distB="0" distL="114300" distR="116205" simplePos="0" locked="0" layoutInCell="0" allowOverlap="1" relativeHeight="3">
            <wp:simplePos x="0" y="0"/>
            <wp:positionH relativeFrom="column">
              <wp:posOffset>8535670</wp:posOffset>
            </wp:positionH>
            <wp:positionV relativeFrom="paragraph">
              <wp:posOffset>144145</wp:posOffset>
            </wp:positionV>
            <wp:extent cx="1151890" cy="1007745"/>
            <wp:effectExtent l="0" t="0" r="0" b="0"/>
            <wp:wrapTight wrapText="bothSides">
              <wp:wrapPolygon edited="0">
                <wp:start x="-301" y="0"/>
                <wp:lineTo x="-301" y="20770"/>
                <wp:lineTo x="21294" y="20770"/>
                <wp:lineTo x="21294" y="0"/>
                <wp:lineTo x="-301" y="0"/>
              </wp:wrapPolygon>
            </wp:wrapTight>
            <wp:docPr id="7" name="Image 3" descr="INER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3" descr="INERT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  <w:t>DÉCHETS INERTES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2"/>
        <w:gridCol w:w="4666"/>
        <w:gridCol w:w="2895"/>
        <w:gridCol w:w="3605"/>
      </w:tblGrid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</w:t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et type</w:t>
            </w:r>
          </w:p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de traitement*</w:t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Béton non ferraillé, gravats, parpaings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Céramique, carrelage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Terre, pierre, cailloux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Tuiles, briques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Fraisât d’enrobés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Verre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599" w:hRule="atLeast"/>
        </w:trPr>
        <w:tc>
          <w:tcPr>
            <w:tcW w:w="425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4666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289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605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</w:p>
    <w:p>
      <w:pPr>
        <w:pStyle w:val="Normal"/>
        <w:spacing w:lineRule="auto" w:line="259" w:before="0" w:after="160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  <w:r>
        <w:br w:type="page"/>
      </w:r>
    </w:p>
    <w:p>
      <w:pPr>
        <w:pStyle w:val="Normal"/>
        <w:spacing w:before="0" w:after="0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drawing>
          <wp:anchor behindDoc="0" distT="0" distB="9525" distL="114300" distR="114300" simplePos="0" locked="0" layoutInCell="0" allowOverlap="1" relativeHeight="4">
            <wp:simplePos x="0" y="0"/>
            <wp:positionH relativeFrom="column">
              <wp:posOffset>8453755</wp:posOffset>
            </wp:positionH>
            <wp:positionV relativeFrom="paragraph">
              <wp:posOffset>-92710</wp:posOffset>
            </wp:positionV>
            <wp:extent cx="1151890" cy="1007745"/>
            <wp:effectExtent l="0" t="0" r="0" b="0"/>
            <wp:wrapSquare wrapText="bothSides"/>
            <wp:docPr id="8" name="Image 1" descr="C:\Users\l.masse\AppData\Local\Microsoft\Windows\INetCache\Content.Word\DêCHETS NON DANGERE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1" descr="C:\Users\l.masse\AppData\Local\Microsoft\Windows\INetCache\Content.Word\DêCHETS NON DANGEREUX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FondTexteAdeme"/>
        <w:rPr/>
      </w:pPr>
      <w:r>
        <w:rPr/>
      </w:r>
    </w:p>
    <w:p>
      <w:pPr>
        <w:pStyle w:val="NormalFondTexteAdeme"/>
        <w:rPr/>
      </w:pPr>
      <w:r>
        <w:rPr/>
        <w:t>D</w:t>
      </w:r>
      <w:r>
        <w:rPr>
          <w:rFonts w:ascii="Liberation Sans" w:hAnsi="Liberation Sans"/>
        </w:rPr>
        <w:t>ÉCHETS NON DANGEREUX</w:t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FondTexteAdeme"/>
        <w:shd w:val="clear" w:fill="FFFFFF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Grilledutableau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7"/>
        <w:gridCol w:w="3972"/>
        <w:gridCol w:w="3972"/>
        <w:gridCol w:w="3967"/>
      </w:tblGrid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Types de déchets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Mode de stockage</w:t>
            </w:r>
          </w:p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sur le chantier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de collecte</w:t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Open Sans" w:ascii="Liberation Sans" w:hAnsi="Liberation Sans"/>
                <w:sz w:val="22"/>
                <w:szCs w:val="22"/>
                <w:lang w:eastAsia="fr-FR"/>
              </w:rPr>
              <w:t>Prestataire et type de traitement</w:t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papier carton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Emballages plastique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Polystyrène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Chutes de PVC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verts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Bois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Métaux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Matériaux à base de plâtre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Déchets de repas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Pneus usagés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50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Default"/>
              <w:suppressAutoHyphens w:val="true"/>
              <w:spacing w:lineRule="atLeast" w:line="191" w:before="0" w:after="0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eastAsia="Calibri" w:cs="Arial" w:ascii="Liberation Sans" w:hAnsi="Liberation Sans"/>
                <w:sz w:val="20"/>
                <w:szCs w:val="20"/>
                <w:lang w:eastAsia="fr-FR"/>
              </w:rPr>
              <w:t>□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Calibri" w:cs="Open Sans" w:ascii="Liberation Sans" w:hAnsi="Liberation Sans"/>
                <w:sz w:val="20"/>
                <w:szCs w:val="20"/>
                <w:lang w:eastAsia="fr-FR"/>
              </w:rPr>
              <w:t>Autres</w:t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72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  <w:tc>
          <w:tcPr>
            <w:tcW w:w="3967" w:type="dxa"/>
            <w:tcBorders>
              <w:top w:val="single" w:sz="2" w:space="0" w:color="AEAAAA"/>
              <w:left w:val="single" w:sz="2" w:space="0" w:color="AEAAAA"/>
              <w:bottom w:val="single" w:sz="2" w:space="0" w:color="AEAAAA"/>
              <w:right w:val="single" w:sz="2" w:space="0" w:color="AEAAAA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Liberation Sans" w:hAnsi="Liberation Sans" w:eastAsia="Calibri" w:cs="Times New Roman"/>
                <w:b/>
                <w:color w:themeColor="text2" w:val="44546A"/>
                <w:sz w:val="20"/>
                <w:szCs w:val="20"/>
                <w:lang w:eastAsia="fr-FR"/>
              </w:rPr>
            </w:pPr>
            <w:r>
              <w:rPr>
                <w:rFonts w:eastAsia="Calibri" w:cs="Times New Roman" w:ascii="Liberation Sans" w:hAnsi="Liberation Sans"/>
                <w:b/>
                <w:color w:themeColor="text2" w:val="44546A"/>
                <w:sz w:val="20"/>
                <w:szCs w:val="20"/>
                <w:lang w:eastAsia="fr-FR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Liberation Sans" w:hAnsi="Liberation Sans" w:cs="Open Sans"/>
          <w:sz w:val="20"/>
          <w:szCs w:val="20"/>
        </w:rPr>
      </w:pPr>
      <w:r>
        <w:rPr>
          <w:rFonts w:cs="Open Sans" w:ascii="Liberation Sans" w:hAnsi="Liberation Sans"/>
          <w:sz w:val="20"/>
          <w:szCs w:val="20"/>
        </w:rPr>
      </w:r>
    </w:p>
    <w:p>
      <w:pPr>
        <w:pStyle w:val="Normal"/>
        <w:spacing w:lineRule="auto" w:line="259" w:before="0" w:after="160"/>
        <w:rPr>
          <w:rFonts w:ascii="Liberation Sans" w:hAnsi="Liberation Sans"/>
          <w:b/>
          <w:sz w:val="28"/>
          <w:szCs w:val="28"/>
        </w:rPr>
      </w:pPr>
      <w:r>
        <w:rPr>
          <w:rFonts w:ascii="Liberation Sans" w:hAnsi="Liberation Sans"/>
          <w:b/>
          <w:sz w:val="28"/>
          <w:szCs w:val="28"/>
        </w:rPr>
      </w:r>
    </w:p>
    <w:p>
      <w:pPr>
        <w:pStyle w:val="NormalFondTexteAdeme"/>
        <w:shd w:val="clear" w:fill="FFFFFF"/>
        <w:rPr/>
      </w:pPr>
      <w:r>
        <w:rPr/>
      </w:r>
    </w:p>
    <w:sectPr>
      <w:footerReference w:type="even" r:id="rId9"/>
      <w:footerReference w:type="default" r:id="rId10"/>
      <w:footerReference w:type="first" r:id="rId11"/>
      <w:type w:val="nextPage"/>
      <w:pgSz w:orient="landscape" w:w="16838" w:h="11906"/>
      <w:pgMar w:left="851" w:right="568" w:gutter="0" w:header="0" w:top="1417" w:footer="708" w:bottom="127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Segoe U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Open Sans">
    <w:charset w:val="01"/>
    <w:family w:val="auto"/>
    <w:pitch w:val="default"/>
  </w:font>
  <w:font w:name="EFNLMI+MyriadPro-Semibold">
    <w:charset w:val="01"/>
    <w:family w:val="auto"/>
    <w:pitch w:val="default"/>
  </w:font>
  <w:font w:name="Arial">
    <w:charset w:val="01"/>
    <w:family w:val="auto"/>
    <w:pitch w:val="default"/>
  </w:font>
  <w:font w:name="Garamond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  <w:sz w:val="2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c583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6c5834"/>
    <w:rPr>
      <w:color w:themeColor="hyperlink" w:val="0563C1"/>
      <w:u w:val="single"/>
    </w:rPr>
  </w:style>
  <w:style w:type="character" w:styleId="En-tteCar" w:customStyle="1">
    <w:name w:val="En-tête Car"/>
    <w:basedOn w:val="DefaultParagraphFont"/>
    <w:uiPriority w:val="99"/>
    <w:qFormat/>
    <w:rsid w:val="002b17f4"/>
    <w:rPr/>
  </w:style>
  <w:style w:type="character" w:styleId="PieddepageCar" w:customStyle="1">
    <w:name w:val="Pied de page Car"/>
    <w:basedOn w:val="DefaultParagraphFont"/>
    <w:uiPriority w:val="99"/>
    <w:qFormat/>
    <w:rsid w:val="002b17f4"/>
    <w:rPr/>
  </w:style>
  <w:style w:type="character" w:styleId="TextedebullesCar" w:customStyle="1">
    <w:name w:val="Texte de bulles Car"/>
    <w:basedOn w:val="DefaultParagraphFont"/>
    <w:uiPriority w:val="99"/>
    <w:semiHidden/>
    <w:qFormat/>
    <w:rsid w:val="002e765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2081b"/>
    <w:rPr>
      <w:color w:themeColor="followedHyperlink" w:val="954F72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FondTexteAdeme" w:customStyle="1">
    <w:name w:val="Normal Fond Texte Ademe"/>
    <w:basedOn w:val="Normal"/>
    <w:autoRedefine/>
    <w:qFormat/>
    <w:rsid w:val="000d1264"/>
    <w:pPr>
      <w:shd w:val="clear" w:color="auto" w:fill="FFFFFF" w:themeFill="background1"/>
    </w:pPr>
    <w:rPr>
      <w:rFonts w:ascii="Open Sans" w:hAnsi="Open Sans" w:eastAsia="Times New Roman" w:cs="Open Sans"/>
      <w:b w:val="false"/>
      <w:bCs w:val="false"/>
      <w:i w:val="false"/>
      <w:iCs w:val="false"/>
      <w:sz w:val="24"/>
      <w:szCs w:val="24"/>
      <w:u w:val="none"/>
      <w:lang w:eastAsia="fr-FR"/>
    </w:rPr>
  </w:style>
  <w:style w:type="paragraph" w:styleId="Default" w:customStyle="1">
    <w:name w:val="Default"/>
    <w:qFormat/>
    <w:rsid w:val="00714dfc"/>
    <w:pPr>
      <w:widowControl/>
      <w:suppressAutoHyphens w:val="true"/>
      <w:bidi w:val="0"/>
      <w:spacing w:lineRule="auto" w:line="240" w:before="0" w:after="0"/>
      <w:jc w:val="left"/>
    </w:pPr>
    <w:rPr>
      <w:rFonts w:ascii="EFNLMI+MyriadPro-Semibold" w:hAnsi="EFNLMI+MyriadPro-Semibold" w:eastAsia="Calibri" w:cs="EFNLMI+MyriadPro-Semibold"/>
      <w:color w:val="000000"/>
      <w:kern w:val="0"/>
      <w:sz w:val="24"/>
      <w:szCs w:val="24"/>
      <w:lang w:val="fr-FR" w:eastAsia="en-US" w:bidi="ar-SA"/>
    </w:rPr>
  </w:style>
  <w:style w:type="paragraph" w:styleId="ListParagraph">
    <w:name w:val="List Paragraph"/>
    <w:basedOn w:val="Normal"/>
    <w:uiPriority w:val="34"/>
    <w:qFormat/>
    <w:rsid w:val="002e4271"/>
    <w:pPr>
      <w:spacing w:before="0" w:after="0"/>
      <w:ind w:hanging="0"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2b17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2b17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2e7658"/>
    <w:pPr/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14dfc"/>
    <w:pPr>
      <w:spacing w:after="0" w:line="240" w:lineRule="auto"/>
    </w:pPr>
    <w:rPr>
      <w:lang w:eastAsia="fr-FR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5</Pages>
  <Words>419</Words>
  <Characters>2217</Characters>
  <CharactersWithSpaces>2545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2025-02-25T12:13:06Z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