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85B81" w14:textId="321C7BD1" w:rsidR="00886538" w:rsidRDefault="007C15C4" w:rsidP="00886538">
      <w:pPr>
        <w:shd w:val="clear" w:color="auto" w:fill="FFFFFF" w:themeFill="background1"/>
        <w:tabs>
          <w:tab w:val="left" w:pos="1510"/>
        </w:tabs>
        <w:spacing w:line="240" w:lineRule="auto"/>
        <w:jc w:val="center"/>
        <w:outlineLvl w:val="0"/>
        <w:rPr>
          <w:rFonts w:asciiTheme="minorHAnsi" w:eastAsia="Times New Roman" w:hAnsiTheme="minorHAnsi" w:cstheme="minorHAnsi"/>
          <w:b/>
          <w:bCs/>
          <w:caps/>
          <w:sz w:val="32"/>
          <w:szCs w:val="32"/>
          <w:lang w:eastAsia="fr-FR"/>
        </w:rPr>
      </w:pPr>
      <w:bookmarkStart w:id="0" w:name="_Toc39659389"/>
      <w:bookmarkStart w:id="1" w:name="_Toc39739120"/>
      <w:r w:rsidRPr="007C15C4">
        <w:rPr>
          <w:rFonts w:asciiTheme="minorHAnsi" w:eastAsia="Times New Roman" w:hAnsiTheme="minorHAnsi" w:cstheme="minorHAnsi"/>
          <w:b/>
          <w:bCs/>
          <w:caps/>
          <w:sz w:val="32"/>
          <w:szCs w:val="32"/>
          <w:lang w:eastAsia="fr-FR"/>
        </w:rPr>
        <w:t>CADRE DE REPONSE DU mémoire TECHNIQUE</w:t>
      </w:r>
    </w:p>
    <w:p w14:paraId="6D965C62" w14:textId="77777777" w:rsidR="00886538" w:rsidRPr="00886538" w:rsidRDefault="00886538" w:rsidP="00886538">
      <w:pPr>
        <w:shd w:val="clear" w:color="auto" w:fill="FFFFFF" w:themeFill="background1"/>
        <w:tabs>
          <w:tab w:val="left" w:pos="1510"/>
        </w:tabs>
        <w:spacing w:line="240" w:lineRule="auto"/>
        <w:jc w:val="center"/>
        <w:outlineLvl w:val="0"/>
        <w:rPr>
          <w:rFonts w:asciiTheme="minorHAnsi" w:eastAsia="Times New Roman" w:hAnsiTheme="minorHAnsi" w:cstheme="minorHAnsi"/>
          <w:b/>
          <w:bCs/>
          <w:caps/>
          <w:sz w:val="10"/>
          <w:szCs w:val="10"/>
          <w:lang w:eastAsia="fr-FR"/>
        </w:rPr>
      </w:pPr>
    </w:p>
    <w:p w14:paraId="775597E6" w14:textId="6059BC3A" w:rsidR="00886538" w:rsidRPr="00886538" w:rsidRDefault="00886538" w:rsidP="00886538">
      <w:pPr>
        <w:shd w:val="clear" w:color="auto" w:fill="FFFFFF"/>
        <w:spacing w:line="240" w:lineRule="auto"/>
        <w:jc w:val="center"/>
        <w:outlineLvl w:val="4"/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</w:pPr>
      <w:r w:rsidRPr="00886538"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  <w:t xml:space="preserve">Marché N° </w:t>
      </w:r>
      <w:r w:rsidRPr="00886538"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  <w:t>2023-3</w:t>
      </w:r>
      <w:r w:rsidRPr="00886538"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  <w:t>7</w:t>
      </w:r>
    </w:p>
    <w:p w14:paraId="134AA805" w14:textId="77777777" w:rsidR="00886538" w:rsidRPr="00886538" w:rsidRDefault="00886538" w:rsidP="00886538">
      <w:pPr>
        <w:shd w:val="clear" w:color="auto" w:fill="FFFFFF"/>
        <w:spacing w:line="240" w:lineRule="auto"/>
        <w:jc w:val="center"/>
        <w:outlineLvl w:val="4"/>
        <w:rPr>
          <w:rFonts w:ascii="Arial" w:eastAsia="Times New Roman" w:hAnsi="Arial" w:cs="Arial"/>
          <w:b/>
          <w:bCs/>
          <w:color w:val="5B9BD5" w:themeColor="accent5"/>
          <w:sz w:val="20"/>
          <w:szCs w:val="20"/>
          <w:lang w:eastAsia="fr-FR"/>
        </w:rPr>
      </w:pPr>
    </w:p>
    <w:p w14:paraId="53234436" w14:textId="6A7A77DF" w:rsidR="00886538" w:rsidRPr="00886538" w:rsidRDefault="00886538" w:rsidP="00886538">
      <w:pPr>
        <w:shd w:val="clear" w:color="auto" w:fill="FFFFFF"/>
        <w:spacing w:line="240" w:lineRule="auto"/>
        <w:jc w:val="center"/>
        <w:outlineLvl w:val="4"/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</w:pPr>
      <w:r w:rsidRPr="00886538"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  <w:t>Réhabilitation et extension de l’</w:t>
      </w:r>
      <w:r w:rsidRPr="00886538"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  <w:t>ENSM à Marseille</w:t>
      </w:r>
    </w:p>
    <w:p w14:paraId="21708E72" w14:textId="77777777" w:rsidR="00886538" w:rsidRPr="00886538" w:rsidRDefault="00886538" w:rsidP="00886538">
      <w:pPr>
        <w:shd w:val="clear" w:color="auto" w:fill="FFFFFF"/>
        <w:spacing w:line="240" w:lineRule="auto"/>
        <w:jc w:val="center"/>
        <w:outlineLvl w:val="4"/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</w:pPr>
    </w:p>
    <w:p w14:paraId="3803E7EF" w14:textId="2F6DB4F3" w:rsidR="009F1AB2" w:rsidRPr="00886538" w:rsidRDefault="00886538" w:rsidP="00886538">
      <w:pPr>
        <w:shd w:val="clear" w:color="auto" w:fill="FFFFFF"/>
        <w:spacing w:line="240" w:lineRule="auto"/>
        <w:jc w:val="center"/>
        <w:outlineLvl w:val="4"/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</w:pPr>
      <w:r w:rsidRPr="00886538">
        <w:rPr>
          <w:rFonts w:ascii="Arial" w:eastAsia="Times New Roman" w:hAnsi="Arial" w:cs="Arial"/>
          <w:b/>
          <w:bCs/>
          <w:color w:val="5B9BD5" w:themeColor="accent5"/>
          <w:szCs w:val="24"/>
          <w:lang w:eastAsia="fr-FR"/>
        </w:rPr>
        <w:t>BÂTIMENT F - REFECTOIRE Lot 9 Bardage Serrurerie</w:t>
      </w:r>
    </w:p>
    <w:p w14:paraId="321626C1" w14:textId="77777777" w:rsidR="00886538" w:rsidRPr="00886538" w:rsidRDefault="00886538" w:rsidP="00886538">
      <w:pPr>
        <w:shd w:val="clear" w:color="auto" w:fill="FFFFFF"/>
        <w:spacing w:line="240" w:lineRule="auto"/>
        <w:jc w:val="center"/>
        <w:outlineLvl w:val="4"/>
        <w:rPr>
          <w:rFonts w:ascii="Arial" w:eastAsia="Times New Roman" w:hAnsi="Arial" w:cs="Arial"/>
          <w:color w:val="464855"/>
          <w:sz w:val="20"/>
          <w:szCs w:val="20"/>
          <w:lang w:eastAsia="fr-FR"/>
        </w:rPr>
      </w:pPr>
    </w:p>
    <w:p w14:paraId="30EB510B" w14:textId="4D3401EA" w:rsidR="009F1AB2" w:rsidRDefault="009F1AB2" w:rsidP="00886538">
      <w:pPr>
        <w:shd w:val="clear" w:color="auto" w:fill="FFFFFF" w:themeFill="background1"/>
        <w:tabs>
          <w:tab w:val="left" w:pos="1510"/>
        </w:tabs>
        <w:spacing w:line="240" w:lineRule="auto"/>
        <w:jc w:val="center"/>
        <w:outlineLvl w:val="0"/>
        <w:rPr>
          <w:rFonts w:asciiTheme="minorHAnsi" w:eastAsia="Times New Roman" w:hAnsiTheme="minorHAnsi" w:cstheme="minorHAnsi"/>
          <w:b/>
          <w:bCs/>
          <w:sz w:val="32"/>
          <w:szCs w:val="32"/>
          <w:lang w:eastAsia="fr-FR"/>
        </w:rPr>
      </w:pPr>
      <w:r w:rsidRPr="009F1AB2">
        <w:rPr>
          <w:rFonts w:asciiTheme="minorHAnsi" w:eastAsia="Times New Roman" w:hAnsiTheme="minorHAnsi" w:cstheme="minorHAnsi"/>
          <w:b/>
          <w:bCs/>
          <w:sz w:val="32"/>
          <w:szCs w:val="32"/>
          <w:lang w:eastAsia="fr-FR"/>
        </w:rPr>
        <w:t>Il est demandé au candidat de veiller à ce que tout document transmis (fiches techniques, schémas, photos, …) soit mis dans un dossier qui portera le numéro et le nom du sous-critère correspondant au cadre du mémoire technique.</w:t>
      </w:r>
    </w:p>
    <w:p w14:paraId="305EF3BC" w14:textId="77777777" w:rsidR="00886538" w:rsidRPr="009F1AB2" w:rsidRDefault="00886538" w:rsidP="00886538">
      <w:pPr>
        <w:shd w:val="clear" w:color="auto" w:fill="FFFFFF" w:themeFill="background1"/>
        <w:tabs>
          <w:tab w:val="left" w:pos="1510"/>
        </w:tabs>
        <w:spacing w:line="240" w:lineRule="auto"/>
        <w:jc w:val="center"/>
        <w:outlineLvl w:val="0"/>
        <w:rPr>
          <w:rFonts w:asciiTheme="minorHAnsi" w:eastAsia="Times New Roman" w:hAnsiTheme="minorHAnsi" w:cstheme="minorHAnsi"/>
          <w:b/>
          <w:bCs/>
          <w:sz w:val="32"/>
          <w:szCs w:val="32"/>
          <w:lang w:eastAsia="fr-FR"/>
        </w:rPr>
      </w:pPr>
    </w:p>
    <w:tbl>
      <w:tblPr>
        <w:tblStyle w:val="Grilledutableau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7C15C4" w:rsidRPr="00480593" w14:paraId="629F0DAA" w14:textId="77777777" w:rsidTr="007C15C4">
        <w:trPr>
          <w:trHeight w:val="510"/>
        </w:trPr>
        <w:tc>
          <w:tcPr>
            <w:tcW w:w="9628" w:type="dxa"/>
            <w:shd w:val="clear" w:color="auto" w:fill="C5E0B3" w:themeFill="accent6" w:themeFillTint="66"/>
            <w:vAlign w:val="center"/>
          </w:tcPr>
          <w:p w14:paraId="038363FA" w14:textId="6B091256" w:rsidR="007C15C4" w:rsidRPr="00761311" w:rsidRDefault="007C15C4" w:rsidP="00761311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06" w:hanging="273"/>
              <w:jc w:val="both"/>
              <w:rPr>
                <w:b/>
                <w:bCs/>
                <w:iCs/>
              </w:rPr>
            </w:pPr>
            <w:bookmarkStart w:id="2" w:name="_Hlk85102395"/>
            <w:bookmarkEnd w:id="0"/>
            <w:bookmarkEnd w:id="1"/>
            <w:r w:rsidRPr="007C15C4">
              <w:rPr>
                <w:rFonts w:eastAsia="Times New Roman" w:cs="Calibri"/>
                <w:b/>
                <w:bCs/>
                <w:sz w:val="22"/>
                <w:lang w:eastAsia="fr-FR"/>
              </w:rPr>
              <w:t>Détail de l’offre</w:t>
            </w:r>
            <w:r w:rsidRPr="00312D24">
              <w:rPr>
                <w:rFonts w:eastAsia="Times New Roman" w:cs="Calibri"/>
                <w:sz w:val="22"/>
                <w:lang w:eastAsia="fr-FR"/>
              </w:rPr>
              <w:t xml:space="preserve"> : </w:t>
            </w:r>
            <w:bookmarkEnd w:id="2"/>
            <w:r w:rsidR="00345FB5" w:rsidRPr="00345FB5">
              <w:rPr>
                <w:rFonts w:eastAsia="Times New Roman" w:cs="Calibri"/>
                <w:sz w:val="22"/>
                <w:lang w:eastAsia="fr-FR"/>
              </w:rPr>
              <w:t>Méthodologie, mode opératoire, schémas, photos, fiches techniques, indications concernant la provenance des principales fournitures et matériaux, et éventuellement, les références des fournisseurs correspondant </w:t>
            </w:r>
            <w:r w:rsidRPr="00480593">
              <w:rPr>
                <w:b/>
                <w:bCs/>
                <w:iCs/>
              </w:rPr>
              <w:t>(</w:t>
            </w:r>
            <w:r w:rsidR="00345FB5">
              <w:rPr>
                <w:b/>
                <w:bCs/>
                <w:iCs/>
              </w:rPr>
              <w:t>20</w:t>
            </w:r>
            <w:r w:rsidRPr="00480593">
              <w:rPr>
                <w:b/>
                <w:bCs/>
                <w:iCs/>
              </w:rPr>
              <w:t xml:space="preserve"> points)</w:t>
            </w:r>
          </w:p>
        </w:tc>
      </w:tr>
      <w:tr w:rsidR="007C15C4" w:rsidRPr="00480593" w14:paraId="1F0CBAB0" w14:textId="77777777" w:rsidTr="007C15C4">
        <w:trPr>
          <w:trHeight w:val="510"/>
        </w:trPr>
        <w:tc>
          <w:tcPr>
            <w:tcW w:w="9628" w:type="dxa"/>
            <w:shd w:val="clear" w:color="auto" w:fill="FFFFFF" w:themeFill="background1"/>
            <w:vAlign w:val="center"/>
          </w:tcPr>
          <w:p w14:paraId="4292D57D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3E123D18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4246271A" w14:textId="77777777" w:rsidR="00A448B1" w:rsidRDefault="00A448B1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5176CB25" w14:textId="7D5DF741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8E37CF0" w14:textId="77777777" w:rsidR="00A230EF" w:rsidRDefault="00A230EF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313B8277" w14:textId="77777777" w:rsidR="00A448B1" w:rsidRDefault="00A448B1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4A53368D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439B59A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5286607E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929E677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425A58C8" w14:textId="7560AF16" w:rsidR="007C15C4" w:rsidRP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</w:tc>
      </w:tr>
      <w:tr w:rsidR="007C15C4" w:rsidRPr="00480593" w14:paraId="72524897" w14:textId="77777777" w:rsidTr="007C15C4">
        <w:trPr>
          <w:trHeight w:val="510"/>
        </w:trPr>
        <w:tc>
          <w:tcPr>
            <w:tcW w:w="9628" w:type="dxa"/>
            <w:shd w:val="clear" w:color="auto" w:fill="C5E0B3" w:themeFill="accent6" w:themeFillTint="66"/>
            <w:vAlign w:val="center"/>
          </w:tcPr>
          <w:p w14:paraId="10825061" w14:textId="272C5596" w:rsidR="007C15C4" w:rsidRPr="00A448B1" w:rsidRDefault="007C15C4" w:rsidP="00A448B1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06" w:hanging="273"/>
              <w:jc w:val="both"/>
              <w:rPr>
                <w:rFonts w:eastAsia="Times New Roman" w:cs="Calibri"/>
                <w:sz w:val="22"/>
                <w:lang w:eastAsia="fr-FR"/>
              </w:rPr>
            </w:pPr>
            <w:bookmarkStart w:id="3" w:name="_Hlk85102417"/>
            <w:r w:rsidRPr="007C15C4">
              <w:rPr>
                <w:rFonts w:eastAsia="Times New Roman" w:cs="Calibri"/>
                <w:b/>
                <w:bCs/>
                <w:sz w:val="22"/>
                <w:lang w:eastAsia="fr-FR"/>
              </w:rPr>
              <w:t>Les moyens techniques et humains</w:t>
            </w:r>
            <w:r w:rsidRPr="007C15C4">
              <w:rPr>
                <w:rFonts w:eastAsia="Times New Roman" w:cs="Calibri"/>
                <w:b/>
                <w:bCs/>
                <w:sz w:val="22"/>
                <w:u w:val="single"/>
                <w:lang w:eastAsia="fr-FR"/>
              </w:rPr>
              <w:t xml:space="preserve"> qui seront dédiés au chantier</w:t>
            </w:r>
            <w:r w:rsidRPr="007C15C4">
              <w:rPr>
                <w:rFonts w:eastAsia="Times New Roman" w:cs="Calibri"/>
                <w:sz w:val="22"/>
                <w:lang w:eastAsia="fr-FR"/>
              </w:rPr>
              <w:t xml:space="preserve">, </w:t>
            </w:r>
            <w:bookmarkStart w:id="4" w:name="_Hlk127948298"/>
            <w:r w:rsidR="00345FB5" w:rsidRPr="00345FB5">
              <w:rPr>
                <w:rFonts w:eastAsia="Times New Roman" w:cs="Calibri"/>
                <w:sz w:val="22"/>
                <w:lang w:eastAsia="fr-FR"/>
              </w:rPr>
              <w:t>en étude et en exécution</w:t>
            </w:r>
            <w:r w:rsidR="00345FB5" w:rsidRPr="00345FB5">
              <w:rPr>
                <w:rFonts w:eastAsia="Times New Roman" w:cs="Calibri"/>
                <w:b/>
                <w:bCs/>
                <w:sz w:val="22"/>
                <w:lang w:eastAsia="fr-FR"/>
              </w:rPr>
              <w:t xml:space="preserve"> </w:t>
            </w:r>
            <w:r w:rsidR="00345FB5" w:rsidRPr="00345FB5">
              <w:rPr>
                <w:rFonts w:eastAsia="Times New Roman" w:cs="Calibri"/>
                <w:sz w:val="22"/>
                <w:lang w:eastAsia="fr-FR"/>
              </w:rPr>
              <w:t xml:space="preserve">(traitement des nuisances pour un chantier en milieu occupé, personnel d’encadrement et effectif de pointe mobilisable pendant et hors périodes de vacances scolaires). L’entreprise devra apporter des garanties quant à sa capacité à réaliser des travaux sur les périodes de fermeture de l’établissement, particulièrement durant l’été 2024 </w:t>
            </w:r>
            <w:r w:rsidRPr="007C15C4">
              <w:rPr>
                <w:rFonts w:eastAsia="Times New Roman" w:cs="Calibri"/>
                <w:sz w:val="22"/>
                <w:lang w:eastAsia="fr-FR"/>
              </w:rPr>
              <w:t xml:space="preserve">en étude et en exécution </w:t>
            </w:r>
            <w:bookmarkEnd w:id="4"/>
            <w:bookmarkEnd w:id="3"/>
            <w:r w:rsidRPr="00A448B1">
              <w:rPr>
                <w:rFonts w:eastAsia="Times New Roman" w:cs="Calibri"/>
                <w:b/>
                <w:bCs/>
                <w:sz w:val="22"/>
                <w:lang w:eastAsia="fr-FR"/>
              </w:rPr>
              <w:t>(</w:t>
            </w:r>
            <w:r w:rsidR="00345FB5">
              <w:rPr>
                <w:rFonts w:eastAsia="Times New Roman" w:cs="Calibri"/>
                <w:b/>
                <w:bCs/>
                <w:sz w:val="22"/>
                <w:lang w:eastAsia="fr-FR"/>
              </w:rPr>
              <w:t>2</w:t>
            </w:r>
            <w:r w:rsidRPr="00A448B1">
              <w:rPr>
                <w:rFonts w:eastAsia="Times New Roman" w:cs="Calibri"/>
                <w:b/>
                <w:bCs/>
                <w:sz w:val="22"/>
                <w:lang w:eastAsia="fr-FR"/>
              </w:rPr>
              <w:t>0 points)</w:t>
            </w:r>
          </w:p>
        </w:tc>
      </w:tr>
      <w:tr w:rsidR="007C15C4" w:rsidRPr="00480593" w14:paraId="4E3EA9AF" w14:textId="77777777" w:rsidTr="007C15C4">
        <w:trPr>
          <w:trHeight w:val="510"/>
        </w:trPr>
        <w:tc>
          <w:tcPr>
            <w:tcW w:w="9628" w:type="dxa"/>
            <w:shd w:val="clear" w:color="auto" w:fill="FFFFFF" w:themeFill="background1"/>
            <w:vAlign w:val="center"/>
          </w:tcPr>
          <w:p w14:paraId="4A78D487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3687FF0E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CB1E385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813EB13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E4364A9" w14:textId="77777777" w:rsidR="00886538" w:rsidRDefault="00886538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41B34E40" w14:textId="77777777" w:rsidR="00886538" w:rsidRDefault="00886538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7083A1B4" w14:textId="77777777" w:rsidR="00886538" w:rsidRDefault="00886538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B655BF0" w14:textId="77777777" w:rsidR="00886538" w:rsidRDefault="00886538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61D914A9" w14:textId="77777777" w:rsidR="00886538" w:rsidRDefault="00886538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4D52CD40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2C9357A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672E9FBE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21F61F88" w14:textId="7B36EE9D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3F9D638" w14:textId="77777777" w:rsidR="00A448B1" w:rsidRDefault="00A448B1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56CEE08" w14:textId="77777777" w:rsidR="00A230EF" w:rsidRDefault="00A230EF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5FBF4599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3506502D" w14:textId="7A245AE0" w:rsidR="007C15C4" w:rsidRP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</w:tc>
      </w:tr>
      <w:tr w:rsidR="007C15C4" w:rsidRPr="00480593" w14:paraId="030FBCCC" w14:textId="77777777" w:rsidTr="007C15C4">
        <w:trPr>
          <w:trHeight w:val="510"/>
        </w:trPr>
        <w:tc>
          <w:tcPr>
            <w:tcW w:w="9628" w:type="dxa"/>
            <w:shd w:val="clear" w:color="auto" w:fill="C5E0B3" w:themeFill="accent6" w:themeFillTint="66"/>
            <w:vAlign w:val="center"/>
          </w:tcPr>
          <w:p w14:paraId="065B992B" w14:textId="2BB11229" w:rsidR="007C15C4" w:rsidRPr="007C15C4" w:rsidRDefault="007C15C4" w:rsidP="007C15C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06" w:hanging="273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  <w:r w:rsidRPr="007C15C4">
              <w:rPr>
                <w:rFonts w:cs="Calibri"/>
                <w:b/>
                <w:bCs/>
                <w:color w:val="000000"/>
                <w:sz w:val="22"/>
              </w:rPr>
              <w:lastRenderedPageBreak/>
              <w:t>Un programme d'exécution des ouvrages</w:t>
            </w:r>
            <w:r>
              <w:rPr>
                <w:rFonts w:cs="Calibri"/>
                <w:color w:val="000000"/>
                <w:sz w:val="22"/>
              </w:rPr>
              <w:t xml:space="preserve"> indiquant la durée prévisionnelle des différentes phases du chantier </w:t>
            </w:r>
            <w:r w:rsidRPr="007C15C4">
              <w:rPr>
                <w:rFonts w:cs="Calibri"/>
                <w:b/>
                <w:bCs/>
                <w:color w:val="000000"/>
                <w:sz w:val="22"/>
              </w:rPr>
              <w:t>y compris approvisionnement</w:t>
            </w:r>
            <w:r>
              <w:rPr>
                <w:rFonts w:cs="Calibri"/>
                <w:b/>
                <w:bCs/>
                <w:color w:val="000000"/>
                <w:sz w:val="22"/>
              </w:rPr>
              <w:t xml:space="preserve"> (10 points)</w:t>
            </w:r>
          </w:p>
        </w:tc>
      </w:tr>
      <w:tr w:rsidR="007C15C4" w:rsidRPr="00480593" w14:paraId="555E99B9" w14:textId="77777777" w:rsidTr="007C15C4">
        <w:trPr>
          <w:trHeight w:val="510"/>
        </w:trPr>
        <w:tc>
          <w:tcPr>
            <w:tcW w:w="9628" w:type="dxa"/>
            <w:shd w:val="clear" w:color="auto" w:fill="FFFFFF" w:themeFill="background1"/>
            <w:vAlign w:val="center"/>
          </w:tcPr>
          <w:p w14:paraId="28C3CADE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5BA5DE6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449ABB0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8B8BAE5" w14:textId="3EF45916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2F31A4BB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5DB8D45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5179DD0A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3F0A72F7" w14:textId="77777777" w:rsidR="00A230EF" w:rsidRDefault="00A230EF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58FC0FFB" w14:textId="77777777" w:rsidR="00A448B1" w:rsidRDefault="00A448B1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53D7AA9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25CA1A45" w14:textId="01E69061" w:rsidR="007C15C4" w:rsidRP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</w:tc>
      </w:tr>
      <w:tr w:rsidR="007C15C4" w:rsidRPr="00480593" w14:paraId="6238D4FB" w14:textId="77777777" w:rsidTr="007C15C4">
        <w:trPr>
          <w:trHeight w:val="510"/>
        </w:trPr>
        <w:tc>
          <w:tcPr>
            <w:tcW w:w="9628" w:type="dxa"/>
            <w:shd w:val="clear" w:color="auto" w:fill="C5E0B3" w:themeFill="accent6" w:themeFillTint="66"/>
            <w:vAlign w:val="center"/>
          </w:tcPr>
          <w:p w14:paraId="22C45D37" w14:textId="5A0574C7" w:rsidR="007C15C4" w:rsidRPr="00761311" w:rsidRDefault="007C15C4" w:rsidP="00761311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06" w:hanging="273"/>
              <w:jc w:val="both"/>
            </w:pPr>
            <w:r w:rsidRPr="007C15C4">
              <w:rPr>
                <w:rFonts w:eastAsia="Times New Roman" w:cs="Calibri"/>
                <w:b/>
                <w:bCs/>
                <w:sz w:val="22"/>
                <w:lang w:eastAsia="fr-FR"/>
              </w:rPr>
              <w:t xml:space="preserve">Les </w:t>
            </w:r>
            <w:r w:rsidRPr="007C15C4">
              <w:rPr>
                <w:rFonts w:cs="Calibri"/>
                <w:b/>
                <w:bCs/>
                <w:color w:val="000000"/>
                <w:sz w:val="22"/>
              </w:rPr>
              <w:t>mesures</w:t>
            </w:r>
            <w:r w:rsidRPr="007C15C4">
              <w:rPr>
                <w:rFonts w:eastAsia="Times New Roman" w:cs="Calibri"/>
                <w:b/>
                <w:bCs/>
                <w:sz w:val="22"/>
                <w:lang w:eastAsia="fr-FR"/>
              </w:rPr>
              <w:t xml:space="preserve"> prévues pour assurer l’hygiène, la santé et la sécurité</w:t>
            </w:r>
            <w:r w:rsidRPr="00312D24">
              <w:rPr>
                <w:rFonts w:eastAsia="Times New Roman" w:cs="Calibri"/>
                <w:sz w:val="22"/>
                <w:lang w:eastAsia="fr-FR"/>
              </w:rPr>
              <w:t xml:space="preserve"> sur le chantier ainsi que les </w:t>
            </w:r>
            <w:r w:rsidRPr="007C15C4">
              <w:rPr>
                <w:rFonts w:eastAsia="Times New Roman" w:cs="Calibri"/>
                <w:b/>
                <w:bCs/>
                <w:sz w:val="22"/>
                <w:lang w:eastAsia="fr-FR"/>
              </w:rPr>
              <w:t>mesures prises pour réduire ses nuisances vis-à-vis de l’environnement</w:t>
            </w:r>
            <w:r>
              <w:rPr>
                <w:rFonts w:eastAsia="Times New Roman" w:cs="Calibri"/>
                <w:b/>
                <w:bCs/>
                <w:sz w:val="22"/>
                <w:lang w:eastAsia="fr-FR"/>
              </w:rPr>
              <w:t xml:space="preserve"> (</w:t>
            </w:r>
            <w:r w:rsidR="00345FB5">
              <w:rPr>
                <w:rFonts w:eastAsia="Times New Roman" w:cs="Calibri"/>
                <w:b/>
                <w:bCs/>
                <w:sz w:val="22"/>
                <w:lang w:eastAsia="fr-FR"/>
              </w:rPr>
              <w:t>10</w:t>
            </w:r>
            <w:r>
              <w:rPr>
                <w:rFonts w:eastAsia="Times New Roman" w:cs="Calibri"/>
                <w:b/>
                <w:bCs/>
                <w:sz w:val="22"/>
                <w:lang w:eastAsia="fr-FR"/>
              </w:rPr>
              <w:t xml:space="preserve"> points)</w:t>
            </w:r>
          </w:p>
        </w:tc>
      </w:tr>
      <w:tr w:rsidR="007C15C4" w:rsidRPr="00480593" w14:paraId="46C91626" w14:textId="77777777" w:rsidTr="007C15C4">
        <w:trPr>
          <w:trHeight w:val="510"/>
        </w:trPr>
        <w:tc>
          <w:tcPr>
            <w:tcW w:w="9628" w:type="dxa"/>
            <w:shd w:val="clear" w:color="auto" w:fill="FFFFFF" w:themeFill="background1"/>
            <w:vAlign w:val="center"/>
          </w:tcPr>
          <w:p w14:paraId="234A8AE7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24C7D098" w14:textId="209A2479" w:rsidR="00A230EF" w:rsidRPr="00A230EF" w:rsidRDefault="00A230EF" w:rsidP="00A230EF">
            <w:pPr>
              <w:spacing w:line="276" w:lineRule="auto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5475F3D9" w14:textId="1A505F23" w:rsidR="00A230EF" w:rsidRDefault="00A230EF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85E8E98" w14:textId="00DE6E52" w:rsidR="00A230EF" w:rsidRDefault="00A230EF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D59A23C" w14:textId="77777777" w:rsidR="00A448B1" w:rsidRDefault="00A448B1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63B37584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614FD398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5B3299B" w14:textId="77777777" w:rsidR="009F1AB2" w:rsidRDefault="009F1AB2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23353541" w14:textId="77777777" w:rsidR="00A448B1" w:rsidRDefault="00A448B1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17B5FAB3" w14:textId="77777777" w:rsid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  <w:p w14:paraId="02245477" w14:textId="3807A0F0" w:rsidR="007C15C4" w:rsidRPr="007C15C4" w:rsidRDefault="007C15C4" w:rsidP="007C15C4">
            <w:pPr>
              <w:pStyle w:val="Paragraphedeliste"/>
              <w:spacing w:line="276" w:lineRule="auto"/>
              <w:ind w:left="306"/>
              <w:jc w:val="both"/>
              <w:rPr>
                <w:rFonts w:eastAsia="Times New Roman" w:cs="Calibri"/>
                <w:b/>
                <w:bCs/>
                <w:sz w:val="22"/>
                <w:lang w:eastAsia="fr-FR"/>
              </w:rPr>
            </w:pPr>
          </w:p>
        </w:tc>
      </w:tr>
    </w:tbl>
    <w:p w14:paraId="7F12EDFA" w14:textId="77777777" w:rsidR="00EC2024" w:rsidRDefault="00EC2024" w:rsidP="00A230EF"/>
    <w:sectPr w:rsidR="00EC2024" w:rsidSect="00A448B1">
      <w:pgSz w:w="11906" w:h="16838"/>
      <w:pgMar w:top="624" w:right="1134" w:bottom="680" w:left="1134" w:header="425" w:footer="3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A9861" w14:textId="77777777" w:rsidR="007C15C4" w:rsidRDefault="007C15C4" w:rsidP="007C15C4">
      <w:pPr>
        <w:spacing w:line="240" w:lineRule="auto"/>
      </w:pPr>
      <w:r>
        <w:separator/>
      </w:r>
    </w:p>
  </w:endnote>
  <w:endnote w:type="continuationSeparator" w:id="0">
    <w:p w14:paraId="73F28290" w14:textId="77777777" w:rsidR="007C15C4" w:rsidRDefault="007C15C4" w:rsidP="007C15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EA08" w14:textId="77777777" w:rsidR="007C15C4" w:rsidRDefault="007C15C4" w:rsidP="007C15C4">
      <w:pPr>
        <w:spacing w:line="240" w:lineRule="auto"/>
      </w:pPr>
      <w:r>
        <w:separator/>
      </w:r>
    </w:p>
  </w:footnote>
  <w:footnote w:type="continuationSeparator" w:id="0">
    <w:p w14:paraId="0722D4CD" w14:textId="77777777" w:rsidR="007C15C4" w:rsidRDefault="007C15C4" w:rsidP="007C15C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F78DF"/>
    <w:multiLevelType w:val="hybridMultilevel"/>
    <w:tmpl w:val="8AB47E38"/>
    <w:lvl w:ilvl="0" w:tplc="061479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A0400"/>
    <w:multiLevelType w:val="multilevel"/>
    <w:tmpl w:val="FE221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681466821">
    <w:abstractNumId w:val="1"/>
  </w:num>
  <w:num w:numId="2" w16cid:durableId="166290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C4"/>
    <w:rsid w:val="00345FB5"/>
    <w:rsid w:val="0070084A"/>
    <w:rsid w:val="00761311"/>
    <w:rsid w:val="007C15C4"/>
    <w:rsid w:val="00886538"/>
    <w:rsid w:val="009F1AB2"/>
    <w:rsid w:val="00A230EF"/>
    <w:rsid w:val="00A448B1"/>
    <w:rsid w:val="00EC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896E78"/>
  <w15:chartTrackingRefBased/>
  <w15:docId w15:val="{83EC86FF-8FBB-4E96-9EF4-E0EB7BB6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5C4"/>
    <w:pPr>
      <w:spacing w:after="0" w:line="192" w:lineRule="auto"/>
    </w:pPr>
    <w:rPr>
      <w:rFonts w:ascii="Calibri" w:hAnsi="Calibri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C15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C15C4"/>
    <w:rPr>
      <w:rFonts w:ascii="Calibri" w:hAnsi="Calibri"/>
      <w:sz w:val="24"/>
    </w:rPr>
  </w:style>
  <w:style w:type="table" w:styleId="Grilledutableau">
    <w:name w:val="Table Grid"/>
    <w:basedOn w:val="TableauNormal"/>
    <w:uiPriority w:val="39"/>
    <w:rsid w:val="007C1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7C15C4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C15C4"/>
    <w:rPr>
      <w:rFonts w:ascii="Calibri" w:hAnsi="Calibri"/>
      <w:sz w:val="24"/>
    </w:rPr>
  </w:style>
  <w:style w:type="character" w:styleId="Numrodepage">
    <w:name w:val="page number"/>
    <w:basedOn w:val="Policepardfaut"/>
    <w:rsid w:val="007C15C4"/>
  </w:style>
  <w:style w:type="paragraph" w:customStyle="1" w:styleId="10PIEDDEPAGE">
    <w:name w:val="10_PIED DE PAGE"/>
    <w:basedOn w:val="Normal"/>
    <w:rsid w:val="007C15C4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C15C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15C4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1254</Characters>
  <Application>Microsoft Office Word</Application>
  <DocSecurity>4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GUIGNARD</dc:creator>
  <cp:keywords/>
  <dc:description/>
  <cp:lastModifiedBy>A/D/DAF - MOUSSET Amelie</cp:lastModifiedBy>
  <cp:revision>2</cp:revision>
  <cp:lastPrinted>2023-04-06T13:45:00Z</cp:lastPrinted>
  <dcterms:created xsi:type="dcterms:W3CDTF">2023-10-06T06:11:00Z</dcterms:created>
  <dcterms:modified xsi:type="dcterms:W3CDTF">2023-10-06T06:11:00Z</dcterms:modified>
</cp:coreProperties>
</file>