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33652372" wp14:editId="4A0D9E29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83539F" w:rsidRDefault="0083539F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:rsidR="000A6A5B" w:rsidRDefault="000A6A5B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:rsidR="00FB3CFA" w:rsidRPr="00B40DAB" w:rsidRDefault="00FB3CF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2A7D07" w:rsidRPr="002A7D07" w:rsidRDefault="00C76749" w:rsidP="002A7D0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1156B4">
        <w:rPr>
          <w:rFonts w:ascii="Calibri" w:hAnsi="Calibri" w:cs="Calibri"/>
          <w:sz w:val="28"/>
          <w:szCs w:val="28"/>
        </w:rPr>
        <w:t>1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 w:rsidR="001156B4"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:rsidR="001156B4" w:rsidRPr="001156B4" w:rsidRDefault="00637FB7" w:rsidP="001156B4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32"/>
          <w:szCs w:val="28"/>
        </w:rPr>
      </w:pPr>
      <w:r w:rsidRPr="001156B4">
        <w:rPr>
          <w:rFonts w:ascii="Calibri" w:hAnsi="Calibri" w:cs="Calibri"/>
          <w:sz w:val="32"/>
          <w:szCs w:val="28"/>
        </w:rPr>
        <w:t>OBJET DU MARCHE</w:t>
      </w:r>
      <w:r w:rsidR="001B5C0A" w:rsidRPr="001156B4">
        <w:rPr>
          <w:rFonts w:ascii="Calibri" w:hAnsi="Calibri" w:cs="Calibri"/>
          <w:sz w:val="32"/>
          <w:szCs w:val="28"/>
        </w:rPr>
        <w:t xml:space="preserve"> : </w:t>
      </w:r>
    </w:p>
    <w:p w:rsidR="001156B4" w:rsidRPr="001156B4" w:rsidRDefault="001156B4" w:rsidP="001156B4">
      <w:pPr>
        <w:keepNext/>
        <w:shd w:val="clear" w:color="auto" w:fill="DBE5F1" w:themeFill="accent1" w:themeFillTint="33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2"/>
        </w:rPr>
      </w:pPr>
      <w:r w:rsidRPr="001156B4">
        <w:rPr>
          <w:rFonts w:ascii="Arial" w:hAnsi="Arial" w:cs="Arial"/>
          <w:b/>
          <w:bCs/>
          <w:sz w:val="24"/>
          <w:szCs w:val="22"/>
        </w:rPr>
        <w:t>Travaux de rénovation de la salle du conseil du 6</w:t>
      </w:r>
      <w:r w:rsidRPr="001156B4">
        <w:rPr>
          <w:rFonts w:ascii="Arial" w:hAnsi="Arial" w:cs="Arial"/>
          <w:b/>
          <w:bCs/>
          <w:sz w:val="24"/>
          <w:szCs w:val="22"/>
          <w:vertAlign w:val="superscript"/>
        </w:rPr>
        <w:t>ème</w:t>
      </w:r>
      <w:r w:rsidRPr="001156B4">
        <w:rPr>
          <w:rFonts w:ascii="Arial" w:hAnsi="Arial" w:cs="Arial"/>
          <w:b/>
          <w:bCs/>
          <w:sz w:val="24"/>
          <w:szCs w:val="22"/>
        </w:rPr>
        <w:t xml:space="preserve"> étage de l’immeuble Trieste</w:t>
      </w:r>
    </w:p>
    <w:p w:rsidR="001156B4" w:rsidRPr="001156B4" w:rsidRDefault="001156B4" w:rsidP="001156B4">
      <w:pPr>
        <w:keepNext/>
        <w:shd w:val="clear" w:color="auto" w:fill="DBE5F1" w:themeFill="accent1" w:themeFillTint="33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2"/>
        </w:rPr>
      </w:pPr>
      <w:proofErr w:type="gramStart"/>
      <w:r w:rsidRPr="001156B4">
        <w:rPr>
          <w:rFonts w:ascii="Arial" w:hAnsi="Arial" w:cs="Arial"/>
          <w:b/>
          <w:bCs/>
          <w:sz w:val="24"/>
          <w:szCs w:val="22"/>
        </w:rPr>
        <w:t>situé</w:t>
      </w:r>
      <w:proofErr w:type="gramEnd"/>
      <w:r w:rsidRPr="001156B4">
        <w:rPr>
          <w:rFonts w:ascii="Arial" w:hAnsi="Arial" w:cs="Arial"/>
          <w:b/>
          <w:bCs/>
          <w:sz w:val="24"/>
          <w:szCs w:val="22"/>
        </w:rPr>
        <w:t xml:space="preserve"> au 21 rue Georges Auric 75019 PARIS</w:t>
      </w:r>
    </w:p>
    <w:p w:rsidR="001156B4" w:rsidRPr="001156B4" w:rsidRDefault="001156B4" w:rsidP="001156B4">
      <w:pPr>
        <w:keepNext/>
        <w:shd w:val="clear" w:color="auto" w:fill="DBE5F1" w:themeFill="accent1" w:themeFillTint="33"/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  <w:sz w:val="28"/>
          <w:szCs w:val="22"/>
        </w:rPr>
      </w:pPr>
      <w:r w:rsidRPr="001156B4">
        <w:rPr>
          <w:rFonts w:ascii="Arial" w:hAnsi="Arial" w:cs="Arial"/>
          <w:b/>
          <w:bCs/>
          <w:sz w:val="28"/>
          <w:szCs w:val="22"/>
        </w:rPr>
        <w:t>Consultation n°23/021</w:t>
      </w:r>
    </w:p>
    <w:p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C76749" w:rsidRPr="00C76749" w:rsidRDefault="00C76749" w:rsidP="00C76749"/>
    <w:p w:rsidR="00C76749" w:rsidRPr="00C76749" w:rsidRDefault="00C76749" w:rsidP="00C76749"/>
    <w:p w:rsidR="0083539F" w:rsidRPr="00606756" w:rsidRDefault="004C2EA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Numéro de lot  (cocher la ou les cases correspondantes) :</w:t>
      </w:r>
    </w:p>
    <w:p w:rsidR="004C2EA5" w:rsidRPr="00596DE8" w:rsidRDefault="004C2EA5" w:rsidP="004C2EA5">
      <w:pPr>
        <w:keepNext/>
        <w:autoSpaceDE w:val="0"/>
        <w:autoSpaceDN w:val="0"/>
        <w:adjustRightInd w:val="0"/>
        <w:rPr>
          <w:rFonts w:ascii="Arial" w:hAnsi="Arial" w:cs="Arial"/>
          <w:bCs/>
          <w:i/>
          <w:sz w:val="24"/>
          <w:szCs w:val="24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4C2EA5" w:rsidRPr="00596DE8" w:rsidTr="00857090">
        <w:trPr>
          <w:trHeight w:val="171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63068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:rsidR="004C2EA5" w:rsidRPr="00596DE8" w:rsidRDefault="004C2EA5" w:rsidP="004C2EA5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596DE8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:rsidR="004C2EA5" w:rsidRPr="00596DE8" w:rsidRDefault="004C2EA5" w:rsidP="004C2EA5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</w:rPr>
            </w:pPr>
            <w:r w:rsidRPr="00596DE8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</w:rPr>
              <w:t xml:space="preserve">LOT 1 – </w:t>
            </w:r>
            <w:r w:rsidR="001156B4" w:rsidRPr="00596DE8">
              <w:rPr>
                <w:rFonts w:ascii="Calibri" w:hAnsi="Calibri" w:cs="Calibri"/>
                <w:color w:val="1F497D" w:themeColor="text2"/>
                <w:sz w:val="24"/>
                <w:szCs w:val="24"/>
              </w:rPr>
              <w:t xml:space="preserve">Installation Curage Ouvrages </w:t>
            </w:r>
            <w:r w:rsidR="00E55A0C" w:rsidRPr="00596DE8">
              <w:rPr>
                <w:rFonts w:ascii="Calibri" w:hAnsi="Calibri" w:cs="Calibri"/>
                <w:color w:val="1F497D" w:themeColor="text2"/>
                <w:sz w:val="24"/>
                <w:szCs w:val="24"/>
              </w:rPr>
              <w:t>plâtre</w:t>
            </w:r>
            <w:r w:rsidR="001156B4" w:rsidRPr="00596DE8">
              <w:rPr>
                <w:rFonts w:ascii="Calibri" w:hAnsi="Calibri" w:cs="Calibri"/>
                <w:color w:val="1F497D" w:themeColor="text2"/>
                <w:sz w:val="24"/>
                <w:szCs w:val="24"/>
              </w:rPr>
              <w:t xml:space="preserve"> Faux plafonds</w:t>
            </w:r>
          </w:p>
        </w:tc>
      </w:tr>
      <w:tr w:rsidR="004C2EA5" w:rsidRPr="00596DE8" w:rsidTr="00857090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-112153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:rsidR="004C2EA5" w:rsidRPr="00596DE8" w:rsidRDefault="004C2EA5" w:rsidP="004C2EA5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596DE8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:rsidR="004C2EA5" w:rsidRPr="00596DE8" w:rsidRDefault="004C2EA5" w:rsidP="004C2EA5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</w:rPr>
            </w:pPr>
            <w:r w:rsidRPr="00596DE8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</w:rPr>
              <w:t xml:space="preserve">LOT 2 – </w:t>
            </w:r>
            <w:r w:rsidR="001156B4" w:rsidRPr="00596DE8">
              <w:rPr>
                <w:rFonts w:ascii="Calibri" w:hAnsi="Calibri" w:cs="Arial"/>
                <w:color w:val="1F497D" w:themeColor="text2"/>
                <w:sz w:val="24"/>
                <w:szCs w:val="24"/>
              </w:rPr>
              <w:t>Menuiseries intérieure bois</w:t>
            </w:r>
          </w:p>
        </w:tc>
      </w:tr>
      <w:tr w:rsidR="004C2EA5" w:rsidRPr="00596DE8" w:rsidTr="00857090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8127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:rsidR="004C2EA5" w:rsidRPr="00596DE8" w:rsidRDefault="004C2EA5" w:rsidP="004C2EA5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596DE8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:rsidR="004C2EA5" w:rsidRPr="00596DE8" w:rsidRDefault="004C2EA5" w:rsidP="004C2EA5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noProof/>
                <w:color w:val="000000"/>
                <w:sz w:val="24"/>
                <w:szCs w:val="24"/>
              </w:rPr>
            </w:pPr>
            <w:r w:rsidRPr="00596DE8">
              <w:rPr>
                <w:rFonts w:ascii="Arial" w:eastAsiaTheme="minorEastAsia" w:hAnsi="Arial" w:cs="Arial"/>
                <w:b/>
                <w:noProof/>
                <w:color w:val="000000"/>
                <w:sz w:val="24"/>
                <w:szCs w:val="24"/>
              </w:rPr>
              <w:t xml:space="preserve">LOT 3 – </w:t>
            </w:r>
            <w:r w:rsidR="001156B4" w:rsidRPr="00596DE8">
              <w:rPr>
                <w:rFonts w:ascii="Calibri" w:hAnsi="Calibri" w:cs="Calibri"/>
                <w:color w:val="1F497D" w:themeColor="text2"/>
                <w:sz w:val="24"/>
                <w:szCs w:val="24"/>
              </w:rPr>
              <w:t>Revêtements de sols souples</w:t>
            </w:r>
          </w:p>
        </w:tc>
      </w:tr>
      <w:tr w:rsidR="004C2EA5" w:rsidRPr="00596DE8" w:rsidTr="00857090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2112240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:rsidR="004C2EA5" w:rsidRPr="00596DE8" w:rsidRDefault="004C2EA5" w:rsidP="004C2EA5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596DE8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:rsidR="004C2EA5" w:rsidRPr="00596DE8" w:rsidRDefault="004C2EA5" w:rsidP="004C2EA5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noProof/>
                <w:color w:val="000000"/>
                <w:sz w:val="24"/>
                <w:szCs w:val="24"/>
              </w:rPr>
            </w:pPr>
            <w:r w:rsidRPr="00596DE8">
              <w:rPr>
                <w:rFonts w:ascii="Arial" w:eastAsiaTheme="minorEastAsia" w:hAnsi="Arial" w:cs="Arial"/>
                <w:b/>
                <w:noProof/>
                <w:color w:val="000000"/>
                <w:sz w:val="24"/>
                <w:szCs w:val="24"/>
              </w:rPr>
              <w:t xml:space="preserve">LOT 4 – </w:t>
            </w:r>
            <w:r w:rsidR="001156B4" w:rsidRPr="00596DE8">
              <w:rPr>
                <w:rFonts w:ascii="Calibri" w:hAnsi="Calibri" w:cs="Calibri"/>
                <w:color w:val="1F497D" w:themeColor="text2"/>
                <w:sz w:val="24"/>
                <w:szCs w:val="24"/>
              </w:rPr>
              <w:t>Peinture</w:t>
            </w:r>
          </w:p>
        </w:tc>
      </w:tr>
      <w:tr w:rsidR="004C2EA5" w:rsidRPr="00596DE8" w:rsidTr="00857090">
        <w:trPr>
          <w:trHeight w:val="171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-18989634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:rsidR="004C2EA5" w:rsidRPr="00596DE8" w:rsidRDefault="004C2EA5" w:rsidP="004C2EA5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596DE8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:rsidR="004C2EA5" w:rsidRPr="00596DE8" w:rsidRDefault="004C2EA5" w:rsidP="004C2EA5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</w:rPr>
            </w:pPr>
            <w:r w:rsidRPr="00596DE8">
              <w:rPr>
                <w:rFonts w:ascii="Arial" w:eastAsiaTheme="minorEastAsia" w:hAnsi="Arial" w:cs="Arial"/>
                <w:b/>
                <w:color w:val="000000"/>
                <w:sz w:val="24"/>
                <w:szCs w:val="24"/>
              </w:rPr>
              <w:t xml:space="preserve">LOT 5 – </w:t>
            </w:r>
            <w:r w:rsidR="001156B4" w:rsidRPr="00596DE8">
              <w:rPr>
                <w:rFonts w:ascii="Calibri" w:hAnsi="Calibri" w:cs="Calibri"/>
                <w:color w:val="1F497D" w:themeColor="text2"/>
                <w:sz w:val="24"/>
                <w:szCs w:val="24"/>
              </w:rPr>
              <w:t>Electricité CFO CFA</w:t>
            </w:r>
          </w:p>
        </w:tc>
      </w:tr>
      <w:tr w:rsidR="004C2EA5" w:rsidRPr="00596DE8" w:rsidTr="00857090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1661575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:rsidR="004C2EA5" w:rsidRPr="00596DE8" w:rsidRDefault="004C2EA5" w:rsidP="004C2EA5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596DE8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:rsidR="004C2EA5" w:rsidRPr="00596DE8" w:rsidRDefault="004C2EA5" w:rsidP="004C2EA5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noProof/>
                <w:color w:val="000000"/>
                <w:sz w:val="24"/>
                <w:szCs w:val="24"/>
              </w:rPr>
            </w:pPr>
            <w:r w:rsidRPr="00596DE8">
              <w:rPr>
                <w:rFonts w:ascii="Arial" w:eastAsiaTheme="minorEastAsia" w:hAnsi="Arial" w:cs="Arial"/>
                <w:b/>
                <w:noProof/>
                <w:color w:val="000000"/>
                <w:sz w:val="24"/>
                <w:szCs w:val="24"/>
              </w:rPr>
              <w:t xml:space="preserve">LOT 8 – </w:t>
            </w:r>
            <w:r w:rsidR="001156B4" w:rsidRPr="00596DE8">
              <w:rPr>
                <w:rFonts w:ascii="Calibri" w:hAnsi="Calibri" w:cs="Calibri"/>
                <w:color w:val="1F497D" w:themeColor="text2"/>
                <w:sz w:val="24"/>
                <w:szCs w:val="24"/>
              </w:rPr>
              <w:t>Espaces verts</w:t>
            </w:r>
            <w:r w:rsidR="00E55A0C" w:rsidRPr="00596DE8">
              <w:rPr>
                <w:rFonts w:ascii="Calibri" w:hAnsi="Calibri" w:cs="Calibri"/>
                <w:color w:val="1F497D" w:themeColor="text2"/>
                <w:sz w:val="24"/>
                <w:szCs w:val="24"/>
              </w:rPr>
              <w:t xml:space="preserve"> </w:t>
            </w:r>
          </w:p>
        </w:tc>
      </w:tr>
      <w:tr w:rsidR="004C2EA5" w:rsidRPr="00596DE8" w:rsidTr="00857090">
        <w:trPr>
          <w:trHeight w:val="88"/>
        </w:trPr>
        <w:sdt>
          <w:sdtPr>
            <w:rPr>
              <w:rFonts w:ascii="Arial" w:eastAsiaTheme="minorEastAsia" w:hAnsi="Arial" w:cs="Arial"/>
              <w:sz w:val="24"/>
              <w:szCs w:val="24"/>
            </w:rPr>
            <w:id w:val="16259686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:rsidR="004C2EA5" w:rsidRPr="00596DE8" w:rsidRDefault="004C2EA5" w:rsidP="004C2EA5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="Arial" w:eastAsiaTheme="minorEastAsia" w:hAnsi="Arial" w:cs="Arial"/>
                    <w:sz w:val="24"/>
                    <w:szCs w:val="24"/>
                  </w:rPr>
                </w:pPr>
                <w:r w:rsidRPr="00596DE8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:rsidR="004C2EA5" w:rsidRPr="00596DE8" w:rsidRDefault="004C2EA5" w:rsidP="004C2EA5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noProof/>
                <w:color w:val="000000"/>
                <w:sz w:val="24"/>
                <w:szCs w:val="24"/>
              </w:rPr>
            </w:pPr>
            <w:r w:rsidRPr="00596DE8">
              <w:rPr>
                <w:rFonts w:ascii="Arial" w:eastAsiaTheme="minorEastAsia" w:hAnsi="Arial" w:cs="Arial"/>
                <w:b/>
                <w:noProof/>
                <w:color w:val="000000"/>
                <w:sz w:val="24"/>
                <w:szCs w:val="24"/>
              </w:rPr>
              <w:t>L’ensemble des lots</w:t>
            </w:r>
          </w:p>
        </w:tc>
      </w:tr>
    </w:tbl>
    <w:p w:rsidR="00C40BBE" w:rsidRPr="00596DE8" w:rsidRDefault="00C40BBE">
      <w:pPr>
        <w:rPr>
          <w:rFonts w:ascii="Calibri" w:hAnsi="Calibri" w:cs="Calibri"/>
          <w:sz w:val="24"/>
          <w:szCs w:val="24"/>
        </w:rPr>
      </w:pPr>
    </w:p>
    <w:p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73B44A0E" wp14:editId="6689EA0D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1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</w:t>
      </w:r>
      <w:r w:rsidR="008B5BA0">
        <w:rPr>
          <w:rFonts w:ascii="Calibri" w:hAnsi="Calibri" w:cs="Calibri"/>
          <w:b/>
          <w:sz w:val="22"/>
          <w:szCs w:val="22"/>
          <w:u w:val="single"/>
        </w:rPr>
        <w:t>2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8B5BA0">
        <w:rPr>
          <w:rFonts w:ascii="Calibri" w:hAnsi="Calibri" w:cs="Calibri"/>
          <w:b/>
          <w:sz w:val="22"/>
          <w:szCs w:val="22"/>
        </w:rPr>
        <w:t>5</w:t>
      </w:r>
      <w:r w:rsidR="00637FB7">
        <w:rPr>
          <w:rFonts w:ascii="Calibri" w:hAnsi="Calibri" w:cs="Calibri"/>
          <w:b/>
          <w:sz w:val="22"/>
          <w:szCs w:val="22"/>
        </w:rPr>
        <w:t>0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:rsidR="00B06763" w:rsidRPr="00B40DAB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20 %</w:t>
      </w:r>
    </w:p>
    <w:p w:rsidR="00231B15" w:rsidRDefault="004C2EA5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4C2EA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Délai d’exécution proposé pour les travaux (calendrier détaillé en jours ouvrés)</w:t>
      </w:r>
    </w:p>
    <w:p w:rsidR="00B06763" w:rsidRPr="00370B07" w:rsidRDefault="00B06763" w:rsidP="0063105C">
      <w:pPr>
        <w:rPr>
          <w:rFonts w:ascii="Calibri" w:hAnsi="Calibri" w:cs="Calibri"/>
          <w:sz w:val="16"/>
          <w:szCs w:val="16"/>
        </w:rPr>
      </w:pPr>
    </w:p>
    <w:p w:rsidR="000A063D" w:rsidRDefault="00C76749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</w:p>
    <w:p w:rsidR="00B06763" w:rsidRPr="00606756" w:rsidRDefault="00B06763" w:rsidP="0055597C">
      <w:pPr>
        <w:rPr>
          <w:rFonts w:ascii="Calibri" w:hAnsi="Calibri" w:cs="Calibri"/>
          <w:sz w:val="22"/>
          <w:szCs w:val="22"/>
        </w:rPr>
      </w:pPr>
    </w:p>
    <w:p w:rsidR="00B06763" w:rsidRPr="00B40DAB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 </w:t>
      </w:r>
      <w:r w:rsid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231B15" w:rsidRDefault="008B5BA0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Méthodologie mise en œuvre pour l’exécution des travaux </w:t>
      </w:r>
    </w:p>
    <w:p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B5BA0" w:rsidRDefault="008B5BA0" w:rsidP="00250717">
      <w:pPr>
        <w:rPr>
          <w:rFonts w:ascii="Calibri" w:hAnsi="Calibri" w:cs="Calibri"/>
          <w:sz w:val="22"/>
          <w:szCs w:val="22"/>
        </w:rPr>
      </w:pPr>
    </w:p>
    <w:p w:rsidR="008B5BA0" w:rsidRPr="00B40DAB" w:rsidRDefault="008B5BA0" w:rsidP="008B5B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2.3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20 %</w:t>
      </w:r>
    </w:p>
    <w:p w:rsidR="008B5BA0" w:rsidRDefault="008B5BA0" w:rsidP="008B5B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Moyens humains dédiés au chantier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8B5BA0" w:rsidRDefault="008B5BA0" w:rsidP="008B5BA0">
      <w:pPr>
        <w:rPr>
          <w:rFonts w:ascii="Calibri" w:hAnsi="Calibri" w:cs="Calibri"/>
          <w:sz w:val="22"/>
          <w:szCs w:val="22"/>
        </w:rPr>
      </w:pPr>
    </w:p>
    <w:p w:rsidR="008B5BA0" w:rsidRDefault="008B5BA0" w:rsidP="008B5BA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B5BA0" w:rsidRDefault="008B5BA0" w:rsidP="00250717">
      <w:pPr>
        <w:rPr>
          <w:rFonts w:ascii="Calibri" w:hAnsi="Calibri" w:cs="Calibri"/>
          <w:sz w:val="22"/>
          <w:szCs w:val="22"/>
        </w:rPr>
      </w:pPr>
    </w:p>
    <w:p w:rsidR="0009301A" w:rsidRDefault="0009301A" w:rsidP="0055597C">
      <w:pPr>
        <w:rPr>
          <w:rFonts w:ascii="Calibri" w:hAnsi="Calibri" w:cs="Calibri"/>
          <w:sz w:val="22"/>
          <w:szCs w:val="22"/>
          <w:highlight w:val="yellow"/>
        </w:rPr>
      </w:pPr>
    </w:p>
    <w:p w:rsidR="00B06763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</w:t>
      </w:r>
      <w:r w:rsidR="008B5BA0">
        <w:rPr>
          <w:rFonts w:ascii="Calibri" w:hAnsi="Calibri" w:cs="Calibri"/>
          <w:b/>
          <w:sz w:val="22"/>
          <w:szCs w:val="22"/>
          <w:u w:val="single"/>
        </w:rPr>
        <w:t>3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8B5BA0">
        <w:rPr>
          <w:rFonts w:ascii="Calibri" w:hAnsi="Calibri" w:cs="Calibri"/>
          <w:b/>
          <w:sz w:val="22"/>
          <w:szCs w:val="22"/>
        </w:rPr>
        <w:t>DEMARCHE ENVIRONNEM</w:t>
      </w:r>
      <w:r w:rsidR="00733546">
        <w:rPr>
          <w:rFonts w:ascii="Calibri" w:hAnsi="Calibri" w:cs="Calibri"/>
          <w:b/>
          <w:sz w:val="22"/>
          <w:szCs w:val="22"/>
        </w:rPr>
        <w:t>EN</w:t>
      </w:r>
      <w:bookmarkStart w:id="2" w:name="_GoBack"/>
      <w:bookmarkEnd w:id="2"/>
      <w:r w:rsidR="008B5BA0">
        <w:rPr>
          <w:rFonts w:ascii="Calibri" w:hAnsi="Calibri" w:cs="Calibri"/>
          <w:b/>
          <w:sz w:val="22"/>
          <w:szCs w:val="22"/>
        </w:rPr>
        <w:t xml:space="preserve">TALE </w:t>
      </w:r>
      <w:r w:rsidR="00B06763" w:rsidRPr="00970F25">
        <w:rPr>
          <w:rFonts w:ascii="Calibri" w:hAnsi="Calibri" w:cs="Calibri"/>
          <w:b/>
          <w:sz w:val="22"/>
          <w:szCs w:val="22"/>
        </w:rPr>
        <w:t>(</w:t>
      </w:r>
      <w:r w:rsidR="0009301A" w:rsidRPr="00970F25">
        <w:rPr>
          <w:rFonts w:ascii="Calibri" w:hAnsi="Calibri" w:cs="Calibri"/>
          <w:b/>
          <w:sz w:val="22"/>
          <w:szCs w:val="22"/>
        </w:rPr>
        <w:t>5/100</w:t>
      </w:r>
      <w:r w:rsidR="00B06763" w:rsidRPr="00970F25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:rsidR="00B06763" w:rsidRPr="00B06763" w:rsidRDefault="00B06763" w:rsidP="0055597C">
      <w:pPr>
        <w:rPr>
          <w:rFonts w:ascii="Calibri" w:hAnsi="Calibri" w:cs="Calibri"/>
          <w:b/>
          <w:szCs w:val="22"/>
        </w:rPr>
      </w:pPr>
    </w:p>
    <w:p w:rsidR="00553BDB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3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 : Note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 </w:t>
      </w:r>
      <w:r w:rsid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5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231B15" w:rsidRDefault="008B5BA0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Dispositions proposées pour la valorisation ou l’élimination des déchets générés pendant les travaux </w:t>
      </w:r>
    </w:p>
    <w:p w:rsidR="00231B15" w:rsidRDefault="00231B15" w:rsidP="00BB03E2">
      <w:pPr>
        <w:rPr>
          <w:rFonts w:ascii="Calibri" w:hAnsi="Calibri" w:cs="Calibri"/>
          <w:sz w:val="22"/>
          <w:szCs w:val="22"/>
        </w:rPr>
      </w:pPr>
    </w:p>
    <w:p w:rsidR="00250717" w:rsidRPr="00606756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3" w:name="Texte5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3"/>
    </w:p>
    <w:p w:rsidR="0009301A" w:rsidRPr="0009301A" w:rsidRDefault="0009301A" w:rsidP="0009301A">
      <w:pPr>
        <w:tabs>
          <w:tab w:val="left" w:pos="4500"/>
        </w:tabs>
        <w:rPr>
          <w:rFonts w:ascii="Arial" w:hAnsi="Arial" w:cs="Arial"/>
        </w:rPr>
      </w:pPr>
    </w:p>
    <w:sectPr w:rsidR="0009301A" w:rsidRPr="0009301A" w:rsidSect="00C76749">
      <w:headerReference w:type="default" r:id="rId12"/>
      <w:footerReference w:type="default" r:id="rId13"/>
      <w:headerReference w:type="first" r:id="rId14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A16" w:rsidRDefault="00B41A16">
      <w:r>
        <w:separator/>
      </w:r>
    </w:p>
  </w:endnote>
  <w:endnote w:type="continuationSeparator" w:id="0">
    <w:p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16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049A7" w:rsidRPr="006879A3" w:rsidRDefault="004049A7" w:rsidP="004049A7">
            <w:pPr>
              <w:ind w:left="-68" w:right="-425"/>
              <w:rPr>
                <w:rFonts w:ascii="Calibri" w:hAnsi="Calibri" w:cs="Tahoma"/>
                <w:sz w:val="18"/>
              </w:rPr>
            </w:pPr>
            <w:r>
              <w:rPr>
                <w:rFonts w:ascii="Calibri" w:hAnsi="Calibri" w:cs="Tahoma"/>
                <w:sz w:val="18"/>
              </w:rPr>
              <w:t>Annexe n°</w:t>
            </w:r>
            <w:r w:rsidR="00637FB7">
              <w:rPr>
                <w:rFonts w:ascii="Calibri" w:hAnsi="Calibri" w:cs="Tahoma"/>
                <w:sz w:val="18"/>
              </w:rPr>
              <w:t>1</w:t>
            </w:r>
            <w:r w:rsidR="00145F92">
              <w:rPr>
                <w:rFonts w:ascii="Calibri" w:hAnsi="Calibri" w:cs="Tahoma"/>
                <w:sz w:val="18"/>
              </w:rPr>
              <w:t xml:space="preserve"> CCTP</w:t>
            </w:r>
            <w:r>
              <w:rPr>
                <w:rFonts w:ascii="Calibri" w:hAnsi="Calibri" w:cs="Tahoma"/>
                <w:sz w:val="18"/>
              </w:rPr>
              <w:t xml:space="preserve"> – Cadre de réponse techn</w:t>
            </w:r>
            <w:r w:rsidR="00145F92">
              <w:rPr>
                <w:rFonts w:ascii="Calibri" w:hAnsi="Calibri" w:cs="Tahoma"/>
                <w:sz w:val="18"/>
              </w:rPr>
              <w:t>ique - Numéro de consultation : Travaux de rénovation de la salle du conseil du 6</w:t>
            </w:r>
            <w:r w:rsidR="00145F92" w:rsidRPr="00145F92">
              <w:rPr>
                <w:rFonts w:ascii="Calibri" w:hAnsi="Calibri" w:cs="Tahoma"/>
                <w:sz w:val="18"/>
                <w:vertAlign w:val="superscript"/>
              </w:rPr>
              <w:t>ème</w:t>
            </w:r>
            <w:r w:rsidR="00145F92">
              <w:rPr>
                <w:rFonts w:ascii="Calibri" w:hAnsi="Calibri" w:cs="Tahoma"/>
                <w:sz w:val="18"/>
              </w:rPr>
              <w:t xml:space="preserve"> étage de l’immeuble Trieste situé au 21 rue Georges Auric 75019 PARIS</w:t>
            </w:r>
          </w:p>
          <w:p w:rsidR="00043099" w:rsidRPr="004049A7" w:rsidRDefault="00637FB7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  <w:sz w:val="18"/>
              </w:rPr>
              <w:t xml:space="preserve">Objet du marché : </w:t>
            </w:r>
            <w:r w:rsidR="00145F92">
              <w:rPr>
                <w:rFonts w:ascii="Calibri" w:hAnsi="Calibri" w:cs="Tahoma"/>
                <w:sz w:val="18"/>
              </w:rPr>
              <w:t>23-021</w:t>
            </w:r>
            <w:r w:rsidR="004049A7"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ab/>
              <w:t xml:space="preserve">      </w:t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 xml:space="preserve">  </w:t>
            </w:r>
            <w:r w:rsidR="004049A7" w:rsidRPr="004049A7">
              <w:rPr>
                <w:rFonts w:asciiTheme="minorHAnsi" w:hAnsiTheme="minorHAnsi" w:cstheme="minorHAnsi"/>
                <w:sz w:val="16"/>
              </w:rPr>
              <w:t xml:space="preserve">Page 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="004049A7"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PAGE</w:instrTex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733546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  <w:r w:rsidR="004049A7" w:rsidRPr="004049A7">
              <w:rPr>
                <w:rFonts w:asciiTheme="minorHAnsi" w:hAnsiTheme="minorHAnsi" w:cstheme="minorHAnsi"/>
                <w:sz w:val="16"/>
              </w:rPr>
              <w:t xml:space="preserve"> sur 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="004049A7"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NUMPAGES</w:instrTex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733546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A16" w:rsidRDefault="00B41A16">
      <w:r>
        <w:separator/>
      </w:r>
    </w:p>
  </w:footnote>
  <w:footnote w:type="continuationSeparator" w:id="0">
    <w:p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5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3F"/>
    <w:rsid w:val="0002383A"/>
    <w:rsid w:val="0002597A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156B4"/>
    <w:rsid w:val="00126729"/>
    <w:rsid w:val="00126AEB"/>
    <w:rsid w:val="001340C9"/>
    <w:rsid w:val="001354B1"/>
    <w:rsid w:val="00137644"/>
    <w:rsid w:val="0014097C"/>
    <w:rsid w:val="00145F92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4800"/>
    <w:rsid w:val="00225CF0"/>
    <w:rsid w:val="00227631"/>
    <w:rsid w:val="002309B0"/>
    <w:rsid w:val="00231B15"/>
    <w:rsid w:val="00236035"/>
    <w:rsid w:val="002453E7"/>
    <w:rsid w:val="00250717"/>
    <w:rsid w:val="002529F7"/>
    <w:rsid w:val="002550CD"/>
    <w:rsid w:val="00256FFD"/>
    <w:rsid w:val="002578F3"/>
    <w:rsid w:val="00262E39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49A5"/>
    <w:rsid w:val="002C655E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A6382"/>
    <w:rsid w:val="003B4551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45B07"/>
    <w:rsid w:val="004640ED"/>
    <w:rsid w:val="004704D2"/>
    <w:rsid w:val="00470628"/>
    <w:rsid w:val="00472151"/>
    <w:rsid w:val="00473AE3"/>
    <w:rsid w:val="0047638F"/>
    <w:rsid w:val="00477548"/>
    <w:rsid w:val="004815E2"/>
    <w:rsid w:val="0048168E"/>
    <w:rsid w:val="0048488B"/>
    <w:rsid w:val="00485D1E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2EA5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16F6B"/>
    <w:rsid w:val="005178F9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96DE8"/>
    <w:rsid w:val="005B5F97"/>
    <w:rsid w:val="005B646E"/>
    <w:rsid w:val="005C3190"/>
    <w:rsid w:val="005C7D63"/>
    <w:rsid w:val="005E0260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5A04"/>
    <w:rsid w:val="006B1753"/>
    <w:rsid w:val="006B3DB8"/>
    <w:rsid w:val="006B5A5A"/>
    <w:rsid w:val="006C689C"/>
    <w:rsid w:val="006D395C"/>
    <w:rsid w:val="006D5B19"/>
    <w:rsid w:val="006E2A38"/>
    <w:rsid w:val="006E39D2"/>
    <w:rsid w:val="006F2FAC"/>
    <w:rsid w:val="006F49B8"/>
    <w:rsid w:val="00702101"/>
    <w:rsid w:val="00706D5B"/>
    <w:rsid w:val="007111D1"/>
    <w:rsid w:val="007204A1"/>
    <w:rsid w:val="00723C1F"/>
    <w:rsid w:val="007270EC"/>
    <w:rsid w:val="00727AC3"/>
    <w:rsid w:val="00730D66"/>
    <w:rsid w:val="00733546"/>
    <w:rsid w:val="00736EF6"/>
    <w:rsid w:val="00741752"/>
    <w:rsid w:val="00745E62"/>
    <w:rsid w:val="00746DCE"/>
    <w:rsid w:val="0075036D"/>
    <w:rsid w:val="007544A4"/>
    <w:rsid w:val="0076125F"/>
    <w:rsid w:val="0076155C"/>
    <w:rsid w:val="0077431B"/>
    <w:rsid w:val="00783A67"/>
    <w:rsid w:val="0078621A"/>
    <w:rsid w:val="00786689"/>
    <w:rsid w:val="00787BD5"/>
    <w:rsid w:val="00791214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3CA6"/>
    <w:rsid w:val="007D6A69"/>
    <w:rsid w:val="007F1F3F"/>
    <w:rsid w:val="007F5A00"/>
    <w:rsid w:val="007F6B45"/>
    <w:rsid w:val="00802290"/>
    <w:rsid w:val="00820427"/>
    <w:rsid w:val="00820B9F"/>
    <w:rsid w:val="0083049E"/>
    <w:rsid w:val="0083366E"/>
    <w:rsid w:val="0083539F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54C3"/>
    <w:rsid w:val="008B1F94"/>
    <w:rsid w:val="008B5BA0"/>
    <w:rsid w:val="008C1E9D"/>
    <w:rsid w:val="008C2C83"/>
    <w:rsid w:val="008C3770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69EA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9034D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1837"/>
    <w:rsid w:val="00B31383"/>
    <w:rsid w:val="00B32E18"/>
    <w:rsid w:val="00B40DAB"/>
    <w:rsid w:val="00B41A16"/>
    <w:rsid w:val="00B4633A"/>
    <w:rsid w:val="00B56450"/>
    <w:rsid w:val="00B74EEC"/>
    <w:rsid w:val="00B7703E"/>
    <w:rsid w:val="00B928A1"/>
    <w:rsid w:val="00BA0D99"/>
    <w:rsid w:val="00BA79FA"/>
    <w:rsid w:val="00BB03E2"/>
    <w:rsid w:val="00BB435C"/>
    <w:rsid w:val="00BB6F85"/>
    <w:rsid w:val="00BB7637"/>
    <w:rsid w:val="00BD07DA"/>
    <w:rsid w:val="00BD2E23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76749"/>
    <w:rsid w:val="00C96741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517A8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68D4"/>
    <w:rsid w:val="00E55A0C"/>
    <w:rsid w:val="00E55B23"/>
    <w:rsid w:val="00E66CE8"/>
    <w:rsid w:val="00E67329"/>
    <w:rsid w:val="00E70F57"/>
    <w:rsid w:val="00E76ED8"/>
    <w:rsid w:val="00E801D2"/>
    <w:rsid w:val="00E87A0C"/>
    <w:rsid w:val="00EA5A7D"/>
    <w:rsid w:val="00EA63DA"/>
    <w:rsid w:val="00EA686B"/>
    <w:rsid w:val="00EB4138"/>
    <w:rsid w:val="00EB6606"/>
    <w:rsid w:val="00ED2925"/>
    <w:rsid w:val="00ED5166"/>
    <w:rsid w:val="00ED6C95"/>
    <w:rsid w:val="00F02B78"/>
    <w:rsid w:val="00F04E7B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B3CFA"/>
    <w:rsid w:val="00FC1EAB"/>
    <w:rsid w:val="00FC5980"/>
    <w:rsid w:val="00FC6414"/>
    <w:rsid w:val="00FC7BA3"/>
    <w:rsid w:val="00FD2A5E"/>
    <w:rsid w:val="00FD4E9D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cid:image006.png@01D6F493.77B85FB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DDD9C-A711-4511-9B35-1CA61FF30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266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TOCNY GINA (CPAM PARIS)</cp:lastModifiedBy>
  <cp:revision>11</cp:revision>
  <cp:lastPrinted>2018-01-03T13:37:00Z</cp:lastPrinted>
  <dcterms:created xsi:type="dcterms:W3CDTF">2023-08-29T12:43:00Z</dcterms:created>
  <dcterms:modified xsi:type="dcterms:W3CDTF">2023-09-19T13:20:00Z</dcterms:modified>
</cp:coreProperties>
</file>