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2FE" w:rsidRDefault="00E622FE" w:rsidP="00E622FE">
      <w:pPr>
        <w:pStyle w:val="ZEmetteur"/>
        <w:tabs>
          <w:tab w:val="left" w:pos="5529"/>
        </w:tabs>
      </w:pPr>
      <w:bookmarkStart w:id="0" w:name="_GoBack"/>
      <w:bookmarkEnd w:id="0"/>
    </w:p>
    <w:p w:rsidR="00E622FE" w:rsidRDefault="00E622FE" w:rsidP="00E622FE">
      <w:pPr>
        <w:pStyle w:val="ZEmetteur"/>
        <w:tabs>
          <w:tab w:val="left" w:pos="5529"/>
        </w:tabs>
      </w:pPr>
      <w:r>
        <w:drawing>
          <wp:anchor distT="0" distB="0" distL="114300" distR="114300" simplePos="0" relativeHeight="251659264" behindDoc="0" locked="0" layoutInCell="1" allowOverlap="1" wp14:anchorId="68724FDA" wp14:editId="046E4F57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Service du commissariat des armées</w:t>
      </w:r>
    </w:p>
    <w:p w:rsidR="00E622FE" w:rsidRPr="0002051B" w:rsidRDefault="00E622FE" w:rsidP="00E622FE">
      <w:pPr>
        <w:pStyle w:val="ZEmetteur"/>
      </w:pPr>
      <w:r>
        <w:t>Plate-forme commissariat Rambouillet</w:t>
      </w:r>
    </w:p>
    <w:p w:rsidR="00E622FE" w:rsidRPr="0002051B" w:rsidRDefault="00E622FE" w:rsidP="00E622FE">
      <w:pPr>
        <w:pStyle w:val="ZEmetteur"/>
      </w:pPr>
      <w:r>
        <w:t>Division Achats Publics</w:t>
      </w:r>
    </w:p>
    <w:p w:rsidR="00E622FE" w:rsidRDefault="00E622FE" w:rsidP="00E622FE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:rsidR="00902A06" w:rsidRDefault="00902A06" w:rsidP="00E622FE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:rsidR="00902A06" w:rsidRDefault="00902A06" w:rsidP="00902A06">
      <w:pPr>
        <w:jc w:val="center"/>
        <w:rPr>
          <w:rFonts w:ascii="Arial" w:hAnsi="Arial" w:cs="Arial"/>
          <w:b/>
        </w:rPr>
      </w:pPr>
    </w:p>
    <w:p w:rsidR="00DF302F" w:rsidRPr="00902A06" w:rsidRDefault="00902A06" w:rsidP="00902A06">
      <w:pPr>
        <w:jc w:val="center"/>
        <w:rPr>
          <w:rFonts w:ascii="Arial" w:hAnsi="Arial" w:cs="Arial"/>
          <w:b/>
        </w:rPr>
      </w:pPr>
      <w:r w:rsidRPr="00902A06">
        <w:rPr>
          <w:rFonts w:ascii="Arial" w:hAnsi="Arial" w:cs="Arial"/>
          <w:b/>
        </w:rPr>
        <w:t xml:space="preserve">ANNEXE </w:t>
      </w:r>
      <w:r w:rsidR="006B44C3">
        <w:rPr>
          <w:rFonts w:ascii="Arial" w:hAnsi="Arial" w:cs="Arial"/>
          <w:b/>
        </w:rPr>
        <w:t>1.</w:t>
      </w:r>
      <w:r w:rsidR="006441E4">
        <w:rPr>
          <w:rFonts w:ascii="Arial" w:hAnsi="Arial" w:cs="Arial"/>
          <w:b/>
        </w:rPr>
        <w:t>3</w:t>
      </w:r>
      <w:r w:rsidR="00162197">
        <w:rPr>
          <w:rFonts w:ascii="Arial" w:hAnsi="Arial" w:cs="Arial"/>
          <w:b/>
        </w:rPr>
        <w:t xml:space="preserve"> </w:t>
      </w:r>
      <w:r w:rsidR="00D67AE3">
        <w:rPr>
          <w:rFonts w:ascii="Arial" w:hAnsi="Arial" w:cs="Arial"/>
          <w:b/>
        </w:rPr>
        <w:t>REGLEMENT DE CONSULTATION</w:t>
      </w:r>
    </w:p>
    <w:p w:rsidR="00E622FE" w:rsidRDefault="00E622FE"/>
    <w:p w:rsidR="00902A06" w:rsidRDefault="00902A06"/>
    <w:p w:rsidR="00E622FE" w:rsidRPr="0043534C" w:rsidRDefault="003D1E70" w:rsidP="00E62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636"/>
          <w:tab w:val="center" w:pos="4140"/>
        </w:tabs>
        <w:jc w:val="center"/>
        <w:rPr>
          <w:rFonts w:ascii="Arial" w:hAnsi="Arial" w:cs="Arial"/>
          <w:b/>
          <w:szCs w:val="20"/>
        </w:rPr>
      </w:pPr>
      <w:r w:rsidRPr="0043534C">
        <w:rPr>
          <w:rFonts w:ascii="Arial" w:hAnsi="Arial" w:cs="Arial"/>
          <w:b/>
          <w:szCs w:val="20"/>
        </w:rPr>
        <w:t xml:space="preserve">QUESTIONNAIRE DE PERFORMANCE </w:t>
      </w:r>
      <w:r w:rsidR="006441E4" w:rsidRPr="0043534C">
        <w:rPr>
          <w:rFonts w:ascii="Arial" w:hAnsi="Arial" w:cs="Arial"/>
          <w:b/>
          <w:szCs w:val="20"/>
        </w:rPr>
        <w:t>SOCIALE</w:t>
      </w:r>
    </w:p>
    <w:p w:rsidR="00E622FE" w:rsidRPr="002968C7" w:rsidRDefault="00E622FE" w:rsidP="00E622FE">
      <w:pPr>
        <w:jc w:val="center"/>
        <w:rPr>
          <w:rFonts w:ascii="Arial" w:hAnsi="Arial" w:cs="Arial"/>
          <w:sz w:val="20"/>
          <w:szCs w:val="20"/>
        </w:rPr>
      </w:pPr>
    </w:p>
    <w:p w:rsidR="00E622FE" w:rsidRDefault="00E622FE" w:rsidP="00E622FE">
      <w:pPr>
        <w:jc w:val="center"/>
        <w:rPr>
          <w:rFonts w:ascii="Arial" w:hAnsi="Arial" w:cs="Arial"/>
          <w:sz w:val="20"/>
          <w:szCs w:val="20"/>
        </w:rPr>
      </w:pPr>
    </w:p>
    <w:p w:rsidR="00902A06" w:rsidRPr="00A4370B" w:rsidRDefault="00A4370B" w:rsidP="00E622FE">
      <w:pPr>
        <w:jc w:val="center"/>
        <w:rPr>
          <w:rFonts w:ascii="Arial" w:hAnsi="Arial" w:cs="Arial"/>
          <w:b/>
          <w:sz w:val="20"/>
          <w:szCs w:val="20"/>
        </w:rPr>
      </w:pPr>
      <w:r w:rsidRPr="00A4370B">
        <w:rPr>
          <w:rFonts w:ascii="Arial" w:hAnsi="Arial" w:cs="Arial"/>
          <w:b/>
          <w:sz w:val="20"/>
          <w:szCs w:val="20"/>
        </w:rPr>
        <w:t>DAF 2023</w:t>
      </w:r>
      <w:r w:rsidR="003D1E70">
        <w:rPr>
          <w:rFonts w:ascii="Arial" w:hAnsi="Arial" w:cs="Arial"/>
          <w:b/>
          <w:sz w:val="20"/>
          <w:szCs w:val="20"/>
        </w:rPr>
        <w:t>_000821</w:t>
      </w:r>
    </w:p>
    <w:p w:rsidR="00E622FE" w:rsidRDefault="003D1E70" w:rsidP="00E622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FABRICATION DE KITS D’EXTRACTION D’URGENCE EEB</w:t>
      </w:r>
    </w:p>
    <w:p w:rsidR="00B677F8" w:rsidRPr="002968C7" w:rsidRDefault="00B677F8" w:rsidP="00E622FE">
      <w:pPr>
        <w:jc w:val="center"/>
        <w:rPr>
          <w:rFonts w:ascii="Arial" w:hAnsi="Arial" w:cs="Arial"/>
          <w:b/>
          <w:sz w:val="20"/>
          <w:szCs w:val="20"/>
        </w:rPr>
      </w:pPr>
    </w:p>
    <w:p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:rsidR="004F2888" w:rsidRDefault="00E622FE" w:rsidP="00E622FE">
      <w:pPr>
        <w:jc w:val="both"/>
        <w:rPr>
          <w:rFonts w:ascii="Arial" w:hAnsi="Arial" w:cs="Arial"/>
          <w:sz w:val="20"/>
          <w:szCs w:val="20"/>
        </w:rPr>
      </w:pPr>
      <w:r w:rsidRPr="002968C7">
        <w:rPr>
          <w:rFonts w:ascii="Arial" w:hAnsi="Arial" w:cs="Arial"/>
          <w:sz w:val="20"/>
          <w:szCs w:val="20"/>
        </w:rPr>
        <w:t xml:space="preserve">Afin d’analyser </w:t>
      </w:r>
      <w:r w:rsidR="004F2888">
        <w:rPr>
          <w:rFonts w:ascii="Arial" w:hAnsi="Arial" w:cs="Arial"/>
          <w:sz w:val="20"/>
          <w:szCs w:val="20"/>
        </w:rPr>
        <w:t>la performance sociale, l’acheteur décide de privilégier l’insertion par l’activité économique, notamment l’obligation d’emploi des travailleurs handicapés (OETH)</w:t>
      </w:r>
      <w:r w:rsidR="00B52C18">
        <w:rPr>
          <w:rFonts w:ascii="Arial" w:hAnsi="Arial" w:cs="Arial"/>
          <w:sz w:val="20"/>
          <w:szCs w:val="20"/>
        </w:rPr>
        <w:t xml:space="preserve"> au titre de l’année 2022</w:t>
      </w:r>
      <w:r w:rsidR="004F2888">
        <w:rPr>
          <w:rFonts w:ascii="Arial" w:hAnsi="Arial" w:cs="Arial"/>
          <w:sz w:val="20"/>
          <w:szCs w:val="20"/>
        </w:rPr>
        <w:t>.</w:t>
      </w:r>
    </w:p>
    <w:p w:rsidR="0043534C" w:rsidRDefault="0043534C" w:rsidP="00E622FE">
      <w:pPr>
        <w:jc w:val="both"/>
        <w:rPr>
          <w:rFonts w:ascii="Arial" w:hAnsi="Arial" w:cs="Arial"/>
          <w:sz w:val="20"/>
          <w:szCs w:val="20"/>
        </w:rPr>
      </w:pPr>
    </w:p>
    <w:p w:rsidR="00E622FE" w:rsidRPr="002968C7" w:rsidRDefault="004F2888" w:rsidP="00E622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E622FE" w:rsidRPr="002968C7">
        <w:rPr>
          <w:rFonts w:ascii="Arial" w:hAnsi="Arial" w:cs="Arial"/>
          <w:sz w:val="20"/>
          <w:szCs w:val="20"/>
        </w:rPr>
        <w:t xml:space="preserve">es candidats sont invités à compléter et à joindre à leur offre le questionnaire suivant. </w:t>
      </w:r>
    </w:p>
    <w:p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:rsidR="00BC6CE7" w:rsidRDefault="00BC6CE7" w:rsidP="00BC6CE7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765A46">
        <w:rPr>
          <w:rFonts w:ascii="Arial" w:hAnsi="Arial" w:cs="Arial"/>
          <w:b/>
          <w:color w:val="FF0000"/>
          <w:sz w:val="20"/>
          <w:szCs w:val="20"/>
        </w:rPr>
        <w:t xml:space="preserve">NB : Chaque réponse devra être </w:t>
      </w:r>
      <w:r w:rsidR="006A5291">
        <w:rPr>
          <w:rFonts w:ascii="Arial" w:hAnsi="Arial" w:cs="Arial"/>
          <w:b/>
          <w:color w:val="FF0000"/>
          <w:sz w:val="20"/>
          <w:szCs w:val="20"/>
        </w:rPr>
        <w:t>justifiée</w:t>
      </w:r>
      <w:r w:rsidR="006A5291" w:rsidRPr="00765A46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765A46">
        <w:rPr>
          <w:rFonts w:ascii="Arial" w:hAnsi="Arial" w:cs="Arial"/>
          <w:b/>
          <w:color w:val="FF0000"/>
          <w:sz w:val="20"/>
          <w:szCs w:val="20"/>
        </w:rPr>
        <w:t>par la fourniture de pièces justificatives.</w:t>
      </w:r>
    </w:p>
    <w:p w:rsidR="00BC6CE7" w:rsidRPr="00765A46" w:rsidRDefault="00BC6CE7" w:rsidP="00BC6CE7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Sans justification, la question concernée sera créditée de zéro (0) point.</w:t>
      </w:r>
    </w:p>
    <w:p w:rsidR="0043534C" w:rsidRDefault="0043534C" w:rsidP="004F2888">
      <w:pPr>
        <w:tabs>
          <w:tab w:val="left" w:pos="4820"/>
        </w:tabs>
        <w:rPr>
          <w:rFonts w:ascii="Arial" w:hAnsi="Arial" w:cs="Arial"/>
          <w:sz w:val="20"/>
          <w:szCs w:val="20"/>
        </w:rPr>
      </w:pPr>
    </w:p>
    <w:p w:rsidR="0043534C" w:rsidRDefault="0043534C" w:rsidP="006929C5">
      <w:pPr>
        <w:tabs>
          <w:tab w:val="left" w:pos="48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Les données demandées sont transmises par l’URSAFF, via la Déclaration Sociale Nominative (DSN). Les candidats </w:t>
      </w:r>
      <w:r w:rsidR="006929C5">
        <w:rPr>
          <w:rFonts w:ascii="Arial" w:hAnsi="Arial" w:cs="Arial"/>
          <w:sz w:val="20"/>
          <w:szCs w:val="20"/>
        </w:rPr>
        <w:t xml:space="preserve">basés en France </w:t>
      </w:r>
      <w:r>
        <w:rPr>
          <w:rFonts w:ascii="Arial" w:hAnsi="Arial" w:cs="Arial"/>
          <w:sz w:val="20"/>
          <w:szCs w:val="20"/>
        </w:rPr>
        <w:t xml:space="preserve">ne disposant pas de ce </w:t>
      </w:r>
      <w:r w:rsidR="006929C5">
        <w:rPr>
          <w:rFonts w:ascii="Arial" w:hAnsi="Arial" w:cs="Arial"/>
          <w:sz w:val="20"/>
          <w:szCs w:val="20"/>
        </w:rPr>
        <w:t xml:space="preserve">justificatif, ou basés à l’étranger </w:t>
      </w:r>
      <w:r>
        <w:rPr>
          <w:rFonts w:ascii="Arial" w:hAnsi="Arial" w:cs="Arial"/>
          <w:sz w:val="20"/>
          <w:szCs w:val="20"/>
        </w:rPr>
        <w:t>sont invités à justifier leurs données par tout moyen de preuve à leur convenance.</w:t>
      </w:r>
      <w:r w:rsidR="006929C5">
        <w:rPr>
          <w:rFonts w:ascii="Arial" w:hAnsi="Arial" w:cs="Arial"/>
          <w:sz w:val="20"/>
          <w:szCs w:val="20"/>
        </w:rPr>
        <w:t xml:space="preserve"> Sans aucun justificatif, l’item du candidat concerné se verra attribuer une note de 0 point.</w:t>
      </w:r>
    </w:p>
    <w:p w:rsidR="0043534C" w:rsidRDefault="0043534C" w:rsidP="004F2888">
      <w:pPr>
        <w:tabs>
          <w:tab w:val="left" w:pos="4820"/>
        </w:tabs>
        <w:rPr>
          <w:rFonts w:ascii="Arial" w:hAnsi="Arial" w:cs="Arial"/>
          <w:sz w:val="20"/>
          <w:szCs w:val="20"/>
        </w:rPr>
      </w:pPr>
    </w:p>
    <w:p w:rsidR="00AA1C88" w:rsidRPr="00B52C18" w:rsidRDefault="004F2888" w:rsidP="004F2888">
      <w:pPr>
        <w:tabs>
          <w:tab w:val="left" w:pos="4820"/>
        </w:tabs>
        <w:rPr>
          <w:rFonts w:ascii="Arial" w:hAnsi="Arial" w:cs="Arial"/>
          <w:sz w:val="20"/>
          <w:szCs w:val="20"/>
          <w:u w:val="single"/>
        </w:rPr>
      </w:pPr>
      <w:r w:rsidRPr="00B52C18">
        <w:rPr>
          <w:rFonts w:ascii="Arial" w:hAnsi="Arial" w:cs="Arial"/>
          <w:sz w:val="20"/>
          <w:szCs w:val="20"/>
          <w:u w:val="single"/>
        </w:rPr>
        <w:t>Les bénéficiaires de l’OETH sont :</w:t>
      </w:r>
    </w:p>
    <w:p w:rsidR="00B52C18" w:rsidRPr="00B52C18" w:rsidRDefault="00B52C18" w:rsidP="00A047E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B52C18">
        <w:rPr>
          <w:rFonts w:ascii="Arial" w:hAnsi="Arial" w:cs="Arial"/>
          <w:sz w:val="20"/>
          <w:szCs w:val="20"/>
        </w:rPr>
        <w:t>les</w:t>
      </w:r>
      <w:proofErr w:type="gramEnd"/>
      <w:r w:rsidRPr="00B52C18">
        <w:rPr>
          <w:rFonts w:ascii="Arial" w:hAnsi="Arial" w:cs="Arial"/>
          <w:sz w:val="20"/>
          <w:szCs w:val="20"/>
        </w:rPr>
        <w:t xml:space="preserve"> travailleurs reconnus handicapés (RQTH) par la commission des droits et de l'autonomie des personnes handicapées (CDAPH) ; </w:t>
      </w:r>
    </w:p>
    <w:p w:rsidR="00B52C18" w:rsidRPr="00B52C18" w:rsidRDefault="00B52C18" w:rsidP="00A047E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B52C18">
        <w:rPr>
          <w:rFonts w:ascii="Arial" w:hAnsi="Arial" w:cs="Arial"/>
          <w:sz w:val="20"/>
          <w:szCs w:val="20"/>
        </w:rPr>
        <w:t>les</w:t>
      </w:r>
      <w:proofErr w:type="gramEnd"/>
      <w:r w:rsidRPr="00B52C18">
        <w:rPr>
          <w:rFonts w:ascii="Arial" w:hAnsi="Arial" w:cs="Arial"/>
          <w:sz w:val="20"/>
          <w:szCs w:val="20"/>
        </w:rPr>
        <w:t xml:space="preserve"> victimes d'accidents du travail ou de maladies professionnelles (AT-MP) ayant entraîné une incapacité permanente </w:t>
      </w:r>
      <w:r w:rsidR="00A047E8">
        <w:rPr>
          <w:rFonts w:ascii="Arial" w:hAnsi="Arial" w:cs="Arial"/>
          <w:sz w:val="20"/>
          <w:szCs w:val="20"/>
        </w:rPr>
        <w:t xml:space="preserve">partielle </w:t>
      </w:r>
      <w:r w:rsidRPr="00B52C18">
        <w:rPr>
          <w:rFonts w:ascii="Arial" w:hAnsi="Arial" w:cs="Arial"/>
          <w:sz w:val="20"/>
          <w:szCs w:val="20"/>
        </w:rPr>
        <w:t xml:space="preserve">(IPP) au moins égale à 10 % et titulaires d'une rente attribuée au titre du régime général de sécurité sociale ou de tout autre régime de protection sociale obligatoire ; </w:t>
      </w:r>
    </w:p>
    <w:p w:rsidR="00B52C18" w:rsidRPr="00B52C18" w:rsidRDefault="00B52C18" w:rsidP="00A047E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B52C18">
        <w:rPr>
          <w:rFonts w:ascii="Arial" w:hAnsi="Arial" w:cs="Arial"/>
          <w:sz w:val="20"/>
          <w:szCs w:val="20"/>
        </w:rPr>
        <w:t>les</w:t>
      </w:r>
      <w:proofErr w:type="gramEnd"/>
      <w:r w:rsidRPr="00B52C18">
        <w:rPr>
          <w:rFonts w:ascii="Arial" w:hAnsi="Arial" w:cs="Arial"/>
          <w:sz w:val="20"/>
          <w:szCs w:val="20"/>
        </w:rPr>
        <w:t xml:space="preserve"> titulaires d'une pension d'invalidité attribuée au titre du régime général de sécurité sociale, de tout autre régime de protection sociale obligatoire ou au titre des dispositions régissant les agents publics à condition que l'invalidité des intéressés réduise au moins des deux tiers leur capacité de travail ou de gain ; </w:t>
      </w:r>
    </w:p>
    <w:p w:rsidR="00B52C18" w:rsidRPr="00B52C18" w:rsidRDefault="00B52C18" w:rsidP="00A047E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B52C18">
        <w:rPr>
          <w:rFonts w:ascii="Arial" w:hAnsi="Arial" w:cs="Arial"/>
          <w:sz w:val="20"/>
          <w:szCs w:val="20"/>
        </w:rPr>
        <w:t>les</w:t>
      </w:r>
      <w:proofErr w:type="gramEnd"/>
      <w:r w:rsidRPr="00B52C18">
        <w:rPr>
          <w:rFonts w:ascii="Arial" w:hAnsi="Arial" w:cs="Arial"/>
          <w:sz w:val="20"/>
          <w:szCs w:val="20"/>
        </w:rPr>
        <w:t xml:space="preserve"> anciens militaires titulaires d’une pension militaire d’invalidité ; </w:t>
      </w:r>
    </w:p>
    <w:p w:rsidR="00B52C18" w:rsidRPr="00B52C18" w:rsidRDefault="00B52C18" w:rsidP="00A047E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B52C18">
        <w:rPr>
          <w:rFonts w:ascii="Arial" w:hAnsi="Arial" w:cs="Arial"/>
          <w:sz w:val="20"/>
          <w:szCs w:val="20"/>
        </w:rPr>
        <w:t>les</w:t>
      </w:r>
      <w:proofErr w:type="gramEnd"/>
      <w:r w:rsidRPr="00B52C18">
        <w:rPr>
          <w:rFonts w:ascii="Arial" w:hAnsi="Arial" w:cs="Arial"/>
          <w:sz w:val="20"/>
          <w:szCs w:val="20"/>
        </w:rPr>
        <w:t xml:space="preserve"> sapeurs-pompiers volontaires bénéficiaires d’une allocation ou d’une rente d’invalidité ; </w:t>
      </w:r>
    </w:p>
    <w:p w:rsidR="00B52C18" w:rsidRPr="00B52C18" w:rsidRDefault="00B52C18" w:rsidP="00A047E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proofErr w:type="gramStart"/>
      <w:r w:rsidRPr="00B52C18">
        <w:rPr>
          <w:rFonts w:ascii="Arial" w:hAnsi="Arial" w:cs="Arial"/>
          <w:sz w:val="20"/>
          <w:szCs w:val="20"/>
        </w:rPr>
        <w:t>les</w:t>
      </w:r>
      <w:proofErr w:type="gramEnd"/>
      <w:r w:rsidRPr="00B52C18">
        <w:rPr>
          <w:rFonts w:ascii="Arial" w:hAnsi="Arial" w:cs="Arial"/>
          <w:sz w:val="20"/>
          <w:szCs w:val="20"/>
        </w:rPr>
        <w:t xml:space="preserve"> détenteurs de la Carte mobilité inclusion (CMI) mention « Invalidité » ;  </w:t>
      </w:r>
    </w:p>
    <w:p w:rsidR="004F2888" w:rsidRPr="00B52C18" w:rsidRDefault="00B52C18" w:rsidP="00A047E8">
      <w:pPr>
        <w:pStyle w:val="Paragraphedeliste"/>
        <w:numPr>
          <w:ilvl w:val="0"/>
          <w:numId w:val="5"/>
        </w:numPr>
        <w:tabs>
          <w:tab w:val="left" w:pos="4820"/>
        </w:tabs>
        <w:jc w:val="both"/>
        <w:rPr>
          <w:rFonts w:ascii="Arial" w:hAnsi="Arial" w:cs="Arial"/>
          <w:sz w:val="20"/>
          <w:szCs w:val="20"/>
        </w:rPr>
      </w:pPr>
      <w:proofErr w:type="gramStart"/>
      <w:r w:rsidRPr="00B52C18">
        <w:rPr>
          <w:rFonts w:ascii="Arial" w:hAnsi="Arial" w:cs="Arial"/>
          <w:sz w:val="20"/>
          <w:szCs w:val="20"/>
        </w:rPr>
        <w:t>les</w:t>
      </w:r>
      <w:proofErr w:type="gramEnd"/>
      <w:r w:rsidRPr="00B52C18">
        <w:rPr>
          <w:rFonts w:ascii="Arial" w:hAnsi="Arial" w:cs="Arial"/>
          <w:sz w:val="20"/>
          <w:szCs w:val="20"/>
        </w:rPr>
        <w:t xml:space="preserve"> bénéficiaires de l’Allocation aux adultes handicapés (AAH)</w:t>
      </w:r>
      <w:r>
        <w:rPr>
          <w:rFonts w:ascii="Arial" w:hAnsi="Arial" w:cs="Arial"/>
          <w:sz w:val="20"/>
          <w:szCs w:val="20"/>
        </w:rPr>
        <w:t>.</w:t>
      </w:r>
    </w:p>
    <w:p w:rsidR="00B52C18" w:rsidRDefault="00B52C18" w:rsidP="008B102D">
      <w:pPr>
        <w:tabs>
          <w:tab w:val="left" w:pos="4820"/>
        </w:tabs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B52C18">
        <w:rPr>
          <w:rFonts w:ascii="Arial" w:eastAsia="Calibri" w:hAnsi="Arial" w:cs="Arial"/>
          <w:sz w:val="20"/>
          <w:szCs w:val="20"/>
          <w:u w:val="single"/>
          <w:lang w:eastAsia="en-US"/>
        </w:rPr>
        <w:t>Méthode de calcul utilisée pour la définition du taux d’emploi :</w:t>
      </w:r>
    </w:p>
    <w:p w:rsidR="00436959" w:rsidRPr="00B52C18" w:rsidRDefault="00436959" w:rsidP="008B102D">
      <w:pPr>
        <w:tabs>
          <w:tab w:val="left" w:pos="4820"/>
        </w:tabs>
        <w:rPr>
          <w:rFonts w:ascii="Arial" w:eastAsia="Calibri" w:hAnsi="Arial" w:cs="Arial"/>
          <w:sz w:val="20"/>
          <w:szCs w:val="20"/>
          <w:u w:val="single"/>
          <w:lang w:eastAsia="en-US"/>
        </w:rPr>
      </w:pPr>
    </w:p>
    <w:p w:rsidR="004F2888" w:rsidRDefault="00B52C18" w:rsidP="00B52C18">
      <w:pPr>
        <w:tabs>
          <w:tab w:val="left" w:pos="482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m:oMathPara>
        <m:oMath>
          <m:r>
            <w:rPr>
              <w:rFonts w:ascii="Cambria Math" w:eastAsia="Calibri" w:hAnsi="Cambria Math" w:cs="Arial"/>
              <w:sz w:val="20"/>
              <w:szCs w:val="20"/>
              <w:lang w:eastAsia="en-US"/>
            </w:rPr>
            <m:t>Taux OETH</m:t>
          </m:r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  <w:lang w:eastAsia="en-US"/>
            </w:rPr>
            <m:t>=</m:t>
          </m:r>
          <m:f>
            <m:fPr>
              <m:ctrl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>Effectif moyen annuel OETH</m:t>
              </m:r>
            </m:num>
            <m:den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Effectif moyen annuel </m:t>
              </m:r>
              <m:sSup>
                <m:sSupPr>
                  <m:ctrlP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  <m:t>d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>assujetissement</m:t>
              </m:r>
            </m:den>
          </m:f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x</m:t>
          </m:r>
          <m:r>
            <w:rPr>
              <w:rFonts w:ascii="Cambria Math" w:eastAsia="Calibri" w:hAnsi="Cambria Math" w:cs="Arial"/>
              <w:sz w:val="20"/>
              <w:szCs w:val="20"/>
              <w:lang w:eastAsia="en-US"/>
            </w:rPr>
            <m:t xml:space="preserve"> 100</m:t>
          </m:r>
        </m:oMath>
      </m:oMathPara>
    </w:p>
    <w:p w:rsidR="00B52C18" w:rsidRDefault="00B52C18" w:rsidP="008B102D">
      <w:pPr>
        <w:tabs>
          <w:tab w:val="left" w:pos="4820"/>
        </w:tabs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Avec :</w:t>
      </w:r>
    </w:p>
    <w:p w:rsidR="00B52C18" w:rsidRDefault="00B52C18" w:rsidP="00A047E8">
      <w:pPr>
        <w:tabs>
          <w:tab w:val="left" w:pos="4820"/>
        </w:tabs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Effectif OETH : nombre de personnel entrant dans la définition des bénéficiaires OETH répondant à la définit</w:t>
      </w:r>
      <w:r w:rsidR="00FF40E9">
        <w:rPr>
          <w:rFonts w:ascii="Arial" w:eastAsia="Calibri" w:hAnsi="Arial" w:cs="Arial"/>
          <w:sz w:val="20"/>
          <w:szCs w:val="20"/>
          <w:lang w:eastAsia="en-US"/>
        </w:rPr>
        <w:t>ion</w:t>
      </w:r>
      <w:r w:rsidR="00F30BCD">
        <w:rPr>
          <w:rFonts w:ascii="Arial" w:eastAsia="Calibri" w:hAnsi="Arial" w:cs="Arial"/>
          <w:sz w:val="20"/>
          <w:szCs w:val="20"/>
          <w:lang w:eastAsia="en-US"/>
        </w:rPr>
        <w:t xml:space="preserve"> ci-dessus.</w:t>
      </w:r>
    </w:p>
    <w:p w:rsidR="00B52C18" w:rsidRDefault="00B52C18" w:rsidP="00A047E8">
      <w:pPr>
        <w:tabs>
          <w:tab w:val="left" w:pos="4820"/>
        </w:tabs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Effectif d’assujettissement : </w:t>
      </w:r>
      <w:r w:rsidR="00FF40E9">
        <w:rPr>
          <w:rFonts w:ascii="Arial" w:eastAsia="Calibri" w:hAnsi="Arial" w:cs="Arial"/>
          <w:sz w:val="20"/>
          <w:szCs w:val="20"/>
          <w:lang w:eastAsia="en-US"/>
        </w:rPr>
        <w:t>ensemble des salariés permanents de l’entreprise</w:t>
      </w:r>
      <w:r w:rsidR="002D1070">
        <w:rPr>
          <w:rFonts w:ascii="Arial" w:eastAsia="Calibri" w:hAnsi="Arial" w:cs="Arial"/>
          <w:sz w:val="20"/>
          <w:szCs w:val="20"/>
          <w:lang w:eastAsia="en-US"/>
        </w:rPr>
        <w:t>.</w:t>
      </w:r>
      <w:r w:rsidR="00FF40E9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FF40E9" w:rsidRDefault="00FF40E9" w:rsidP="00A047E8">
      <w:pPr>
        <w:tabs>
          <w:tab w:val="left" w:pos="4820"/>
        </w:tabs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FF40E9" w:rsidRDefault="00FF40E9" w:rsidP="008B102D">
      <w:pPr>
        <w:tabs>
          <w:tab w:val="left" w:pos="4820"/>
        </w:tabs>
        <w:rPr>
          <w:rFonts w:ascii="Arial" w:eastAsia="Calibri" w:hAnsi="Arial" w:cs="Arial"/>
          <w:sz w:val="20"/>
          <w:szCs w:val="20"/>
          <w:lang w:eastAsia="en-US"/>
        </w:rPr>
      </w:pPr>
      <w:r w:rsidRPr="00FF40E9">
        <w:rPr>
          <w:rFonts w:ascii="Arial" w:eastAsia="Calibri" w:hAnsi="Arial" w:cs="Arial"/>
          <w:sz w:val="20"/>
          <w:szCs w:val="20"/>
          <w:u w:val="single"/>
          <w:lang w:eastAsia="en-US"/>
        </w:rPr>
        <w:t>Période prise en compte :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Année 2022</w:t>
      </w:r>
    </w:p>
    <w:p w:rsidR="00F30BCD" w:rsidRDefault="00F30BCD" w:rsidP="008B102D">
      <w:pPr>
        <w:tabs>
          <w:tab w:val="left" w:pos="4820"/>
        </w:tabs>
        <w:rPr>
          <w:rFonts w:ascii="Arial" w:eastAsia="Calibri" w:hAnsi="Arial" w:cs="Arial"/>
          <w:b/>
          <w:sz w:val="20"/>
          <w:szCs w:val="20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28"/>
        <w:gridCol w:w="802"/>
        <w:gridCol w:w="802"/>
        <w:gridCol w:w="802"/>
        <w:gridCol w:w="802"/>
        <w:gridCol w:w="801"/>
        <w:gridCol w:w="802"/>
        <w:gridCol w:w="802"/>
        <w:gridCol w:w="802"/>
        <w:gridCol w:w="804"/>
        <w:gridCol w:w="803"/>
        <w:gridCol w:w="803"/>
        <w:gridCol w:w="803"/>
      </w:tblGrid>
      <w:tr w:rsidR="0043534C" w:rsidTr="006929C5">
        <w:tc>
          <w:tcPr>
            <w:tcW w:w="828" w:type="dxa"/>
          </w:tcPr>
          <w:p w:rsidR="0043534C" w:rsidRPr="006929C5" w:rsidRDefault="0043534C" w:rsidP="0043534C">
            <w:pPr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  <w:r w:rsidRPr="006929C5"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802" w:type="dxa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Janv.</w:t>
            </w:r>
          </w:p>
        </w:tc>
        <w:tc>
          <w:tcPr>
            <w:tcW w:w="802" w:type="dxa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Fév.</w:t>
            </w:r>
          </w:p>
        </w:tc>
        <w:tc>
          <w:tcPr>
            <w:tcW w:w="802" w:type="dxa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Mars</w:t>
            </w:r>
          </w:p>
        </w:tc>
        <w:tc>
          <w:tcPr>
            <w:tcW w:w="802" w:type="dxa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Avr.</w:t>
            </w:r>
          </w:p>
        </w:tc>
        <w:tc>
          <w:tcPr>
            <w:tcW w:w="801" w:type="dxa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Mai</w:t>
            </w:r>
          </w:p>
        </w:tc>
        <w:tc>
          <w:tcPr>
            <w:tcW w:w="802" w:type="dxa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Juin</w:t>
            </w:r>
          </w:p>
        </w:tc>
        <w:tc>
          <w:tcPr>
            <w:tcW w:w="802" w:type="dxa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Juil.</w:t>
            </w:r>
          </w:p>
        </w:tc>
        <w:tc>
          <w:tcPr>
            <w:tcW w:w="802" w:type="dxa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Aout</w:t>
            </w:r>
          </w:p>
        </w:tc>
        <w:tc>
          <w:tcPr>
            <w:tcW w:w="804" w:type="dxa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Sept.</w:t>
            </w:r>
          </w:p>
        </w:tc>
        <w:tc>
          <w:tcPr>
            <w:tcW w:w="803" w:type="dxa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Oct.</w:t>
            </w:r>
          </w:p>
        </w:tc>
        <w:tc>
          <w:tcPr>
            <w:tcW w:w="803" w:type="dxa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Nov.</w:t>
            </w:r>
          </w:p>
        </w:tc>
        <w:tc>
          <w:tcPr>
            <w:tcW w:w="803" w:type="dxa"/>
          </w:tcPr>
          <w:p w:rsidR="0043534C" w:rsidRDefault="00C412B3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Déc.</w:t>
            </w:r>
          </w:p>
        </w:tc>
      </w:tr>
      <w:tr w:rsidR="0043534C" w:rsidTr="006929C5">
        <w:tc>
          <w:tcPr>
            <w:tcW w:w="828" w:type="dxa"/>
          </w:tcPr>
          <w:p w:rsidR="0043534C" w:rsidRPr="0043534C" w:rsidRDefault="0043534C" w:rsidP="0043534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353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Effectif OETH</w:t>
            </w:r>
          </w:p>
        </w:tc>
        <w:tc>
          <w:tcPr>
            <w:tcW w:w="802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2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2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2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1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2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2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2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4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3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3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3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</w:tr>
      <w:tr w:rsidR="0043534C" w:rsidTr="006929C5">
        <w:tc>
          <w:tcPr>
            <w:tcW w:w="828" w:type="dxa"/>
          </w:tcPr>
          <w:p w:rsidR="0043534C" w:rsidRPr="0043534C" w:rsidRDefault="0043534C" w:rsidP="0043534C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3534C">
              <w:rPr>
                <w:rFonts w:ascii="Arial" w:eastAsia="Calibri" w:hAnsi="Arial" w:cs="Arial"/>
                <w:sz w:val="20"/>
                <w:szCs w:val="20"/>
                <w:lang w:eastAsia="en-US"/>
              </w:rPr>
              <w:t>Effectif total</w:t>
            </w:r>
          </w:p>
        </w:tc>
        <w:tc>
          <w:tcPr>
            <w:tcW w:w="802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2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2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2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1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2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2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2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4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3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3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803" w:type="dxa"/>
            <w:vAlign w:val="center"/>
          </w:tcPr>
          <w:p w:rsidR="0043534C" w:rsidRDefault="0043534C" w:rsidP="0043534C">
            <w:pPr>
              <w:jc w:val="center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…..</w:t>
            </w:r>
          </w:p>
        </w:tc>
      </w:tr>
    </w:tbl>
    <w:p w:rsidR="0043534C" w:rsidRDefault="0043534C" w:rsidP="00FF40E9">
      <w:pPr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F30BCD" w:rsidRDefault="00F30BCD" w:rsidP="00FF40E9">
      <w:pPr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6929C5" w:rsidRPr="00716C8D" w:rsidRDefault="006929C5" w:rsidP="006929C5">
      <w:pPr>
        <w:tabs>
          <w:tab w:val="left" w:pos="4820"/>
        </w:tabs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 xml:space="preserve">Effectif OETH moyen annuel* du candidat sur l’année 2022 </w:t>
      </w:r>
      <w:r w:rsidRPr="00F30BCD">
        <w:rPr>
          <w:rFonts w:ascii="Arial" w:eastAsia="Calibri" w:hAnsi="Arial" w:cs="Arial"/>
          <w:i/>
          <w:sz w:val="20"/>
          <w:szCs w:val="20"/>
          <w:lang w:eastAsia="en-US"/>
        </w:rPr>
        <w:t>(arrondi à l’entier supérieur)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716C8D">
        <w:rPr>
          <w:rFonts w:ascii="Arial" w:eastAsia="Calibri" w:hAnsi="Arial" w:cs="Arial"/>
          <w:b/>
          <w:sz w:val="20"/>
          <w:szCs w:val="20"/>
          <w:lang w:eastAsia="en-US"/>
        </w:rPr>
        <w:t xml:space="preserve">: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1C4F49">
        <w:rPr>
          <w:rFonts w:ascii="Arial" w:eastAsia="Calibri" w:hAnsi="Arial" w:cs="Arial"/>
          <w:b/>
          <w:sz w:val="20"/>
          <w:szCs w:val="20"/>
          <w:bdr w:val="single" w:sz="4" w:space="0" w:color="auto"/>
          <w:lang w:eastAsia="en-US"/>
        </w:rPr>
        <w:t xml:space="preserve"> </w:t>
      </w:r>
      <w:r w:rsidRPr="00D67AE3">
        <w:rPr>
          <w:rFonts w:ascii="Arial" w:eastAsia="Calibri" w:hAnsi="Arial" w:cs="Arial"/>
          <w:b/>
          <w:color w:val="FFFFFF" w:themeColor="background1"/>
          <w:sz w:val="36"/>
          <w:szCs w:val="20"/>
          <w:bdr w:val="single" w:sz="4" w:space="0" w:color="auto"/>
          <w:lang w:eastAsia="en-US"/>
        </w:rPr>
        <w:t>123410</w:t>
      </w:r>
      <w:r w:rsidRPr="001C4F49">
        <w:rPr>
          <w:rFonts w:ascii="Arial" w:eastAsia="Calibri" w:hAnsi="Arial" w:cs="Arial"/>
          <w:b/>
          <w:sz w:val="20"/>
          <w:szCs w:val="20"/>
          <w:bdr w:val="single" w:sz="4" w:space="0" w:color="auto"/>
          <w:lang w:eastAsia="en-US"/>
        </w:rPr>
        <w:t xml:space="preserve">                   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:rsidR="006929C5" w:rsidRDefault="006929C5" w:rsidP="006929C5">
      <w:pPr>
        <w:tabs>
          <w:tab w:val="left" w:pos="4820"/>
        </w:tabs>
        <w:rPr>
          <w:rFonts w:ascii="Arial" w:eastAsia="Calibri" w:hAnsi="Arial" w:cs="Arial"/>
          <w:sz w:val="20"/>
          <w:szCs w:val="20"/>
          <w:lang w:eastAsia="en-US"/>
        </w:rPr>
      </w:pPr>
    </w:p>
    <w:p w:rsidR="006929C5" w:rsidRPr="00716C8D" w:rsidRDefault="006929C5" w:rsidP="006929C5">
      <w:pPr>
        <w:tabs>
          <w:tab w:val="left" w:pos="4820"/>
        </w:tabs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Effectif total moyen annuel* du candidat sur l’année 2022 </w:t>
      </w:r>
      <w:r w:rsidRPr="00F30BCD">
        <w:rPr>
          <w:rFonts w:ascii="Arial" w:eastAsia="Calibri" w:hAnsi="Arial" w:cs="Arial"/>
          <w:i/>
          <w:sz w:val="20"/>
          <w:szCs w:val="20"/>
          <w:lang w:eastAsia="en-US"/>
        </w:rPr>
        <w:t>(arrondi à l’entier supérieur)</w:t>
      </w:r>
      <w:r w:rsidRPr="00716C8D">
        <w:rPr>
          <w:rFonts w:ascii="Arial" w:eastAsia="Calibri" w:hAnsi="Arial" w:cs="Arial"/>
          <w:b/>
          <w:sz w:val="20"/>
          <w:szCs w:val="20"/>
          <w:lang w:eastAsia="en-US"/>
        </w:rPr>
        <w:t xml:space="preserve"> :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1C4F49">
        <w:rPr>
          <w:rFonts w:ascii="Arial" w:eastAsia="Calibri" w:hAnsi="Arial" w:cs="Arial"/>
          <w:b/>
          <w:color w:val="FFFFFF" w:themeColor="background1"/>
          <w:sz w:val="36"/>
          <w:szCs w:val="20"/>
          <w:bdr w:val="single" w:sz="4" w:space="0" w:color="auto"/>
          <w:lang w:eastAsia="en-US"/>
        </w:rPr>
        <w:t>123410</w:t>
      </w:r>
    </w:p>
    <w:p w:rsidR="006929C5" w:rsidRDefault="006929C5" w:rsidP="006929C5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6929C5" w:rsidRDefault="006929C5" w:rsidP="006929C5">
      <w:pPr>
        <w:rPr>
          <w:rFonts w:ascii="Arial" w:eastAsia="Calibri" w:hAnsi="Arial" w:cs="Arial"/>
          <w:i/>
          <w:sz w:val="20"/>
          <w:szCs w:val="20"/>
          <w:lang w:eastAsia="en-US"/>
        </w:rPr>
      </w:pPr>
      <w:r w:rsidRPr="00F30BCD">
        <w:rPr>
          <w:rFonts w:ascii="Arial" w:eastAsia="Calibri" w:hAnsi="Arial" w:cs="Arial"/>
          <w:i/>
          <w:sz w:val="20"/>
          <w:szCs w:val="20"/>
          <w:lang w:eastAsia="en-US"/>
        </w:rPr>
        <w:t xml:space="preserve">(*) Les effectifs moyens annuels au titre de l’année 2022, </w:t>
      </w:r>
      <w:r>
        <w:rPr>
          <w:rFonts w:ascii="Arial" w:eastAsia="Calibri" w:hAnsi="Arial" w:cs="Arial"/>
          <w:i/>
          <w:sz w:val="20"/>
          <w:szCs w:val="20"/>
          <w:lang w:eastAsia="en-US"/>
        </w:rPr>
        <w:t xml:space="preserve">sont </w:t>
      </w:r>
      <w:r w:rsidRPr="00F30BCD">
        <w:rPr>
          <w:rFonts w:ascii="Arial" w:eastAsia="Calibri" w:hAnsi="Arial" w:cs="Arial"/>
          <w:i/>
          <w:sz w:val="20"/>
          <w:szCs w:val="20"/>
          <w:lang w:eastAsia="en-US"/>
        </w:rPr>
        <w:t>calculés sur la base des moyennes des effectifs déterminés chaque mois au titre de cette même année civile 2022 (de janvier à décembre).</w:t>
      </w:r>
    </w:p>
    <w:p w:rsidR="006929C5" w:rsidRDefault="006929C5" w:rsidP="006929C5">
      <w:pPr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6929C5" w:rsidRDefault="006929C5" w:rsidP="00FF40E9">
      <w:pPr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6929C5" w:rsidRPr="00B5449B" w:rsidRDefault="00B5449B" w:rsidP="00FF40E9">
      <w:pPr>
        <w:rPr>
          <w:rFonts w:ascii="Arial" w:eastAsia="Calibri" w:hAnsi="Arial" w:cs="Arial"/>
          <w:i/>
          <w:sz w:val="20"/>
          <w:szCs w:val="20"/>
          <w:u w:val="single"/>
          <w:lang w:eastAsia="en-US"/>
        </w:rPr>
      </w:pPr>
      <w:r w:rsidRPr="00B5449B">
        <w:rPr>
          <w:rFonts w:ascii="Arial" w:eastAsia="Calibri" w:hAnsi="Arial" w:cs="Arial"/>
          <w:i/>
          <w:sz w:val="20"/>
          <w:szCs w:val="20"/>
          <w:u w:val="single"/>
          <w:lang w:eastAsia="en-US"/>
        </w:rPr>
        <w:t>Grille d’évaluation :</w:t>
      </w:r>
    </w:p>
    <w:p w:rsidR="00B5449B" w:rsidRDefault="00B5449B" w:rsidP="00FF40E9">
      <w:pPr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B5449B" w:rsidRDefault="00B5449B" w:rsidP="00FF40E9">
      <w:pPr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6929C5" w:rsidRDefault="006929C5" w:rsidP="00FF40E9">
      <w:pPr>
        <w:rPr>
          <w:rFonts w:ascii="Arial" w:eastAsia="Calibri" w:hAnsi="Arial" w:cs="Arial"/>
          <w:i/>
          <w:sz w:val="20"/>
          <w:szCs w:val="20"/>
          <w:lang w:eastAsia="en-US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20"/>
        <w:gridCol w:w="2483"/>
        <w:gridCol w:w="1070"/>
      </w:tblGrid>
      <w:tr w:rsidR="00927519" w:rsidRPr="00927519" w:rsidTr="00674767">
        <w:trPr>
          <w:jc w:val="center"/>
        </w:trPr>
        <w:tc>
          <w:tcPr>
            <w:tcW w:w="2120" w:type="dxa"/>
            <w:vMerge w:val="restart"/>
            <w:vAlign w:val="center"/>
          </w:tcPr>
          <w:p w:rsidR="00927519" w:rsidRPr="00927519" w:rsidRDefault="00927519" w:rsidP="00927519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927519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Taux OETH</w:t>
            </w:r>
          </w:p>
        </w:tc>
        <w:tc>
          <w:tcPr>
            <w:tcW w:w="2483" w:type="dxa"/>
            <w:vAlign w:val="center"/>
          </w:tcPr>
          <w:p w:rsidR="00927519" w:rsidRPr="00927519" w:rsidRDefault="00927519" w:rsidP="00927519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27519">
              <w:rPr>
                <w:rFonts w:ascii="Arial" w:hAnsi="Arial" w:cs="Arial"/>
                <w:b/>
                <w:iCs/>
                <w:sz w:val="20"/>
                <w:szCs w:val="20"/>
              </w:rPr>
              <w:t>Condition d’attribution</w:t>
            </w:r>
          </w:p>
        </w:tc>
        <w:tc>
          <w:tcPr>
            <w:tcW w:w="1070" w:type="dxa"/>
            <w:vAlign w:val="center"/>
          </w:tcPr>
          <w:p w:rsidR="00927519" w:rsidRPr="00927519" w:rsidRDefault="00927519" w:rsidP="00927519">
            <w:pPr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27519">
              <w:rPr>
                <w:rFonts w:ascii="Arial" w:hAnsi="Arial" w:cs="Arial"/>
                <w:b/>
                <w:iCs/>
                <w:sz w:val="20"/>
                <w:szCs w:val="20"/>
              </w:rPr>
              <w:t>Nombre de points</w:t>
            </w:r>
          </w:p>
        </w:tc>
      </w:tr>
      <w:tr w:rsidR="00927519" w:rsidRPr="00927519" w:rsidTr="00674767">
        <w:trPr>
          <w:jc w:val="center"/>
        </w:trPr>
        <w:tc>
          <w:tcPr>
            <w:tcW w:w="2120" w:type="dxa"/>
            <w:vMerge/>
            <w:vAlign w:val="center"/>
          </w:tcPr>
          <w:p w:rsidR="00927519" w:rsidRPr="00927519" w:rsidRDefault="00927519" w:rsidP="00927519">
            <w:pPr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483" w:type="dxa"/>
          </w:tcPr>
          <w:p w:rsidR="00927519" w:rsidRPr="00927519" w:rsidRDefault="00927519" w:rsidP="00927519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27519">
              <w:rPr>
                <w:rFonts w:ascii="Arial" w:hAnsi="Arial" w:cs="Arial"/>
                <w:iCs/>
                <w:sz w:val="20"/>
                <w:szCs w:val="20"/>
              </w:rPr>
              <w:t>Taux ≥ 8 %</w:t>
            </w:r>
          </w:p>
        </w:tc>
        <w:tc>
          <w:tcPr>
            <w:tcW w:w="1070" w:type="dxa"/>
            <w:vAlign w:val="center"/>
          </w:tcPr>
          <w:p w:rsidR="00927519" w:rsidRPr="00927519" w:rsidRDefault="00927519" w:rsidP="00927519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27519">
              <w:rPr>
                <w:rFonts w:ascii="Arial" w:hAnsi="Arial" w:cs="Arial"/>
                <w:iCs/>
                <w:sz w:val="20"/>
                <w:szCs w:val="20"/>
              </w:rPr>
              <w:t>100</w:t>
            </w:r>
          </w:p>
        </w:tc>
      </w:tr>
      <w:tr w:rsidR="00927519" w:rsidRPr="00927519" w:rsidTr="00674767">
        <w:trPr>
          <w:trHeight w:val="245"/>
          <w:jc w:val="center"/>
        </w:trPr>
        <w:tc>
          <w:tcPr>
            <w:tcW w:w="2120" w:type="dxa"/>
            <w:vMerge/>
            <w:vAlign w:val="center"/>
          </w:tcPr>
          <w:p w:rsidR="00927519" w:rsidRPr="00927519" w:rsidRDefault="00927519" w:rsidP="00927519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483" w:type="dxa"/>
          </w:tcPr>
          <w:p w:rsidR="00927519" w:rsidRPr="00927519" w:rsidRDefault="00927519" w:rsidP="00927519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27519">
              <w:rPr>
                <w:rFonts w:ascii="Arial" w:hAnsi="Arial" w:cs="Arial"/>
                <w:iCs/>
                <w:sz w:val="20"/>
                <w:szCs w:val="20"/>
              </w:rPr>
              <w:t>Taux ≥ 7,5 % et &lt; 8 %</w:t>
            </w:r>
          </w:p>
        </w:tc>
        <w:tc>
          <w:tcPr>
            <w:tcW w:w="1070" w:type="dxa"/>
            <w:vAlign w:val="center"/>
          </w:tcPr>
          <w:p w:rsidR="00927519" w:rsidRPr="00927519" w:rsidRDefault="00927519" w:rsidP="00927519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27519">
              <w:rPr>
                <w:rFonts w:ascii="Arial" w:hAnsi="Arial" w:cs="Arial"/>
                <w:iCs/>
                <w:sz w:val="20"/>
                <w:szCs w:val="20"/>
              </w:rPr>
              <w:t>75</w:t>
            </w:r>
          </w:p>
        </w:tc>
      </w:tr>
      <w:tr w:rsidR="00927519" w:rsidRPr="00927519" w:rsidTr="00674767">
        <w:trPr>
          <w:trHeight w:val="245"/>
          <w:jc w:val="center"/>
        </w:trPr>
        <w:tc>
          <w:tcPr>
            <w:tcW w:w="2120" w:type="dxa"/>
            <w:vMerge/>
            <w:vAlign w:val="center"/>
          </w:tcPr>
          <w:p w:rsidR="00927519" w:rsidRPr="00927519" w:rsidRDefault="00927519" w:rsidP="00927519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483" w:type="dxa"/>
          </w:tcPr>
          <w:p w:rsidR="00927519" w:rsidRPr="00927519" w:rsidRDefault="00927519" w:rsidP="00927519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927519">
              <w:rPr>
                <w:rFonts w:ascii="Arial" w:hAnsi="Arial" w:cs="Arial"/>
                <w:iCs/>
                <w:sz w:val="20"/>
                <w:szCs w:val="20"/>
              </w:rPr>
              <w:t>Taux ≥ 6,5 % et &lt; 7 %</w:t>
            </w:r>
          </w:p>
        </w:tc>
        <w:tc>
          <w:tcPr>
            <w:tcW w:w="1070" w:type="dxa"/>
            <w:vAlign w:val="center"/>
          </w:tcPr>
          <w:p w:rsidR="00927519" w:rsidRPr="00927519" w:rsidRDefault="00927519" w:rsidP="00927519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27519">
              <w:rPr>
                <w:rFonts w:ascii="Arial" w:hAnsi="Arial" w:cs="Arial"/>
                <w:iCs/>
                <w:sz w:val="20"/>
                <w:szCs w:val="20"/>
              </w:rPr>
              <w:t>50</w:t>
            </w:r>
          </w:p>
        </w:tc>
      </w:tr>
      <w:tr w:rsidR="00927519" w:rsidRPr="00927519" w:rsidTr="00674767">
        <w:trPr>
          <w:trHeight w:val="245"/>
          <w:jc w:val="center"/>
        </w:trPr>
        <w:tc>
          <w:tcPr>
            <w:tcW w:w="2120" w:type="dxa"/>
            <w:vMerge/>
            <w:vAlign w:val="center"/>
          </w:tcPr>
          <w:p w:rsidR="00927519" w:rsidRPr="00927519" w:rsidRDefault="00927519" w:rsidP="00927519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483" w:type="dxa"/>
          </w:tcPr>
          <w:p w:rsidR="00927519" w:rsidRPr="00927519" w:rsidRDefault="00927519" w:rsidP="00927519">
            <w:p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27519">
              <w:rPr>
                <w:rFonts w:ascii="Arial" w:hAnsi="Arial" w:cs="Arial"/>
                <w:iCs/>
                <w:sz w:val="20"/>
                <w:szCs w:val="20"/>
              </w:rPr>
              <w:t>Taux ≥ 6 % et &lt; 6,5%</w:t>
            </w:r>
          </w:p>
        </w:tc>
        <w:tc>
          <w:tcPr>
            <w:tcW w:w="1070" w:type="dxa"/>
            <w:vAlign w:val="center"/>
          </w:tcPr>
          <w:p w:rsidR="00927519" w:rsidRPr="00927519" w:rsidRDefault="00927519" w:rsidP="00927519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27519">
              <w:rPr>
                <w:rFonts w:ascii="Arial" w:hAnsi="Arial" w:cs="Arial"/>
                <w:iCs/>
                <w:sz w:val="20"/>
                <w:szCs w:val="20"/>
              </w:rPr>
              <w:t>25</w:t>
            </w:r>
          </w:p>
        </w:tc>
      </w:tr>
      <w:tr w:rsidR="00927519" w:rsidRPr="00927519" w:rsidTr="00674767">
        <w:trPr>
          <w:trHeight w:val="245"/>
          <w:jc w:val="center"/>
        </w:trPr>
        <w:tc>
          <w:tcPr>
            <w:tcW w:w="2120" w:type="dxa"/>
            <w:vMerge/>
            <w:vAlign w:val="center"/>
          </w:tcPr>
          <w:p w:rsidR="00927519" w:rsidRPr="00927519" w:rsidRDefault="00927519" w:rsidP="00927519">
            <w:pPr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483" w:type="dxa"/>
          </w:tcPr>
          <w:p w:rsidR="00927519" w:rsidRPr="00927519" w:rsidRDefault="00927519" w:rsidP="00927519">
            <w:pPr>
              <w:jc w:val="both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27519">
              <w:rPr>
                <w:rFonts w:ascii="Arial" w:hAnsi="Arial" w:cs="Arial"/>
                <w:iCs/>
                <w:sz w:val="20"/>
                <w:szCs w:val="20"/>
              </w:rPr>
              <w:t>Taux  0 % et &lt; 6 %</w:t>
            </w:r>
          </w:p>
        </w:tc>
        <w:tc>
          <w:tcPr>
            <w:tcW w:w="1070" w:type="dxa"/>
            <w:vAlign w:val="center"/>
          </w:tcPr>
          <w:p w:rsidR="00927519" w:rsidRPr="00927519" w:rsidRDefault="00927519" w:rsidP="00927519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27519">
              <w:rPr>
                <w:rFonts w:ascii="Arial" w:hAnsi="Arial" w:cs="Arial"/>
                <w:iCs/>
                <w:sz w:val="20"/>
                <w:szCs w:val="20"/>
              </w:rPr>
              <w:t>0</w:t>
            </w:r>
          </w:p>
        </w:tc>
      </w:tr>
    </w:tbl>
    <w:p w:rsidR="006929C5" w:rsidRDefault="006929C5" w:rsidP="00FF40E9">
      <w:pPr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927519" w:rsidRDefault="00927519" w:rsidP="00FF40E9">
      <w:pPr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927519" w:rsidRPr="00927519" w:rsidRDefault="00927519" w:rsidP="00927519">
      <w:pPr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927519">
        <w:rPr>
          <w:rFonts w:ascii="Arial" w:eastAsia="Calibri" w:hAnsi="Arial" w:cs="Arial"/>
          <w:sz w:val="20"/>
          <w:szCs w:val="20"/>
          <w:u w:val="single"/>
          <w:lang w:eastAsia="en-US"/>
        </w:rPr>
        <w:t>Engagement pour la durée de l’exécution du marché :</w:t>
      </w:r>
    </w:p>
    <w:p w:rsidR="00927519" w:rsidRPr="00927519" w:rsidRDefault="00927519" w:rsidP="00927519">
      <w:pPr>
        <w:rPr>
          <w:rFonts w:ascii="Arial" w:eastAsia="Calibri" w:hAnsi="Arial" w:cs="Arial"/>
          <w:i/>
          <w:sz w:val="20"/>
          <w:szCs w:val="20"/>
          <w:lang w:eastAsia="en-US"/>
        </w:rPr>
      </w:pPr>
    </w:p>
    <w:p w:rsidR="00927519" w:rsidRPr="00927519" w:rsidRDefault="00927519" w:rsidP="00927519">
      <w:pPr>
        <w:spacing w:after="120"/>
        <w:rPr>
          <w:rFonts w:ascii="Arial" w:hAnsi="Arial" w:cs="Arial"/>
          <w:sz w:val="20"/>
          <w:szCs w:val="20"/>
        </w:rPr>
      </w:pPr>
      <w:r w:rsidRPr="00927519">
        <w:rPr>
          <w:rFonts w:ascii="Arial" w:eastAsia="Calibri" w:hAnsi="Arial" w:cs="Arial"/>
          <w:sz w:val="20"/>
          <w:szCs w:val="20"/>
          <w:lang w:eastAsia="en-US"/>
        </w:rPr>
        <w:t xml:space="preserve">Le candidat s’engage à poursuivre ses actions d’insertion sociale </w:t>
      </w:r>
      <w:r w:rsidRPr="00927519">
        <w:rPr>
          <w:rFonts w:ascii="Arial" w:hAnsi="Arial" w:cs="Arial"/>
          <w:sz w:val="20"/>
          <w:szCs w:val="20"/>
        </w:rPr>
        <w:t>par l’activité économique, notamment :</w:t>
      </w:r>
    </w:p>
    <w:p w:rsidR="00927519" w:rsidRPr="00927519" w:rsidRDefault="00927519" w:rsidP="00927519">
      <w:pPr>
        <w:numPr>
          <w:ilvl w:val="0"/>
          <w:numId w:val="6"/>
        </w:numPr>
        <w:spacing w:after="120" w:line="259" w:lineRule="auto"/>
        <w:ind w:left="714" w:hanging="357"/>
        <w:rPr>
          <w:rFonts w:ascii="Arial" w:eastAsia="Calibri" w:hAnsi="Arial" w:cs="Arial"/>
          <w:sz w:val="20"/>
          <w:szCs w:val="20"/>
          <w:lang w:eastAsia="en-US"/>
        </w:rPr>
      </w:pPr>
      <w:r w:rsidRPr="00927519">
        <w:rPr>
          <w:rFonts w:ascii="Arial" w:eastAsia="Calibri" w:hAnsi="Arial" w:cs="Arial"/>
          <w:sz w:val="20"/>
          <w:szCs w:val="20"/>
          <w:lang w:eastAsia="en-US"/>
        </w:rPr>
        <w:t xml:space="preserve">L’obligation d’emploi des travailleurs handicapés (OETH) à hauteur de </w:t>
      </w:r>
      <w:r w:rsidRPr="00927519">
        <w:rPr>
          <w:rFonts w:ascii="Arial" w:eastAsia="Calibri" w:hAnsi="Arial" w:cs="Arial"/>
          <w:b/>
          <w:color w:val="FFFFFF" w:themeColor="background1"/>
          <w:sz w:val="36"/>
          <w:szCs w:val="20"/>
          <w:bdr w:val="single" w:sz="4" w:space="0" w:color="auto"/>
          <w:lang w:eastAsia="en-US"/>
        </w:rPr>
        <w:t>12341</w:t>
      </w:r>
      <w:r w:rsidRPr="00927519">
        <w:rPr>
          <w:rFonts w:ascii="Arial" w:eastAsia="Calibri" w:hAnsi="Arial" w:cs="Arial"/>
          <w:b/>
          <w:sz w:val="20"/>
          <w:szCs w:val="20"/>
          <w:bdr w:val="single" w:sz="4" w:space="0" w:color="auto"/>
          <w:lang w:eastAsia="en-US"/>
        </w:rPr>
        <w:t xml:space="preserve">   </w:t>
      </w:r>
      <w:r w:rsidRPr="00927519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927519">
        <w:rPr>
          <w:rFonts w:ascii="Arial" w:eastAsia="Calibri" w:hAnsi="Arial" w:cs="Arial"/>
          <w:sz w:val="20"/>
          <w:szCs w:val="20"/>
          <w:lang w:eastAsia="en-US"/>
        </w:rPr>
        <w:t xml:space="preserve">     %             </w:t>
      </w:r>
    </w:p>
    <w:p w:rsidR="00927519" w:rsidRPr="00927519" w:rsidRDefault="00927519" w:rsidP="00927519">
      <w:pPr>
        <w:pStyle w:val="Paragraphedeliste"/>
        <w:numPr>
          <w:ilvl w:val="0"/>
          <w:numId w:val="6"/>
        </w:numPr>
        <w:rPr>
          <w:rFonts w:ascii="Arial" w:hAnsi="Arial" w:cs="Arial"/>
          <w:i/>
          <w:sz w:val="20"/>
          <w:szCs w:val="20"/>
        </w:rPr>
      </w:pPr>
      <w:proofErr w:type="gramStart"/>
      <w:r w:rsidRPr="00927519">
        <w:rPr>
          <w:rFonts w:ascii="Arial" w:hAnsi="Arial" w:cs="Arial"/>
          <w:sz w:val="20"/>
          <w:szCs w:val="20"/>
        </w:rPr>
        <w:t>ou</w:t>
      </w:r>
      <w:proofErr w:type="gramEnd"/>
      <w:r w:rsidRPr="00927519">
        <w:rPr>
          <w:rFonts w:ascii="Arial" w:hAnsi="Arial" w:cs="Arial"/>
          <w:sz w:val="20"/>
          <w:szCs w:val="20"/>
        </w:rPr>
        <w:t xml:space="preserve"> d’équivalent temps plein à minima durant l’exécution du marché </w:t>
      </w:r>
      <w:r w:rsidRPr="00927519">
        <w:rPr>
          <w:rFonts w:ascii="Arial" w:hAnsi="Arial" w:cs="Arial"/>
          <w:i/>
          <w:sz w:val="20"/>
          <w:szCs w:val="20"/>
        </w:rPr>
        <w:t>(effectifs mis en place)</w:t>
      </w:r>
      <w:r w:rsidRPr="00927519">
        <w:rPr>
          <w:rFonts w:ascii="Arial" w:hAnsi="Arial" w:cs="Arial"/>
          <w:sz w:val="20"/>
          <w:szCs w:val="20"/>
        </w:rPr>
        <w:t xml:space="preserve">  </w:t>
      </w:r>
      <w:r w:rsidRPr="00927519">
        <w:rPr>
          <w:rFonts w:ascii="Arial" w:hAnsi="Arial" w:cs="Arial"/>
          <w:b/>
          <w:color w:val="FFFFFF" w:themeColor="background1"/>
          <w:sz w:val="36"/>
          <w:szCs w:val="20"/>
          <w:bdr w:val="single" w:sz="4" w:space="0" w:color="auto"/>
        </w:rPr>
        <w:t>123410</w:t>
      </w:r>
      <w:r w:rsidRPr="00927519">
        <w:rPr>
          <w:rFonts w:ascii="Arial" w:hAnsi="Arial" w:cs="Arial"/>
          <w:b/>
          <w:sz w:val="20"/>
          <w:szCs w:val="20"/>
          <w:bdr w:val="single" w:sz="4" w:space="0" w:color="auto"/>
        </w:rPr>
        <w:t xml:space="preserve">    </w:t>
      </w:r>
    </w:p>
    <w:sectPr w:rsidR="00927519" w:rsidRPr="00927519" w:rsidSect="00902A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76AF1"/>
    <w:multiLevelType w:val="hybridMultilevel"/>
    <w:tmpl w:val="74428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3581A"/>
    <w:multiLevelType w:val="multilevel"/>
    <w:tmpl w:val="6AAA6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F76058"/>
    <w:multiLevelType w:val="hybridMultilevel"/>
    <w:tmpl w:val="0068F7DC"/>
    <w:lvl w:ilvl="0" w:tplc="443E8D30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558E2"/>
    <w:multiLevelType w:val="hybridMultilevel"/>
    <w:tmpl w:val="57F82080"/>
    <w:lvl w:ilvl="0" w:tplc="A0DA658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617625"/>
    <w:multiLevelType w:val="hybridMultilevel"/>
    <w:tmpl w:val="A7DAC2B4"/>
    <w:lvl w:ilvl="0" w:tplc="2A2C28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F934F7"/>
    <w:multiLevelType w:val="hybridMultilevel"/>
    <w:tmpl w:val="872E93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FE"/>
    <w:rsid w:val="00061541"/>
    <w:rsid w:val="00064BE5"/>
    <w:rsid w:val="000A1D3A"/>
    <w:rsid w:val="000B4D8E"/>
    <w:rsid w:val="000B4F69"/>
    <w:rsid w:val="000C1147"/>
    <w:rsid w:val="000C5646"/>
    <w:rsid w:val="000E13BC"/>
    <w:rsid w:val="000F6CD8"/>
    <w:rsid w:val="00141B3E"/>
    <w:rsid w:val="00162197"/>
    <w:rsid w:val="001727FE"/>
    <w:rsid w:val="00185296"/>
    <w:rsid w:val="001C4F49"/>
    <w:rsid w:val="001F4BA3"/>
    <w:rsid w:val="00202EFC"/>
    <w:rsid w:val="002336EC"/>
    <w:rsid w:val="0024072C"/>
    <w:rsid w:val="00243034"/>
    <w:rsid w:val="002925DB"/>
    <w:rsid w:val="002968C7"/>
    <w:rsid w:val="002D1070"/>
    <w:rsid w:val="002E4894"/>
    <w:rsid w:val="002F1055"/>
    <w:rsid w:val="00334D91"/>
    <w:rsid w:val="00392E8A"/>
    <w:rsid w:val="003B6A32"/>
    <w:rsid w:val="003C2B32"/>
    <w:rsid w:val="003D1E70"/>
    <w:rsid w:val="003D3656"/>
    <w:rsid w:val="003F027F"/>
    <w:rsid w:val="00407DF1"/>
    <w:rsid w:val="0043534C"/>
    <w:rsid w:val="00436959"/>
    <w:rsid w:val="004D15E7"/>
    <w:rsid w:val="004F2888"/>
    <w:rsid w:val="0053393A"/>
    <w:rsid w:val="006362B2"/>
    <w:rsid w:val="006441E4"/>
    <w:rsid w:val="00657731"/>
    <w:rsid w:val="006615B7"/>
    <w:rsid w:val="006929C5"/>
    <w:rsid w:val="006A5291"/>
    <w:rsid w:val="006A695D"/>
    <w:rsid w:val="006B44C3"/>
    <w:rsid w:val="006C2E8C"/>
    <w:rsid w:val="00716C8D"/>
    <w:rsid w:val="00725F36"/>
    <w:rsid w:val="00726451"/>
    <w:rsid w:val="00757119"/>
    <w:rsid w:val="00765A46"/>
    <w:rsid w:val="00794D16"/>
    <w:rsid w:val="007A6836"/>
    <w:rsid w:val="007C1F67"/>
    <w:rsid w:val="00865B3A"/>
    <w:rsid w:val="008758DB"/>
    <w:rsid w:val="008A0498"/>
    <w:rsid w:val="008B102D"/>
    <w:rsid w:val="008D22AB"/>
    <w:rsid w:val="008F3340"/>
    <w:rsid w:val="00902A06"/>
    <w:rsid w:val="009074C7"/>
    <w:rsid w:val="00912C54"/>
    <w:rsid w:val="0092094C"/>
    <w:rsid w:val="00927519"/>
    <w:rsid w:val="00945D2F"/>
    <w:rsid w:val="00957EF7"/>
    <w:rsid w:val="009668F0"/>
    <w:rsid w:val="00A047E8"/>
    <w:rsid w:val="00A2425C"/>
    <w:rsid w:val="00A40399"/>
    <w:rsid w:val="00A4370B"/>
    <w:rsid w:val="00A45B64"/>
    <w:rsid w:val="00A45E64"/>
    <w:rsid w:val="00A54265"/>
    <w:rsid w:val="00AA1C88"/>
    <w:rsid w:val="00AB1D21"/>
    <w:rsid w:val="00AC423F"/>
    <w:rsid w:val="00AF140A"/>
    <w:rsid w:val="00AF5CCC"/>
    <w:rsid w:val="00B52C18"/>
    <w:rsid w:val="00B5449B"/>
    <w:rsid w:val="00B677F8"/>
    <w:rsid w:val="00BC6CE7"/>
    <w:rsid w:val="00BD2579"/>
    <w:rsid w:val="00C147C8"/>
    <w:rsid w:val="00C412B3"/>
    <w:rsid w:val="00CA37A4"/>
    <w:rsid w:val="00D205C0"/>
    <w:rsid w:val="00D67AE3"/>
    <w:rsid w:val="00D97022"/>
    <w:rsid w:val="00DE7A00"/>
    <w:rsid w:val="00DF302F"/>
    <w:rsid w:val="00E3001F"/>
    <w:rsid w:val="00E54FAB"/>
    <w:rsid w:val="00E622FE"/>
    <w:rsid w:val="00E704E8"/>
    <w:rsid w:val="00EC152F"/>
    <w:rsid w:val="00F30BCD"/>
    <w:rsid w:val="00F33433"/>
    <w:rsid w:val="00FF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0B35B-01C5-48C3-90FB-14E48DF8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Emetteur">
    <w:name w:val="*ZEmetteur"/>
    <w:basedOn w:val="Normal"/>
    <w:qFormat/>
    <w:rsid w:val="00E622FE"/>
    <w:pPr>
      <w:jc w:val="right"/>
    </w:pPr>
    <w:rPr>
      <w:rFonts w:ascii="Marianne" w:eastAsia="Calibri" w:hAnsi="Marianne" w:cs="Arial"/>
      <w:b/>
      <w:noProof/>
    </w:rPr>
  </w:style>
  <w:style w:type="table" w:styleId="Grilledutableau">
    <w:name w:val="Table Grid"/>
    <w:basedOn w:val="TableauNormal"/>
    <w:rsid w:val="00E62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622F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E622FE"/>
    <w:rPr>
      <w:color w:val="808080"/>
    </w:rPr>
  </w:style>
  <w:style w:type="paragraph" w:customStyle="1" w:styleId="pagespeed455481096">
    <w:name w:val="page_speed_455481096"/>
    <w:basedOn w:val="Normal"/>
    <w:rsid w:val="00E622FE"/>
    <w:pPr>
      <w:spacing w:before="100" w:beforeAutospacing="1" w:after="100" w:afterAutospacing="1"/>
    </w:pPr>
  </w:style>
  <w:style w:type="character" w:customStyle="1" w:styleId="pagespeed1971588468">
    <w:name w:val="page_speed_1971588468"/>
    <w:basedOn w:val="Policepardfaut"/>
    <w:rsid w:val="00E622FE"/>
  </w:style>
  <w:style w:type="character" w:styleId="Lienhypertexte">
    <w:name w:val="Hyperlink"/>
    <w:basedOn w:val="Policepardfaut"/>
    <w:uiPriority w:val="99"/>
    <w:semiHidden/>
    <w:unhideWhenUsed/>
    <w:rsid w:val="000A1D3A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C2B32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94D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4D16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BOULET Pascal SECR ADMI CLAS NOR</dc:creator>
  <cp:keywords/>
  <dc:description/>
  <cp:lastModifiedBy>DORIA Jean-Christophe SECR ADMI CLAS NOR</cp:lastModifiedBy>
  <cp:revision>2</cp:revision>
  <cp:lastPrinted>2023-05-30T13:46:00Z</cp:lastPrinted>
  <dcterms:created xsi:type="dcterms:W3CDTF">2023-07-06T06:10:00Z</dcterms:created>
  <dcterms:modified xsi:type="dcterms:W3CDTF">2023-07-06T06:10:00Z</dcterms:modified>
</cp:coreProperties>
</file>