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core.xml" ContentType="application/vnd.openxmlformats-package.core-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77D2D0" w14:textId="77777777" w:rsidR="003A7F1D" w:rsidRDefault="003A7F1D" w:rsidP="003C2AA2">
      <w:pPr>
        <w:spacing w:before="120"/>
      </w:pPr>
    </w:p>
    <w:p w14:paraId="28DF5E5A" w14:textId="5EB06DF9" w:rsidR="003A7F1D" w:rsidRPr="000C238C" w:rsidRDefault="000D56D7" w:rsidP="0060066D">
      <w:pPr>
        <w:pBdr>
          <w:top w:val="single" w:sz="24" w:space="5" w:color="0081BD"/>
          <w:left w:val="single" w:sz="24" w:space="1" w:color="0081BD"/>
          <w:bottom w:val="single" w:sz="24" w:space="5" w:color="0081BD"/>
          <w:right w:val="single" w:sz="24" w:space="1" w:color="0081BD"/>
        </w:pBdr>
        <w:shd w:val="clear" w:color="auto" w:fill="0081BD"/>
        <w:jc w:val="center"/>
        <w:rPr>
          <w:rFonts w:asciiTheme="minorHAnsi" w:hAnsiTheme="minorHAnsi" w:cs="Arial"/>
          <w:b/>
          <w:color w:val="FFFFFF"/>
          <w:sz w:val="24"/>
          <w:szCs w:val="24"/>
        </w:rPr>
      </w:pPr>
      <w:r>
        <w:rPr>
          <w:rFonts w:asciiTheme="minorHAnsi" w:hAnsiTheme="minorHAnsi" w:cs="Arial"/>
          <w:b/>
          <w:caps/>
          <w:color w:val="FFFFFF"/>
          <w:sz w:val="24"/>
          <w:szCs w:val="24"/>
        </w:rPr>
        <w:t xml:space="preserve">annexe 2 – </w:t>
      </w:r>
      <w:r w:rsidR="00F11953">
        <w:rPr>
          <w:rFonts w:asciiTheme="minorHAnsi" w:hAnsiTheme="minorHAnsi" w:cs="Arial"/>
          <w:b/>
          <w:caps/>
          <w:color w:val="FFFFFF"/>
          <w:sz w:val="24"/>
          <w:szCs w:val="24"/>
        </w:rPr>
        <w:t>service level agreement</w:t>
      </w:r>
    </w:p>
    <w:p w14:paraId="1C336A67" w14:textId="6CC0A9B2" w:rsidR="003A7F1D" w:rsidRPr="000C238C" w:rsidRDefault="003A7F1D" w:rsidP="00DA4495">
      <w:pPr>
        <w:spacing w:before="120"/>
        <w:jc w:val="center"/>
        <w:rPr>
          <w:rFonts w:asciiTheme="minorHAnsi" w:hAnsiTheme="minorHAnsi"/>
          <w:sz w:val="18"/>
          <w:szCs w:val="18"/>
          <w:u w:val="single"/>
        </w:rPr>
      </w:pPr>
      <w:r w:rsidRPr="000C238C">
        <w:rPr>
          <w:rFonts w:asciiTheme="minorHAnsi" w:hAnsiTheme="minorHAnsi"/>
          <w:sz w:val="18"/>
          <w:szCs w:val="18"/>
        </w:rPr>
        <w:t xml:space="preserve">Réf. </w:t>
      </w:r>
      <w:r w:rsidR="00F11953">
        <w:rPr>
          <w:rFonts w:asciiTheme="minorHAnsi" w:hAnsiTheme="minorHAnsi"/>
          <w:snapToGrid w:val="0"/>
          <w:color w:val="000000"/>
          <w:sz w:val="18"/>
          <w:szCs w:val="18"/>
        </w:rPr>
        <w:t>AXEFOU</w:t>
      </w:r>
      <w:r w:rsidR="000D56D7">
        <w:rPr>
          <w:rFonts w:asciiTheme="minorHAnsi" w:hAnsiTheme="minorHAnsi"/>
          <w:snapToGrid w:val="0"/>
          <w:color w:val="000000"/>
          <w:sz w:val="18"/>
          <w:szCs w:val="18"/>
        </w:rPr>
        <w:t xml:space="preserve"> 2</w:t>
      </w:r>
      <w:r w:rsidRPr="000C238C">
        <w:rPr>
          <w:rFonts w:asciiTheme="minorHAnsi" w:hAnsiTheme="minorHAnsi"/>
          <w:snapToGrid w:val="0"/>
          <w:color w:val="000000"/>
          <w:sz w:val="18"/>
          <w:szCs w:val="18"/>
        </w:rPr>
        <w:t>/</w:t>
      </w:r>
      <w:r w:rsidR="00BB0676" w:rsidRPr="000C238C">
        <w:rPr>
          <w:rFonts w:asciiTheme="minorHAnsi" w:hAnsiTheme="minorHAnsi"/>
          <w:sz w:val="18"/>
          <w:szCs w:val="18"/>
        </w:rPr>
        <w:t xml:space="preserve">HOSP </w:t>
      </w:r>
      <w:r w:rsidR="00E206D3">
        <w:rPr>
          <w:rFonts w:asciiTheme="minorHAnsi" w:hAnsiTheme="minorHAnsi"/>
          <w:sz w:val="18"/>
          <w:szCs w:val="18"/>
        </w:rPr>
        <w:t>10</w:t>
      </w:r>
      <w:r w:rsidR="009B4B64">
        <w:rPr>
          <w:rFonts w:asciiTheme="minorHAnsi" w:hAnsiTheme="minorHAnsi"/>
          <w:sz w:val="18"/>
          <w:szCs w:val="18"/>
        </w:rPr>
        <w:t>2020</w:t>
      </w:r>
    </w:p>
    <w:p w14:paraId="7B85C4BC" w14:textId="77777777" w:rsidR="000C238C" w:rsidRDefault="000C238C">
      <w:pPr>
        <w:pStyle w:val="Titre"/>
        <w:spacing w:before="0"/>
        <w:jc w:val="both"/>
        <w:rPr>
          <w:rFonts w:asciiTheme="minorHAnsi" w:hAnsiTheme="minorHAnsi"/>
          <w:smallCaps/>
          <w:sz w:val="18"/>
          <w:szCs w:val="18"/>
        </w:rPr>
      </w:pPr>
    </w:p>
    <w:p w14:paraId="26FD3F39" w14:textId="77777777" w:rsidR="00F11953" w:rsidRDefault="00F11953" w:rsidP="00763C01">
      <w:pPr>
        <w:rPr>
          <w:sz w:val="24"/>
          <w:szCs w:val="24"/>
        </w:rPr>
      </w:pPr>
    </w:p>
    <w:p w14:paraId="339CFD18" w14:textId="4036414E" w:rsidR="00F11953" w:rsidRPr="00F11953" w:rsidRDefault="00F11953" w:rsidP="00F11953">
      <w:pPr>
        <w:rPr>
          <w:rFonts w:asciiTheme="minorHAnsi" w:hAnsiTheme="minorHAnsi"/>
          <w:b/>
          <w:smallCaps/>
        </w:rPr>
      </w:pPr>
      <w:r>
        <w:rPr>
          <w:rFonts w:asciiTheme="minorHAnsi" w:hAnsiTheme="minorHAnsi"/>
          <w:b/>
          <w:smallCaps/>
        </w:rPr>
        <w:t>1</w:t>
      </w:r>
      <w:r w:rsidRPr="00F11953">
        <w:rPr>
          <w:rFonts w:asciiTheme="minorHAnsi" w:hAnsiTheme="minorHAnsi"/>
          <w:b/>
          <w:smallCaps/>
        </w:rPr>
        <w:t>.1 Assistance Clientèle</w:t>
      </w:r>
    </w:p>
    <w:p w14:paraId="28A64C80" w14:textId="374449EB" w:rsidR="00F11953" w:rsidRDefault="00F11953" w:rsidP="00F11953">
      <w:pPr>
        <w:jc w:val="both"/>
        <w:rPr>
          <w:rFonts w:asciiTheme="minorHAnsi" w:hAnsiTheme="minorHAnsi"/>
        </w:rPr>
      </w:pPr>
      <w:r w:rsidRPr="00F11953">
        <w:rPr>
          <w:rFonts w:asciiTheme="minorHAnsi" w:hAnsiTheme="minorHAnsi"/>
        </w:rPr>
        <w:t>L’assistance clientèle est accessible du lundi au vendredi, hors jours fériés français, de 09h00 à 18</w:t>
      </w:r>
      <w:bookmarkStart w:id="0" w:name="_GoBack"/>
      <w:bookmarkEnd w:id="0"/>
      <w:r w:rsidRPr="00F11953">
        <w:rPr>
          <w:rFonts w:asciiTheme="minorHAnsi" w:hAnsiTheme="minorHAnsi"/>
        </w:rPr>
        <w:t xml:space="preserve">h00 (heures de France métropolitaine) au numéro de téléphone suivant : 01 49 09 33 99 ou via l’adresse email : </w:t>
      </w:r>
      <w:hyperlink r:id="rId9" w:history="1">
        <w:r w:rsidR="008F3059" w:rsidRPr="00B10202">
          <w:rPr>
            <w:rStyle w:val="Lienhypertexte"/>
            <w:rFonts w:asciiTheme="minorHAnsi" w:hAnsiTheme="minorHAnsi"/>
          </w:rPr>
          <w:t>webmaster@</w:t>
        </w:r>
        <w:r w:rsidR="00D704C6">
          <w:rPr>
            <w:rStyle w:val="Lienhypertexte"/>
            <w:rFonts w:asciiTheme="minorHAnsi" w:hAnsiTheme="minorHAnsi"/>
          </w:rPr>
          <w:t>Cegedim</w:t>
        </w:r>
        <w:r w:rsidR="008F3059" w:rsidRPr="00B10202">
          <w:rPr>
            <w:rStyle w:val="Lienhypertexte"/>
            <w:rFonts w:asciiTheme="minorHAnsi" w:hAnsiTheme="minorHAnsi"/>
          </w:rPr>
          <w:t>.org</w:t>
        </w:r>
      </w:hyperlink>
      <w:r w:rsidRPr="00F11953">
        <w:rPr>
          <w:rFonts w:asciiTheme="minorHAnsi" w:hAnsiTheme="minorHAnsi"/>
        </w:rPr>
        <w:t>.</w:t>
      </w:r>
    </w:p>
    <w:p w14:paraId="0ED1889E" w14:textId="77777777" w:rsidR="00F11953" w:rsidRPr="00F11953" w:rsidRDefault="00F11953" w:rsidP="00F11953">
      <w:pPr>
        <w:jc w:val="both"/>
        <w:rPr>
          <w:rFonts w:asciiTheme="minorHAnsi" w:hAnsiTheme="minorHAnsi"/>
        </w:rPr>
      </w:pPr>
      <w:r w:rsidRPr="00F11953">
        <w:rPr>
          <w:rFonts w:asciiTheme="minorHAnsi" w:hAnsiTheme="minorHAnsi"/>
        </w:rPr>
        <w:t xml:space="preserve">A compter de la mise en production, l’assistance clientèle doit être immédiatement informée par écrit électronique de toute Anomalie intervenant sur le Portail.  </w:t>
      </w:r>
    </w:p>
    <w:p w14:paraId="1772DF21" w14:textId="22A19F60" w:rsidR="00F11953" w:rsidRPr="00F11953" w:rsidRDefault="00F11953" w:rsidP="00F11953">
      <w:pPr>
        <w:pStyle w:val="Articleretrait"/>
        <w:rPr>
          <w:rFonts w:asciiTheme="minorHAnsi" w:eastAsiaTheme="minorHAnsi" w:hAnsiTheme="minorHAnsi" w:cstheme="minorBidi"/>
          <w:bCs/>
          <w:iCs/>
          <w:sz w:val="20"/>
          <w:lang w:eastAsia="en-US"/>
        </w:rPr>
      </w:pPr>
      <w:r w:rsidRPr="00F11953">
        <w:rPr>
          <w:rFonts w:asciiTheme="minorHAnsi" w:eastAsiaTheme="minorHAnsi" w:hAnsiTheme="minorHAnsi" w:cstheme="minorBidi"/>
          <w:sz w:val="20"/>
          <w:lang w:eastAsia="en-US"/>
        </w:rPr>
        <w:t xml:space="preserve">L’assistance clientèle s’engage à enregistrer la demande d’incident dans un délai de quatre (4) heures ouvrées suivant la réception de ladite demande. Après diagnostic et qualification de l’Anomalie, </w:t>
      </w:r>
      <w:r w:rsidR="00D704C6">
        <w:rPr>
          <w:rFonts w:asciiTheme="minorHAnsi" w:eastAsiaTheme="minorHAnsi" w:hAnsiTheme="minorHAnsi" w:cstheme="minorBidi"/>
          <w:sz w:val="20"/>
          <w:lang w:eastAsia="en-US"/>
        </w:rPr>
        <w:t>Cegedim</w:t>
      </w:r>
      <w:r w:rsidRPr="00F11953">
        <w:rPr>
          <w:rFonts w:asciiTheme="minorHAnsi" w:eastAsiaTheme="minorHAnsi" w:hAnsiTheme="minorHAnsi" w:cstheme="minorBidi"/>
          <w:sz w:val="20"/>
          <w:lang w:eastAsia="en-US"/>
        </w:rPr>
        <w:t xml:space="preserve"> s’engage à effectuer les corrections nécessaires dans un délai de huit (8) jours ouvrés pour les Anomalies Non Bloquantes et de un (1) jour ouvré pour les Anomalies Bloquantes. Si dans un délai d’un</w:t>
      </w:r>
      <w:r w:rsidRPr="00F11953">
        <w:rPr>
          <w:rFonts w:asciiTheme="minorHAnsi" w:hAnsiTheme="minorHAnsi"/>
          <w:sz w:val="20"/>
        </w:rPr>
        <w:t xml:space="preserve"> </w:t>
      </w:r>
      <w:r w:rsidRPr="00F11953">
        <w:rPr>
          <w:rFonts w:asciiTheme="minorHAnsi" w:eastAsiaTheme="minorHAnsi" w:hAnsiTheme="minorHAnsi" w:cstheme="minorBidi"/>
          <w:sz w:val="20"/>
          <w:lang w:eastAsia="en-US"/>
        </w:rPr>
        <w:t xml:space="preserve">(1) jour ouvré, </w:t>
      </w:r>
      <w:r w:rsidR="00D704C6">
        <w:rPr>
          <w:rFonts w:asciiTheme="minorHAnsi" w:eastAsiaTheme="minorHAnsi" w:hAnsiTheme="minorHAnsi" w:cstheme="minorBidi"/>
          <w:sz w:val="20"/>
          <w:lang w:eastAsia="en-US"/>
        </w:rPr>
        <w:t>Cegedim</w:t>
      </w:r>
      <w:r w:rsidRPr="00F11953">
        <w:rPr>
          <w:rFonts w:asciiTheme="minorHAnsi" w:eastAsiaTheme="minorHAnsi" w:hAnsiTheme="minorHAnsi" w:cstheme="minorBidi"/>
          <w:sz w:val="20"/>
          <w:lang w:eastAsia="en-US"/>
        </w:rPr>
        <w:t xml:space="preserve"> parvient à identifier une solution permettant un contournement de l’Anomalie Bloquante, celle-ci fera l’objet d’une requalification en Anomalie Non Bloquante.</w:t>
      </w:r>
      <w:r w:rsidRPr="00F11953">
        <w:rPr>
          <w:rFonts w:asciiTheme="minorHAnsi" w:hAnsiTheme="minorHAnsi"/>
          <w:sz w:val="20"/>
        </w:rPr>
        <w:t xml:space="preserve"> </w:t>
      </w:r>
      <w:r w:rsidRPr="00F11953">
        <w:rPr>
          <w:rFonts w:asciiTheme="minorHAnsi" w:eastAsiaTheme="minorHAnsi" w:hAnsiTheme="minorHAnsi" w:cstheme="minorBidi"/>
          <w:sz w:val="20"/>
          <w:lang w:eastAsia="en-US"/>
        </w:rPr>
        <w:t xml:space="preserve">L’Anomalie doit être reproductible afin de permettre à </w:t>
      </w:r>
      <w:r w:rsidR="00D704C6">
        <w:rPr>
          <w:rFonts w:asciiTheme="minorHAnsi" w:eastAsiaTheme="minorHAnsi" w:hAnsiTheme="minorHAnsi" w:cstheme="minorBidi"/>
          <w:sz w:val="20"/>
          <w:lang w:eastAsia="en-US"/>
        </w:rPr>
        <w:t>Cegedim</w:t>
      </w:r>
      <w:r w:rsidRPr="00F11953">
        <w:rPr>
          <w:rFonts w:asciiTheme="minorHAnsi" w:eastAsiaTheme="minorHAnsi" w:hAnsiTheme="minorHAnsi" w:cstheme="minorBidi"/>
          <w:sz w:val="20"/>
          <w:lang w:eastAsia="en-US"/>
        </w:rPr>
        <w:t xml:space="preserve"> de garantir le délai de</w:t>
      </w:r>
      <w:r w:rsidRPr="00F11953">
        <w:rPr>
          <w:rFonts w:asciiTheme="minorHAnsi" w:hAnsiTheme="minorHAnsi"/>
          <w:sz w:val="20"/>
        </w:rPr>
        <w:t xml:space="preserve"> </w:t>
      </w:r>
      <w:r w:rsidRPr="00F11953">
        <w:rPr>
          <w:rFonts w:asciiTheme="minorHAnsi" w:eastAsiaTheme="minorHAnsi" w:hAnsiTheme="minorHAnsi" w:cstheme="minorBidi"/>
          <w:sz w:val="20"/>
          <w:lang w:eastAsia="en-US"/>
        </w:rPr>
        <w:t xml:space="preserve">résolution. A ce titre, </w:t>
      </w:r>
      <w:r w:rsidR="00D704C6">
        <w:rPr>
          <w:rFonts w:asciiTheme="minorHAnsi" w:eastAsiaTheme="minorHAnsi" w:hAnsiTheme="minorHAnsi" w:cstheme="minorBidi"/>
          <w:sz w:val="20"/>
          <w:lang w:eastAsia="en-US"/>
        </w:rPr>
        <w:t>Cegedim</w:t>
      </w:r>
      <w:r w:rsidRPr="00F11953">
        <w:rPr>
          <w:rFonts w:asciiTheme="minorHAnsi" w:eastAsiaTheme="minorHAnsi" w:hAnsiTheme="minorHAnsi" w:cstheme="minorBidi"/>
          <w:sz w:val="20"/>
          <w:lang w:eastAsia="en-US"/>
        </w:rPr>
        <w:t xml:space="preserve"> engagera tous les moyens nécessaires à la résolution des Anomalies et informera, par email, </w:t>
      </w:r>
      <w:r w:rsidR="00CB3B76">
        <w:rPr>
          <w:rFonts w:asciiTheme="minorHAnsi" w:eastAsiaTheme="minorHAnsi" w:hAnsiTheme="minorHAnsi" w:cstheme="minorBidi"/>
          <w:sz w:val="20"/>
          <w:lang w:eastAsia="en-US"/>
        </w:rPr>
        <w:t>le Client</w:t>
      </w:r>
      <w:r w:rsidRPr="00F11953">
        <w:rPr>
          <w:rFonts w:asciiTheme="minorHAnsi" w:eastAsiaTheme="minorHAnsi" w:hAnsiTheme="minorHAnsi" w:cstheme="minorBidi"/>
          <w:sz w:val="20"/>
          <w:lang w:eastAsia="en-US"/>
        </w:rPr>
        <w:t xml:space="preserve"> de l’évolution de la résolution de ces Anomalies.</w:t>
      </w:r>
    </w:p>
    <w:p w14:paraId="2CE6C4A3" w14:textId="77777777" w:rsidR="00F11953" w:rsidRPr="00F11953" w:rsidRDefault="00F11953" w:rsidP="00F11953">
      <w:pPr>
        <w:rPr>
          <w:rFonts w:asciiTheme="minorHAnsi" w:hAnsiTheme="minorHAnsi"/>
          <w:b/>
          <w:smallCaps/>
        </w:rPr>
      </w:pPr>
    </w:p>
    <w:p w14:paraId="2C127E47" w14:textId="151F4C9C" w:rsidR="00F11953" w:rsidRPr="00F11953" w:rsidRDefault="00F11953" w:rsidP="00F11953">
      <w:pPr>
        <w:rPr>
          <w:rFonts w:asciiTheme="minorHAnsi" w:hAnsiTheme="minorHAnsi"/>
          <w:b/>
          <w:smallCaps/>
        </w:rPr>
      </w:pPr>
      <w:r>
        <w:rPr>
          <w:rFonts w:asciiTheme="minorHAnsi" w:hAnsiTheme="minorHAnsi"/>
          <w:b/>
          <w:smallCaps/>
        </w:rPr>
        <w:t>1</w:t>
      </w:r>
      <w:r w:rsidR="00CB3B76">
        <w:rPr>
          <w:rFonts w:asciiTheme="minorHAnsi" w:hAnsiTheme="minorHAnsi"/>
          <w:b/>
          <w:smallCaps/>
        </w:rPr>
        <w:t>.2 Disponibilité du Portail</w:t>
      </w:r>
    </w:p>
    <w:p w14:paraId="5C833432" w14:textId="77777777" w:rsidR="00F11953" w:rsidRPr="00F11953" w:rsidRDefault="00F11953" w:rsidP="00F11953">
      <w:pPr>
        <w:jc w:val="both"/>
        <w:rPr>
          <w:rFonts w:asciiTheme="minorHAnsi" w:hAnsiTheme="minorHAnsi"/>
        </w:rPr>
      </w:pPr>
      <w:r w:rsidRPr="00F11953">
        <w:rPr>
          <w:rFonts w:asciiTheme="minorHAnsi" w:hAnsiTheme="minorHAnsi"/>
        </w:rPr>
        <w:t xml:space="preserve">Le Portail est disponible (accès au Portail web et transfert de fichiers) 24h/24 et 7j/7. </w:t>
      </w:r>
    </w:p>
    <w:p w14:paraId="30764A2A" w14:textId="2188F4D0" w:rsidR="00F11953" w:rsidRPr="00F11953" w:rsidRDefault="00F11953" w:rsidP="00F11953">
      <w:pPr>
        <w:jc w:val="both"/>
        <w:rPr>
          <w:rFonts w:asciiTheme="minorHAnsi" w:hAnsiTheme="minorHAnsi" w:cs="Arial"/>
        </w:rPr>
      </w:pPr>
      <w:r w:rsidRPr="00F11953">
        <w:rPr>
          <w:rFonts w:asciiTheme="minorHAnsi" w:hAnsiTheme="minorHAnsi"/>
        </w:rPr>
        <w:t xml:space="preserve">Dans l’éventualité où le Portail serait interrompu pendant plus de vingt-quatre (24) heures consécutives entre le lundi et le vendredi (hors jours fériés), </w:t>
      </w:r>
      <w:r w:rsidR="00D704C6">
        <w:rPr>
          <w:rFonts w:asciiTheme="minorHAnsi" w:hAnsiTheme="minorHAnsi"/>
        </w:rPr>
        <w:t>Cegedim</w:t>
      </w:r>
      <w:r w:rsidRPr="00F11953">
        <w:rPr>
          <w:rFonts w:asciiTheme="minorHAnsi" w:hAnsiTheme="minorHAnsi"/>
        </w:rPr>
        <w:t xml:space="preserve"> </w:t>
      </w:r>
      <w:r w:rsidR="00CB3B76">
        <w:rPr>
          <w:rFonts w:asciiTheme="minorHAnsi" w:hAnsiTheme="minorHAnsi"/>
        </w:rPr>
        <w:t>proposera au Client</w:t>
      </w:r>
      <w:r w:rsidRPr="00F11953">
        <w:rPr>
          <w:rFonts w:asciiTheme="minorHAnsi" w:hAnsiTheme="minorHAnsi"/>
        </w:rPr>
        <w:t xml:space="preserve"> dans les quarante-huit (48) heures ouvrées suivant ladite interruption de vingt-quatre (24) heures une solution de contournement pour le traitement des flux parvenus avant l’interruption effective du service.</w:t>
      </w:r>
    </w:p>
    <w:p w14:paraId="45080B98" w14:textId="77777777" w:rsidR="00F11953" w:rsidRPr="00F11953" w:rsidRDefault="00F11953" w:rsidP="00F11953">
      <w:pPr>
        <w:rPr>
          <w:rFonts w:asciiTheme="minorHAnsi" w:hAnsiTheme="minorHAnsi"/>
          <w:b/>
          <w:smallCaps/>
        </w:rPr>
      </w:pPr>
    </w:p>
    <w:p w14:paraId="60B193FE" w14:textId="178182BA" w:rsidR="00F11953" w:rsidRPr="00F11953" w:rsidRDefault="00F11953" w:rsidP="00F11953">
      <w:pPr>
        <w:rPr>
          <w:rFonts w:asciiTheme="minorHAnsi" w:hAnsiTheme="minorHAnsi"/>
          <w:b/>
          <w:smallCaps/>
        </w:rPr>
      </w:pPr>
      <w:r>
        <w:rPr>
          <w:rFonts w:asciiTheme="minorHAnsi" w:hAnsiTheme="minorHAnsi"/>
          <w:b/>
          <w:smallCaps/>
        </w:rPr>
        <w:t>1</w:t>
      </w:r>
      <w:r w:rsidRPr="00F11953">
        <w:rPr>
          <w:rFonts w:asciiTheme="minorHAnsi" w:hAnsiTheme="minorHAnsi"/>
          <w:b/>
          <w:smallCaps/>
        </w:rPr>
        <w:t>.3 Indicateurs de suivi et pénalités</w:t>
      </w:r>
    </w:p>
    <w:p w14:paraId="178765F2" w14:textId="7B95935A" w:rsidR="00F11953" w:rsidRPr="00F11953" w:rsidRDefault="00F11953" w:rsidP="00F11953">
      <w:pPr>
        <w:tabs>
          <w:tab w:val="left" w:pos="851"/>
        </w:tabs>
        <w:jc w:val="both"/>
        <w:rPr>
          <w:rFonts w:asciiTheme="minorHAnsi" w:hAnsiTheme="minorHAnsi"/>
        </w:rPr>
      </w:pPr>
      <w:r w:rsidRPr="00F11953">
        <w:rPr>
          <w:rFonts w:asciiTheme="minorHAnsi" w:hAnsiTheme="minorHAnsi"/>
        </w:rPr>
        <w:t>Compte tenu du caractère mutua</w:t>
      </w:r>
      <w:r w:rsidR="00CB3B76">
        <w:rPr>
          <w:rFonts w:asciiTheme="minorHAnsi" w:hAnsiTheme="minorHAnsi"/>
        </w:rPr>
        <w:t>lisé du Portail, le Client</w:t>
      </w:r>
      <w:r w:rsidRPr="00F11953">
        <w:rPr>
          <w:rFonts w:asciiTheme="minorHAnsi" w:hAnsiTheme="minorHAnsi"/>
        </w:rPr>
        <w:t xml:space="preserve"> accepte par le présent Contrat de suivre la qualité de la prestation exclusivement sur la base des indicateurs et engagements de service définis par </w:t>
      </w:r>
      <w:r w:rsidR="00D704C6">
        <w:rPr>
          <w:rFonts w:asciiTheme="minorHAnsi" w:hAnsiTheme="minorHAnsi"/>
        </w:rPr>
        <w:t>Cegedim</w:t>
      </w:r>
      <w:r w:rsidRPr="00F11953">
        <w:rPr>
          <w:rFonts w:asciiTheme="minorHAnsi" w:hAnsiTheme="minorHAnsi"/>
        </w:rPr>
        <w:t>, mesurés mensuellement, et décrits ci-après.</w:t>
      </w:r>
    </w:p>
    <w:p w14:paraId="0C0FA340" w14:textId="77777777" w:rsidR="00F11953" w:rsidRPr="00F11953" w:rsidRDefault="00F11953" w:rsidP="00F11953">
      <w:pPr>
        <w:tabs>
          <w:tab w:val="left" w:pos="851"/>
        </w:tabs>
        <w:jc w:val="both"/>
        <w:rPr>
          <w:rFonts w:asciiTheme="minorHAnsi" w:hAnsiTheme="minorHAnsi"/>
        </w:rPr>
      </w:pPr>
    </w:p>
    <w:p w14:paraId="4EF69189" w14:textId="77777777" w:rsidR="00F11953" w:rsidRPr="00F11953" w:rsidRDefault="00F11953" w:rsidP="00F11953">
      <w:pPr>
        <w:tabs>
          <w:tab w:val="left" w:pos="851"/>
        </w:tabs>
        <w:jc w:val="both"/>
        <w:rPr>
          <w:rFonts w:asciiTheme="minorHAnsi" w:hAnsiTheme="minorHAnsi"/>
        </w:rPr>
      </w:pPr>
    </w:p>
    <w:tbl>
      <w:tblPr>
        <w:tblW w:w="75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5528"/>
      </w:tblGrid>
      <w:tr w:rsidR="00F11953" w:rsidRPr="00F11953" w14:paraId="528B2F04" w14:textId="77777777" w:rsidTr="00CB3B76">
        <w:trPr>
          <w:cantSplit/>
          <w:trHeight w:val="220"/>
        </w:trPr>
        <w:tc>
          <w:tcPr>
            <w:tcW w:w="2014" w:type="dxa"/>
            <w:tcBorders>
              <w:bottom w:val="single" w:sz="4" w:space="0" w:color="auto"/>
            </w:tcBorders>
            <w:shd w:val="pct10" w:color="auto" w:fill="auto"/>
          </w:tcPr>
          <w:p w14:paraId="643A12F4" w14:textId="77777777" w:rsidR="00F11953" w:rsidRPr="00F11953" w:rsidRDefault="00F11953" w:rsidP="00D322CF">
            <w:pPr>
              <w:pStyle w:val="StyleStyleArticle9ptAvant72ptAprs72pt"/>
              <w:spacing w:before="0" w:after="0"/>
              <w:jc w:val="center"/>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Indicateurs</w:t>
            </w:r>
          </w:p>
        </w:tc>
        <w:tc>
          <w:tcPr>
            <w:tcW w:w="5528" w:type="dxa"/>
            <w:tcBorders>
              <w:bottom w:val="single" w:sz="4" w:space="0" w:color="auto"/>
            </w:tcBorders>
            <w:shd w:val="pct10" w:color="auto" w:fill="auto"/>
          </w:tcPr>
          <w:p w14:paraId="22F600D8" w14:textId="77777777" w:rsidR="00F11953" w:rsidRPr="00F11953" w:rsidRDefault="00F11953" w:rsidP="00D322CF">
            <w:pPr>
              <w:pStyle w:val="StyleStyleArticle9ptAvant72ptAprs72pt"/>
              <w:spacing w:before="0" w:after="0"/>
              <w:jc w:val="center"/>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Niveau</w:t>
            </w:r>
          </w:p>
        </w:tc>
      </w:tr>
      <w:tr w:rsidR="00F11953" w:rsidRPr="00F11953" w14:paraId="118BCB76" w14:textId="77777777" w:rsidTr="00CB3B76">
        <w:trPr>
          <w:cantSplit/>
          <w:trHeight w:val="231"/>
        </w:trPr>
        <w:tc>
          <w:tcPr>
            <w:tcW w:w="7542" w:type="dxa"/>
            <w:gridSpan w:val="2"/>
            <w:shd w:val="clear" w:color="auto" w:fill="000099"/>
            <w:vAlign w:val="center"/>
          </w:tcPr>
          <w:p w14:paraId="40979068" w14:textId="77777777" w:rsidR="00F11953" w:rsidRPr="00F11953" w:rsidRDefault="00F11953" w:rsidP="00D322CF">
            <w:pPr>
              <w:pStyle w:val="StyleStyleArticle9ptAvant72ptAprs72pt"/>
              <w:spacing w:before="0" w:after="0"/>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 xml:space="preserve">Portail </w:t>
            </w:r>
          </w:p>
        </w:tc>
      </w:tr>
      <w:tr w:rsidR="00F11953" w:rsidRPr="00F11953" w14:paraId="48C2B1BE" w14:textId="77777777" w:rsidTr="00CB3B76">
        <w:trPr>
          <w:cantSplit/>
          <w:trHeight w:val="573"/>
        </w:trPr>
        <w:tc>
          <w:tcPr>
            <w:tcW w:w="2014" w:type="dxa"/>
            <w:tcBorders>
              <w:bottom w:val="single" w:sz="4" w:space="0" w:color="auto"/>
            </w:tcBorders>
            <w:vAlign w:val="center"/>
          </w:tcPr>
          <w:p w14:paraId="3B093400" w14:textId="77777777" w:rsidR="00F11953" w:rsidRPr="00F11953" w:rsidRDefault="00F11953" w:rsidP="00D322CF">
            <w:pPr>
              <w:pStyle w:val="StyleStyleArticle9ptAvant72ptAprs72pt"/>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 xml:space="preserve">IQ1 - Disponibilité du Portail </w:t>
            </w:r>
          </w:p>
        </w:tc>
        <w:tc>
          <w:tcPr>
            <w:tcW w:w="5528" w:type="dxa"/>
            <w:tcBorders>
              <w:bottom w:val="single" w:sz="4" w:space="0" w:color="auto"/>
            </w:tcBorders>
            <w:vAlign w:val="center"/>
          </w:tcPr>
          <w:p w14:paraId="6B1CBE70" w14:textId="77777777" w:rsidR="00F11953" w:rsidRPr="00F11953" w:rsidRDefault="00F11953" w:rsidP="00D322CF">
            <w:pPr>
              <w:pStyle w:val="StyleStyleArticle9ptAvant72ptAprs72pt"/>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99%, mesuré du lundi au samedi</w:t>
            </w:r>
          </w:p>
        </w:tc>
      </w:tr>
      <w:tr w:rsidR="00F11953" w:rsidRPr="00F11953" w14:paraId="08AA2A2B" w14:textId="77777777" w:rsidTr="00CB3B76">
        <w:trPr>
          <w:cantSplit/>
          <w:trHeight w:val="239"/>
        </w:trPr>
        <w:tc>
          <w:tcPr>
            <w:tcW w:w="7542" w:type="dxa"/>
            <w:gridSpan w:val="2"/>
            <w:shd w:val="clear" w:color="auto" w:fill="000099"/>
            <w:vAlign w:val="center"/>
          </w:tcPr>
          <w:p w14:paraId="7029A4F4" w14:textId="77777777" w:rsidR="00F11953" w:rsidRPr="00F11953" w:rsidRDefault="00F11953" w:rsidP="00D322CF">
            <w:pPr>
              <w:pStyle w:val="StyleStyleArticle9ptAvant72ptAprs72pt"/>
              <w:spacing w:before="0" w:after="0"/>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Documents électroniques</w:t>
            </w:r>
          </w:p>
        </w:tc>
      </w:tr>
      <w:tr w:rsidR="00CB3B76" w:rsidRPr="00F11953" w14:paraId="01990890" w14:textId="77777777" w:rsidTr="00CB3B76">
        <w:trPr>
          <w:cantSplit/>
          <w:trHeight w:val="573"/>
        </w:trPr>
        <w:tc>
          <w:tcPr>
            <w:tcW w:w="2014" w:type="dxa"/>
            <w:vAlign w:val="center"/>
          </w:tcPr>
          <w:p w14:paraId="7A463417" w14:textId="0C54BAFC" w:rsidR="00CB3B76" w:rsidRPr="00F11953" w:rsidRDefault="00CB3B76" w:rsidP="00D322CF">
            <w:pPr>
              <w:pStyle w:val="StyleStyleArticle9ptAvant72ptAprs72pt"/>
              <w:jc w:val="left"/>
              <w:rPr>
                <w:rFonts w:asciiTheme="minorHAnsi" w:eastAsiaTheme="minorHAnsi" w:hAnsiTheme="minorHAnsi" w:cstheme="minorBidi"/>
                <w:sz w:val="20"/>
                <w:lang w:eastAsia="en-US"/>
              </w:rPr>
            </w:pPr>
            <w:r>
              <w:rPr>
                <w:rFonts w:asciiTheme="minorHAnsi" w:eastAsiaTheme="minorHAnsi" w:hAnsiTheme="minorHAnsi" w:cstheme="minorBidi"/>
                <w:sz w:val="20"/>
                <w:lang w:eastAsia="en-US"/>
              </w:rPr>
              <w:t>IQ2</w:t>
            </w:r>
            <w:r w:rsidRPr="00F11953">
              <w:rPr>
                <w:rFonts w:asciiTheme="minorHAnsi" w:eastAsiaTheme="minorHAnsi" w:hAnsiTheme="minorHAnsi" w:cstheme="minorBidi"/>
                <w:sz w:val="20"/>
                <w:lang w:eastAsia="en-US"/>
              </w:rPr>
              <w:t xml:space="preserve"> - Temps de traitement des commandes</w:t>
            </w:r>
          </w:p>
        </w:tc>
        <w:tc>
          <w:tcPr>
            <w:tcW w:w="5528" w:type="dxa"/>
            <w:vAlign w:val="center"/>
          </w:tcPr>
          <w:p w14:paraId="72495043" w14:textId="29228162" w:rsidR="00CB3B76" w:rsidRPr="00F11953" w:rsidRDefault="00CB3B76" w:rsidP="00D322CF">
            <w:pPr>
              <w:pStyle w:val="StyleStyleArticle9ptAvant72ptAprs72pt"/>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99% traitées en moins de 2 heures</w:t>
            </w:r>
          </w:p>
        </w:tc>
      </w:tr>
      <w:tr w:rsidR="00F11953" w:rsidRPr="00F11953" w14:paraId="3307C600" w14:textId="77777777" w:rsidTr="00CB3B76">
        <w:trPr>
          <w:cantSplit/>
          <w:trHeight w:val="573"/>
        </w:trPr>
        <w:tc>
          <w:tcPr>
            <w:tcW w:w="2014" w:type="dxa"/>
            <w:vAlign w:val="center"/>
          </w:tcPr>
          <w:p w14:paraId="03205B1D" w14:textId="03B11D8C" w:rsidR="00F11953" w:rsidRPr="00F11953" w:rsidRDefault="00CB3B76" w:rsidP="00CB3B76">
            <w:pPr>
              <w:pStyle w:val="StyleStyleArticle9ptAvant72ptAprs72pt"/>
              <w:jc w:val="left"/>
              <w:rPr>
                <w:rFonts w:asciiTheme="minorHAnsi" w:eastAsiaTheme="minorHAnsi" w:hAnsiTheme="minorHAnsi" w:cstheme="minorBidi"/>
                <w:sz w:val="20"/>
                <w:lang w:eastAsia="en-US"/>
              </w:rPr>
            </w:pPr>
            <w:r>
              <w:rPr>
                <w:rFonts w:asciiTheme="minorHAnsi" w:eastAsiaTheme="minorHAnsi" w:hAnsiTheme="minorHAnsi" w:cstheme="minorBidi"/>
                <w:sz w:val="20"/>
                <w:lang w:eastAsia="en-US"/>
              </w:rPr>
              <w:t>IQ3</w:t>
            </w:r>
            <w:r w:rsidR="00F11953" w:rsidRPr="00F11953">
              <w:rPr>
                <w:rFonts w:asciiTheme="minorHAnsi" w:eastAsiaTheme="minorHAnsi" w:hAnsiTheme="minorHAnsi" w:cstheme="minorBidi"/>
                <w:sz w:val="20"/>
                <w:lang w:eastAsia="en-US"/>
              </w:rPr>
              <w:t xml:space="preserve"> - </w:t>
            </w:r>
            <w:r>
              <w:rPr>
                <w:rFonts w:asciiTheme="minorHAnsi" w:eastAsiaTheme="minorHAnsi" w:hAnsiTheme="minorHAnsi" w:cstheme="minorBidi"/>
                <w:sz w:val="20"/>
                <w:lang w:eastAsia="en-US"/>
              </w:rPr>
              <w:t>Temps de traitement des documents (hors commandes)</w:t>
            </w:r>
          </w:p>
        </w:tc>
        <w:tc>
          <w:tcPr>
            <w:tcW w:w="5528" w:type="dxa"/>
            <w:vAlign w:val="center"/>
          </w:tcPr>
          <w:p w14:paraId="0B541073" w14:textId="77777777" w:rsidR="00F11953" w:rsidRPr="00F11953" w:rsidRDefault="00F11953" w:rsidP="00D322CF">
            <w:pPr>
              <w:pStyle w:val="StyleStyleArticle9ptAvant72ptAprs72pt"/>
              <w:rPr>
                <w:rFonts w:asciiTheme="minorHAnsi" w:eastAsiaTheme="minorHAnsi" w:hAnsiTheme="minorHAnsi" w:cstheme="minorBidi"/>
                <w:sz w:val="20"/>
                <w:lang w:eastAsia="en-US"/>
              </w:rPr>
            </w:pPr>
            <w:r w:rsidRPr="00F11953">
              <w:rPr>
                <w:rFonts w:asciiTheme="minorHAnsi" w:eastAsiaTheme="minorHAnsi" w:hAnsiTheme="minorHAnsi" w:cstheme="minorBidi"/>
                <w:sz w:val="20"/>
                <w:lang w:eastAsia="en-US"/>
              </w:rPr>
              <w:t>99% traités en J, pour toute remise en J avant 18h00</w:t>
            </w:r>
          </w:p>
        </w:tc>
      </w:tr>
    </w:tbl>
    <w:p w14:paraId="0EAB325F" w14:textId="77777777" w:rsidR="00F11953" w:rsidRPr="00F11953" w:rsidRDefault="00F11953" w:rsidP="00F11953">
      <w:pPr>
        <w:spacing w:before="20" w:after="20"/>
        <w:rPr>
          <w:rFonts w:asciiTheme="minorHAnsi" w:hAnsiTheme="minorHAnsi"/>
        </w:rPr>
      </w:pPr>
    </w:p>
    <w:p w14:paraId="58B8302A" w14:textId="00AF78C5" w:rsidR="00F11953" w:rsidRPr="00F11953" w:rsidRDefault="00F11953" w:rsidP="00F11953">
      <w:pPr>
        <w:tabs>
          <w:tab w:val="left" w:pos="851"/>
        </w:tabs>
        <w:jc w:val="both"/>
        <w:rPr>
          <w:rFonts w:asciiTheme="minorHAnsi" w:hAnsiTheme="minorHAnsi"/>
        </w:rPr>
      </w:pPr>
      <w:r w:rsidRPr="00F11953">
        <w:rPr>
          <w:rFonts w:asciiTheme="minorHAnsi" w:hAnsiTheme="minorHAnsi"/>
        </w:rPr>
        <w:t xml:space="preserve">En cas de non-respect des engagements de service, des pénalités peuvent être appliquées. Les pénalités seront calculées pour chaque indicateur selon la formule P= M x (99 – IR) x 2/100, où P est la valeur de la pénalité relative à l’indicateur, M le chiffre d’affaires mensuel facturé par </w:t>
      </w:r>
      <w:r w:rsidR="00D704C6">
        <w:rPr>
          <w:rFonts w:asciiTheme="minorHAnsi" w:hAnsiTheme="minorHAnsi"/>
        </w:rPr>
        <w:t>Cegedim</w:t>
      </w:r>
      <w:r w:rsidRPr="00F11953">
        <w:rPr>
          <w:rFonts w:asciiTheme="minorHAnsi" w:hAnsiTheme="minorHAnsi"/>
        </w:rPr>
        <w:t xml:space="preserve"> sur le flux concerné par l’indicateur, et IR le niveau atteint (exemple de calcul : si IR = 97%, alors la pénalité est de 4% du chiffre d’affaires mensuel concerné). Les pénalités de chaque indicateur sont cumulatives. Le montant total des pénalités est plafonné à dix pour cent (10%) du chiffre d’affaires du mois facturé par </w:t>
      </w:r>
      <w:r w:rsidR="00D704C6">
        <w:rPr>
          <w:rFonts w:asciiTheme="minorHAnsi" w:hAnsiTheme="minorHAnsi"/>
        </w:rPr>
        <w:t>Cegedim</w:t>
      </w:r>
      <w:r w:rsidRPr="00F11953">
        <w:rPr>
          <w:rFonts w:asciiTheme="minorHAnsi" w:hAnsiTheme="minorHAnsi"/>
        </w:rPr>
        <w:t xml:space="preserve">, dans la </w:t>
      </w:r>
      <w:r w:rsidR="00F05BC4">
        <w:rPr>
          <w:rFonts w:asciiTheme="minorHAnsi" w:hAnsiTheme="minorHAnsi"/>
        </w:rPr>
        <w:t>mesure où le</w:t>
      </w:r>
      <w:r w:rsidR="00CB3B76">
        <w:rPr>
          <w:rFonts w:asciiTheme="minorHAnsi" w:hAnsiTheme="minorHAnsi"/>
        </w:rPr>
        <w:t xml:space="preserve"> Client </w:t>
      </w:r>
      <w:r w:rsidRPr="00F11953">
        <w:rPr>
          <w:rFonts w:asciiTheme="minorHAnsi" w:hAnsiTheme="minorHAnsi"/>
        </w:rPr>
        <w:t>respecte les délais de paiement contractuels de ses factures avec une tolérance de dix (10) jours de retard.</w:t>
      </w:r>
    </w:p>
    <w:p w14:paraId="2D1CAA4E" w14:textId="668F6269" w:rsidR="00F11953" w:rsidRPr="00F11953" w:rsidRDefault="00F11953" w:rsidP="00F11953">
      <w:pPr>
        <w:tabs>
          <w:tab w:val="left" w:pos="851"/>
        </w:tabs>
        <w:jc w:val="both"/>
        <w:rPr>
          <w:rFonts w:asciiTheme="minorHAnsi" w:hAnsiTheme="minorHAnsi"/>
        </w:rPr>
      </w:pPr>
      <w:r w:rsidRPr="00F11953">
        <w:rPr>
          <w:rFonts w:asciiTheme="minorHAnsi" w:hAnsiTheme="minorHAnsi"/>
        </w:rPr>
        <w:lastRenderedPageBreak/>
        <w:t>En cas de non atteinte des indicateurs de qualité sur une période d</w:t>
      </w:r>
      <w:r w:rsidR="00B119C1">
        <w:rPr>
          <w:rFonts w:asciiTheme="minorHAnsi" w:hAnsiTheme="minorHAnsi"/>
        </w:rPr>
        <w:t xml:space="preserve">e mesure donnée, le </w:t>
      </w:r>
      <w:proofErr w:type="spellStart"/>
      <w:r w:rsidR="00B119C1">
        <w:rPr>
          <w:rFonts w:asciiTheme="minorHAnsi" w:hAnsiTheme="minorHAnsi"/>
        </w:rPr>
        <w:t>Fournisseu</w:t>
      </w:r>
      <w:proofErr w:type="spellEnd"/>
      <w:r w:rsidRPr="00F11953">
        <w:rPr>
          <w:rFonts w:asciiTheme="minorHAnsi" w:hAnsiTheme="minorHAnsi"/>
        </w:rPr>
        <w:t xml:space="preserve"> dispose d’un délai de trois (3) mois après la fin du mois civil du défaut observé pour faire la demande à </w:t>
      </w:r>
      <w:r w:rsidR="00D704C6">
        <w:rPr>
          <w:rFonts w:asciiTheme="minorHAnsi" w:hAnsiTheme="minorHAnsi"/>
        </w:rPr>
        <w:t>Cegedim</w:t>
      </w:r>
      <w:r w:rsidRPr="00F11953">
        <w:rPr>
          <w:rFonts w:asciiTheme="minorHAnsi" w:hAnsiTheme="minorHAnsi"/>
        </w:rPr>
        <w:t xml:space="preserve"> de l’application de la pénalité correspondante. Cette demande devra contenir tous justificatifs d’inexécution de l’ensemble des engagements de service, notamment les copies des notes d’incidents envoyées à </w:t>
      </w:r>
      <w:r w:rsidR="00D704C6">
        <w:rPr>
          <w:rFonts w:asciiTheme="minorHAnsi" w:hAnsiTheme="minorHAnsi"/>
        </w:rPr>
        <w:t>Cegedim</w:t>
      </w:r>
      <w:r w:rsidRPr="00F11953">
        <w:rPr>
          <w:rFonts w:asciiTheme="minorHAnsi" w:hAnsiTheme="minorHAnsi"/>
        </w:rPr>
        <w:t>.</w:t>
      </w:r>
    </w:p>
    <w:p w14:paraId="3FBE2D28" w14:textId="336CBF0A" w:rsidR="00F11953" w:rsidRPr="00F11953" w:rsidRDefault="00F11953" w:rsidP="00F11953">
      <w:pPr>
        <w:tabs>
          <w:tab w:val="left" w:pos="851"/>
        </w:tabs>
        <w:jc w:val="both"/>
        <w:rPr>
          <w:rFonts w:asciiTheme="minorHAnsi" w:hAnsiTheme="minorHAnsi"/>
        </w:rPr>
      </w:pPr>
      <w:r w:rsidRPr="00F11953">
        <w:rPr>
          <w:rFonts w:asciiTheme="minorHAnsi" w:hAnsiTheme="minorHAnsi"/>
        </w:rPr>
        <w:t xml:space="preserve">Dans l’hypothèse où le non-respect de la qualité de service a pour origine un fait extérieur à </w:t>
      </w:r>
      <w:r w:rsidR="00D704C6">
        <w:rPr>
          <w:rFonts w:asciiTheme="minorHAnsi" w:hAnsiTheme="minorHAnsi"/>
        </w:rPr>
        <w:t>Cegedim</w:t>
      </w:r>
      <w:r w:rsidRPr="00F11953">
        <w:rPr>
          <w:rFonts w:asciiTheme="minorHAnsi" w:hAnsiTheme="minorHAnsi"/>
        </w:rPr>
        <w:t xml:space="preserve"> ou en cas de Force Majeure, la pénalité ci-dessus ne sera pas applicable.</w:t>
      </w:r>
    </w:p>
    <w:p w14:paraId="7DD7218F" w14:textId="77777777" w:rsidR="00F11953" w:rsidRPr="00F11953" w:rsidRDefault="00F11953" w:rsidP="00F11953">
      <w:pPr>
        <w:tabs>
          <w:tab w:val="left" w:pos="851"/>
        </w:tabs>
        <w:jc w:val="both"/>
        <w:rPr>
          <w:rFonts w:asciiTheme="minorHAnsi" w:hAnsiTheme="minorHAnsi"/>
        </w:rPr>
      </w:pPr>
      <w:r w:rsidRPr="00F11953">
        <w:rPr>
          <w:rFonts w:asciiTheme="minorHAnsi" w:hAnsiTheme="minorHAnsi"/>
        </w:rPr>
        <w:t>Il est convenu entre les Parties, qu’une période probatoire d’une durée de deux (2) mois sera mise en œuvre à compter de la mise en de production, à des fins d’ajustements des traitements des flux et procédures, et ce, en vue d’atteindre le niveau de service défini ci-dessus. Par conséquent, les engagements tels que définis ci-dessus ne seront applicables, qu’à la fin de ladite période probatoire.</w:t>
      </w:r>
    </w:p>
    <w:p w14:paraId="5C6F4453" w14:textId="0752E953" w:rsidR="008F3059" w:rsidRDefault="008F3059" w:rsidP="00763C01">
      <w:pPr>
        <w:rPr>
          <w:sz w:val="24"/>
          <w:szCs w:val="24"/>
        </w:rPr>
      </w:pPr>
    </w:p>
    <w:p w14:paraId="1A926126" w14:textId="77777777" w:rsidR="008F3059" w:rsidRPr="008F3059" w:rsidRDefault="008F3059" w:rsidP="008F3059">
      <w:pPr>
        <w:rPr>
          <w:sz w:val="24"/>
          <w:szCs w:val="24"/>
        </w:rPr>
      </w:pPr>
    </w:p>
    <w:p w14:paraId="7A356B7B" w14:textId="77777777" w:rsidR="008F3059" w:rsidRPr="008F3059" w:rsidRDefault="008F3059" w:rsidP="008F3059">
      <w:pPr>
        <w:rPr>
          <w:sz w:val="24"/>
          <w:szCs w:val="24"/>
        </w:rPr>
      </w:pPr>
    </w:p>
    <w:p w14:paraId="5568770B" w14:textId="77777777" w:rsidR="008F3059" w:rsidRPr="008F3059" w:rsidRDefault="008F3059" w:rsidP="008F3059">
      <w:pPr>
        <w:rPr>
          <w:sz w:val="24"/>
          <w:szCs w:val="24"/>
        </w:rPr>
      </w:pPr>
    </w:p>
    <w:p w14:paraId="0FA6E459" w14:textId="77777777" w:rsidR="008F3059" w:rsidRPr="008F3059" w:rsidRDefault="008F3059" w:rsidP="008F3059">
      <w:pPr>
        <w:rPr>
          <w:sz w:val="24"/>
          <w:szCs w:val="24"/>
        </w:rPr>
      </w:pPr>
    </w:p>
    <w:p w14:paraId="6C3A6C8B" w14:textId="77777777" w:rsidR="008F3059" w:rsidRPr="008F3059" w:rsidRDefault="008F3059" w:rsidP="008F3059">
      <w:pPr>
        <w:rPr>
          <w:sz w:val="24"/>
          <w:szCs w:val="24"/>
        </w:rPr>
      </w:pPr>
    </w:p>
    <w:p w14:paraId="28BB94D9" w14:textId="77777777" w:rsidR="008F3059" w:rsidRPr="008F3059" w:rsidRDefault="008F3059" w:rsidP="008F3059">
      <w:pPr>
        <w:rPr>
          <w:sz w:val="24"/>
          <w:szCs w:val="24"/>
        </w:rPr>
      </w:pPr>
    </w:p>
    <w:p w14:paraId="190A1EB4" w14:textId="77777777" w:rsidR="008F3059" w:rsidRPr="008F3059" w:rsidRDefault="008F3059" w:rsidP="008F3059">
      <w:pPr>
        <w:rPr>
          <w:sz w:val="24"/>
          <w:szCs w:val="24"/>
        </w:rPr>
      </w:pPr>
    </w:p>
    <w:p w14:paraId="618FE54A" w14:textId="77777777" w:rsidR="008F3059" w:rsidRPr="008F3059" w:rsidRDefault="008F3059" w:rsidP="008F3059">
      <w:pPr>
        <w:rPr>
          <w:sz w:val="24"/>
          <w:szCs w:val="24"/>
        </w:rPr>
      </w:pPr>
    </w:p>
    <w:p w14:paraId="349D0451" w14:textId="77777777" w:rsidR="008F3059" w:rsidRPr="008F3059" w:rsidRDefault="008F3059" w:rsidP="008F3059">
      <w:pPr>
        <w:rPr>
          <w:sz w:val="24"/>
          <w:szCs w:val="24"/>
        </w:rPr>
      </w:pPr>
    </w:p>
    <w:p w14:paraId="5CC793F9" w14:textId="77777777" w:rsidR="008F3059" w:rsidRPr="008F3059" w:rsidRDefault="008F3059" w:rsidP="008F3059">
      <w:pPr>
        <w:rPr>
          <w:sz w:val="24"/>
          <w:szCs w:val="24"/>
        </w:rPr>
      </w:pPr>
    </w:p>
    <w:p w14:paraId="4E02E88B" w14:textId="77777777" w:rsidR="008F3059" w:rsidRPr="008F3059" w:rsidRDefault="008F3059" w:rsidP="008F3059">
      <w:pPr>
        <w:rPr>
          <w:sz w:val="24"/>
          <w:szCs w:val="24"/>
        </w:rPr>
      </w:pPr>
    </w:p>
    <w:p w14:paraId="7740AA4D" w14:textId="77777777" w:rsidR="008F3059" w:rsidRPr="008F3059" w:rsidRDefault="008F3059" w:rsidP="008F3059">
      <w:pPr>
        <w:rPr>
          <w:sz w:val="24"/>
          <w:szCs w:val="24"/>
        </w:rPr>
      </w:pPr>
    </w:p>
    <w:p w14:paraId="4E3C9B06" w14:textId="77777777" w:rsidR="008F3059" w:rsidRPr="008F3059" w:rsidRDefault="008F3059" w:rsidP="008F3059">
      <w:pPr>
        <w:rPr>
          <w:sz w:val="24"/>
          <w:szCs w:val="24"/>
        </w:rPr>
      </w:pPr>
    </w:p>
    <w:p w14:paraId="4A82A522" w14:textId="77777777" w:rsidR="008F3059" w:rsidRPr="008F3059" w:rsidRDefault="008F3059" w:rsidP="008F3059">
      <w:pPr>
        <w:rPr>
          <w:sz w:val="24"/>
          <w:szCs w:val="24"/>
        </w:rPr>
      </w:pPr>
    </w:p>
    <w:p w14:paraId="12CDCC27" w14:textId="1105F759" w:rsidR="008F3059" w:rsidRDefault="008F3059" w:rsidP="008F3059">
      <w:pPr>
        <w:rPr>
          <w:sz w:val="24"/>
          <w:szCs w:val="24"/>
        </w:rPr>
      </w:pPr>
    </w:p>
    <w:p w14:paraId="2CEEDDAF" w14:textId="62BB5FEF" w:rsidR="00F11953" w:rsidRPr="008F3059" w:rsidRDefault="008F3059" w:rsidP="008F3059">
      <w:pPr>
        <w:tabs>
          <w:tab w:val="left" w:pos="1455"/>
        </w:tabs>
        <w:rPr>
          <w:sz w:val="24"/>
          <w:szCs w:val="24"/>
        </w:rPr>
      </w:pPr>
      <w:r>
        <w:rPr>
          <w:sz w:val="24"/>
          <w:szCs w:val="24"/>
        </w:rPr>
        <w:tab/>
      </w:r>
    </w:p>
    <w:sectPr w:rsidR="00F11953" w:rsidRPr="008F3059" w:rsidSect="006C29E3">
      <w:headerReference w:type="default" r:id="rId10"/>
      <w:footerReference w:type="default" r:id="rId11"/>
      <w:pgSz w:w="11906" w:h="16838" w:code="9"/>
      <w:pgMar w:top="567" w:right="851" w:bottom="851" w:left="851"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AC16C1" w14:textId="77777777" w:rsidR="0061790C" w:rsidRDefault="0061790C">
      <w:r>
        <w:separator/>
      </w:r>
    </w:p>
  </w:endnote>
  <w:endnote w:type="continuationSeparator" w:id="0">
    <w:p w14:paraId="6B76B8AE" w14:textId="77777777" w:rsidR="0061790C" w:rsidRDefault="006179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76241E" w14:textId="62CC57D2" w:rsidR="005933AD" w:rsidRPr="00844816" w:rsidRDefault="005933AD" w:rsidP="0061119D">
    <w:pPr>
      <w:pStyle w:val="Pieddepage"/>
      <w:pBdr>
        <w:top w:val="single" w:sz="4" w:space="5" w:color="auto"/>
      </w:pBdr>
      <w:tabs>
        <w:tab w:val="clear" w:pos="4536"/>
        <w:tab w:val="clear" w:pos="9072"/>
        <w:tab w:val="center" w:pos="5040"/>
        <w:tab w:val="center" w:pos="5400"/>
        <w:tab w:val="right" w:pos="10260"/>
      </w:tabs>
      <w:spacing w:before="40" w:after="20"/>
      <w:ind w:right="-1"/>
      <w:jc w:val="right"/>
      <w:rPr>
        <w:rFonts w:asciiTheme="minorHAnsi" w:hAnsiTheme="minorHAnsi" w:cs="Arial"/>
        <w:snapToGrid w:val="0"/>
        <w:sz w:val="16"/>
        <w:szCs w:val="16"/>
      </w:rPr>
    </w:pPr>
    <w:r>
      <w:rPr>
        <w:rFonts w:ascii="Bookman Old Style" w:hAnsi="Bookman Old Style"/>
        <w:snapToGrid w:val="0"/>
        <w:sz w:val="12"/>
        <w:szCs w:val="12"/>
      </w:rPr>
      <w:tab/>
    </w:r>
    <w:r>
      <w:rPr>
        <w:rFonts w:ascii="Bookman Old Style" w:hAnsi="Bookman Old Style"/>
        <w:snapToGrid w:val="0"/>
        <w:sz w:val="12"/>
        <w:szCs w:val="12"/>
      </w:rPr>
      <w:tab/>
    </w:r>
    <w:r w:rsidRPr="00844816">
      <w:rPr>
        <w:rFonts w:asciiTheme="minorHAnsi" w:hAnsiTheme="minorHAnsi" w:cs="Arial"/>
        <w:snapToGrid w:val="0"/>
        <w:sz w:val="16"/>
        <w:szCs w:val="16"/>
      </w:rPr>
      <w:t xml:space="preserve">Page </w:t>
    </w:r>
    <w:r w:rsidR="00603FD8" w:rsidRPr="00844816">
      <w:rPr>
        <w:rFonts w:asciiTheme="minorHAnsi" w:hAnsiTheme="minorHAnsi" w:cs="Arial"/>
        <w:snapToGrid w:val="0"/>
        <w:sz w:val="16"/>
        <w:szCs w:val="16"/>
      </w:rPr>
      <w:fldChar w:fldCharType="begin"/>
    </w:r>
    <w:r w:rsidRPr="00844816">
      <w:rPr>
        <w:rFonts w:asciiTheme="minorHAnsi" w:hAnsiTheme="minorHAnsi" w:cs="Arial"/>
        <w:snapToGrid w:val="0"/>
        <w:sz w:val="16"/>
        <w:szCs w:val="16"/>
      </w:rPr>
      <w:instrText xml:space="preserve"> PAGE </w:instrText>
    </w:r>
    <w:r w:rsidR="00603FD8" w:rsidRPr="00844816">
      <w:rPr>
        <w:rFonts w:asciiTheme="minorHAnsi" w:hAnsiTheme="minorHAnsi" w:cs="Arial"/>
        <w:snapToGrid w:val="0"/>
        <w:sz w:val="16"/>
        <w:szCs w:val="16"/>
      </w:rPr>
      <w:fldChar w:fldCharType="separate"/>
    </w:r>
    <w:r w:rsidR="00E206D3">
      <w:rPr>
        <w:rFonts w:asciiTheme="minorHAnsi" w:hAnsiTheme="minorHAnsi" w:cs="Arial"/>
        <w:noProof/>
        <w:snapToGrid w:val="0"/>
        <w:sz w:val="16"/>
        <w:szCs w:val="16"/>
      </w:rPr>
      <w:t>2</w:t>
    </w:r>
    <w:r w:rsidR="00603FD8" w:rsidRPr="00844816">
      <w:rPr>
        <w:rFonts w:asciiTheme="minorHAnsi" w:hAnsiTheme="minorHAnsi" w:cs="Arial"/>
        <w:snapToGrid w:val="0"/>
        <w:sz w:val="16"/>
        <w:szCs w:val="16"/>
      </w:rPr>
      <w:fldChar w:fldCharType="end"/>
    </w:r>
    <w:r w:rsidRPr="00844816">
      <w:rPr>
        <w:rFonts w:asciiTheme="minorHAnsi" w:hAnsiTheme="minorHAnsi" w:cs="Arial"/>
        <w:snapToGrid w:val="0"/>
        <w:sz w:val="16"/>
        <w:szCs w:val="16"/>
      </w:rPr>
      <w:t xml:space="preserve"> / </w:t>
    </w:r>
    <w:r w:rsidR="00763C01">
      <w:rPr>
        <w:rFonts w:asciiTheme="minorHAnsi" w:hAnsiTheme="minorHAnsi" w:cs="Arial"/>
        <w:snapToGrid w:val="0"/>
        <w:sz w:val="16"/>
        <w:szCs w:val="16"/>
      </w:rPr>
      <w:t>2</w:t>
    </w:r>
  </w:p>
  <w:p w14:paraId="503B65CC" w14:textId="3AF48E8E" w:rsidR="00D704C6" w:rsidRPr="0003519F" w:rsidRDefault="00D704C6" w:rsidP="00D704C6">
    <w:pPr>
      <w:jc w:val="center"/>
      <w:rPr>
        <w:rFonts w:ascii="Arial Narrow" w:hAnsi="Arial Narrow" w:cs="Arial"/>
        <w:sz w:val="16"/>
        <w:szCs w:val="16"/>
      </w:rPr>
    </w:pPr>
    <w:r w:rsidRPr="00BB5B2A">
      <w:rPr>
        <w:rFonts w:ascii="Arial" w:hAnsi="Arial" w:cs="Arial"/>
        <w:color w:val="666666"/>
        <w:sz w:val="16"/>
        <w:szCs w:val="16"/>
      </w:rPr>
      <w:t>1</w:t>
    </w:r>
    <w:r>
      <w:rPr>
        <w:rFonts w:ascii="Arial" w:hAnsi="Arial" w:cs="Arial"/>
        <w:color w:val="666666"/>
        <w:sz w:val="16"/>
        <w:szCs w:val="16"/>
      </w:rPr>
      <w:t>3</w:t>
    </w:r>
    <w:r w:rsidRPr="00BB5B2A">
      <w:rPr>
        <w:rFonts w:ascii="Arial" w:hAnsi="Arial" w:cs="Arial"/>
        <w:color w:val="666666"/>
        <w:sz w:val="16"/>
        <w:szCs w:val="16"/>
      </w:rPr>
      <w:t>7</w:t>
    </w:r>
    <w:r w:rsidRPr="00054DA9">
      <w:rPr>
        <w:rFonts w:ascii="Arial" w:hAnsi="Arial" w:cs="Arial"/>
        <w:color w:val="666666"/>
        <w:sz w:val="16"/>
        <w:szCs w:val="16"/>
      </w:rPr>
      <w:t xml:space="preserve"> rue d'Aguesseau </w:t>
    </w:r>
    <w:r>
      <w:rPr>
        <w:rFonts w:ascii="Arial" w:hAnsi="Arial" w:cs="Arial"/>
        <w:noProof/>
        <w:color w:val="666666"/>
        <w:sz w:val="16"/>
        <w:szCs w:val="16"/>
      </w:rPr>
      <w:drawing>
        <wp:inline distT="0" distB="0" distL="0" distR="0" wp14:anchorId="11BD33E1" wp14:editId="227C0061">
          <wp:extent cx="57150" cy="57150"/>
          <wp:effectExtent l="19050" t="0" r="0" b="0"/>
          <wp:docPr id="16" name="Image 7" descr="carre_co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carre_coul.jpg"/>
                  <pic:cNvPicPr>
                    <a:picLocks noChangeAspect="1" noChangeArrowheads="1"/>
                  </pic:cNvPicPr>
                </pic:nvPicPr>
                <pic:blipFill>
                  <a:blip r:embed="rId1"/>
                  <a:srcRect/>
                  <a:stretch>
                    <a:fillRect/>
                  </a:stretch>
                </pic:blipFill>
                <pic:spPr bwMode="auto">
                  <a:xfrm>
                    <a:off x="0" y="0"/>
                    <a:ext cx="57150" cy="57150"/>
                  </a:xfrm>
                  <a:prstGeom prst="rect">
                    <a:avLst/>
                  </a:prstGeom>
                  <a:noFill/>
                  <a:ln w="9525">
                    <a:noFill/>
                    <a:miter lim="800000"/>
                    <a:headEnd/>
                    <a:tailEnd/>
                  </a:ln>
                </pic:spPr>
              </pic:pic>
            </a:graphicData>
          </a:graphic>
        </wp:inline>
      </w:drawing>
    </w:r>
    <w:r w:rsidRPr="00054DA9">
      <w:rPr>
        <w:rFonts w:ascii="Arial" w:hAnsi="Arial" w:cs="Arial"/>
        <w:color w:val="666666"/>
        <w:sz w:val="16"/>
        <w:szCs w:val="16"/>
      </w:rPr>
      <w:t xml:space="preserve"> F 92641 Boulogne-Billancourt Cedex </w:t>
    </w:r>
    <w:r>
      <w:rPr>
        <w:rFonts w:ascii="Arial" w:hAnsi="Arial" w:cs="Arial"/>
        <w:noProof/>
        <w:color w:val="666666"/>
        <w:sz w:val="16"/>
        <w:szCs w:val="16"/>
      </w:rPr>
      <w:drawing>
        <wp:inline distT="0" distB="0" distL="0" distR="0" wp14:anchorId="0A274137" wp14:editId="1EFD8265">
          <wp:extent cx="57150" cy="57150"/>
          <wp:effectExtent l="19050" t="0" r="0" b="0"/>
          <wp:docPr id="17" name="Image 8" descr="carre_co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carre_coul.jpg"/>
                  <pic:cNvPicPr>
                    <a:picLocks noChangeAspect="1" noChangeArrowheads="1"/>
                  </pic:cNvPicPr>
                </pic:nvPicPr>
                <pic:blipFill>
                  <a:blip r:embed="rId1"/>
                  <a:srcRect/>
                  <a:stretch>
                    <a:fillRect/>
                  </a:stretch>
                </pic:blipFill>
                <pic:spPr bwMode="auto">
                  <a:xfrm>
                    <a:off x="0" y="0"/>
                    <a:ext cx="57150" cy="57150"/>
                  </a:xfrm>
                  <a:prstGeom prst="rect">
                    <a:avLst/>
                  </a:prstGeom>
                  <a:noFill/>
                  <a:ln w="9525">
                    <a:noFill/>
                    <a:miter lim="800000"/>
                    <a:headEnd/>
                    <a:tailEnd/>
                  </a:ln>
                </pic:spPr>
              </pic:pic>
            </a:graphicData>
          </a:graphic>
        </wp:inline>
      </w:drawing>
    </w:r>
    <w:r w:rsidRPr="00054DA9">
      <w:rPr>
        <w:rFonts w:ascii="Arial" w:hAnsi="Arial" w:cs="Arial"/>
        <w:color w:val="666666"/>
        <w:sz w:val="16"/>
        <w:szCs w:val="16"/>
      </w:rPr>
      <w:t xml:space="preserve"> Tél</w:t>
    </w:r>
    <w:r>
      <w:rPr>
        <w:rFonts w:ascii="Arial" w:hAnsi="Arial" w:cs="Arial"/>
        <w:color w:val="666666"/>
        <w:sz w:val="16"/>
        <w:szCs w:val="16"/>
      </w:rPr>
      <w:t>.</w:t>
    </w:r>
    <w:r w:rsidRPr="00054DA9">
      <w:rPr>
        <w:rFonts w:ascii="Arial" w:hAnsi="Arial" w:cs="Arial"/>
        <w:color w:val="666666"/>
        <w:sz w:val="16"/>
        <w:szCs w:val="16"/>
      </w:rPr>
      <w:t xml:space="preserve"> : +33 (0)1 49 09 22 00 </w:t>
    </w:r>
    <w:r>
      <w:rPr>
        <w:rFonts w:ascii="Arial" w:hAnsi="Arial" w:cs="Arial"/>
        <w:noProof/>
        <w:color w:val="666666"/>
        <w:sz w:val="16"/>
        <w:szCs w:val="16"/>
      </w:rPr>
      <w:drawing>
        <wp:inline distT="0" distB="0" distL="0" distR="0" wp14:anchorId="7E8024FE" wp14:editId="15182F58">
          <wp:extent cx="57150" cy="57150"/>
          <wp:effectExtent l="19050" t="0" r="0" b="0"/>
          <wp:docPr id="18" name="Image 9" descr="carre_co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carre_coul.jpg"/>
                  <pic:cNvPicPr>
                    <a:picLocks noChangeAspect="1" noChangeArrowheads="1"/>
                  </pic:cNvPicPr>
                </pic:nvPicPr>
                <pic:blipFill>
                  <a:blip r:embed="rId1"/>
                  <a:srcRect/>
                  <a:stretch>
                    <a:fillRect/>
                  </a:stretch>
                </pic:blipFill>
                <pic:spPr bwMode="auto">
                  <a:xfrm>
                    <a:off x="0" y="0"/>
                    <a:ext cx="57150" cy="57150"/>
                  </a:xfrm>
                  <a:prstGeom prst="rect">
                    <a:avLst/>
                  </a:prstGeom>
                  <a:noFill/>
                  <a:ln w="9525">
                    <a:noFill/>
                    <a:miter lim="800000"/>
                    <a:headEnd/>
                    <a:tailEnd/>
                  </a:ln>
                </pic:spPr>
              </pic:pic>
            </a:graphicData>
          </a:graphic>
        </wp:inline>
      </w:drawing>
    </w:r>
    <w:r w:rsidRPr="00054DA9">
      <w:rPr>
        <w:rFonts w:ascii="Arial" w:hAnsi="Arial" w:cs="Arial"/>
        <w:color w:val="666666"/>
        <w:sz w:val="16"/>
        <w:szCs w:val="16"/>
      </w:rPr>
      <w:t xml:space="preserve"> Fax : +33 (0)1 46 03 45 95 </w:t>
    </w:r>
    <w:r>
      <w:rPr>
        <w:rFonts w:ascii="Arial" w:hAnsi="Arial" w:cs="Arial"/>
        <w:noProof/>
        <w:color w:val="666666"/>
        <w:sz w:val="16"/>
        <w:szCs w:val="16"/>
      </w:rPr>
      <w:drawing>
        <wp:inline distT="0" distB="0" distL="0" distR="0" wp14:anchorId="5BDCFB3D" wp14:editId="479F3CCF">
          <wp:extent cx="57150" cy="57150"/>
          <wp:effectExtent l="19050" t="0" r="0" b="0"/>
          <wp:docPr id="19" name="Image 10" descr="carre_co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carre_coul.jpg"/>
                  <pic:cNvPicPr>
                    <a:picLocks noChangeAspect="1" noChangeArrowheads="1"/>
                  </pic:cNvPicPr>
                </pic:nvPicPr>
                <pic:blipFill>
                  <a:blip r:embed="rId1"/>
                  <a:srcRect/>
                  <a:stretch>
                    <a:fillRect/>
                  </a:stretch>
                </pic:blipFill>
                <pic:spPr bwMode="auto">
                  <a:xfrm>
                    <a:off x="0" y="0"/>
                    <a:ext cx="57150" cy="57150"/>
                  </a:xfrm>
                  <a:prstGeom prst="rect">
                    <a:avLst/>
                  </a:prstGeom>
                  <a:noFill/>
                  <a:ln w="9525">
                    <a:noFill/>
                    <a:miter lim="800000"/>
                    <a:headEnd/>
                    <a:tailEnd/>
                  </a:ln>
                </pic:spPr>
              </pic:pic>
            </a:graphicData>
          </a:graphic>
        </wp:inline>
      </w:drawing>
    </w:r>
    <w:r w:rsidRPr="00054DA9">
      <w:rPr>
        <w:rFonts w:ascii="Arial" w:hAnsi="Arial" w:cs="Arial"/>
        <w:color w:val="666666"/>
        <w:sz w:val="16"/>
        <w:szCs w:val="16"/>
      </w:rPr>
      <w:t xml:space="preserve"> www.cegedim.com</w:t>
    </w:r>
    <w:r w:rsidRPr="00054DA9">
      <w:rPr>
        <w:rFonts w:ascii="Arial" w:hAnsi="Arial" w:cs="Arial"/>
        <w:color w:val="666666"/>
        <w:sz w:val="16"/>
        <w:szCs w:val="17"/>
      </w:rPr>
      <w:br/>
    </w:r>
    <w:r w:rsidRPr="00054DA9">
      <w:rPr>
        <w:rFonts w:ascii="Arial" w:eastAsia="Microsoft Sans Serif" w:hAnsi="Arial" w:cs="Arial"/>
        <w:color w:val="666666"/>
        <w:sz w:val="16"/>
      </w:rPr>
      <w:t xml:space="preserve">Cegedim – S.A. au capital de </w:t>
    </w:r>
    <w:r w:rsidRPr="00054DA9">
      <w:rPr>
        <w:rFonts w:ascii="Arial" w:hAnsi="Arial" w:cs="Arial"/>
        <w:color w:val="666666"/>
        <w:sz w:val="16"/>
        <w:szCs w:val="16"/>
      </w:rPr>
      <w:t>13 336 506,43</w:t>
    </w:r>
    <w:r w:rsidRPr="00054DA9">
      <w:rPr>
        <w:rFonts w:ascii="Arial" w:eastAsia="Microsoft Sans Serif" w:hAnsi="Arial" w:cs="Arial"/>
        <w:color w:val="666666"/>
        <w:sz w:val="16"/>
      </w:rPr>
      <w:t xml:space="preserve"> € – 350 422 622 R.C.S. NANTERRE – NAF 6311Z – N° de TVA CEE FR 17 350 422</w:t>
    </w:r>
    <w:r>
      <w:rPr>
        <w:rFonts w:ascii="Arial" w:eastAsia="Microsoft Sans Serif" w:hAnsi="Arial" w:cs="Arial"/>
        <w:color w:val="666666"/>
        <w:sz w:val="16"/>
      </w:rPr>
      <w:t> 622</w:t>
    </w:r>
  </w:p>
  <w:p w14:paraId="071C96D6" w14:textId="77777777" w:rsidR="005933AD" w:rsidRPr="0003519F" w:rsidRDefault="005933AD" w:rsidP="00240AA4">
    <w:pPr>
      <w:jc w:val="center"/>
      <w:rPr>
        <w:rFonts w:ascii="Arial Narrow" w:hAnsi="Arial Narrow"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6223E5" w14:textId="77777777" w:rsidR="0061790C" w:rsidRDefault="0061790C">
      <w:r>
        <w:separator/>
      </w:r>
    </w:p>
  </w:footnote>
  <w:footnote w:type="continuationSeparator" w:id="0">
    <w:p w14:paraId="078F79A1" w14:textId="77777777" w:rsidR="0061790C" w:rsidRDefault="006179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F36C4" w14:textId="411FBB78" w:rsidR="00112AC9" w:rsidRPr="00A64AAE" w:rsidRDefault="00D704C6" w:rsidP="008F3059">
    <w:pPr>
      <w:pStyle w:val="En-tte"/>
      <w:jc w:val="left"/>
      <w:rPr>
        <w:sz w:val="16"/>
        <w:szCs w:val="16"/>
      </w:rPr>
    </w:pPr>
    <w:r w:rsidRPr="00773AF8">
      <w:drawing>
        <wp:anchor distT="0" distB="0" distL="114300" distR="114300" simplePos="0" relativeHeight="251659264" behindDoc="0" locked="0" layoutInCell="1" allowOverlap="1" wp14:anchorId="6951AF55" wp14:editId="79921747">
          <wp:simplePos x="0" y="0"/>
          <wp:positionH relativeFrom="column">
            <wp:posOffset>5930900</wp:posOffset>
          </wp:positionH>
          <wp:positionV relativeFrom="paragraph">
            <wp:posOffset>1481</wp:posOffset>
          </wp:positionV>
          <wp:extent cx="778934" cy="281570"/>
          <wp:effectExtent l="0" t="0" r="2540" b="4445"/>
          <wp:wrapNone/>
          <wp:docPr id="15" name="Image 1" descr="cegedim_logo2010_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gedim_logo2010_SCREEN"/>
                  <pic:cNvPicPr>
                    <a:picLocks noChangeAspect="1" noChangeArrowheads="1"/>
                  </pic:cNvPicPr>
                </pic:nvPicPr>
                <pic:blipFill>
                  <a:blip r:embed="rId1"/>
                  <a:srcRect/>
                  <a:stretch>
                    <a:fillRect/>
                  </a:stretch>
                </pic:blipFill>
                <pic:spPr bwMode="auto">
                  <a:xfrm>
                    <a:off x="0" y="0"/>
                    <a:ext cx="778934" cy="281570"/>
                  </a:xfrm>
                  <a:prstGeom prst="rect">
                    <a:avLst/>
                  </a:prstGeom>
                  <a:gradFill rotWithShape="1">
                    <a:gsLst>
                      <a:gs pos="0">
                        <a:srgbClr val="EEECE1">
                          <a:gamma/>
                          <a:shade val="46275"/>
                          <a:invGamma/>
                        </a:srgbClr>
                      </a:gs>
                      <a:gs pos="100000">
                        <a:srgbClr val="EEECE1">
                          <a:alpha val="0"/>
                        </a:srgbClr>
                      </a:gs>
                    </a:gsLst>
                    <a:lin ang="5400000" scaled="1"/>
                  </a:gradFill>
                  <a:ln w="9525">
                    <a:noFill/>
                    <a:miter lim="800000"/>
                    <a:headEnd/>
                    <a:tailEnd/>
                  </a:ln>
                </pic:spPr>
              </pic:pic>
            </a:graphicData>
          </a:graphic>
          <wp14:sizeRelH relativeFrom="margin">
            <wp14:pctWidth>0</wp14:pctWidth>
          </wp14:sizeRelH>
          <wp14:sizeRelV relativeFrom="margin">
            <wp14:pctHeight>0</wp14:pctHeight>
          </wp14:sizeRelV>
        </wp:anchor>
      </w:drawing>
    </w:r>
    <w:r w:rsidR="008F3059" w:rsidRPr="007004D5">
      <w:rPr>
        <w:b/>
        <w:sz w:val="16"/>
      </w:rPr>
      <w:drawing>
        <wp:inline distT="0" distB="0" distL="0" distR="0" wp14:anchorId="75F0DD4E" wp14:editId="3466FD96">
          <wp:extent cx="624689" cy="265222"/>
          <wp:effectExtent l="0" t="0" r="0" b="0"/>
          <wp:docPr id="2" name="Image 2" descr="C:\Users\calloul\Desktop\HOMEWORK\Refonte contrats type e-business - RGPD - 052018\PACK GIS HOSPITALIS\Refonte Mai 2018\Logo_Hospitalis_CMJN_propo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lloul\Desktop\HOMEWORK\Refonte contrats type e-business - RGPD - 052018\PACK GIS HOSPITALIS\Refonte Mai 2018\Logo_Hospitalis_CMJN_propo1-01.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36051" cy="270046"/>
                  </a:xfrm>
                  <a:prstGeom prst="rect">
                    <a:avLst/>
                  </a:prstGeom>
                  <a:noFill/>
                  <a:ln>
                    <a:noFill/>
                  </a:ln>
                </pic:spPr>
              </pic:pic>
            </a:graphicData>
          </a:graphic>
        </wp:inline>
      </w:drawing>
    </w:r>
    <w:r w:rsidR="008F3059">
      <w:rPr>
        <w:rFonts w:ascii="Calibri" w:hAnsi="Calibri"/>
        <w:sz w:val="16"/>
        <w:szCs w:val="16"/>
      </w:rPr>
      <w:t xml:space="preserve">                                                                                                                               </w:t>
    </w:r>
    <w:r>
      <w:rPr>
        <w:rFonts w:ascii="Calibri" w:hAnsi="Calibri"/>
        <w:sz w:val="16"/>
        <w:szCs w:val="16"/>
      </w:rPr>
      <w:t xml:space="preserve">                             </w:t>
    </w:r>
    <w:r w:rsidR="00F05BC4">
      <w:rPr>
        <w:rFonts w:ascii="Calibri" w:hAnsi="Calibri"/>
        <w:sz w:val="16"/>
        <w:szCs w:val="16"/>
      </w:rPr>
      <w:t>Annexe 2</w:t>
    </w:r>
    <w:r w:rsidR="00112AC9" w:rsidRPr="00112AC9">
      <w:rPr>
        <w:rFonts w:ascii="Calibri" w:hAnsi="Calibri"/>
        <w:sz w:val="16"/>
        <w:szCs w:val="16"/>
      </w:rPr>
      <w:t xml:space="preserve"> -</w:t>
    </w:r>
    <w:r w:rsidR="00112AC9">
      <w:rPr>
        <w:szCs w:val="16"/>
      </w:rPr>
      <w:t xml:space="preserve"> </w:t>
    </w:r>
    <w:r w:rsidR="005933AD" w:rsidRPr="003C2AA2">
      <w:rPr>
        <w:rFonts w:ascii="Calibri" w:hAnsi="Calibri"/>
        <w:sz w:val="16"/>
        <w:szCs w:val="16"/>
      </w:rPr>
      <w:t xml:space="preserve">  </w:t>
    </w:r>
    <w:r w:rsidR="00112AC9" w:rsidRPr="00112AC9">
      <w:rPr>
        <w:rFonts w:ascii="Calibri" w:hAnsi="Calibri"/>
        <w:sz w:val="16"/>
        <w:szCs w:val="16"/>
      </w:rPr>
      <w:t>AXE</w:t>
    </w:r>
    <w:r w:rsidR="00F11953">
      <w:rPr>
        <w:rFonts w:ascii="Calibri" w:hAnsi="Calibri"/>
        <w:sz w:val="16"/>
        <w:szCs w:val="16"/>
      </w:rPr>
      <w:t>FOU</w:t>
    </w:r>
    <w:r w:rsidR="000D56D7">
      <w:rPr>
        <w:rFonts w:ascii="Calibri" w:hAnsi="Calibri"/>
        <w:sz w:val="16"/>
        <w:szCs w:val="16"/>
      </w:rPr>
      <w:t xml:space="preserve"> 2</w:t>
    </w:r>
    <w:r w:rsidR="00E206D3">
      <w:rPr>
        <w:rFonts w:ascii="Calibri" w:hAnsi="Calibri"/>
        <w:sz w:val="16"/>
        <w:szCs w:val="16"/>
      </w:rPr>
      <w:t>/ HOSP 10</w:t>
    </w:r>
    <w:r w:rsidR="00B173BB">
      <w:rPr>
        <w:rFonts w:ascii="Calibri" w:hAnsi="Calibri"/>
        <w:sz w:val="16"/>
        <w:szCs w:val="16"/>
      </w:rPr>
      <w:t>20</w:t>
    </w:r>
    <w:r w:rsidR="009B4B64">
      <w:rPr>
        <w:rFonts w:ascii="Calibri" w:hAnsi="Calibri"/>
        <w:sz w:val="16"/>
        <w:szCs w:val="16"/>
      </w:rPr>
      <w:t>20</w:t>
    </w:r>
  </w:p>
  <w:p w14:paraId="6804D3E5" w14:textId="3DD90D8B" w:rsidR="005933AD" w:rsidRPr="003C2AA2" w:rsidRDefault="005933AD" w:rsidP="0018187E">
    <w:pPr>
      <w:pStyle w:val="En-tte"/>
      <w:rPr>
        <w:rFonts w:ascii="Calibri" w:hAnsi="Calibri"/>
        <w:sz w:val="16"/>
        <w:szCs w:val="16"/>
      </w:rPr>
    </w:pPr>
  </w:p>
  <w:p w14:paraId="1C41D81A" w14:textId="196B1F3B" w:rsidR="005933AD" w:rsidRDefault="005933AD" w:rsidP="00D771EA">
    <w:pPr>
      <w:pStyle w:val="Titre"/>
      <w:spacing w:before="0"/>
      <w:rPr>
        <w:b w:val="0"/>
        <w:sz w:val="16"/>
      </w:rPr>
    </w:pPr>
  </w:p>
  <w:p w14:paraId="250C241B" w14:textId="77777777" w:rsidR="005933AD" w:rsidRDefault="005933AD" w:rsidP="00D771EA">
    <w:pPr>
      <w:pStyle w:val="Titre"/>
      <w:spacing w:before="0"/>
      <w:rPr>
        <w:caps/>
        <w:color w:val="FFFFFF"/>
        <w:sz w:val="6"/>
        <w:szCs w:val="6"/>
      </w:rPr>
    </w:pPr>
    <w:r>
      <w:rPr>
        <w:b w:val="0"/>
        <w:sz w:val="16"/>
      </w:rPr>
      <w:br w:type="textWrapping" w:clear="all"/>
    </w:r>
  </w:p>
  <w:p w14:paraId="5DD1DE4C" w14:textId="77777777" w:rsidR="005933AD" w:rsidRPr="00B77F1D" w:rsidRDefault="005933AD" w:rsidP="00773AF8">
    <w:pPr>
      <w:pStyle w:val="En-tte"/>
      <w:rPr>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EE455F"/>
    <w:multiLevelType w:val="hybridMultilevel"/>
    <w:tmpl w:val="2480C494"/>
    <w:lvl w:ilvl="0" w:tplc="2F2AB8F2">
      <w:start w:val="1"/>
      <w:numFmt w:val="bullet"/>
      <w:lvlText w:val="–"/>
      <w:lvlJc w:val="left"/>
      <w:pPr>
        <w:tabs>
          <w:tab w:val="num" w:pos="1065"/>
        </w:tabs>
        <w:ind w:left="1065" w:hanging="360"/>
      </w:pPr>
      <w:rPr>
        <w:rFonts w:hint="default"/>
        <w:color w:val="999999"/>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6202D43"/>
    <w:multiLevelType w:val="hybridMultilevel"/>
    <w:tmpl w:val="EFEE0D2A"/>
    <w:lvl w:ilvl="0" w:tplc="3C9A5F24">
      <w:start w:val="1"/>
      <w:numFmt w:val="bullet"/>
      <w:pStyle w:val="RetraitPoin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9A31FE"/>
    <w:multiLevelType w:val="hybridMultilevel"/>
    <w:tmpl w:val="4DDA29E4"/>
    <w:lvl w:ilvl="0" w:tplc="2F2AB8F2">
      <w:start w:val="1"/>
      <w:numFmt w:val="bullet"/>
      <w:lvlText w:val="–"/>
      <w:lvlJc w:val="left"/>
      <w:pPr>
        <w:tabs>
          <w:tab w:val="num" w:pos="1065"/>
        </w:tabs>
        <w:ind w:left="1065" w:hanging="360"/>
      </w:pPr>
      <w:rPr>
        <w:rFonts w:hint="default"/>
        <w:color w:val="999999"/>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8615E5"/>
    <w:multiLevelType w:val="hybridMultilevel"/>
    <w:tmpl w:val="FA80C4D4"/>
    <w:lvl w:ilvl="0" w:tplc="B69CF072">
      <w:start w:val="3"/>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14FA6F9D"/>
    <w:multiLevelType w:val="hybridMultilevel"/>
    <w:tmpl w:val="ECF05896"/>
    <w:lvl w:ilvl="0" w:tplc="A5A07A78">
      <w:start w:val="6"/>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6020420"/>
    <w:multiLevelType w:val="hybridMultilevel"/>
    <w:tmpl w:val="5B289C06"/>
    <w:lvl w:ilvl="0" w:tplc="D6AE765C">
      <w:start w:val="1"/>
      <w:numFmt w:val="bullet"/>
      <w:lvlText w:val="-"/>
      <w:lvlJc w:val="left"/>
      <w:pPr>
        <w:tabs>
          <w:tab w:val="num" w:pos="1068"/>
        </w:tabs>
        <w:ind w:left="1068" w:hanging="360"/>
      </w:pPr>
      <w:rPr>
        <w:rFonts w:ascii="Bookman Old Style" w:eastAsia="Times New Roman" w:hAnsi="Bookman Old Style" w:cs="Times New Roman" w:hint="default"/>
      </w:rPr>
    </w:lvl>
    <w:lvl w:ilvl="1" w:tplc="040C000B">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594B9C"/>
    <w:multiLevelType w:val="hybridMultilevel"/>
    <w:tmpl w:val="CA0A608E"/>
    <w:lvl w:ilvl="0" w:tplc="040C0001">
      <w:start w:val="1"/>
      <w:numFmt w:val="bullet"/>
      <w:lvlText w:val=""/>
      <w:lvlJc w:val="left"/>
      <w:pPr>
        <w:ind w:left="72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7" w15:restartNumberingAfterBreak="0">
    <w:nsid w:val="1B716456"/>
    <w:multiLevelType w:val="hybridMultilevel"/>
    <w:tmpl w:val="0284DBD0"/>
    <w:lvl w:ilvl="0" w:tplc="04EC1D78">
      <w:numFmt w:val="bullet"/>
      <w:lvlText w:val="-"/>
      <w:lvlJc w:val="left"/>
      <w:pPr>
        <w:tabs>
          <w:tab w:val="num" w:pos="720"/>
        </w:tabs>
        <w:ind w:left="720" w:hanging="360"/>
      </w:pPr>
      <w:rPr>
        <w:rFonts w:ascii="Bookman Old Style" w:eastAsia="Times New Roman" w:hAnsi="Bookman Old Style"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F4A21CD"/>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23E37285"/>
    <w:multiLevelType w:val="hybridMultilevel"/>
    <w:tmpl w:val="3BC675DC"/>
    <w:lvl w:ilvl="0" w:tplc="0F962D74">
      <w:start w:val="6"/>
      <w:numFmt w:val="bullet"/>
      <w:pStyle w:val="Retrait1"/>
      <w:lvlText w:val="-"/>
      <w:lvlJc w:val="left"/>
      <w:pPr>
        <w:tabs>
          <w:tab w:val="num" w:pos="720"/>
        </w:tabs>
        <w:ind w:left="720" w:hanging="360"/>
      </w:pPr>
      <w:rPr>
        <w:rFonts w:ascii="Bookman Old Style" w:eastAsia="Times New Roman" w:hAnsi="Bookman Old Style"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1D15D8"/>
    <w:multiLevelType w:val="hybridMultilevel"/>
    <w:tmpl w:val="73E0C036"/>
    <w:lvl w:ilvl="0" w:tplc="2F2AB8F2">
      <w:start w:val="1"/>
      <w:numFmt w:val="bullet"/>
      <w:lvlText w:val="–"/>
      <w:lvlJc w:val="left"/>
      <w:pPr>
        <w:tabs>
          <w:tab w:val="num" w:pos="1065"/>
        </w:tabs>
        <w:ind w:left="1065" w:hanging="360"/>
      </w:pPr>
      <w:rPr>
        <w:rFonts w:hint="default"/>
        <w:color w:val="999999"/>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8934070"/>
    <w:multiLevelType w:val="hybridMultilevel"/>
    <w:tmpl w:val="50206A8A"/>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15:restartNumberingAfterBreak="0">
    <w:nsid w:val="2F4D47BC"/>
    <w:multiLevelType w:val="hybridMultilevel"/>
    <w:tmpl w:val="7F8CBCBE"/>
    <w:lvl w:ilvl="0" w:tplc="2F2AB8F2">
      <w:start w:val="1"/>
      <w:numFmt w:val="bullet"/>
      <w:lvlText w:val="–"/>
      <w:lvlJc w:val="left"/>
      <w:pPr>
        <w:tabs>
          <w:tab w:val="num" w:pos="1065"/>
        </w:tabs>
        <w:ind w:left="1065" w:hanging="360"/>
      </w:pPr>
      <w:rPr>
        <w:rFonts w:hint="default"/>
        <w:color w:val="999999"/>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4736864"/>
    <w:multiLevelType w:val="singleLevel"/>
    <w:tmpl w:val="59CA367C"/>
    <w:lvl w:ilvl="0">
      <w:start w:val="1"/>
      <w:numFmt w:val="lowerRoman"/>
      <w:pStyle w:val="ArticleRetNum"/>
      <w:lvlText w:val="(%1)"/>
      <w:lvlJc w:val="left"/>
      <w:pPr>
        <w:tabs>
          <w:tab w:val="num" w:pos="720"/>
        </w:tabs>
        <w:ind w:left="720" w:hanging="720"/>
      </w:pPr>
      <w:rPr>
        <w:rFonts w:hint="default"/>
        <w:b/>
        <w:i/>
      </w:rPr>
    </w:lvl>
  </w:abstractNum>
  <w:abstractNum w:abstractNumId="14" w15:restartNumberingAfterBreak="0">
    <w:nsid w:val="347402C4"/>
    <w:multiLevelType w:val="hybridMultilevel"/>
    <w:tmpl w:val="AE50AB5A"/>
    <w:lvl w:ilvl="0" w:tplc="2F2AB8F2">
      <w:start w:val="1"/>
      <w:numFmt w:val="bullet"/>
      <w:lvlText w:val="–"/>
      <w:lvlJc w:val="left"/>
      <w:pPr>
        <w:tabs>
          <w:tab w:val="num" w:pos="1065"/>
        </w:tabs>
        <w:ind w:left="1065" w:hanging="360"/>
      </w:pPr>
      <w:rPr>
        <w:rFonts w:hint="default"/>
        <w:color w:val="999999"/>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DE03EE"/>
    <w:multiLevelType w:val="hybridMultilevel"/>
    <w:tmpl w:val="82CE82D6"/>
    <w:lvl w:ilvl="0" w:tplc="9572BBAE">
      <w:start w:val="1"/>
      <w:numFmt w:val="upperRoman"/>
      <w:lvlText w:val="%1."/>
      <w:lvlJc w:val="left"/>
      <w:pPr>
        <w:ind w:left="1080" w:hanging="720"/>
      </w:pPr>
      <w:rPr>
        <w:rFonts w:asciiTheme="minorHAnsi" w:hAnsiTheme="minorHAnsi" w:hint="default"/>
        <w:b/>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92E2D7B"/>
    <w:multiLevelType w:val="hybridMultilevel"/>
    <w:tmpl w:val="1738420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E9918F3"/>
    <w:multiLevelType w:val="hybridMultilevel"/>
    <w:tmpl w:val="CC94F13E"/>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0534EFC"/>
    <w:multiLevelType w:val="hybridMultilevel"/>
    <w:tmpl w:val="B59825E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6D0285A"/>
    <w:multiLevelType w:val="hybridMultilevel"/>
    <w:tmpl w:val="7A882726"/>
    <w:lvl w:ilvl="0" w:tplc="346EA774">
      <w:start w:val="1"/>
      <w:numFmt w:val="lowerLetter"/>
      <w:lvlText w:val="%1)"/>
      <w:lvlJc w:val="left"/>
      <w:pPr>
        <w:tabs>
          <w:tab w:val="num" w:pos="717"/>
        </w:tabs>
        <w:ind w:left="717" w:hanging="360"/>
      </w:pPr>
      <w:rPr>
        <w:rFonts w:hint="default"/>
      </w:rPr>
    </w:lvl>
    <w:lvl w:ilvl="1" w:tplc="040C0019" w:tentative="1">
      <w:start w:val="1"/>
      <w:numFmt w:val="lowerLetter"/>
      <w:lvlText w:val="%2."/>
      <w:lvlJc w:val="left"/>
      <w:pPr>
        <w:tabs>
          <w:tab w:val="num" w:pos="1437"/>
        </w:tabs>
        <w:ind w:left="1437" w:hanging="360"/>
      </w:pPr>
    </w:lvl>
    <w:lvl w:ilvl="2" w:tplc="040C001B" w:tentative="1">
      <w:start w:val="1"/>
      <w:numFmt w:val="lowerRoman"/>
      <w:lvlText w:val="%3."/>
      <w:lvlJc w:val="right"/>
      <w:pPr>
        <w:tabs>
          <w:tab w:val="num" w:pos="2157"/>
        </w:tabs>
        <w:ind w:left="2157" w:hanging="180"/>
      </w:pPr>
    </w:lvl>
    <w:lvl w:ilvl="3" w:tplc="040C000F" w:tentative="1">
      <w:start w:val="1"/>
      <w:numFmt w:val="decimal"/>
      <w:lvlText w:val="%4."/>
      <w:lvlJc w:val="left"/>
      <w:pPr>
        <w:tabs>
          <w:tab w:val="num" w:pos="2877"/>
        </w:tabs>
        <w:ind w:left="2877" w:hanging="360"/>
      </w:pPr>
    </w:lvl>
    <w:lvl w:ilvl="4" w:tplc="040C0019" w:tentative="1">
      <w:start w:val="1"/>
      <w:numFmt w:val="lowerLetter"/>
      <w:lvlText w:val="%5."/>
      <w:lvlJc w:val="left"/>
      <w:pPr>
        <w:tabs>
          <w:tab w:val="num" w:pos="3597"/>
        </w:tabs>
        <w:ind w:left="3597" w:hanging="360"/>
      </w:pPr>
    </w:lvl>
    <w:lvl w:ilvl="5" w:tplc="040C001B" w:tentative="1">
      <w:start w:val="1"/>
      <w:numFmt w:val="lowerRoman"/>
      <w:lvlText w:val="%6."/>
      <w:lvlJc w:val="right"/>
      <w:pPr>
        <w:tabs>
          <w:tab w:val="num" w:pos="4317"/>
        </w:tabs>
        <w:ind w:left="4317" w:hanging="180"/>
      </w:pPr>
    </w:lvl>
    <w:lvl w:ilvl="6" w:tplc="040C000F" w:tentative="1">
      <w:start w:val="1"/>
      <w:numFmt w:val="decimal"/>
      <w:lvlText w:val="%7."/>
      <w:lvlJc w:val="left"/>
      <w:pPr>
        <w:tabs>
          <w:tab w:val="num" w:pos="5037"/>
        </w:tabs>
        <w:ind w:left="5037" w:hanging="360"/>
      </w:pPr>
    </w:lvl>
    <w:lvl w:ilvl="7" w:tplc="040C0019" w:tentative="1">
      <w:start w:val="1"/>
      <w:numFmt w:val="lowerLetter"/>
      <w:lvlText w:val="%8."/>
      <w:lvlJc w:val="left"/>
      <w:pPr>
        <w:tabs>
          <w:tab w:val="num" w:pos="5757"/>
        </w:tabs>
        <w:ind w:left="5757" w:hanging="360"/>
      </w:pPr>
    </w:lvl>
    <w:lvl w:ilvl="8" w:tplc="040C001B" w:tentative="1">
      <w:start w:val="1"/>
      <w:numFmt w:val="lowerRoman"/>
      <w:lvlText w:val="%9."/>
      <w:lvlJc w:val="right"/>
      <w:pPr>
        <w:tabs>
          <w:tab w:val="num" w:pos="6477"/>
        </w:tabs>
        <w:ind w:left="6477" w:hanging="180"/>
      </w:pPr>
    </w:lvl>
  </w:abstractNum>
  <w:abstractNum w:abstractNumId="20" w15:restartNumberingAfterBreak="0">
    <w:nsid w:val="57BC0AB9"/>
    <w:multiLevelType w:val="hybridMultilevel"/>
    <w:tmpl w:val="09D4835C"/>
    <w:lvl w:ilvl="0" w:tplc="EA72B3CA">
      <w:start w:val="1"/>
      <w:numFmt w:val="bullet"/>
      <w:pStyle w:val="TM4"/>
      <w:lvlText w:val=""/>
      <w:lvlJc w:val="left"/>
      <w:pPr>
        <w:tabs>
          <w:tab w:val="num" w:pos="720"/>
        </w:tabs>
        <w:ind w:left="720" w:hanging="360"/>
      </w:pPr>
      <w:rPr>
        <w:rFonts w:ascii="Wingdings" w:hAnsi="Wingdings" w:hint="default"/>
        <w:color w:val="0081BD"/>
        <w:sz w:val="24"/>
        <w:szCs w:val="24"/>
      </w:rPr>
    </w:lvl>
    <w:lvl w:ilvl="1" w:tplc="040C0003">
      <w:start w:val="1"/>
      <w:numFmt w:val="bullet"/>
      <w:lvlText w:val="o"/>
      <w:lvlJc w:val="left"/>
      <w:pPr>
        <w:tabs>
          <w:tab w:val="num" w:pos="1440"/>
        </w:tabs>
        <w:ind w:left="1440" w:hanging="360"/>
      </w:pPr>
      <w:rPr>
        <w:rFonts w:ascii="Courier New" w:hAnsi="Courier New" w:cs="Courier New" w:hint="default"/>
      </w:rPr>
    </w:lvl>
    <w:lvl w:ilvl="2" w:tplc="03260D9C">
      <w:start w:val="6"/>
      <w:numFmt w:val="bullet"/>
      <w:lvlText w:val="-"/>
      <w:lvlJc w:val="left"/>
      <w:pPr>
        <w:tabs>
          <w:tab w:val="num" w:pos="2160"/>
        </w:tabs>
        <w:ind w:left="2160" w:hanging="360"/>
      </w:pPr>
      <w:rPr>
        <w:rFonts w:ascii="Calibri" w:eastAsia="Times New Roman" w:hAnsi="Calibri" w:cs="Times New Roman"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D3C1AF4"/>
    <w:multiLevelType w:val="hybridMultilevel"/>
    <w:tmpl w:val="974CB58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E35949"/>
    <w:multiLevelType w:val="hybridMultilevel"/>
    <w:tmpl w:val="1C4AAC3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48F086E"/>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674A49D4"/>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6ECF3DAD"/>
    <w:multiLevelType w:val="hybridMultilevel"/>
    <w:tmpl w:val="07349AA0"/>
    <w:lvl w:ilvl="0" w:tplc="8F82F148">
      <w:start w:val="1"/>
      <w:numFmt w:val="bullet"/>
      <w:lvlText w:val="-"/>
      <w:lvlJc w:val="left"/>
      <w:pPr>
        <w:ind w:left="765" w:hanging="360"/>
      </w:pPr>
      <w:rPr>
        <w:rFonts w:ascii="Arial Narrow" w:eastAsia="Times New Roman" w:hAnsi="Arial Narrow" w:cs="Aria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6" w15:restartNumberingAfterBreak="0">
    <w:nsid w:val="78F8133F"/>
    <w:multiLevelType w:val="hybridMultilevel"/>
    <w:tmpl w:val="7E680294"/>
    <w:lvl w:ilvl="0" w:tplc="27380148">
      <w:numFmt w:val="bullet"/>
      <w:lvlText w:val="-"/>
      <w:lvlJc w:val="left"/>
      <w:pPr>
        <w:ind w:left="1065" w:hanging="705"/>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B955F34"/>
    <w:multiLevelType w:val="hybridMultilevel"/>
    <w:tmpl w:val="9E92F7DC"/>
    <w:lvl w:ilvl="0" w:tplc="D6AE765C">
      <w:start w:val="1"/>
      <w:numFmt w:val="bullet"/>
      <w:lvlText w:val="-"/>
      <w:lvlJc w:val="left"/>
      <w:pPr>
        <w:tabs>
          <w:tab w:val="num" w:pos="1068"/>
        </w:tabs>
        <w:ind w:left="1068" w:hanging="360"/>
      </w:pPr>
      <w:rPr>
        <w:rFonts w:ascii="Bookman Old Style" w:eastAsia="Times New Roman" w:hAnsi="Bookman Old Style" w:cs="Times New Roman" w:hint="default"/>
      </w:rPr>
    </w:lvl>
    <w:lvl w:ilvl="1" w:tplc="040C000F">
      <w:start w:val="1"/>
      <w:numFmt w:val="decimal"/>
      <w:lvlText w:val="%2."/>
      <w:lvlJc w:val="left"/>
      <w:pPr>
        <w:tabs>
          <w:tab w:val="num" w:pos="1788"/>
        </w:tabs>
        <w:ind w:left="1788" w:hanging="360"/>
      </w:pPr>
      <w:rPr>
        <w:rFonts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num w:numId="1">
    <w:abstractNumId w:val="13"/>
  </w:num>
  <w:num w:numId="2">
    <w:abstractNumId w:val="23"/>
  </w:num>
  <w:num w:numId="3">
    <w:abstractNumId w:val="8"/>
  </w:num>
  <w:num w:numId="4">
    <w:abstractNumId w:val="7"/>
  </w:num>
  <w:num w:numId="5">
    <w:abstractNumId w:val="9"/>
  </w:num>
  <w:num w:numId="6">
    <w:abstractNumId w:val="16"/>
  </w:num>
  <w:num w:numId="7">
    <w:abstractNumId w:val="24"/>
  </w:num>
  <w:num w:numId="8">
    <w:abstractNumId w:val="27"/>
  </w:num>
  <w:num w:numId="9">
    <w:abstractNumId w:val="11"/>
  </w:num>
  <w:num w:numId="10">
    <w:abstractNumId w:val="5"/>
  </w:num>
  <w:num w:numId="11">
    <w:abstractNumId w:val="22"/>
  </w:num>
  <w:num w:numId="12">
    <w:abstractNumId w:val="1"/>
  </w:num>
  <w:num w:numId="13">
    <w:abstractNumId w:val="19"/>
  </w:num>
  <w:num w:numId="14">
    <w:abstractNumId w:val="3"/>
  </w:num>
  <w:num w:numId="15">
    <w:abstractNumId w:val="4"/>
  </w:num>
  <w:num w:numId="16">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5"/>
  </w:num>
  <w:num w:numId="18">
    <w:abstractNumId w:val="17"/>
  </w:num>
  <w:num w:numId="19">
    <w:abstractNumId w:val="18"/>
  </w:num>
  <w:num w:numId="20">
    <w:abstractNumId w:val="21"/>
  </w:num>
  <w:num w:numId="21">
    <w:abstractNumId w:val="20"/>
  </w:num>
  <w:num w:numId="22">
    <w:abstractNumId w:val="15"/>
  </w:num>
  <w:num w:numId="23">
    <w:abstractNumId w:val="14"/>
  </w:num>
  <w:num w:numId="24">
    <w:abstractNumId w:val="12"/>
  </w:num>
  <w:num w:numId="25">
    <w:abstractNumId w:val="10"/>
  </w:num>
  <w:num w:numId="26">
    <w:abstractNumId w:val="0"/>
  </w:num>
  <w:num w:numId="27">
    <w:abstractNumId w:val="2"/>
  </w:num>
  <w:num w:numId="2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2251"/>
    <w:rsid w:val="00010C01"/>
    <w:rsid w:val="00016A15"/>
    <w:rsid w:val="00022410"/>
    <w:rsid w:val="0003519F"/>
    <w:rsid w:val="00035DFF"/>
    <w:rsid w:val="00036ACE"/>
    <w:rsid w:val="000413FD"/>
    <w:rsid w:val="000438CC"/>
    <w:rsid w:val="000528CE"/>
    <w:rsid w:val="00052A05"/>
    <w:rsid w:val="00053352"/>
    <w:rsid w:val="00067E3B"/>
    <w:rsid w:val="00082B8C"/>
    <w:rsid w:val="00082CAD"/>
    <w:rsid w:val="00083824"/>
    <w:rsid w:val="0009057F"/>
    <w:rsid w:val="0009288D"/>
    <w:rsid w:val="000A17C2"/>
    <w:rsid w:val="000A5B3E"/>
    <w:rsid w:val="000B1E5B"/>
    <w:rsid w:val="000B2AF5"/>
    <w:rsid w:val="000C238C"/>
    <w:rsid w:val="000D0B74"/>
    <w:rsid w:val="000D4D9C"/>
    <w:rsid w:val="000D56D7"/>
    <w:rsid w:val="000D60C9"/>
    <w:rsid w:val="000E2236"/>
    <w:rsid w:val="000E63F5"/>
    <w:rsid w:val="000F08A8"/>
    <w:rsid w:val="000F1A2E"/>
    <w:rsid w:val="000F3B17"/>
    <w:rsid w:val="000F5ECB"/>
    <w:rsid w:val="000F660D"/>
    <w:rsid w:val="000F6C98"/>
    <w:rsid w:val="00106EDD"/>
    <w:rsid w:val="001078B7"/>
    <w:rsid w:val="00112AC9"/>
    <w:rsid w:val="001145E6"/>
    <w:rsid w:val="001163CC"/>
    <w:rsid w:val="00120179"/>
    <w:rsid w:val="00120323"/>
    <w:rsid w:val="00120813"/>
    <w:rsid w:val="00120D30"/>
    <w:rsid w:val="00122362"/>
    <w:rsid w:val="00122D6D"/>
    <w:rsid w:val="001245ED"/>
    <w:rsid w:val="00126738"/>
    <w:rsid w:val="00131FFF"/>
    <w:rsid w:val="0013328C"/>
    <w:rsid w:val="0014265D"/>
    <w:rsid w:val="001431F2"/>
    <w:rsid w:val="00160949"/>
    <w:rsid w:val="00164BA4"/>
    <w:rsid w:val="001661D1"/>
    <w:rsid w:val="001678BB"/>
    <w:rsid w:val="00172DCF"/>
    <w:rsid w:val="00175BA9"/>
    <w:rsid w:val="00176084"/>
    <w:rsid w:val="00176AAE"/>
    <w:rsid w:val="0018187E"/>
    <w:rsid w:val="00183D63"/>
    <w:rsid w:val="001A048D"/>
    <w:rsid w:val="001A3C9D"/>
    <w:rsid w:val="001B4209"/>
    <w:rsid w:val="001B77F4"/>
    <w:rsid w:val="001C73B9"/>
    <w:rsid w:val="001D0AD1"/>
    <w:rsid w:val="001D2602"/>
    <w:rsid w:val="001E1F6A"/>
    <w:rsid w:val="001E2075"/>
    <w:rsid w:val="001E4228"/>
    <w:rsid w:val="001E5A41"/>
    <w:rsid w:val="001E5B88"/>
    <w:rsid w:val="001F0B48"/>
    <w:rsid w:val="001F4C5E"/>
    <w:rsid w:val="001F5EEC"/>
    <w:rsid w:val="00201E0D"/>
    <w:rsid w:val="0020208C"/>
    <w:rsid w:val="00206566"/>
    <w:rsid w:val="00214823"/>
    <w:rsid w:val="00217121"/>
    <w:rsid w:val="002176E7"/>
    <w:rsid w:val="002256DC"/>
    <w:rsid w:val="0022681A"/>
    <w:rsid w:val="0023320D"/>
    <w:rsid w:val="002355FA"/>
    <w:rsid w:val="00240AA4"/>
    <w:rsid w:val="00244865"/>
    <w:rsid w:val="002547C0"/>
    <w:rsid w:val="00254E33"/>
    <w:rsid w:val="002609AC"/>
    <w:rsid w:val="0026398F"/>
    <w:rsid w:val="00271C65"/>
    <w:rsid w:val="002754A2"/>
    <w:rsid w:val="00284B89"/>
    <w:rsid w:val="0028618E"/>
    <w:rsid w:val="0029196A"/>
    <w:rsid w:val="002A0B43"/>
    <w:rsid w:val="002A173E"/>
    <w:rsid w:val="002B2E9A"/>
    <w:rsid w:val="002C4C7E"/>
    <w:rsid w:val="002C7652"/>
    <w:rsid w:val="002D35CA"/>
    <w:rsid w:val="002D7502"/>
    <w:rsid w:val="002E3981"/>
    <w:rsid w:val="002E4362"/>
    <w:rsid w:val="002E5E99"/>
    <w:rsid w:val="00300265"/>
    <w:rsid w:val="00301C90"/>
    <w:rsid w:val="00304665"/>
    <w:rsid w:val="003069DB"/>
    <w:rsid w:val="0031466C"/>
    <w:rsid w:val="00317AFC"/>
    <w:rsid w:val="00321006"/>
    <w:rsid w:val="003227C2"/>
    <w:rsid w:val="003309B6"/>
    <w:rsid w:val="003311B1"/>
    <w:rsid w:val="003332DA"/>
    <w:rsid w:val="003453FC"/>
    <w:rsid w:val="00345971"/>
    <w:rsid w:val="00350AA9"/>
    <w:rsid w:val="003554F8"/>
    <w:rsid w:val="00357DCB"/>
    <w:rsid w:val="00362CEF"/>
    <w:rsid w:val="0036375B"/>
    <w:rsid w:val="00364B05"/>
    <w:rsid w:val="00365862"/>
    <w:rsid w:val="003667F9"/>
    <w:rsid w:val="003720D2"/>
    <w:rsid w:val="0037510C"/>
    <w:rsid w:val="00380777"/>
    <w:rsid w:val="0038341E"/>
    <w:rsid w:val="00385799"/>
    <w:rsid w:val="00392CC2"/>
    <w:rsid w:val="00396E2B"/>
    <w:rsid w:val="00396FB2"/>
    <w:rsid w:val="003A1F8B"/>
    <w:rsid w:val="003A6004"/>
    <w:rsid w:val="003A6BC9"/>
    <w:rsid w:val="003A7F1D"/>
    <w:rsid w:val="003B2EF5"/>
    <w:rsid w:val="003B5E2E"/>
    <w:rsid w:val="003C1166"/>
    <w:rsid w:val="003C1EDA"/>
    <w:rsid w:val="003C2AA2"/>
    <w:rsid w:val="003C66A6"/>
    <w:rsid w:val="003E2737"/>
    <w:rsid w:val="003E2742"/>
    <w:rsid w:val="003F3EB6"/>
    <w:rsid w:val="004009A5"/>
    <w:rsid w:val="0040601A"/>
    <w:rsid w:val="00406830"/>
    <w:rsid w:val="00407879"/>
    <w:rsid w:val="004078AB"/>
    <w:rsid w:val="00411FBE"/>
    <w:rsid w:val="00412951"/>
    <w:rsid w:val="00413DFC"/>
    <w:rsid w:val="00421387"/>
    <w:rsid w:val="00423695"/>
    <w:rsid w:val="00423E07"/>
    <w:rsid w:val="00425725"/>
    <w:rsid w:val="004300BA"/>
    <w:rsid w:val="00440FD8"/>
    <w:rsid w:val="00442061"/>
    <w:rsid w:val="00450CFB"/>
    <w:rsid w:val="00452CAE"/>
    <w:rsid w:val="00454741"/>
    <w:rsid w:val="00477E65"/>
    <w:rsid w:val="004828D8"/>
    <w:rsid w:val="00490464"/>
    <w:rsid w:val="004A0E5A"/>
    <w:rsid w:val="004A21C0"/>
    <w:rsid w:val="004B1198"/>
    <w:rsid w:val="004C4386"/>
    <w:rsid w:val="004D0C72"/>
    <w:rsid w:val="004E67C0"/>
    <w:rsid w:val="0050073C"/>
    <w:rsid w:val="005035F8"/>
    <w:rsid w:val="00506286"/>
    <w:rsid w:val="005170F9"/>
    <w:rsid w:val="00521666"/>
    <w:rsid w:val="0052213C"/>
    <w:rsid w:val="00522AE8"/>
    <w:rsid w:val="00527114"/>
    <w:rsid w:val="00527807"/>
    <w:rsid w:val="00546FD8"/>
    <w:rsid w:val="00551C29"/>
    <w:rsid w:val="0055533D"/>
    <w:rsid w:val="005565D0"/>
    <w:rsid w:val="00557385"/>
    <w:rsid w:val="00567E3A"/>
    <w:rsid w:val="00577DB6"/>
    <w:rsid w:val="0058135E"/>
    <w:rsid w:val="005933AD"/>
    <w:rsid w:val="00593C8C"/>
    <w:rsid w:val="005941B7"/>
    <w:rsid w:val="005A13E9"/>
    <w:rsid w:val="005A3481"/>
    <w:rsid w:val="005B0B2B"/>
    <w:rsid w:val="005C7688"/>
    <w:rsid w:val="005D2998"/>
    <w:rsid w:val="005E5BCE"/>
    <w:rsid w:val="005F3793"/>
    <w:rsid w:val="0060066D"/>
    <w:rsid w:val="00600EB0"/>
    <w:rsid w:val="00603FD8"/>
    <w:rsid w:val="0061119D"/>
    <w:rsid w:val="006121C0"/>
    <w:rsid w:val="00613FDF"/>
    <w:rsid w:val="0061790C"/>
    <w:rsid w:val="00642252"/>
    <w:rsid w:val="00643F83"/>
    <w:rsid w:val="006558FD"/>
    <w:rsid w:val="0065716C"/>
    <w:rsid w:val="006667C7"/>
    <w:rsid w:val="006672AF"/>
    <w:rsid w:val="00671873"/>
    <w:rsid w:val="00681CEE"/>
    <w:rsid w:val="006949F2"/>
    <w:rsid w:val="006965F6"/>
    <w:rsid w:val="006971D6"/>
    <w:rsid w:val="006A14AF"/>
    <w:rsid w:val="006A2413"/>
    <w:rsid w:val="006B08DA"/>
    <w:rsid w:val="006B36E0"/>
    <w:rsid w:val="006C29E3"/>
    <w:rsid w:val="006C7035"/>
    <w:rsid w:val="006D16D0"/>
    <w:rsid w:val="006E7CA5"/>
    <w:rsid w:val="006F4183"/>
    <w:rsid w:val="006F4228"/>
    <w:rsid w:val="006F7486"/>
    <w:rsid w:val="0070075A"/>
    <w:rsid w:val="007018B9"/>
    <w:rsid w:val="00705475"/>
    <w:rsid w:val="00713581"/>
    <w:rsid w:val="00722673"/>
    <w:rsid w:val="00735750"/>
    <w:rsid w:val="007409E3"/>
    <w:rsid w:val="00743866"/>
    <w:rsid w:val="007475D8"/>
    <w:rsid w:val="00750151"/>
    <w:rsid w:val="007504D3"/>
    <w:rsid w:val="007521AF"/>
    <w:rsid w:val="00756589"/>
    <w:rsid w:val="007637FE"/>
    <w:rsid w:val="00763C01"/>
    <w:rsid w:val="007643B1"/>
    <w:rsid w:val="007672DE"/>
    <w:rsid w:val="0077121A"/>
    <w:rsid w:val="00773AF8"/>
    <w:rsid w:val="00797BDE"/>
    <w:rsid w:val="007A3D49"/>
    <w:rsid w:val="007B405D"/>
    <w:rsid w:val="007B43E2"/>
    <w:rsid w:val="007C20B4"/>
    <w:rsid w:val="007C3973"/>
    <w:rsid w:val="007C3DA9"/>
    <w:rsid w:val="007C4141"/>
    <w:rsid w:val="007C50DE"/>
    <w:rsid w:val="007D27D8"/>
    <w:rsid w:val="007D2F22"/>
    <w:rsid w:val="007D39E1"/>
    <w:rsid w:val="007D594C"/>
    <w:rsid w:val="007E3731"/>
    <w:rsid w:val="007F535B"/>
    <w:rsid w:val="007F57B6"/>
    <w:rsid w:val="007F5E54"/>
    <w:rsid w:val="00802D32"/>
    <w:rsid w:val="008105E5"/>
    <w:rsid w:val="00812D02"/>
    <w:rsid w:val="00815499"/>
    <w:rsid w:val="00820C88"/>
    <w:rsid w:val="0082103A"/>
    <w:rsid w:val="00825630"/>
    <w:rsid w:val="00830CA8"/>
    <w:rsid w:val="00836444"/>
    <w:rsid w:val="0083750E"/>
    <w:rsid w:val="00837CF1"/>
    <w:rsid w:val="00840745"/>
    <w:rsid w:val="00844816"/>
    <w:rsid w:val="00846CE9"/>
    <w:rsid w:val="008471F1"/>
    <w:rsid w:val="0085211F"/>
    <w:rsid w:val="00853712"/>
    <w:rsid w:val="008638FF"/>
    <w:rsid w:val="00866A10"/>
    <w:rsid w:val="00870EBC"/>
    <w:rsid w:val="00872C4C"/>
    <w:rsid w:val="00872D64"/>
    <w:rsid w:val="00874E3A"/>
    <w:rsid w:val="00876023"/>
    <w:rsid w:val="00876125"/>
    <w:rsid w:val="008767F5"/>
    <w:rsid w:val="008778FF"/>
    <w:rsid w:val="00882145"/>
    <w:rsid w:val="008903EE"/>
    <w:rsid w:val="008A03C4"/>
    <w:rsid w:val="008A76DD"/>
    <w:rsid w:val="008B044C"/>
    <w:rsid w:val="008B0B1C"/>
    <w:rsid w:val="008B0B3E"/>
    <w:rsid w:val="008D0359"/>
    <w:rsid w:val="008D0BFF"/>
    <w:rsid w:val="008D225F"/>
    <w:rsid w:val="008D5707"/>
    <w:rsid w:val="008D5931"/>
    <w:rsid w:val="008D6A1A"/>
    <w:rsid w:val="008F3059"/>
    <w:rsid w:val="009028FB"/>
    <w:rsid w:val="009029DB"/>
    <w:rsid w:val="00904C07"/>
    <w:rsid w:val="009056DB"/>
    <w:rsid w:val="009057CD"/>
    <w:rsid w:val="0091450D"/>
    <w:rsid w:val="009276A1"/>
    <w:rsid w:val="0093045F"/>
    <w:rsid w:val="00933280"/>
    <w:rsid w:val="00955786"/>
    <w:rsid w:val="009572CD"/>
    <w:rsid w:val="00966301"/>
    <w:rsid w:val="009718DF"/>
    <w:rsid w:val="00972251"/>
    <w:rsid w:val="00974800"/>
    <w:rsid w:val="00975C8D"/>
    <w:rsid w:val="0097751B"/>
    <w:rsid w:val="009804EC"/>
    <w:rsid w:val="009815E2"/>
    <w:rsid w:val="0098367A"/>
    <w:rsid w:val="00987559"/>
    <w:rsid w:val="00990DF5"/>
    <w:rsid w:val="00993080"/>
    <w:rsid w:val="009A04F4"/>
    <w:rsid w:val="009A6893"/>
    <w:rsid w:val="009B2B36"/>
    <w:rsid w:val="009B4B64"/>
    <w:rsid w:val="009C7B66"/>
    <w:rsid w:val="009D49ED"/>
    <w:rsid w:val="009D4B5D"/>
    <w:rsid w:val="009D6258"/>
    <w:rsid w:val="009D7AE8"/>
    <w:rsid w:val="009E03BF"/>
    <w:rsid w:val="009E1CD4"/>
    <w:rsid w:val="009E2693"/>
    <w:rsid w:val="009E6F5A"/>
    <w:rsid w:val="009F0C88"/>
    <w:rsid w:val="009F1BE8"/>
    <w:rsid w:val="009F1F3A"/>
    <w:rsid w:val="009F26D1"/>
    <w:rsid w:val="009F42C1"/>
    <w:rsid w:val="00A01558"/>
    <w:rsid w:val="00A01A38"/>
    <w:rsid w:val="00A05BF0"/>
    <w:rsid w:val="00A11DFF"/>
    <w:rsid w:val="00A1568B"/>
    <w:rsid w:val="00A20B3A"/>
    <w:rsid w:val="00A3017F"/>
    <w:rsid w:val="00A31124"/>
    <w:rsid w:val="00A3319D"/>
    <w:rsid w:val="00A461AA"/>
    <w:rsid w:val="00A5480F"/>
    <w:rsid w:val="00A6112C"/>
    <w:rsid w:val="00A742F2"/>
    <w:rsid w:val="00A812E8"/>
    <w:rsid w:val="00A90405"/>
    <w:rsid w:val="00A9685F"/>
    <w:rsid w:val="00A97738"/>
    <w:rsid w:val="00AA0C8D"/>
    <w:rsid w:val="00AC03E8"/>
    <w:rsid w:val="00AC43DB"/>
    <w:rsid w:val="00AD2163"/>
    <w:rsid w:val="00AD2224"/>
    <w:rsid w:val="00AD52C5"/>
    <w:rsid w:val="00AD5A9C"/>
    <w:rsid w:val="00AD7041"/>
    <w:rsid w:val="00AD74C4"/>
    <w:rsid w:val="00AE1167"/>
    <w:rsid w:val="00AE5200"/>
    <w:rsid w:val="00AE53D3"/>
    <w:rsid w:val="00AE6C1A"/>
    <w:rsid w:val="00AF0CAE"/>
    <w:rsid w:val="00AF3885"/>
    <w:rsid w:val="00AF6A5A"/>
    <w:rsid w:val="00B03CCD"/>
    <w:rsid w:val="00B052E2"/>
    <w:rsid w:val="00B119C1"/>
    <w:rsid w:val="00B134B1"/>
    <w:rsid w:val="00B16B7E"/>
    <w:rsid w:val="00B173BB"/>
    <w:rsid w:val="00B26E86"/>
    <w:rsid w:val="00B544DA"/>
    <w:rsid w:val="00B64FAE"/>
    <w:rsid w:val="00B67084"/>
    <w:rsid w:val="00B70194"/>
    <w:rsid w:val="00B720CF"/>
    <w:rsid w:val="00B77F1D"/>
    <w:rsid w:val="00B85D09"/>
    <w:rsid w:val="00B8665D"/>
    <w:rsid w:val="00B966A3"/>
    <w:rsid w:val="00BB0676"/>
    <w:rsid w:val="00BB27FB"/>
    <w:rsid w:val="00BB3855"/>
    <w:rsid w:val="00BB467C"/>
    <w:rsid w:val="00BB4E26"/>
    <w:rsid w:val="00BB4FCD"/>
    <w:rsid w:val="00BB50B2"/>
    <w:rsid w:val="00BB5B2A"/>
    <w:rsid w:val="00BF4B84"/>
    <w:rsid w:val="00C05189"/>
    <w:rsid w:val="00C05D68"/>
    <w:rsid w:val="00C061EA"/>
    <w:rsid w:val="00C06D32"/>
    <w:rsid w:val="00C12266"/>
    <w:rsid w:val="00C12622"/>
    <w:rsid w:val="00C15823"/>
    <w:rsid w:val="00C16D9B"/>
    <w:rsid w:val="00C17777"/>
    <w:rsid w:val="00C20436"/>
    <w:rsid w:val="00C2532B"/>
    <w:rsid w:val="00C2534F"/>
    <w:rsid w:val="00C26107"/>
    <w:rsid w:val="00C26FB9"/>
    <w:rsid w:val="00C3141A"/>
    <w:rsid w:val="00C351AB"/>
    <w:rsid w:val="00C379C0"/>
    <w:rsid w:val="00C428BE"/>
    <w:rsid w:val="00C515E8"/>
    <w:rsid w:val="00C51C9E"/>
    <w:rsid w:val="00C529F2"/>
    <w:rsid w:val="00C53AB8"/>
    <w:rsid w:val="00C552FC"/>
    <w:rsid w:val="00C7228D"/>
    <w:rsid w:val="00C7797E"/>
    <w:rsid w:val="00C8464B"/>
    <w:rsid w:val="00C973FF"/>
    <w:rsid w:val="00CA337B"/>
    <w:rsid w:val="00CB139F"/>
    <w:rsid w:val="00CB170E"/>
    <w:rsid w:val="00CB3423"/>
    <w:rsid w:val="00CB3B76"/>
    <w:rsid w:val="00CD5103"/>
    <w:rsid w:val="00CD546E"/>
    <w:rsid w:val="00CD58A6"/>
    <w:rsid w:val="00CD64C6"/>
    <w:rsid w:val="00CD7E93"/>
    <w:rsid w:val="00CE0799"/>
    <w:rsid w:val="00CE0973"/>
    <w:rsid w:val="00CE4F1D"/>
    <w:rsid w:val="00CF106E"/>
    <w:rsid w:val="00CF2640"/>
    <w:rsid w:val="00CF525B"/>
    <w:rsid w:val="00CF700F"/>
    <w:rsid w:val="00D14F38"/>
    <w:rsid w:val="00D154BA"/>
    <w:rsid w:val="00D21291"/>
    <w:rsid w:val="00D21D31"/>
    <w:rsid w:val="00D3470A"/>
    <w:rsid w:val="00D44402"/>
    <w:rsid w:val="00D47B61"/>
    <w:rsid w:val="00D50005"/>
    <w:rsid w:val="00D61B3D"/>
    <w:rsid w:val="00D63F40"/>
    <w:rsid w:val="00D704C6"/>
    <w:rsid w:val="00D73A11"/>
    <w:rsid w:val="00D76E18"/>
    <w:rsid w:val="00D771EA"/>
    <w:rsid w:val="00D9046B"/>
    <w:rsid w:val="00D95077"/>
    <w:rsid w:val="00DA4495"/>
    <w:rsid w:val="00DB7966"/>
    <w:rsid w:val="00DC05F3"/>
    <w:rsid w:val="00DD0108"/>
    <w:rsid w:val="00DD2A46"/>
    <w:rsid w:val="00DE0528"/>
    <w:rsid w:val="00DE0C35"/>
    <w:rsid w:val="00DE7A00"/>
    <w:rsid w:val="00DF288A"/>
    <w:rsid w:val="00DF2AB7"/>
    <w:rsid w:val="00DF36A7"/>
    <w:rsid w:val="00E00D36"/>
    <w:rsid w:val="00E02179"/>
    <w:rsid w:val="00E10594"/>
    <w:rsid w:val="00E1104E"/>
    <w:rsid w:val="00E16FD3"/>
    <w:rsid w:val="00E17BE6"/>
    <w:rsid w:val="00E20499"/>
    <w:rsid w:val="00E206D3"/>
    <w:rsid w:val="00E267D4"/>
    <w:rsid w:val="00E30095"/>
    <w:rsid w:val="00E32E8D"/>
    <w:rsid w:val="00E34D49"/>
    <w:rsid w:val="00E36855"/>
    <w:rsid w:val="00E571CF"/>
    <w:rsid w:val="00E6307B"/>
    <w:rsid w:val="00E65E55"/>
    <w:rsid w:val="00E67EC7"/>
    <w:rsid w:val="00E7099F"/>
    <w:rsid w:val="00E82156"/>
    <w:rsid w:val="00E87426"/>
    <w:rsid w:val="00E9552B"/>
    <w:rsid w:val="00EA3C9D"/>
    <w:rsid w:val="00EA3CBE"/>
    <w:rsid w:val="00EA3F4F"/>
    <w:rsid w:val="00EA63CB"/>
    <w:rsid w:val="00EB6954"/>
    <w:rsid w:val="00EC2699"/>
    <w:rsid w:val="00EC3FEE"/>
    <w:rsid w:val="00ED08E9"/>
    <w:rsid w:val="00ED19D6"/>
    <w:rsid w:val="00EE25C1"/>
    <w:rsid w:val="00EE37D4"/>
    <w:rsid w:val="00EE5DC1"/>
    <w:rsid w:val="00EE6DBD"/>
    <w:rsid w:val="00EF0597"/>
    <w:rsid w:val="00EF4F4F"/>
    <w:rsid w:val="00EF6267"/>
    <w:rsid w:val="00F00E1F"/>
    <w:rsid w:val="00F014DF"/>
    <w:rsid w:val="00F05BC4"/>
    <w:rsid w:val="00F061E8"/>
    <w:rsid w:val="00F11953"/>
    <w:rsid w:val="00F237E0"/>
    <w:rsid w:val="00F23BDA"/>
    <w:rsid w:val="00F25A6E"/>
    <w:rsid w:val="00F2735E"/>
    <w:rsid w:val="00F30008"/>
    <w:rsid w:val="00F34DFA"/>
    <w:rsid w:val="00F40D03"/>
    <w:rsid w:val="00F41E44"/>
    <w:rsid w:val="00F42127"/>
    <w:rsid w:val="00F60015"/>
    <w:rsid w:val="00F61D1D"/>
    <w:rsid w:val="00F626D1"/>
    <w:rsid w:val="00F634EB"/>
    <w:rsid w:val="00F76CBC"/>
    <w:rsid w:val="00F8319E"/>
    <w:rsid w:val="00F85B44"/>
    <w:rsid w:val="00F91D68"/>
    <w:rsid w:val="00F94A54"/>
    <w:rsid w:val="00FA27B0"/>
    <w:rsid w:val="00FB4FDF"/>
    <w:rsid w:val="00FB5F7B"/>
    <w:rsid w:val="00FB69F2"/>
    <w:rsid w:val="00FC15B2"/>
    <w:rsid w:val="00FC3CBE"/>
    <w:rsid w:val="00FC66ED"/>
    <w:rsid w:val="00FC79EB"/>
    <w:rsid w:val="00FD2AE8"/>
    <w:rsid w:val="00FD5F21"/>
    <w:rsid w:val="00FE01F1"/>
    <w:rsid w:val="00FF020F"/>
    <w:rsid w:val="00FF30BA"/>
    <w:rsid w:val="00FF377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990F9D1"/>
  <w15:docId w15:val="{C47A08E9-B3AB-491B-8285-85F4536F7C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15E2"/>
  </w:style>
  <w:style w:type="paragraph" w:styleId="Titre1">
    <w:name w:val="heading 1"/>
    <w:basedOn w:val="Normal"/>
    <w:next w:val="Normal"/>
    <w:qFormat/>
    <w:rsid w:val="009815E2"/>
    <w:pPr>
      <w:keepNext/>
      <w:pageBreakBefore/>
      <w:pBdr>
        <w:top w:val="single" w:sz="18" w:space="10" w:color="auto" w:shadow="1"/>
        <w:left w:val="single" w:sz="18" w:space="10" w:color="auto" w:shadow="1"/>
        <w:bottom w:val="single" w:sz="18" w:space="10" w:color="auto" w:shadow="1"/>
        <w:right w:val="single" w:sz="18" w:space="10" w:color="auto" w:shadow="1"/>
      </w:pBdr>
      <w:spacing w:after="600"/>
      <w:ind w:left="1701" w:right="1701"/>
      <w:jc w:val="center"/>
      <w:outlineLvl w:val="0"/>
    </w:pPr>
    <w:rPr>
      <w:rFonts w:cs="Arial"/>
      <w:b/>
      <w:bCs/>
      <w:kern w:val="32"/>
      <w:sz w:val="40"/>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rsid w:val="009815E2"/>
    <w:rPr>
      <w:rFonts w:ascii="Arial" w:hAnsi="Arial"/>
      <w:b/>
      <w:i/>
      <w:sz w:val="16"/>
    </w:rPr>
  </w:style>
  <w:style w:type="paragraph" w:styleId="Corpsdetexte2">
    <w:name w:val="Body Text 2"/>
    <w:basedOn w:val="Normal"/>
    <w:rsid w:val="009815E2"/>
    <w:pPr>
      <w:jc w:val="both"/>
    </w:pPr>
    <w:rPr>
      <w:rFonts w:ascii="Arial" w:hAnsi="Arial"/>
    </w:rPr>
  </w:style>
  <w:style w:type="paragraph" w:styleId="En-tte">
    <w:name w:val="header"/>
    <w:basedOn w:val="Normal"/>
    <w:link w:val="En-tteCar"/>
    <w:uiPriority w:val="99"/>
    <w:rsid w:val="00773AF8"/>
    <w:pPr>
      <w:tabs>
        <w:tab w:val="center" w:pos="4536"/>
        <w:tab w:val="right" w:pos="9072"/>
      </w:tabs>
      <w:jc w:val="right"/>
    </w:pPr>
    <w:rPr>
      <w:noProof/>
    </w:rPr>
  </w:style>
  <w:style w:type="character" w:styleId="Numrodepage">
    <w:name w:val="page number"/>
    <w:basedOn w:val="Policepardfaut"/>
    <w:rsid w:val="009815E2"/>
  </w:style>
  <w:style w:type="paragraph" w:styleId="Pieddepage">
    <w:name w:val="footer"/>
    <w:basedOn w:val="Normal"/>
    <w:link w:val="PieddepageCar"/>
    <w:uiPriority w:val="99"/>
    <w:rsid w:val="009815E2"/>
    <w:pPr>
      <w:tabs>
        <w:tab w:val="center" w:pos="4536"/>
        <w:tab w:val="right" w:pos="9072"/>
      </w:tabs>
    </w:pPr>
  </w:style>
  <w:style w:type="paragraph" w:customStyle="1" w:styleId="TitreArticle">
    <w:name w:val="Titre Article"/>
    <w:basedOn w:val="Normal"/>
    <w:autoRedefine/>
    <w:rsid w:val="009815E2"/>
    <w:pPr>
      <w:keepNext/>
      <w:numPr>
        <w:ilvl w:val="12"/>
      </w:numPr>
      <w:pBdr>
        <w:top w:val="single" w:sz="4" w:space="1" w:color="auto"/>
        <w:left w:val="single" w:sz="4" w:space="2" w:color="auto"/>
        <w:bottom w:val="single" w:sz="4" w:space="1" w:color="auto"/>
        <w:right w:val="single" w:sz="4" w:space="2" w:color="auto"/>
      </w:pBdr>
      <w:shd w:val="pct15" w:color="auto" w:fill="FFFFFF"/>
      <w:spacing w:before="120" w:after="120"/>
      <w:jc w:val="center"/>
      <w:outlineLvl w:val="0"/>
    </w:pPr>
    <w:rPr>
      <w:rFonts w:ascii="Bookman Old Style" w:hAnsi="Bookman Old Style"/>
      <w:b/>
      <w:sz w:val="18"/>
    </w:rPr>
  </w:style>
  <w:style w:type="paragraph" w:customStyle="1" w:styleId="Article">
    <w:name w:val="Article"/>
    <w:basedOn w:val="Normal"/>
    <w:autoRedefine/>
    <w:rsid w:val="009815E2"/>
    <w:pPr>
      <w:spacing w:before="60"/>
      <w:jc w:val="both"/>
    </w:pPr>
    <w:rPr>
      <w:rFonts w:ascii="Bookman Old Style" w:hAnsi="Bookman Old Style"/>
      <w:sz w:val="16"/>
    </w:rPr>
  </w:style>
  <w:style w:type="paragraph" w:customStyle="1" w:styleId="Dfinition">
    <w:name w:val="Définition"/>
    <w:basedOn w:val="Normal"/>
    <w:autoRedefine/>
    <w:rsid w:val="009815E2"/>
    <w:pPr>
      <w:numPr>
        <w:ilvl w:val="12"/>
      </w:numPr>
      <w:spacing w:before="120"/>
      <w:jc w:val="both"/>
    </w:pPr>
    <w:rPr>
      <w:rFonts w:ascii="Bookman Old Style" w:hAnsi="Bookman Old Style"/>
      <w:sz w:val="16"/>
    </w:rPr>
  </w:style>
  <w:style w:type="paragraph" w:customStyle="1" w:styleId="TitreArticle2">
    <w:name w:val="Titre Article 2"/>
    <w:basedOn w:val="Normal"/>
    <w:autoRedefine/>
    <w:rsid w:val="009815E2"/>
    <w:pPr>
      <w:keepNext/>
      <w:numPr>
        <w:ilvl w:val="12"/>
      </w:numPr>
      <w:spacing w:before="120"/>
      <w:jc w:val="center"/>
      <w:outlineLvl w:val="0"/>
    </w:pPr>
    <w:rPr>
      <w:rFonts w:ascii="Bookman Old Style" w:hAnsi="Bookman Old Style"/>
      <w:b/>
      <w:sz w:val="16"/>
    </w:rPr>
  </w:style>
  <w:style w:type="paragraph" w:customStyle="1" w:styleId="TitreArticle3">
    <w:name w:val="Titre Article 3"/>
    <w:basedOn w:val="Normal"/>
    <w:autoRedefine/>
    <w:rsid w:val="009815E2"/>
    <w:pPr>
      <w:keepNext/>
      <w:spacing w:before="120"/>
    </w:pPr>
    <w:rPr>
      <w:rFonts w:ascii="Bookman Old Style" w:hAnsi="Bookman Old Style"/>
      <w:b/>
      <w:i/>
      <w:snapToGrid w:val="0"/>
      <w:sz w:val="16"/>
    </w:rPr>
  </w:style>
  <w:style w:type="paragraph" w:customStyle="1" w:styleId="Articleretrait">
    <w:name w:val="Article retrait"/>
    <w:basedOn w:val="Article"/>
    <w:rsid w:val="009815E2"/>
    <w:pPr>
      <w:spacing w:before="0"/>
    </w:pPr>
  </w:style>
  <w:style w:type="paragraph" w:customStyle="1" w:styleId="ArticleMaj">
    <w:name w:val="Article Maj"/>
    <w:basedOn w:val="Article"/>
    <w:autoRedefine/>
    <w:rsid w:val="009815E2"/>
    <w:rPr>
      <w:caps/>
    </w:rPr>
  </w:style>
  <w:style w:type="paragraph" w:customStyle="1" w:styleId="ArticleRetNum">
    <w:name w:val="Article Ret Num"/>
    <w:basedOn w:val="Normal"/>
    <w:rsid w:val="009815E2"/>
    <w:pPr>
      <w:numPr>
        <w:numId w:val="1"/>
      </w:numPr>
      <w:jc w:val="both"/>
    </w:pPr>
    <w:rPr>
      <w:rFonts w:ascii="Bookman Old Style" w:hAnsi="Bookman Old Style"/>
      <w:sz w:val="16"/>
    </w:rPr>
  </w:style>
  <w:style w:type="paragraph" w:styleId="Titre">
    <w:name w:val="Title"/>
    <w:basedOn w:val="Normal"/>
    <w:link w:val="TitreCar"/>
    <w:uiPriority w:val="99"/>
    <w:qFormat/>
    <w:rsid w:val="009815E2"/>
    <w:pPr>
      <w:spacing w:before="240"/>
      <w:jc w:val="center"/>
      <w:outlineLvl w:val="0"/>
    </w:pPr>
    <w:rPr>
      <w:rFonts w:ascii="Bookman Old Style" w:hAnsi="Bookman Old Style"/>
      <w:b/>
      <w:sz w:val="40"/>
    </w:rPr>
  </w:style>
  <w:style w:type="paragraph" w:styleId="Textedebulles">
    <w:name w:val="Balloon Text"/>
    <w:basedOn w:val="Normal"/>
    <w:semiHidden/>
    <w:rsid w:val="009815E2"/>
    <w:rPr>
      <w:rFonts w:ascii="Tahoma" w:hAnsi="Tahoma" w:cs="Tahoma"/>
      <w:sz w:val="16"/>
      <w:szCs w:val="16"/>
    </w:rPr>
  </w:style>
  <w:style w:type="paragraph" w:styleId="Sous-titre">
    <w:name w:val="Subtitle"/>
    <w:basedOn w:val="Normal"/>
    <w:qFormat/>
    <w:rsid w:val="009815E2"/>
    <w:pPr>
      <w:jc w:val="center"/>
    </w:pPr>
    <w:rPr>
      <w:rFonts w:ascii="Bookman Old Style" w:hAnsi="Bookman Old Style"/>
      <w:b/>
      <w:snapToGrid w:val="0"/>
      <w:color w:val="000000"/>
      <w:sz w:val="28"/>
      <w:u w:val="single"/>
    </w:rPr>
  </w:style>
  <w:style w:type="character" w:styleId="Lienhypertexte">
    <w:name w:val="Hyperlink"/>
    <w:basedOn w:val="Policepardfaut"/>
    <w:rsid w:val="009815E2"/>
    <w:rPr>
      <w:color w:val="0000FF"/>
      <w:u w:val="single"/>
    </w:rPr>
  </w:style>
  <w:style w:type="paragraph" w:customStyle="1" w:styleId="RetraitPoint">
    <w:name w:val="Retrait Point"/>
    <w:basedOn w:val="Normal"/>
    <w:rsid w:val="009815E2"/>
    <w:pPr>
      <w:numPr>
        <w:numId w:val="12"/>
      </w:numPr>
      <w:tabs>
        <w:tab w:val="left" w:pos="360"/>
      </w:tabs>
    </w:pPr>
    <w:rPr>
      <w:rFonts w:ascii="Bookman Old Style" w:hAnsi="Bookman Old Style"/>
      <w:sz w:val="16"/>
      <w:szCs w:val="16"/>
    </w:rPr>
  </w:style>
  <w:style w:type="paragraph" w:customStyle="1" w:styleId="Retraitnum">
    <w:name w:val="Retrait num"/>
    <w:basedOn w:val="Normal"/>
    <w:rsid w:val="009815E2"/>
    <w:pPr>
      <w:ind w:left="540" w:hanging="180"/>
      <w:jc w:val="both"/>
    </w:pPr>
    <w:rPr>
      <w:rFonts w:ascii="Bookman Old Style" w:hAnsi="Bookman Old Style"/>
      <w:sz w:val="16"/>
      <w:szCs w:val="16"/>
    </w:rPr>
  </w:style>
  <w:style w:type="character" w:styleId="Marquedecommentaire">
    <w:name w:val="annotation reference"/>
    <w:basedOn w:val="Policepardfaut"/>
    <w:rsid w:val="00872C4C"/>
    <w:rPr>
      <w:sz w:val="16"/>
      <w:szCs w:val="16"/>
    </w:rPr>
  </w:style>
  <w:style w:type="paragraph" w:styleId="Commentaire">
    <w:name w:val="annotation text"/>
    <w:basedOn w:val="Normal"/>
    <w:link w:val="CommentaireCar"/>
    <w:rsid w:val="00872C4C"/>
  </w:style>
  <w:style w:type="character" w:customStyle="1" w:styleId="CommentaireCar">
    <w:name w:val="Commentaire Car"/>
    <w:basedOn w:val="Policepardfaut"/>
    <w:link w:val="Commentaire"/>
    <w:rsid w:val="00872C4C"/>
  </w:style>
  <w:style w:type="paragraph" w:styleId="Objetducommentaire">
    <w:name w:val="annotation subject"/>
    <w:basedOn w:val="Commentaire"/>
    <w:next w:val="Commentaire"/>
    <w:link w:val="ObjetducommentaireCar"/>
    <w:rsid w:val="00872C4C"/>
    <w:rPr>
      <w:b/>
      <w:bCs/>
    </w:rPr>
  </w:style>
  <w:style w:type="character" w:customStyle="1" w:styleId="ObjetducommentaireCar">
    <w:name w:val="Objet du commentaire Car"/>
    <w:basedOn w:val="CommentaireCar"/>
    <w:link w:val="Objetducommentaire"/>
    <w:rsid w:val="00872C4C"/>
    <w:rPr>
      <w:b/>
      <w:bCs/>
    </w:rPr>
  </w:style>
  <w:style w:type="character" w:customStyle="1" w:styleId="TitreCar">
    <w:name w:val="Titre Car"/>
    <w:basedOn w:val="Policepardfaut"/>
    <w:link w:val="Titre"/>
    <w:uiPriority w:val="99"/>
    <w:rsid w:val="00E17BE6"/>
    <w:rPr>
      <w:rFonts w:ascii="Bookman Old Style" w:hAnsi="Bookman Old Style"/>
      <w:b/>
      <w:sz w:val="40"/>
    </w:rPr>
  </w:style>
  <w:style w:type="paragraph" w:styleId="Paragraphedeliste">
    <w:name w:val="List Paragraph"/>
    <w:basedOn w:val="Normal"/>
    <w:uiPriority w:val="34"/>
    <w:qFormat/>
    <w:rsid w:val="003227C2"/>
    <w:pPr>
      <w:ind w:left="720"/>
    </w:pPr>
    <w:rPr>
      <w:rFonts w:ascii="Calibri" w:eastAsia="Calibri" w:hAnsi="Calibri"/>
      <w:sz w:val="22"/>
      <w:szCs w:val="22"/>
    </w:rPr>
  </w:style>
  <w:style w:type="paragraph" w:styleId="TM4">
    <w:name w:val="toc 4"/>
    <w:basedOn w:val="Normal"/>
    <w:next w:val="Normal"/>
    <w:autoRedefine/>
    <w:rsid w:val="00385799"/>
    <w:pPr>
      <w:numPr>
        <w:numId w:val="21"/>
      </w:numPr>
      <w:spacing w:before="100" w:after="100"/>
      <w:ind w:left="714" w:hanging="357"/>
      <w:jc w:val="both"/>
    </w:pPr>
    <w:rPr>
      <w:rFonts w:ascii="Calibri" w:hAnsi="Calibri"/>
      <w:szCs w:val="24"/>
    </w:rPr>
  </w:style>
  <w:style w:type="paragraph" w:customStyle="1" w:styleId="Retrait1">
    <w:name w:val="Retrait 1"/>
    <w:basedOn w:val="Normal"/>
    <w:link w:val="Retrait1Car"/>
    <w:rsid w:val="00385799"/>
    <w:pPr>
      <w:numPr>
        <w:numId w:val="5"/>
      </w:numPr>
      <w:spacing w:before="60" w:after="60"/>
      <w:ind w:left="714" w:hanging="357"/>
      <w:jc w:val="both"/>
    </w:pPr>
    <w:rPr>
      <w:rFonts w:ascii="Calibri" w:hAnsi="Calibri"/>
      <w:szCs w:val="24"/>
    </w:rPr>
  </w:style>
  <w:style w:type="character" w:customStyle="1" w:styleId="Retrait1Car">
    <w:name w:val="Retrait 1 Car"/>
    <w:basedOn w:val="Policepardfaut"/>
    <w:link w:val="Retrait1"/>
    <w:rsid w:val="00385799"/>
    <w:rPr>
      <w:rFonts w:ascii="Calibri" w:hAnsi="Calibri"/>
      <w:szCs w:val="24"/>
    </w:rPr>
  </w:style>
  <w:style w:type="table" w:styleId="Grilledutableau">
    <w:name w:val="Table Grid"/>
    <w:basedOn w:val="TableauNormal"/>
    <w:rsid w:val="003453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depageCar">
    <w:name w:val="Pied de page Car"/>
    <w:basedOn w:val="Policepardfaut"/>
    <w:link w:val="Pieddepage"/>
    <w:uiPriority w:val="99"/>
    <w:rsid w:val="00240AA4"/>
  </w:style>
  <w:style w:type="character" w:customStyle="1" w:styleId="En-tteCar">
    <w:name w:val="En-tête Car"/>
    <w:basedOn w:val="Policepardfaut"/>
    <w:link w:val="En-tte"/>
    <w:uiPriority w:val="99"/>
    <w:rsid w:val="00112AC9"/>
    <w:rPr>
      <w:noProof/>
    </w:rPr>
  </w:style>
  <w:style w:type="paragraph" w:customStyle="1" w:styleId="titre10">
    <w:name w:val="titre1"/>
    <w:basedOn w:val="Normal"/>
    <w:autoRedefine/>
    <w:rsid w:val="00763C01"/>
    <w:pPr>
      <w:jc w:val="both"/>
    </w:pPr>
    <w:rPr>
      <w:rFonts w:ascii="Calibri" w:hAnsi="Calibri" w:cs="Arial"/>
      <w:b/>
      <w:color w:val="6D6B9E"/>
      <w:spacing w:val="60"/>
      <w:sz w:val="22"/>
      <w:szCs w:val="22"/>
    </w:rPr>
  </w:style>
  <w:style w:type="paragraph" w:customStyle="1" w:styleId="StyleStyleArticle9ptAvant72ptAprs72pt">
    <w:name w:val="Style Style Article + 9 pt + Avant : 72 pt Après : 72 pt"/>
    <w:basedOn w:val="Normal"/>
    <w:rsid w:val="00F11953"/>
    <w:pPr>
      <w:spacing w:before="60" w:after="60"/>
      <w:jc w:val="both"/>
    </w:pPr>
    <w:rPr>
      <w:rFonts w:ascii="Bookman Old Style" w:hAnsi="Bookman Old Style"/>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3193644">
      <w:bodyDiv w:val="1"/>
      <w:marLeft w:val="0"/>
      <w:marRight w:val="0"/>
      <w:marTop w:val="0"/>
      <w:marBottom w:val="0"/>
      <w:divBdr>
        <w:top w:val="none" w:sz="0" w:space="0" w:color="auto"/>
        <w:left w:val="none" w:sz="0" w:space="0" w:color="auto"/>
        <w:bottom w:val="none" w:sz="0" w:space="0" w:color="auto"/>
        <w:right w:val="none" w:sz="0" w:space="0" w:color="auto"/>
      </w:divBdr>
    </w:div>
    <w:div w:id="454300751">
      <w:bodyDiv w:val="1"/>
      <w:marLeft w:val="0"/>
      <w:marRight w:val="0"/>
      <w:marTop w:val="0"/>
      <w:marBottom w:val="0"/>
      <w:divBdr>
        <w:top w:val="none" w:sz="0" w:space="0" w:color="auto"/>
        <w:left w:val="none" w:sz="0" w:space="0" w:color="auto"/>
        <w:bottom w:val="none" w:sz="0" w:space="0" w:color="auto"/>
        <w:right w:val="none" w:sz="0" w:space="0" w:color="auto"/>
      </w:divBdr>
    </w:div>
    <w:div w:id="1210606995">
      <w:bodyDiv w:val="1"/>
      <w:marLeft w:val="0"/>
      <w:marRight w:val="0"/>
      <w:marTop w:val="0"/>
      <w:marBottom w:val="0"/>
      <w:divBdr>
        <w:top w:val="none" w:sz="0" w:space="0" w:color="auto"/>
        <w:left w:val="none" w:sz="0" w:space="0" w:color="auto"/>
        <w:bottom w:val="none" w:sz="0" w:space="0" w:color="auto"/>
        <w:right w:val="none" w:sz="0" w:space="0" w:color="auto"/>
      </w:divBdr>
    </w:div>
    <w:div w:id="1477334075">
      <w:bodyDiv w:val="1"/>
      <w:marLeft w:val="0"/>
      <w:marRight w:val="0"/>
      <w:marTop w:val="0"/>
      <w:marBottom w:val="0"/>
      <w:divBdr>
        <w:top w:val="none" w:sz="0" w:space="0" w:color="auto"/>
        <w:left w:val="none" w:sz="0" w:space="0" w:color="auto"/>
        <w:bottom w:val="none" w:sz="0" w:space="0" w:color="auto"/>
        <w:right w:val="none" w:sz="0" w:space="0" w:color="auto"/>
      </w:divBdr>
    </w:div>
    <w:div w:id="1768307903">
      <w:bodyDiv w:val="1"/>
      <w:marLeft w:val="0"/>
      <w:marRight w:val="0"/>
      <w:marTop w:val="0"/>
      <w:marBottom w:val="0"/>
      <w:divBdr>
        <w:top w:val="none" w:sz="0" w:space="0" w:color="auto"/>
        <w:left w:val="none" w:sz="0" w:space="0" w:color="auto"/>
        <w:bottom w:val="none" w:sz="0" w:space="0" w:color="auto"/>
        <w:right w:val="none" w:sz="0" w:space="0" w:color="auto"/>
      </w:divBdr>
    </w:div>
    <w:div w:id="1945842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ustomXml" Target="../customXml/item4.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mailto:webmaster@hospitalis.org" TargetMode="External"/><Relationship Id="rId14"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364E2DE60877D24DB7339E805E24270E" ma:contentTypeVersion="5" ma:contentTypeDescription="Crée un document." ma:contentTypeScope="" ma:versionID="2f4e0673a150899826366aa3d8fc201f">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87E1108-F61B-40E6-AC39-B1CA99E9BD86}">
  <ds:schemaRefs>
    <ds:schemaRef ds:uri="http://schemas.openxmlformats.org/officeDocument/2006/bibliography"/>
  </ds:schemaRefs>
</ds:datastoreItem>
</file>

<file path=customXml/itemProps2.xml><?xml version="1.0" encoding="utf-8"?>
<ds:datastoreItem xmlns:ds="http://schemas.openxmlformats.org/officeDocument/2006/customXml" ds:itemID="{427EBC1A-0214-48CB-AF66-263147472A10}">
  <ds:schemaRefs>
    <ds:schemaRef ds:uri="http://schemas.openxmlformats.org/officeDocument/2006/bibliography"/>
  </ds:schemaRefs>
</ds:datastoreItem>
</file>

<file path=customXml/itemProps3.xml><?xml version="1.0" encoding="utf-8"?>
<ds:datastoreItem xmlns:ds="http://schemas.openxmlformats.org/officeDocument/2006/customXml" ds:itemID="{1537FF98-0D19-4EF0-B5FF-545DF3918CCC}"/>
</file>

<file path=customXml/itemProps4.xml><?xml version="1.0" encoding="utf-8"?>
<ds:datastoreItem xmlns:ds="http://schemas.openxmlformats.org/officeDocument/2006/customXml" ds:itemID="{98D411AB-4AE8-4342-A3B1-B43BCA790F3C}"/>
</file>

<file path=customXml/itemProps5.xml><?xml version="1.0" encoding="utf-8"?>
<ds:datastoreItem xmlns:ds="http://schemas.openxmlformats.org/officeDocument/2006/customXml" ds:itemID="{904846C7-8D65-4F89-938D-B8703CB535E8}"/>
</file>

<file path=docProps/app.xml><?xml version="1.0" encoding="utf-8"?>
<Properties xmlns="http://schemas.openxmlformats.org/officeDocument/2006/extended-properties" xmlns:vt="http://schemas.openxmlformats.org/officeDocument/2006/docPropsVTypes">
  <Template>Normal</Template>
  <TotalTime>48</TotalTime>
  <Pages>2</Pages>
  <Words>662</Words>
  <Characters>3647</Characters>
  <Application>Microsoft Office Word</Application>
  <DocSecurity>0</DocSecurity>
  <Lines>30</Lines>
  <Paragraphs>8</Paragraphs>
  <ScaleCrop>false</ScaleCrop>
  <HeadingPairs>
    <vt:vector size="2" baseType="variant">
      <vt:variant>
        <vt:lpstr>Titre</vt:lpstr>
      </vt:variant>
      <vt:variant>
        <vt:i4>1</vt:i4>
      </vt:variant>
    </vt:vector>
  </HeadingPairs>
  <TitlesOfParts>
    <vt:vector size="1" baseType="lpstr">
      <vt:lpstr/>
    </vt:vector>
  </TitlesOfParts>
  <Company>GMAC Commercial Mortgage</Company>
  <LinksUpToDate>false</LinksUpToDate>
  <CharactersWithSpaces>4301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Annexe 2 - SLA-Service Level Agreement (AXEFOU 2) 102020 </dc:title>
  <dc:creator>csautere</dc:creator>
  <cp:lastModifiedBy>ALLOUL Carine</cp:lastModifiedBy>
  <cp:revision>14</cp:revision>
  <cp:lastPrinted>2015-05-28T13:15:00Z</cp:lastPrinted>
  <dcterms:created xsi:type="dcterms:W3CDTF">2017-06-06T09:32:00Z</dcterms:created>
  <dcterms:modified xsi:type="dcterms:W3CDTF">2020-10-20T10:02:00Z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0x010100364E2DE60877D24DB7339E805E24270E</vt:lpwstr>
  </property>
</Properties>
</file>