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02FB6463" wp14:editId="0146E3BD">
            <wp:extent cx="1866900" cy="906523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3E6247" w:rsidRPr="00272869" w:rsidRDefault="003E6247" w:rsidP="003E6247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N°2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RECAPITULATIF TARIFAIRE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PIECES DETACHEES ET FOURNITURE DE SERVICES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POUR LA MAINTENANCE CORRECTIVE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(BPU N°2)</w:t>
      </w: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454B39" w:rsidRPr="00AE07D7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3E6247" w:rsidRPr="00AE07D7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6577DE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2</w:t>
      </w:r>
    </w:p>
    <w:p w:rsidR="00454B39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6577DE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ARJO</w:t>
      </w:r>
    </w:p>
    <w:p w:rsidR="00DE7AB2" w:rsidRDefault="003E6247" w:rsidP="00DE7AB2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3E6247" w:rsidRDefault="003E6247" w:rsidP="00DE7AB2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>
        <w:rPr>
          <w:rFonts w:ascii="Calibri" w:hAnsi="Calibri" w:cs="Calibri"/>
          <w:color w:val="404040" w:themeColor="text1" w:themeTint="BF"/>
          <w:sz w:val="28"/>
          <w:szCs w:val="22"/>
        </w:rPr>
        <w:t>D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ossier de consultation DTE/DTE </w:t>
      </w:r>
      <w:r w:rsidR="004E7884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3E6247" w:rsidRPr="00AA0B78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GoBack"/>
      <w:bookmarkEnd w:id="4"/>
    </w:p>
    <w:p w:rsidR="003E6247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DE7AB2" w:rsidRDefault="00DE7AB2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DE7AB2" w:rsidRDefault="00DE7AB2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AB2" w:rsidRPr="00DE7AB2" w:rsidRDefault="00DE7AB2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3E6247" w:rsidRPr="00272869" w:rsidRDefault="003E6247" w:rsidP="003E6247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default" r:id="rId10"/>
          <w:footerReference w:type="default" r:id="rId11"/>
          <w:pgSz w:w="11906" w:h="16838" w:code="9"/>
          <w:pgMar w:top="1134" w:right="1134" w:bottom="1134" w:left="1134" w:header="720" w:footer="0" w:gutter="0"/>
          <w:cols w:space="720"/>
        </w:sectPr>
      </w:pPr>
    </w:p>
    <w:p w:rsidR="006F438B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>BPU N°</w:t>
      </w:r>
      <w:r w:rsidR="00AB329F">
        <w:rPr>
          <w:color w:val="404040" w:themeColor="text1" w:themeTint="BF"/>
        </w:rPr>
        <w:t>2</w:t>
      </w:r>
      <w:r>
        <w:rPr>
          <w:color w:val="404040" w:themeColor="text1" w:themeTint="BF"/>
        </w:rPr>
        <w:t xml:space="preserve">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="00AB329F">
        <w:rPr>
          <w:color w:val="404040" w:themeColor="text1" w:themeTint="BF"/>
        </w:rPr>
        <w:t>PIECES DETACHEES &amp;  FOURNITURES DE SERVICES</w:t>
      </w:r>
      <w:r w:rsidR="00C6042B" w:rsidRPr="00C6042B">
        <w:t xml:space="preserve"> </w:t>
      </w:r>
      <w:r w:rsidR="00C6042B" w:rsidRPr="00C6042B">
        <w:rPr>
          <w:color w:val="404040" w:themeColor="text1" w:themeTint="BF"/>
        </w:rPr>
        <w:t>pour la maintenance CORRECTIVE</w:t>
      </w:r>
      <w:r w:rsidR="00AB329F">
        <w:rPr>
          <w:color w:val="404040" w:themeColor="text1" w:themeTint="BF"/>
        </w:rPr>
        <w:br/>
      </w:r>
      <w:bookmarkEnd w:id="21"/>
      <w:r w:rsidR="001C7B52">
        <w:rPr>
          <w:color w:val="404040" w:themeColor="text1" w:themeTint="BF"/>
        </w:rPr>
        <w:t>LOT N°</w:t>
      </w:r>
      <w:r w:rsidR="006577DE">
        <w:rPr>
          <w:color w:val="404040" w:themeColor="text1" w:themeTint="BF"/>
        </w:rPr>
        <w:t>2</w:t>
      </w:r>
      <w:r w:rsidR="001C7B52">
        <w:rPr>
          <w:color w:val="404040" w:themeColor="text1" w:themeTint="BF"/>
        </w:rPr>
        <w:t xml:space="preserve"> - </w:t>
      </w:r>
      <w:r w:rsidR="001C7B52" w:rsidRPr="001C7B52">
        <w:rPr>
          <w:color w:val="404040" w:themeColor="text1" w:themeTint="BF"/>
        </w:rPr>
        <w:t xml:space="preserve">Équipements de marque </w:t>
      </w:r>
      <w:r w:rsidR="006577DE">
        <w:rPr>
          <w:color w:val="404040" w:themeColor="text1" w:themeTint="BF"/>
        </w:rPr>
        <w:t>ARJO</w:t>
      </w:r>
    </w:p>
    <w:p w:rsidR="00576B17" w:rsidRDefault="00576B17">
      <w:pPr>
        <w:widowControl/>
        <w:rPr>
          <w:rFonts w:ascii="Calibri" w:hAnsi="Calibri" w:cs="Calibri"/>
          <w:color w:val="404040" w:themeColor="text1" w:themeTint="BF"/>
          <w:sz w:val="22"/>
          <w:szCs w:val="22"/>
        </w:rPr>
      </w:pPr>
    </w:p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848"/>
        <w:gridCol w:w="8508"/>
        <w:gridCol w:w="1350"/>
      </w:tblGrid>
      <w:tr w:rsidR="00B8616B" w:rsidRPr="00576B1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663" w:type="pct"/>
          </w:tcPr>
          <w:p w:rsidR="00B8616B" w:rsidRPr="00576B17" w:rsidRDefault="00B8616B" w:rsidP="00576B1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07" w:type="pct"/>
            <w:hideMark/>
          </w:tcPr>
          <w:p w:rsidR="00B8616B" w:rsidRPr="00576B17" w:rsidRDefault="00B8616B" w:rsidP="00865445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Remises de prix sur tarif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public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</w:t>
            </w:r>
            <w:r w:rsidR="00865445">
              <w:rPr>
                <w:rFonts w:cs="Calibri"/>
                <w:b/>
                <w:szCs w:val="22"/>
              </w:rPr>
              <w:t xml:space="preserve">de </w:t>
            </w:r>
            <w:r w:rsidR="00865445" w:rsidRPr="00576B17">
              <w:rPr>
                <w:rFonts w:cs="Calibri"/>
                <w:b/>
                <w:szCs w:val="22"/>
              </w:rPr>
              <w:t xml:space="preserve">base </w:t>
            </w:r>
          </w:p>
        </w:tc>
        <w:tc>
          <w:tcPr>
            <w:tcW w:w="430" w:type="pct"/>
            <w:hideMark/>
          </w:tcPr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 accordée</w:t>
            </w:r>
          </w:p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(%)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E631FD" w:rsidRPr="00576B17" w:rsidRDefault="00E631FD" w:rsidP="00BC6C3B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 xml:space="preserve">, MATERIELS, EQUIPEMENTS </w:t>
            </w:r>
            <w:r w:rsidRPr="00576B17">
              <w:rPr>
                <w:b/>
                <w:snapToGrid/>
                <w:szCs w:val="22"/>
              </w:rPr>
              <w:t xml:space="preserve"> &amp; FOURNITURES</w:t>
            </w:r>
            <w:r>
              <w:rPr>
                <w:b/>
                <w:snapToGrid/>
                <w:szCs w:val="22"/>
              </w:rPr>
              <w:t xml:space="preserve"> DIVERSES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663" w:type="pct"/>
          </w:tcPr>
          <w:p w:rsidR="00B8616B" w:rsidRDefault="00B8616B" w:rsidP="00BC6C3B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R01</w:t>
            </w:r>
          </w:p>
        </w:tc>
        <w:tc>
          <w:tcPr>
            <w:tcW w:w="2907" w:type="pct"/>
          </w:tcPr>
          <w:p w:rsidR="00B8616B" w:rsidRDefault="00B8616B" w:rsidP="005B7ACD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Pièces détachées, matériels ou équipements de différentes marques – base tarifaire  </w:t>
            </w:r>
            <w:r w:rsidR="005B7ACD">
              <w:rPr>
                <w:rFonts w:ascii="Calibri" w:hAnsi="Calibri"/>
                <w:snapToGrid/>
              </w:rPr>
              <w:t xml:space="preserve">catalogues/tarifs pièces détachées </w:t>
            </w:r>
            <w:r>
              <w:rPr>
                <w:rFonts w:ascii="Calibri" w:hAnsi="Calibri"/>
                <w:snapToGrid/>
              </w:rPr>
              <w:t xml:space="preserve">– </w:t>
            </w:r>
            <w:r w:rsidR="005B7ACD">
              <w:rPr>
                <w:rFonts w:ascii="Calibri" w:hAnsi="Calibri"/>
                <w:snapToGrid/>
              </w:rPr>
              <w:t xml:space="preserve">ARCANIA-SOFINOR </w:t>
            </w:r>
            <w:r>
              <w:rPr>
                <w:rFonts w:ascii="Calibri" w:hAnsi="Calibri"/>
                <w:snapToGrid/>
              </w:rPr>
              <w:t>202</w:t>
            </w:r>
            <w:r w:rsidR="005B7ACD">
              <w:rPr>
                <w:rFonts w:ascii="Calibri" w:hAnsi="Calibri"/>
                <w:snapToGrid/>
              </w:rPr>
              <w:t>2 (à fournir en annexe)</w:t>
            </w:r>
          </w:p>
        </w:tc>
        <w:tc>
          <w:tcPr>
            <w:tcW w:w="430" w:type="pct"/>
            <w:shd w:val="clear" w:color="auto" w:fill="FFFFCC"/>
          </w:tcPr>
          <w:p w:rsidR="00B8616B" w:rsidRPr="00576B17" w:rsidRDefault="006B49E4" w:rsidP="008D6584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</w:tcPr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Dans le cadre du marché la </w:t>
            </w:r>
            <w:r w:rsidRPr="00D26D6C">
              <w:rPr>
                <w:rFonts w:ascii="Calibri" w:hAnsi="Calibri"/>
                <w:snapToGrid/>
                <w:u w:val="single"/>
              </w:rPr>
              <w:t xml:space="preserve">tarification de référence des pièces détachées, matériels, équipements et fournitures, sera issue exclusivement des tarifs publics </w:t>
            </w:r>
            <w:r>
              <w:rPr>
                <w:rFonts w:ascii="Calibri" w:hAnsi="Calibri"/>
                <w:snapToGrid/>
              </w:rPr>
              <w:t xml:space="preserve">mis à disposition par la société </w:t>
            </w:r>
            <w:r w:rsidR="005B7ACD">
              <w:rPr>
                <w:rFonts w:ascii="Calibri" w:hAnsi="Calibri"/>
                <w:snapToGrid/>
              </w:rPr>
              <w:t>ARCANIA-SOFINOR</w:t>
            </w:r>
            <w:r>
              <w:rPr>
                <w:rFonts w:ascii="Calibri" w:hAnsi="Calibri"/>
                <w:snapToGrid/>
              </w:rPr>
              <w:t xml:space="preserve"> et référencés dans le dossier </w:t>
            </w:r>
            <w:r w:rsidR="005B7ACD">
              <w:rPr>
                <w:rFonts w:ascii="Calibri" w:hAnsi="Calibri"/>
                <w:snapToGrid/>
              </w:rPr>
              <w:t xml:space="preserve">de réponse à la présente </w:t>
            </w:r>
            <w:r>
              <w:rPr>
                <w:rFonts w:ascii="Calibri" w:hAnsi="Calibri"/>
                <w:snapToGrid/>
              </w:rPr>
              <w:t xml:space="preserve">consultation.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</w:p>
          <w:p w:rsidR="00E631FD" w:rsidRPr="00631504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  <w:r>
              <w:rPr>
                <w:rFonts w:ascii="Calibri" w:hAnsi="Calibri"/>
                <w:snapToGrid/>
                <w:u w:val="single"/>
              </w:rPr>
              <w:t xml:space="preserve">Les prix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remisés des </w:t>
            </w:r>
            <w:r w:rsidRPr="00631504">
              <w:rPr>
                <w:rFonts w:ascii="Calibri" w:hAnsi="Calibri"/>
                <w:snapToGrid/>
                <w:u w:val="single"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  <w:u w:val="single"/>
              </w:rPr>
              <w:t xml:space="preserve">, issus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des coefficients de remise accordés </w:t>
            </w:r>
            <w:r>
              <w:rPr>
                <w:rFonts w:ascii="Calibri" w:hAnsi="Calibri"/>
                <w:snapToGrid/>
                <w:u w:val="single"/>
              </w:rPr>
              <w:t xml:space="preserve">dans le présents BPU, </w:t>
            </w:r>
            <w:r w:rsidRPr="00631504">
              <w:rPr>
                <w:rFonts w:ascii="Calibri" w:hAnsi="Calibri"/>
                <w:snapToGrid/>
                <w:u w:val="single"/>
              </w:rPr>
              <w:t>s’entendent comme prix de référence plafonds</w:t>
            </w:r>
            <w:r>
              <w:rPr>
                <w:rFonts w:ascii="Calibri" w:hAnsi="Calibri"/>
                <w:snapToGrid/>
              </w:rPr>
              <w:t xml:space="preserve"> pour chaque type de </w:t>
            </w:r>
            <w:r w:rsidRPr="00D26D6C">
              <w:rPr>
                <w:rFonts w:ascii="Calibri" w:hAnsi="Calibri"/>
                <w:snapToGrid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</w:rPr>
              <w:t xml:space="preserve"> </w:t>
            </w:r>
            <w:r w:rsidR="00454B39">
              <w:rPr>
                <w:rFonts w:ascii="Calibri" w:hAnsi="Calibri"/>
                <w:snapToGrid/>
              </w:rPr>
              <w:t>référencés ou leur équivalent.</w:t>
            </w:r>
            <w:r>
              <w:rPr>
                <w:rFonts w:ascii="Calibri" w:hAnsi="Calibri"/>
                <w:snapToGrid/>
              </w:rPr>
              <w:t xml:space="preserve">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Il est rappelé ici que les </w:t>
            </w:r>
            <w:r w:rsidRPr="00D26D6C">
              <w:rPr>
                <w:rFonts w:ascii="Calibri" w:hAnsi="Calibri"/>
                <w:snapToGrid/>
              </w:rPr>
              <w:t xml:space="preserve">pièces détachées, matériels, équipements et fournitures </w:t>
            </w:r>
            <w:r>
              <w:rPr>
                <w:rFonts w:ascii="Calibri" w:hAnsi="Calibri"/>
                <w:snapToGrid/>
              </w:rPr>
              <w:t>des devront être conformes aux prescription des marques et constructeurs d‘origine des équipements.</w:t>
            </w:r>
          </w:p>
          <w:p w:rsidR="00E631FD" w:rsidRPr="00576B17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</w:tr>
    </w:tbl>
    <w:p w:rsidR="00A75E07" w:rsidRDefault="00A75E07"/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676"/>
        <w:gridCol w:w="8659"/>
        <w:gridCol w:w="1371"/>
      </w:tblGrid>
      <w:tr w:rsidR="00B8616B" w:rsidRPr="00A75E0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590" w:type="pct"/>
          </w:tcPr>
          <w:p w:rsidR="00B8616B" w:rsidRPr="00576B17" w:rsidRDefault="00B8616B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44" w:type="pct"/>
            <w:hideMark/>
          </w:tcPr>
          <w:p w:rsidR="00B8616B" w:rsidRPr="00576B17" w:rsidRDefault="00865445" w:rsidP="00865445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Majoration </w:t>
            </w:r>
            <w:r w:rsidRPr="00865445">
              <w:rPr>
                <w:rFonts w:cs="Calibri"/>
                <w:b/>
                <w:szCs w:val="22"/>
              </w:rPr>
              <w:t xml:space="preserve">de prix sur </w:t>
            </w:r>
            <w:r>
              <w:rPr>
                <w:rFonts w:cs="Calibri"/>
                <w:b/>
                <w:szCs w:val="22"/>
              </w:rPr>
              <w:t xml:space="preserve">justificatifs de facturation </w:t>
            </w:r>
          </w:p>
        </w:tc>
        <w:tc>
          <w:tcPr>
            <w:tcW w:w="465" w:type="pct"/>
            <w:hideMark/>
          </w:tcPr>
          <w:p w:rsidR="00B8616B" w:rsidRPr="00576B17" w:rsidRDefault="00B8616B" w:rsidP="0094197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Coefficient </w:t>
            </w:r>
            <w:proofErr w:type="spellStart"/>
            <w:r>
              <w:rPr>
                <w:rFonts w:cs="Calibri"/>
                <w:b/>
                <w:szCs w:val="22"/>
              </w:rPr>
              <w:t>majorateur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</w:p>
        </w:tc>
      </w:tr>
      <w:tr w:rsidR="00941977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941977" w:rsidRPr="00576B17" w:rsidRDefault="00941977" w:rsidP="00865445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>, MATERIELS,</w:t>
            </w:r>
            <w:r w:rsidR="00865445">
              <w:rPr>
                <w:b/>
                <w:snapToGrid/>
                <w:szCs w:val="22"/>
              </w:rPr>
              <w:t xml:space="preserve"> EQUIPEMENTS, </w:t>
            </w:r>
            <w:r w:rsidRPr="00576B17">
              <w:rPr>
                <w:b/>
                <w:snapToGrid/>
                <w:szCs w:val="22"/>
              </w:rPr>
              <w:t>FOURNITURES</w:t>
            </w:r>
            <w:r>
              <w:rPr>
                <w:b/>
                <w:snapToGrid/>
                <w:szCs w:val="22"/>
              </w:rPr>
              <w:t xml:space="preserve"> </w:t>
            </w:r>
            <w:r w:rsidR="00865445">
              <w:rPr>
                <w:b/>
                <w:snapToGrid/>
                <w:szCs w:val="22"/>
              </w:rPr>
              <w:t>&amp; PRESTATIONS SPECIFIQUES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590" w:type="pct"/>
          </w:tcPr>
          <w:p w:rsidR="00B8616B" w:rsidRPr="00A75E07" w:rsidRDefault="00B8616B" w:rsidP="00A75E07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K</w:t>
            </w:r>
            <w:r w:rsidR="005B7ACD">
              <w:rPr>
                <w:rFonts w:ascii="Calibri" w:hAnsi="Calibri"/>
                <w:snapToGrid/>
              </w:rPr>
              <w:t>01</w:t>
            </w:r>
          </w:p>
        </w:tc>
        <w:tc>
          <w:tcPr>
            <w:tcW w:w="2944" w:type="pct"/>
            <w:hideMark/>
          </w:tcPr>
          <w:p w:rsidR="00B8616B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A75E07">
              <w:rPr>
                <w:rFonts w:ascii="Calibri" w:hAnsi="Calibri"/>
                <w:snapToGrid/>
              </w:rPr>
              <w:t xml:space="preserve">Coefficient </w:t>
            </w:r>
            <w:proofErr w:type="spellStart"/>
            <w:r w:rsidRPr="00A75E07">
              <w:rPr>
                <w:rFonts w:ascii="Calibri" w:hAnsi="Calibri"/>
                <w:snapToGrid/>
              </w:rPr>
              <w:t>majorateur</w:t>
            </w:r>
            <w:proofErr w:type="spellEnd"/>
            <w:r w:rsidRPr="00A75E07">
              <w:rPr>
                <w:rFonts w:ascii="Calibri" w:hAnsi="Calibri"/>
                <w:snapToGrid/>
              </w:rPr>
              <w:t xml:space="preserve"> </w:t>
            </w:r>
            <w:r>
              <w:rPr>
                <w:rFonts w:ascii="Calibri" w:hAnsi="Calibri"/>
                <w:snapToGrid/>
              </w:rPr>
              <w:t xml:space="preserve">k </w:t>
            </w:r>
            <w:r w:rsidRPr="00A75E07">
              <w:rPr>
                <w:rFonts w:ascii="Calibri" w:hAnsi="Calibri"/>
                <w:snapToGrid/>
              </w:rPr>
              <w:t xml:space="preserve">à appliquer pour la fourniture de </w:t>
            </w:r>
            <w:r w:rsidRPr="00941977">
              <w:rPr>
                <w:rFonts w:ascii="Calibri" w:hAnsi="Calibri"/>
                <w:snapToGrid/>
              </w:rPr>
              <w:t>pièces détachées, matériels, équipements et fournitures,</w:t>
            </w:r>
            <w:r>
              <w:rPr>
                <w:rFonts w:ascii="Calibri" w:hAnsi="Calibri"/>
                <w:snapToGrid/>
              </w:rPr>
              <w:t xml:space="preserve"> locations ou prestations spécifiques (hors prix de références BPU et hors forfaits de maintenance préventive DPGF)</w:t>
            </w:r>
            <w:r w:rsidR="00865445">
              <w:rPr>
                <w:rFonts w:ascii="Calibri" w:hAnsi="Calibri"/>
                <w:snapToGrid/>
              </w:rPr>
              <w:t>, sur présentation facture fournisseur ou prestataire</w:t>
            </w:r>
            <w:r>
              <w:rPr>
                <w:rFonts w:ascii="Calibri" w:hAnsi="Calibri"/>
                <w:snapToGrid/>
              </w:rPr>
              <w:t>.</w:t>
            </w:r>
          </w:p>
          <w:p w:rsidR="00B8616B" w:rsidRPr="00A75E07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941977">
              <w:rPr>
                <w:rFonts w:ascii="Calibri" w:hAnsi="Calibri"/>
                <w:snapToGrid/>
              </w:rPr>
              <w:t xml:space="preserve">Le coefficient </w:t>
            </w:r>
            <w:proofErr w:type="spellStart"/>
            <w:r w:rsidRPr="00941977">
              <w:rPr>
                <w:rFonts w:ascii="Calibri" w:hAnsi="Calibri"/>
                <w:snapToGrid/>
              </w:rPr>
              <w:t>majorateur</w:t>
            </w:r>
            <w:proofErr w:type="spellEnd"/>
            <w:r w:rsidRPr="00941977">
              <w:rPr>
                <w:rFonts w:ascii="Calibri" w:hAnsi="Calibri"/>
                <w:snapToGrid/>
              </w:rPr>
              <w:t xml:space="preserve"> k est un nombre sans unité à deux décimales. </w:t>
            </w:r>
          </w:p>
          <w:p w:rsidR="00B8616B" w:rsidRPr="008D6584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  <w:tc>
          <w:tcPr>
            <w:tcW w:w="465" w:type="pct"/>
            <w:shd w:val="clear" w:color="auto" w:fill="FFFFCC"/>
          </w:tcPr>
          <w:p w:rsidR="00B8616B" w:rsidRPr="00576B17" w:rsidRDefault="006B49E4" w:rsidP="000A7C06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BC6C3B" w:rsidRDefault="00BC6C3B">
      <w:r>
        <w:br w:type="page"/>
      </w:r>
    </w:p>
    <w:tbl>
      <w:tblPr>
        <w:tblStyle w:val="Grilledutableau"/>
        <w:tblW w:w="4900" w:type="pct"/>
        <w:jc w:val="center"/>
        <w:tblLook w:val="04A0" w:firstRow="1" w:lastRow="0" w:firstColumn="1" w:lastColumn="0" w:noHBand="0" w:noVBand="1"/>
      </w:tblPr>
      <w:tblGrid>
        <w:gridCol w:w="1715"/>
        <w:gridCol w:w="6429"/>
        <w:gridCol w:w="909"/>
        <w:gridCol w:w="2608"/>
        <w:gridCol w:w="2608"/>
      </w:tblGrid>
      <w:tr w:rsidR="00CC5781" w:rsidRPr="008D6584" w:rsidTr="00CC5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715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br w:type="page"/>
            </w:r>
            <w:r w:rsidRPr="008D6584"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642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Désignation des matériels et prestations</w:t>
            </w:r>
          </w:p>
        </w:tc>
        <w:tc>
          <w:tcPr>
            <w:tcW w:w="90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Unité</w:t>
            </w:r>
          </w:p>
        </w:tc>
        <w:tc>
          <w:tcPr>
            <w:tcW w:w="2608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Prix H.T.</w:t>
            </w:r>
          </w:p>
        </w:tc>
        <w:tc>
          <w:tcPr>
            <w:tcW w:w="2608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Observations</w:t>
            </w:r>
          </w:p>
        </w:tc>
      </w:tr>
      <w:tr w:rsidR="00CC5781" w:rsidRPr="00576B17" w:rsidTr="00CC5781">
        <w:trPr>
          <w:cantSplit/>
          <w:trHeight w:val="397"/>
          <w:jc w:val="center"/>
        </w:trPr>
        <w:tc>
          <w:tcPr>
            <w:tcW w:w="11661" w:type="dxa"/>
            <w:gridSpan w:val="4"/>
            <w:shd w:val="clear" w:color="auto" w:fill="B8CCE4" w:themeFill="accent1" w:themeFillTint="66"/>
          </w:tcPr>
          <w:p w:rsidR="00CC5781" w:rsidRPr="00576B17" w:rsidRDefault="00CC5781" w:rsidP="00CC5781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>PRESTATIONS SPECIFIQUES HORS FORFAITS DE MAINTENANCE PREVENTIVE</w:t>
            </w:r>
          </w:p>
        </w:tc>
        <w:tc>
          <w:tcPr>
            <w:tcW w:w="2608" w:type="dxa"/>
            <w:shd w:val="clear" w:color="auto" w:fill="B8CCE4" w:themeFill="accent1" w:themeFillTint="66"/>
          </w:tcPr>
          <w:p w:rsidR="00CC5781" w:rsidRDefault="00CC5781" w:rsidP="000A7C06">
            <w:pPr>
              <w:widowControl/>
              <w:rPr>
                <w:b/>
                <w:snapToGrid/>
                <w:szCs w:val="22"/>
              </w:rPr>
            </w:pPr>
          </w:p>
        </w:tc>
      </w:tr>
      <w:tr w:rsidR="00D43506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715" w:type="dxa"/>
            <w:noWrap/>
          </w:tcPr>
          <w:p w:rsidR="00D43506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DETART</w:t>
            </w:r>
          </w:p>
        </w:tc>
        <w:tc>
          <w:tcPr>
            <w:tcW w:w="6429" w:type="dxa"/>
          </w:tcPr>
          <w:p w:rsidR="00D43506" w:rsidRPr="009D15F0" w:rsidRDefault="00D43506" w:rsidP="005B7ACD">
            <w:pPr>
              <w:widowControl/>
              <w:jc w:val="left"/>
              <w:rPr>
                <w:rFonts w:eastAsia="Calibri" w:cstheme="minorHAnsi"/>
                <w:spacing w:val="-1"/>
              </w:rPr>
            </w:pPr>
            <w:r w:rsidRPr="00D43506">
              <w:rPr>
                <w:rFonts w:eastAsia="Calibri" w:cstheme="minorHAnsi"/>
                <w:spacing w:val="-1"/>
              </w:rPr>
              <w:t xml:space="preserve">Nettoyage en profondeur, décontamination, </w:t>
            </w:r>
            <w:r w:rsidR="005B7ACD">
              <w:rPr>
                <w:rFonts w:eastAsia="Calibri" w:cstheme="minorHAnsi"/>
                <w:spacing w:val="-1"/>
              </w:rPr>
              <w:t xml:space="preserve">détartrage </w:t>
            </w:r>
            <w:r w:rsidRPr="00D43506">
              <w:rPr>
                <w:rFonts w:eastAsia="Calibri" w:cstheme="minorHAnsi"/>
                <w:spacing w:val="-1"/>
              </w:rPr>
              <w:t>et désinfection complète des équipements</w:t>
            </w:r>
          </w:p>
        </w:tc>
        <w:tc>
          <w:tcPr>
            <w:tcW w:w="909" w:type="dxa"/>
            <w:noWrap/>
          </w:tcPr>
          <w:p w:rsidR="00D43506" w:rsidRDefault="00D43506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heure</w:t>
            </w:r>
          </w:p>
        </w:tc>
        <w:tc>
          <w:tcPr>
            <w:tcW w:w="2608" w:type="dxa"/>
            <w:shd w:val="clear" w:color="auto" w:fill="FFFFCC"/>
          </w:tcPr>
          <w:p w:rsidR="00D43506" w:rsidRPr="00576B17" w:rsidRDefault="006B49E4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D43506" w:rsidRDefault="00D43506" w:rsidP="00D43506">
            <w:pPr>
              <w:widowControl/>
              <w:rPr>
                <w:snapToGrid/>
                <w:szCs w:val="22"/>
              </w:rPr>
            </w:pPr>
          </w:p>
        </w:tc>
      </w:tr>
      <w:tr w:rsidR="00CC5781" w:rsidRPr="00576B17" w:rsidTr="001C7B52">
        <w:trPr>
          <w:cantSplit/>
          <w:trHeight w:val="397"/>
          <w:jc w:val="center"/>
        </w:trPr>
        <w:tc>
          <w:tcPr>
            <w:tcW w:w="1715" w:type="dxa"/>
            <w:noWrap/>
            <w:hideMark/>
          </w:tcPr>
          <w:p w:rsidR="00CC5781" w:rsidRPr="00576B17" w:rsidRDefault="005B7ACD" w:rsidP="000A7C06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QUALIF</w:t>
            </w:r>
          </w:p>
        </w:tc>
        <w:tc>
          <w:tcPr>
            <w:tcW w:w="6429" w:type="dxa"/>
            <w:hideMark/>
          </w:tcPr>
          <w:p w:rsidR="00CC5781" w:rsidRPr="00576B17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rFonts w:eastAsia="Calibri" w:cstheme="minorHAnsi"/>
                <w:spacing w:val="-1"/>
              </w:rPr>
              <w:t>Épreuve de qualification du cycle de désinfection (mise en place d’enregistreur)</w:t>
            </w:r>
          </w:p>
        </w:tc>
        <w:tc>
          <w:tcPr>
            <w:tcW w:w="909" w:type="dxa"/>
            <w:noWrap/>
            <w:hideMark/>
          </w:tcPr>
          <w:p w:rsidR="00CC5781" w:rsidRPr="00576B17" w:rsidRDefault="00CC5781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Forfait</w:t>
            </w:r>
          </w:p>
        </w:tc>
        <w:tc>
          <w:tcPr>
            <w:tcW w:w="2608" w:type="dxa"/>
            <w:shd w:val="clear" w:color="auto" w:fill="FFFFCC"/>
          </w:tcPr>
          <w:p w:rsidR="00CC5781" w:rsidRPr="00576B17" w:rsidRDefault="006B49E4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CC5781" w:rsidRPr="00576B17" w:rsidRDefault="00CC5781" w:rsidP="00A16258">
            <w:pPr>
              <w:widowControl/>
              <w:rPr>
                <w:snapToGrid/>
                <w:szCs w:val="22"/>
              </w:rPr>
            </w:pPr>
          </w:p>
        </w:tc>
      </w:tr>
    </w:tbl>
    <w:p w:rsidR="00CC5781" w:rsidRDefault="00CC5781"/>
    <w:p w:rsidR="003623DC" w:rsidRPr="00576B17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Fait à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renseigner),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 le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</w:t>
      </w:r>
    </w:p>
    <w:p w:rsidR="000F127B" w:rsidRPr="00576B17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:rsidR="00F93A1F" w:rsidRPr="00576B17" w:rsidRDefault="000F127B" w:rsidP="008D6584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Cs w:val="22"/>
          <w:u w:val="single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>Cachet :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  <w:t>Signature :</w:t>
      </w:r>
    </w:p>
    <w:sectPr w:rsidR="00F93A1F" w:rsidRPr="00576B17" w:rsidSect="009C1822">
      <w:headerReference w:type="default" r:id="rId12"/>
      <w:footerReference w:type="default" r:id="rId13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04" w:rsidRDefault="00631504">
      <w:r>
        <w:separator/>
      </w:r>
    </w:p>
  </w:endnote>
  <w:endnote w:type="continuationSeparator" w:id="0">
    <w:p w:rsidR="00631504" w:rsidRDefault="00631504">
      <w:r>
        <w:continuationSeparator/>
      </w:r>
    </w:p>
  </w:endnote>
  <w:endnote w:type="continuationNotice" w:id="1">
    <w:p w:rsidR="00631504" w:rsidRDefault="00631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631504" w:rsidRPr="00473219" w:rsidTr="003B1949">
      <w:tc>
        <w:tcPr>
          <w:tcW w:w="512" w:type="pct"/>
        </w:tcPr>
        <w:p w:rsidR="00631504" w:rsidRPr="00473219" w:rsidRDefault="00631504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5641D4E6" wp14:editId="369161C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631504" w:rsidRPr="008D32C1" w:rsidRDefault="00D9233D" w:rsidP="003E6247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631504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631504" w:rsidRPr="008D32C1" w:rsidRDefault="00631504" w:rsidP="003E6247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4E7884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 w:rsidR="001C7B52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454B39" w:rsidP="006577DE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6577DE">
            <w:rPr>
              <w:rFonts w:ascii="Calibri" w:hAnsi="Calibri" w:cs="Calibri"/>
              <w:b/>
              <w:color w:val="7F7F7F"/>
              <w:sz w:val="16"/>
            </w:rPr>
            <w:t>2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2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D9233D">
            <w:rPr>
              <w:noProof/>
              <w:color w:val="404040" w:themeColor="text1" w:themeTint="BF"/>
              <w:sz w:val="16"/>
            </w:rPr>
            <w:t>1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D9233D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631504" w:rsidRPr="00473219" w:rsidTr="003B1949">
      <w:tc>
        <w:tcPr>
          <w:tcW w:w="512" w:type="pct"/>
        </w:tcPr>
        <w:p w:rsidR="00631504" w:rsidRPr="00473219" w:rsidRDefault="001C7B52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287B9AE1" wp14:editId="28F1814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31504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1C7B52" w:rsidRPr="008D32C1" w:rsidRDefault="00D9233D" w:rsidP="001C7B52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1C7B52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1C7B52" w:rsidRPr="008D32C1" w:rsidRDefault="001C7B52" w:rsidP="001C7B52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4E7884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1C7B52" w:rsidP="006577DE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6577DE">
            <w:rPr>
              <w:rFonts w:ascii="Calibri" w:hAnsi="Calibri" w:cs="Calibri"/>
              <w:b/>
              <w:color w:val="7F7F7F"/>
              <w:sz w:val="16"/>
            </w:rPr>
            <w:t>2</w:t>
          </w:r>
          <w:r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>
            <w:rPr>
              <w:rFonts w:ascii="Calibri" w:hAnsi="Calibri" w:cs="Calibri"/>
              <w:b/>
              <w:color w:val="7F7F7F"/>
              <w:sz w:val="16"/>
            </w:rPr>
            <w:t>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D9233D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D9233D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04" w:rsidRDefault="00631504">
      <w:r>
        <w:separator/>
      </w:r>
    </w:p>
  </w:footnote>
  <w:footnote w:type="continuationSeparator" w:id="0">
    <w:p w:rsidR="00631504" w:rsidRDefault="00631504">
      <w:r>
        <w:continuationSeparator/>
      </w:r>
    </w:p>
  </w:footnote>
  <w:footnote w:type="continuationNotice" w:id="1">
    <w:p w:rsidR="00631504" w:rsidRDefault="00631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631504" w:rsidTr="003B1949">
      <w:tc>
        <w:tcPr>
          <w:tcW w:w="9889" w:type="dxa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3E6247">
    <w:pPr>
      <w:pStyle w:val="En-tte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631504" w:rsidTr="009C1822">
      <w:tc>
        <w:tcPr>
          <w:tcW w:w="5000" w:type="pct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401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03"/>
    <w:rsid w:val="00106883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2DB"/>
    <w:rsid w:val="00144AAF"/>
    <w:rsid w:val="001454CD"/>
    <w:rsid w:val="00154F90"/>
    <w:rsid w:val="00161B5B"/>
    <w:rsid w:val="001624CF"/>
    <w:rsid w:val="00164F8D"/>
    <w:rsid w:val="00166D6D"/>
    <w:rsid w:val="00172AB1"/>
    <w:rsid w:val="00172D1E"/>
    <w:rsid w:val="001750D7"/>
    <w:rsid w:val="00175C86"/>
    <w:rsid w:val="00180781"/>
    <w:rsid w:val="00182AA7"/>
    <w:rsid w:val="00185FD1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3C05"/>
    <w:rsid w:val="001C4C23"/>
    <w:rsid w:val="001C6451"/>
    <w:rsid w:val="001C6B67"/>
    <w:rsid w:val="001C7B52"/>
    <w:rsid w:val="001D2252"/>
    <w:rsid w:val="001D4C74"/>
    <w:rsid w:val="001D4E76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3A27"/>
    <w:rsid w:val="002459B6"/>
    <w:rsid w:val="002501BC"/>
    <w:rsid w:val="00251256"/>
    <w:rsid w:val="00261CDB"/>
    <w:rsid w:val="00263040"/>
    <w:rsid w:val="00263EAC"/>
    <w:rsid w:val="0026445E"/>
    <w:rsid w:val="002657B3"/>
    <w:rsid w:val="00266288"/>
    <w:rsid w:val="00267254"/>
    <w:rsid w:val="0026754F"/>
    <w:rsid w:val="0027045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4321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5743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AD5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26F6"/>
    <w:rsid w:val="003E5415"/>
    <w:rsid w:val="003E6247"/>
    <w:rsid w:val="003E75E5"/>
    <w:rsid w:val="003E77BC"/>
    <w:rsid w:val="003E7E30"/>
    <w:rsid w:val="003F09D3"/>
    <w:rsid w:val="003F374C"/>
    <w:rsid w:val="003F464F"/>
    <w:rsid w:val="003F7BB1"/>
    <w:rsid w:val="00400D79"/>
    <w:rsid w:val="004011C8"/>
    <w:rsid w:val="00403777"/>
    <w:rsid w:val="00405233"/>
    <w:rsid w:val="00406F05"/>
    <w:rsid w:val="00410CA0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40E"/>
    <w:rsid w:val="00432651"/>
    <w:rsid w:val="004337D4"/>
    <w:rsid w:val="00433EB5"/>
    <w:rsid w:val="004374D1"/>
    <w:rsid w:val="004409A2"/>
    <w:rsid w:val="0044543C"/>
    <w:rsid w:val="004528B0"/>
    <w:rsid w:val="004535C3"/>
    <w:rsid w:val="00454B39"/>
    <w:rsid w:val="0046033F"/>
    <w:rsid w:val="00462988"/>
    <w:rsid w:val="00464CD2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2C6"/>
    <w:rsid w:val="004B2FFA"/>
    <w:rsid w:val="004B4814"/>
    <w:rsid w:val="004B5BD3"/>
    <w:rsid w:val="004B5ECB"/>
    <w:rsid w:val="004C0076"/>
    <w:rsid w:val="004C68BE"/>
    <w:rsid w:val="004C7BAB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884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14D58"/>
    <w:rsid w:val="00520040"/>
    <w:rsid w:val="00520696"/>
    <w:rsid w:val="00520858"/>
    <w:rsid w:val="00524DE8"/>
    <w:rsid w:val="00526ECA"/>
    <w:rsid w:val="00530DC3"/>
    <w:rsid w:val="00536E3D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D7B"/>
    <w:rsid w:val="0057305C"/>
    <w:rsid w:val="00573C4E"/>
    <w:rsid w:val="005740EC"/>
    <w:rsid w:val="005741E2"/>
    <w:rsid w:val="00576B17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B7ACD"/>
    <w:rsid w:val="005C341A"/>
    <w:rsid w:val="005C4882"/>
    <w:rsid w:val="005C54B1"/>
    <w:rsid w:val="005C56C9"/>
    <w:rsid w:val="005C69BC"/>
    <w:rsid w:val="005C7EE1"/>
    <w:rsid w:val="005D0620"/>
    <w:rsid w:val="005D0BBB"/>
    <w:rsid w:val="005D0DEE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18FE"/>
    <w:rsid w:val="0062265B"/>
    <w:rsid w:val="006233FA"/>
    <w:rsid w:val="0063086A"/>
    <w:rsid w:val="0063100E"/>
    <w:rsid w:val="00631504"/>
    <w:rsid w:val="006316CC"/>
    <w:rsid w:val="00632308"/>
    <w:rsid w:val="0063555B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577DE"/>
    <w:rsid w:val="00660031"/>
    <w:rsid w:val="00665AE5"/>
    <w:rsid w:val="00667E26"/>
    <w:rsid w:val="006709F0"/>
    <w:rsid w:val="00673597"/>
    <w:rsid w:val="00682AB9"/>
    <w:rsid w:val="006845C7"/>
    <w:rsid w:val="00686D56"/>
    <w:rsid w:val="006934CB"/>
    <w:rsid w:val="006951C7"/>
    <w:rsid w:val="00695D17"/>
    <w:rsid w:val="00697CCA"/>
    <w:rsid w:val="006A221E"/>
    <w:rsid w:val="006A3898"/>
    <w:rsid w:val="006A3AEE"/>
    <w:rsid w:val="006A5483"/>
    <w:rsid w:val="006B1698"/>
    <w:rsid w:val="006B286A"/>
    <w:rsid w:val="006B49E4"/>
    <w:rsid w:val="006B5771"/>
    <w:rsid w:val="006B6D0D"/>
    <w:rsid w:val="006C0515"/>
    <w:rsid w:val="006C0B50"/>
    <w:rsid w:val="006C19BF"/>
    <w:rsid w:val="006C2F93"/>
    <w:rsid w:val="006C5C98"/>
    <w:rsid w:val="006D40A0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6F438B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2769"/>
    <w:rsid w:val="007B308D"/>
    <w:rsid w:val="007B4CD1"/>
    <w:rsid w:val="007B52C7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276"/>
    <w:rsid w:val="00827888"/>
    <w:rsid w:val="008278A8"/>
    <w:rsid w:val="008303A4"/>
    <w:rsid w:val="00831641"/>
    <w:rsid w:val="00831A4E"/>
    <w:rsid w:val="00836535"/>
    <w:rsid w:val="00836A36"/>
    <w:rsid w:val="00837EC8"/>
    <w:rsid w:val="0084174C"/>
    <w:rsid w:val="008421C0"/>
    <w:rsid w:val="008421E5"/>
    <w:rsid w:val="0084357B"/>
    <w:rsid w:val="00843E6F"/>
    <w:rsid w:val="0085108A"/>
    <w:rsid w:val="00852A2E"/>
    <w:rsid w:val="00852C3A"/>
    <w:rsid w:val="00857648"/>
    <w:rsid w:val="00860735"/>
    <w:rsid w:val="00860C3E"/>
    <w:rsid w:val="00862313"/>
    <w:rsid w:val="00863DB7"/>
    <w:rsid w:val="00863FB1"/>
    <w:rsid w:val="00865445"/>
    <w:rsid w:val="00866F58"/>
    <w:rsid w:val="00867983"/>
    <w:rsid w:val="0087102D"/>
    <w:rsid w:val="008711FD"/>
    <w:rsid w:val="00881039"/>
    <w:rsid w:val="00882524"/>
    <w:rsid w:val="00887857"/>
    <w:rsid w:val="0089009F"/>
    <w:rsid w:val="00890132"/>
    <w:rsid w:val="00894B16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43C5"/>
    <w:rsid w:val="008D460E"/>
    <w:rsid w:val="008D61EA"/>
    <w:rsid w:val="008D63F9"/>
    <w:rsid w:val="008D6584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09AD"/>
    <w:rsid w:val="00941977"/>
    <w:rsid w:val="009425AC"/>
    <w:rsid w:val="0094347F"/>
    <w:rsid w:val="00943EA5"/>
    <w:rsid w:val="0095266E"/>
    <w:rsid w:val="00952B71"/>
    <w:rsid w:val="00953A54"/>
    <w:rsid w:val="00953A92"/>
    <w:rsid w:val="00956EAF"/>
    <w:rsid w:val="009574B8"/>
    <w:rsid w:val="00957F5E"/>
    <w:rsid w:val="0096572F"/>
    <w:rsid w:val="0097084A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4371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2398"/>
    <w:rsid w:val="009E290C"/>
    <w:rsid w:val="009E39A0"/>
    <w:rsid w:val="009E5604"/>
    <w:rsid w:val="009E5A25"/>
    <w:rsid w:val="009E650A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6258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75E07"/>
    <w:rsid w:val="00A80EED"/>
    <w:rsid w:val="00A8554E"/>
    <w:rsid w:val="00A8561D"/>
    <w:rsid w:val="00A86231"/>
    <w:rsid w:val="00A90E91"/>
    <w:rsid w:val="00A934AC"/>
    <w:rsid w:val="00AA2513"/>
    <w:rsid w:val="00AA2950"/>
    <w:rsid w:val="00AA5AAD"/>
    <w:rsid w:val="00AA6A03"/>
    <w:rsid w:val="00AB0105"/>
    <w:rsid w:val="00AB2AAB"/>
    <w:rsid w:val="00AB329F"/>
    <w:rsid w:val="00AC163A"/>
    <w:rsid w:val="00AC62BA"/>
    <w:rsid w:val="00AC7DA2"/>
    <w:rsid w:val="00AD0791"/>
    <w:rsid w:val="00AD0860"/>
    <w:rsid w:val="00AD08EC"/>
    <w:rsid w:val="00AD19F5"/>
    <w:rsid w:val="00AD1A11"/>
    <w:rsid w:val="00AD4937"/>
    <w:rsid w:val="00AD50C7"/>
    <w:rsid w:val="00AD5190"/>
    <w:rsid w:val="00AD553F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129D1"/>
    <w:rsid w:val="00B136AB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8616B"/>
    <w:rsid w:val="00B9196F"/>
    <w:rsid w:val="00B939BF"/>
    <w:rsid w:val="00B955F9"/>
    <w:rsid w:val="00B95B36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6C3B"/>
    <w:rsid w:val="00BC7533"/>
    <w:rsid w:val="00BC76D4"/>
    <w:rsid w:val="00BD0200"/>
    <w:rsid w:val="00BD0D9F"/>
    <w:rsid w:val="00BD128C"/>
    <w:rsid w:val="00BD1D67"/>
    <w:rsid w:val="00BD54E8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3085"/>
    <w:rsid w:val="00C06E0C"/>
    <w:rsid w:val="00C07B06"/>
    <w:rsid w:val="00C13943"/>
    <w:rsid w:val="00C14D6A"/>
    <w:rsid w:val="00C31526"/>
    <w:rsid w:val="00C33A8F"/>
    <w:rsid w:val="00C35AEE"/>
    <w:rsid w:val="00C4068A"/>
    <w:rsid w:val="00C41277"/>
    <w:rsid w:val="00C43BA9"/>
    <w:rsid w:val="00C448F5"/>
    <w:rsid w:val="00C46EFE"/>
    <w:rsid w:val="00C472BE"/>
    <w:rsid w:val="00C602A1"/>
    <w:rsid w:val="00C6042B"/>
    <w:rsid w:val="00C61C94"/>
    <w:rsid w:val="00C61CC8"/>
    <w:rsid w:val="00C62735"/>
    <w:rsid w:val="00C62D46"/>
    <w:rsid w:val="00C66E5E"/>
    <w:rsid w:val="00C670EA"/>
    <w:rsid w:val="00C70E60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8605F"/>
    <w:rsid w:val="00C943F8"/>
    <w:rsid w:val="00C95971"/>
    <w:rsid w:val="00C95EFA"/>
    <w:rsid w:val="00CA2F40"/>
    <w:rsid w:val="00CA3024"/>
    <w:rsid w:val="00CA3742"/>
    <w:rsid w:val="00CA3BB3"/>
    <w:rsid w:val="00CA53BF"/>
    <w:rsid w:val="00CA5C51"/>
    <w:rsid w:val="00CB2C35"/>
    <w:rsid w:val="00CB330D"/>
    <w:rsid w:val="00CB337B"/>
    <w:rsid w:val="00CB4A34"/>
    <w:rsid w:val="00CB6AE0"/>
    <w:rsid w:val="00CC0338"/>
    <w:rsid w:val="00CC5781"/>
    <w:rsid w:val="00CC7301"/>
    <w:rsid w:val="00CD2A7F"/>
    <w:rsid w:val="00CD3099"/>
    <w:rsid w:val="00CD622C"/>
    <w:rsid w:val="00CE19C5"/>
    <w:rsid w:val="00CE2BE2"/>
    <w:rsid w:val="00CE4168"/>
    <w:rsid w:val="00CE5682"/>
    <w:rsid w:val="00CE6272"/>
    <w:rsid w:val="00CE6819"/>
    <w:rsid w:val="00CE6D49"/>
    <w:rsid w:val="00CE6D8C"/>
    <w:rsid w:val="00CF0704"/>
    <w:rsid w:val="00CF32C5"/>
    <w:rsid w:val="00CF4984"/>
    <w:rsid w:val="00CF5FEF"/>
    <w:rsid w:val="00D02077"/>
    <w:rsid w:val="00D06843"/>
    <w:rsid w:val="00D1521C"/>
    <w:rsid w:val="00D21E0E"/>
    <w:rsid w:val="00D23087"/>
    <w:rsid w:val="00D24261"/>
    <w:rsid w:val="00D26D6C"/>
    <w:rsid w:val="00D31EC6"/>
    <w:rsid w:val="00D345FB"/>
    <w:rsid w:val="00D34C1B"/>
    <w:rsid w:val="00D43425"/>
    <w:rsid w:val="00D43506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E3A"/>
    <w:rsid w:val="00D9233D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7AB2"/>
    <w:rsid w:val="00DE7C10"/>
    <w:rsid w:val="00DF6582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6833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31FD"/>
    <w:rsid w:val="00E64BB9"/>
    <w:rsid w:val="00E66FFC"/>
    <w:rsid w:val="00E671EF"/>
    <w:rsid w:val="00E718A9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788"/>
    <w:rsid w:val="00EA0ABC"/>
    <w:rsid w:val="00EA211A"/>
    <w:rsid w:val="00EA28DE"/>
    <w:rsid w:val="00EA3F00"/>
    <w:rsid w:val="00EA4F57"/>
    <w:rsid w:val="00EA533D"/>
    <w:rsid w:val="00EB2CA7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8E7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6E58"/>
    <w:rsid w:val="00F87ADF"/>
    <w:rsid w:val="00F87EFA"/>
    <w:rsid w:val="00F93A1F"/>
    <w:rsid w:val="00FA2327"/>
    <w:rsid w:val="00FA2A41"/>
    <w:rsid w:val="00FA3328"/>
    <w:rsid w:val="00FA3834"/>
    <w:rsid w:val="00FA77A0"/>
    <w:rsid w:val="00FA7B7A"/>
    <w:rsid w:val="00FB05E4"/>
    <w:rsid w:val="00FB259F"/>
    <w:rsid w:val="00FB39A2"/>
    <w:rsid w:val="00FB4F07"/>
    <w:rsid w:val="00FB53A3"/>
    <w:rsid w:val="00FB5C0D"/>
    <w:rsid w:val="00FC2433"/>
    <w:rsid w:val="00FC395B"/>
    <w:rsid w:val="00FC545A"/>
    <w:rsid w:val="00FD01C1"/>
    <w:rsid w:val="00FD32E1"/>
    <w:rsid w:val="00FD563A"/>
    <w:rsid w:val="00FD612C"/>
    <w:rsid w:val="00FD6F5B"/>
    <w:rsid w:val="00FD797A"/>
    <w:rsid w:val="00FE743F"/>
    <w:rsid w:val="00FF1E82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142B8C5"/>
  <w15:docId w15:val="{AA26D59D-8C85-475C-B486-18AF0EFC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774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7164C-D8F7-46B9-B5C8-3F60D3233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2932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9</cp:revision>
  <cp:lastPrinted>2018-01-10T09:50:00Z</cp:lastPrinted>
  <dcterms:created xsi:type="dcterms:W3CDTF">2022-04-05T10:24:00Z</dcterms:created>
  <dcterms:modified xsi:type="dcterms:W3CDTF">2023-04-06T15:16:00Z</dcterms:modified>
</cp:coreProperties>
</file>