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B07" w:rsidRPr="00457B07" w:rsidRDefault="00457B07" w:rsidP="00457B07">
      <w:pPr>
        <w:shd w:val="clear" w:color="auto" w:fill="F2F2F2"/>
        <w:spacing w:after="0" w:line="240" w:lineRule="auto"/>
        <w:jc w:val="center"/>
        <w:rPr>
          <w:rFonts w:ascii="Calibri" w:eastAsia="Times New Roman" w:hAnsi="Calibri" w:cs="Times New Roman"/>
          <w:b/>
          <w:sz w:val="24"/>
          <w:szCs w:val="20"/>
          <w:lang w:eastAsia="fr-FR"/>
        </w:rPr>
      </w:pPr>
    </w:p>
    <w:p w:rsidR="00457B07" w:rsidRPr="00457B07" w:rsidRDefault="00457B07" w:rsidP="00457B07">
      <w:pPr>
        <w:shd w:val="clear" w:color="auto" w:fill="F2F2F2"/>
        <w:spacing w:after="0" w:line="240" w:lineRule="auto"/>
        <w:jc w:val="center"/>
        <w:rPr>
          <w:rFonts w:ascii="Arial" w:eastAsia="Times New Roman" w:hAnsi="Arial" w:cs="Arial"/>
          <w:b/>
          <w:bCs/>
          <w:lang w:eastAsia="fr-FR"/>
        </w:rPr>
      </w:pPr>
      <w:r w:rsidRPr="00457B07">
        <w:rPr>
          <w:rFonts w:ascii="Arial" w:eastAsia="Times New Roman" w:hAnsi="Arial" w:cs="Arial"/>
          <w:b/>
          <w:bCs/>
          <w:lang w:eastAsia="fr-FR"/>
        </w:rPr>
        <w:t>C.H.U. - HOPITAUX DE SAINT-ETIENNE</w:t>
      </w:r>
    </w:p>
    <w:p w:rsidR="000E49B3" w:rsidRPr="000E49B3" w:rsidRDefault="000E49B3" w:rsidP="000E49B3">
      <w:pPr>
        <w:keepNext/>
        <w:shd w:val="pct20" w:color="auto" w:fill="auto"/>
        <w:spacing w:after="0" w:line="240" w:lineRule="auto"/>
        <w:jc w:val="center"/>
        <w:rPr>
          <w:rFonts w:ascii="Arial" w:eastAsia="Times New Roman" w:hAnsi="Arial" w:cs="Times New Roman"/>
          <w:b/>
          <w:szCs w:val="20"/>
          <w:lang w:eastAsia="fr-FR"/>
        </w:rPr>
      </w:pPr>
      <w:r w:rsidRPr="000E49B3">
        <w:rPr>
          <w:rFonts w:ascii="Arial" w:eastAsia="Times New Roman" w:hAnsi="Arial" w:cs="Times New Roman"/>
          <w:b/>
          <w:szCs w:val="20"/>
          <w:lang w:eastAsia="fr-FR"/>
        </w:rPr>
        <w:t>Direction des Achats, de la Logistique, des Infrastructures, de la Sécurité et de  l’Environnement</w:t>
      </w:r>
    </w:p>
    <w:p w:rsidR="00457B07" w:rsidRPr="00457B07" w:rsidRDefault="000E49B3" w:rsidP="000E49B3">
      <w:pPr>
        <w:shd w:val="clear" w:color="auto" w:fill="F2F2F2"/>
        <w:spacing w:after="0" w:line="240" w:lineRule="auto"/>
        <w:jc w:val="center"/>
        <w:rPr>
          <w:rFonts w:ascii="Arial" w:eastAsia="Times New Roman" w:hAnsi="Arial" w:cs="Arial"/>
          <w:b/>
          <w:bCs/>
          <w:lang w:eastAsia="fr-FR"/>
        </w:rPr>
      </w:pPr>
      <w:r w:rsidRPr="000E49B3">
        <w:rPr>
          <w:rFonts w:ascii="Arial" w:eastAsia="Times New Roman" w:hAnsi="Arial" w:cs="Times New Roman"/>
          <w:b/>
          <w:lang w:eastAsia="fr-FR"/>
        </w:rPr>
        <w:t>Hôpital Bellevue   /  Pavillon 1</w:t>
      </w:r>
    </w:p>
    <w:p w:rsidR="00457B07" w:rsidRPr="00457B07" w:rsidRDefault="00457B07" w:rsidP="00457B07">
      <w:pPr>
        <w:shd w:val="clear" w:color="auto" w:fill="F2F2F2"/>
        <w:spacing w:after="0" w:line="240" w:lineRule="auto"/>
        <w:jc w:val="center"/>
        <w:rPr>
          <w:rFonts w:ascii="Arial" w:eastAsia="Times New Roman" w:hAnsi="Arial" w:cs="Arial"/>
          <w:b/>
          <w:bCs/>
          <w:lang w:eastAsia="fr-FR"/>
        </w:rPr>
      </w:pPr>
      <w:r w:rsidRPr="00457B07">
        <w:rPr>
          <w:rFonts w:ascii="Arial" w:eastAsia="Times New Roman" w:hAnsi="Arial" w:cs="Arial"/>
          <w:b/>
          <w:bCs/>
          <w:lang w:eastAsia="fr-FR"/>
        </w:rPr>
        <w:t>42055 SAINT-ETIENNE CEDEX 2</w:t>
      </w:r>
    </w:p>
    <w:p w:rsidR="00457B07" w:rsidRPr="00457B07" w:rsidRDefault="00457B07" w:rsidP="00457B07">
      <w:pPr>
        <w:shd w:val="clear" w:color="auto" w:fill="F2F2F2"/>
        <w:spacing w:after="0" w:line="240" w:lineRule="auto"/>
        <w:jc w:val="center"/>
        <w:rPr>
          <w:rFonts w:ascii="Arial" w:eastAsia="Times New Roman" w:hAnsi="Arial" w:cs="Arial"/>
          <w:b/>
          <w:bCs/>
          <w:lang w:eastAsia="fr-FR"/>
        </w:rPr>
      </w:pPr>
      <w:r w:rsidRPr="00457B07">
        <w:rPr>
          <w:rFonts w:ascii="Arial" w:eastAsia="Times New Roman" w:hAnsi="Arial" w:cs="Arial"/>
          <w:b/>
          <w:bCs/>
          <w:lang w:eastAsia="fr-FR"/>
        </w:rPr>
        <w:t>Tél. 04 77 12 72 52</w:t>
      </w:r>
    </w:p>
    <w:p w:rsidR="00457B07" w:rsidRPr="00457B07" w:rsidRDefault="00457B07" w:rsidP="00457B07">
      <w:pPr>
        <w:shd w:val="clear" w:color="auto" w:fill="F2F2F2"/>
        <w:spacing w:after="0" w:line="240" w:lineRule="auto"/>
        <w:jc w:val="center"/>
        <w:rPr>
          <w:rFonts w:ascii="Arial" w:eastAsia="Times New Roman" w:hAnsi="Arial" w:cs="Arial"/>
          <w:b/>
          <w:bCs/>
          <w:lang w:eastAsia="fr-FR"/>
        </w:rPr>
      </w:pPr>
      <w:r w:rsidRPr="00457B07">
        <w:rPr>
          <w:rFonts w:ascii="Arial" w:eastAsia="Times New Roman" w:hAnsi="Arial" w:cs="Arial"/>
          <w:b/>
          <w:bCs/>
          <w:lang w:eastAsia="fr-FR"/>
        </w:rPr>
        <w:t>Fax 04 77 12 72 50</w:t>
      </w:r>
    </w:p>
    <w:p w:rsidR="00457B07" w:rsidRPr="00457B07" w:rsidRDefault="00457B07" w:rsidP="00457B07">
      <w:pPr>
        <w:keepNext/>
        <w:shd w:val="pct5" w:color="auto" w:fill="auto"/>
        <w:spacing w:after="0" w:line="240" w:lineRule="auto"/>
        <w:jc w:val="center"/>
        <w:rPr>
          <w:rFonts w:ascii="Calibri" w:eastAsia="Times New Roman" w:hAnsi="Calibri" w:cs="Calibri"/>
          <w:b/>
          <w:bCs/>
          <w:lang w:eastAsia="fr-FR"/>
        </w:rPr>
      </w:pPr>
    </w:p>
    <w:p w:rsidR="00457B07" w:rsidRPr="00457B07" w:rsidRDefault="00457B07" w:rsidP="00457B07">
      <w:pPr>
        <w:spacing w:after="0" w:line="240" w:lineRule="auto"/>
        <w:jc w:val="both"/>
        <w:rPr>
          <w:rFonts w:ascii="Calibri" w:eastAsia="Times New Roman" w:hAnsi="Calibri" w:cs="Times New Roman"/>
          <w:sz w:val="24"/>
          <w:szCs w:val="20"/>
          <w:lang w:val="fr-CA" w:eastAsia="fr-FR"/>
        </w:rPr>
      </w:pPr>
    </w:p>
    <w:p w:rsidR="00457B07" w:rsidRPr="00457B07" w:rsidRDefault="00457B07" w:rsidP="00457B07">
      <w:pPr>
        <w:spacing w:after="0" w:line="240" w:lineRule="auto"/>
        <w:jc w:val="center"/>
        <w:rPr>
          <w:rFonts w:ascii="Calibri" w:eastAsia="Times New Roman" w:hAnsi="Calibri" w:cs="Calibri"/>
          <w:b/>
          <w:bCs/>
          <w:sz w:val="28"/>
          <w:szCs w:val="28"/>
          <w:u w:val="single"/>
          <w:lang w:val="fr-CA" w:eastAsia="fr-FR"/>
        </w:rPr>
      </w:pPr>
    </w:p>
    <w:p w:rsidR="00457B07" w:rsidRPr="00457B07" w:rsidRDefault="00457B07" w:rsidP="00457B07">
      <w:pPr>
        <w:spacing w:after="0" w:line="240" w:lineRule="auto"/>
        <w:jc w:val="center"/>
        <w:rPr>
          <w:rFonts w:ascii="Calibri" w:eastAsia="Times New Roman" w:hAnsi="Calibri" w:cs="Calibri"/>
          <w:b/>
          <w:bCs/>
          <w:sz w:val="28"/>
          <w:szCs w:val="28"/>
          <w:u w:val="single"/>
          <w:lang w:val="fr-CA" w:eastAsia="fr-FR"/>
        </w:rPr>
      </w:pPr>
      <w:bookmarkStart w:id="0" w:name="_GoBack"/>
      <w:bookmarkEnd w:id="0"/>
    </w:p>
    <w:p w:rsidR="00457B07" w:rsidRPr="00457B07" w:rsidRDefault="00457B07" w:rsidP="00457B07">
      <w:pPr>
        <w:spacing w:after="0" w:line="240" w:lineRule="auto"/>
        <w:jc w:val="center"/>
        <w:rPr>
          <w:rFonts w:ascii="Calibri" w:eastAsia="Times New Roman" w:hAnsi="Calibri" w:cs="Times New Roman"/>
          <w:sz w:val="24"/>
          <w:szCs w:val="20"/>
          <w:lang w:val="fr-CA" w:eastAsia="fr-FR"/>
        </w:rPr>
      </w:pPr>
    </w:p>
    <w:p w:rsidR="00457B07" w:rsidRPr="00457B07" w:rsidRDefault="00457B07" w:rsidP="00457B07">
      <w:pPr>
        <w:spacing w:after="0" w:line="240" w:lineRule="auto"/>
        <w:jc w:val="center"/>
        <w:rPr>
          <w:rFonts w:ascii="Calibri" w:eastAsia="Times New Roman" w:hAnsi="Calibri" w:cs="Times New Roman"/>
          <w:b/>
          <w:sz w:val="36"/>
          <w:szCs w:val="20"/>
          <w:lang w:val="fr-CA" w:eastAsia="fr-FR"/>
        </w:rPr>
      </w:pPr>
      <w:r w:rsidRPr="00457B07">
        <w:rPr>
          <w:rFonts w:ascii="Calibri" w:eastAsia="Times New Roman" w:hAnsi="Calibri" w:cs="Times New Roman"/>
          <w:b/>
          <w:sz w:val="36"/>
          <w:szCs w:val="20"/>
          <w:lang w:val="fr-CA" w:eastAsia="fr-FR"/>
        </w:rPr>
        <w:t>ANNEXE N°1</w:t>
      </w:r>
    </w:p>
    <w:p w:rsidR="00457B07" w:rsidRPr="00457B07" w:rsidRDefault="00457B07" w:rsidP="00457B07">
      <w:pPr>
        <w:spacing w:after="0" w:line="240" w:lineRule="auto"/>
        <w:jc w:val="center"/>
        <w:rPr>
          <w:rFonts w:ascii="Calibri" w:eastAsia="Times New Roman" w:hAnsi="Calibri" w:cs="Times New Roman"/>
          <w:sz w:val="24"/>
          <w:szCs w:val="20"/>
          <w:lang w:eastAsia="fr-FR"/>
        </w:rPr>
      </w:pPr>
      <w:r w:rsidRPr="00457B07">
        <w:rPr>
          <w:rFonts w:ascii="Calibri" w:eastAsia="Times New Roman" w:hAnsi="Calibri" w:cs="Times New Roman"/>
          <w:sz w:val="28"/>
          <w:szCs w:val="20"/>
          <w:u w:val="single"/>
          <w:lang w:val="fr-CA" w:eastAsia="fr-FR"/>
        </w:rPr>
        <w:t>«Devis et proposition du prestataire»</w:t>
      </w:r>
    </w:p>
    <w:p w:rsidR="00457B07" w:rsidRPr="00457B07" w:rsidRDefault="00202F44" w:rsidP="00457B07">
      <w:pPr>
        <w:spacing w:after="0" w:line="240" w:lineRule="auto"/>
        <w:jc w:val="center"/>
        <w:rPr>
          <w:rFonts w:ascii="Calibri" w:eastAsia="Times New Roman" w:hAnsi="Calibri" w:cs="Times New Roman"/>
          <w:i/>
          <w:sz w:val="28"/>
          <w:szCs w:val="20"/>
          <w:lang w:val="fr-CA" w:eastAsia="fr-FR"/>
        </w:rPr>
      </w:pPr>
      <w:r>
        <w:rPr>
          <w:rFonts w:ascii="Calibri" w:eastAsia="Times New Roman" w:hAnsi="Calibri" w:cs="Times New Roman"/>
          <w:i/>
          <w:sz w:val="28"/>
          <w:szCs w:val="20"/>
          <w:lang w:val="fr-CA" w:eastAsia="fr-FR"/>
        </w:rPr>
        <w:t xml:space="preserve">Joindre le fichier EXCEL joint </w:t>
      </w:r>
      <w:r w:rsidR="00667ED8">
        <w:rPr>
          <w:rFonts w:ascii="Calibri" w:eastAsia="Times New Roman" w:hAnsi="Calibri" w:cs="Times New Roman"/>
          <w:i/>
          <w:sz w:val="28"/>
          <w:szCs w:val="20"/>
          <w:lang w:val="fr-CA" w:eastAsia="fr-FR"/>
        </w:rPr>
        <w:t xml:space="preserve">nommé BPU DTE-EM 2023-15 </w:t>
      </w:r>
      <w:r>
        <w:rPr>
          <w:rFonts w:ascii="Calibri" w:eastAsia="Times New Roman" w:hAnsi="Calibri" w:cs="Times New Roman"/>
          <w:i/>
          <w:sz w:val="28"/>
          <w:szCs w:val="20"/>
          <w:lang w:val="fr-CA" w:eastAsia="fr-FR"/>
        </w:rPr>
        <w:t>(lot 1 et lot 2)</w:t>
      </w:r>
    </w:p>
    <w:p w:rsidR="00457B07" w:rsidRDefault="00457B07" w:rsidP="00457B07">
      <w:pPr>
        <w:spacing w:after="0" w:line="240" w:lineRule="auto"/>
        <w:jc w:val="center"/>
        <w:rPr>
          <w:rFonts w:ascii="Calibri" w:eastAsia="Times New Roman" w:hAnsi="Calibri" w:cs="Times New Roman"/>
          <w:i/>
          <w:sz w:val="28"/>
          <w:szCs w:val="20"/>
          <w:lang w:val="fr-CA" w:eastAsia="fr-FR"/>
        </w:rPr>
      </w:pPr>
    </w:p>
    <w:p w:rsidR="00667ED8" w:rsidRPr="00457B07" w:rsidRDefault="00667ED8" w:rsidP="00457B07">
      <w:pPr>
        <w:spacing w:after="0" w:line="240" w:lineRule="auto"/>
        <w:jc w:val="center"/>
        <w:rPr>
          <w:rFonts w:ascii="Calibri" w:eastAsia="Times New Roman" w:hAnsi="Calibri" w:cs="Times New Roman"/>
          <w:i/>
          <w:sz w:val="28"/>
          <w:szCs w:val="20"/>
          <w:lang w:val="fr-CA" w:eastAsia="fr-FR"/>
        </w:rPr>
      </w:pPr>
    </w:p>
    <w:p w:rsidR="00457B07" w:rsidRPr="00457B07" w:rsidRDefault="00457B07" w:rsidP="00457B07">
      <w:pPr>
        <w:spacing w:after="0" w:line="240" w:lineRule="auto"/>
        <w:jc w:val="center"/>
        <w:rPr>
          <w:rFonts w:ascii="Calibri" w:eastAsia="Times New Roman" w:hAnsi="Calibri" w:cs="Times New Roman"/>
          <w:b/>
          <w:sz w:val="36"/>
          <w:szCs w:val="20"/>
          <w:lang w:val="fr-CA" w:eastAsia="fr-FR"/>
        </w:rPr>
      </w:pPr>
      <w:r w:rsidRPr="00457B07">
        <w:rPr>
          <w:rFonts w:ascii="Calibri" w:eastAsia="Times New Roman" w:hAnsi="Calibri" w:cs="Times New Roman"/>
          <w:b/>
          <w:sz w:val="36"/>
          <w:szCs w:val="20"/>
          <w:lang w:val="fr-CA" w:eastAsia="fr-FR"/>
        </w:rPr>
        <w:t>ANNEXE N°2</w:t>
      </w:r>
    </w:p>
    <w:p w:rsidR="00457B07" w:rsidRPr="00457B07" w:rsidRDefault="00457B07" w:rsidP="00457B07">
      <w:pPr>
        <w:spacing w:after="0" w:line="240" w:lineRule="auto"/>
        <w:jc w:val="center"/>
        <w:rPr>
          <w:rFonts w:ascii="Calibri" w:eastAsia="Times New Roman" w:hAnsi="Calibri" w:cs="Times New Roman"/>
          <w:sz w:val="28"/>
          <w:szCs w:val="20"/>
          <w:u w:val="single"/>
          <w:lang w:val="fr-CA" w:eastAsia="fr-FR"/>
        </w:rPr>
      </w:pPr>
      <w:r w:rsidRPr="00457B07">
        <w:rPr>
          <w:rFonts w:ascii="Calibri" w:eastAsia="Times New Roman" w:hAnsi="Calibri" w:cs="Times New Roman"/>
          <w:sz w:val="28"/>
          <w:szCs w:val="20"/>
          <w:u w:val="single"/>
          <w:lang w:val="fr-CA" w:eastAsia="fr-FR"/>
        </w:rPr>
        <w:t>« Catalogue accessoires, pièces détachées et consommables »</w:t>
      </w:r>
    </w:p>
    <w:p w:rsidR="00457B07" w:rsidRPr="00457B07" w:rsidRDefault="00457B07" w:rsidP="00457B07">
      <w:pPr>
        <w:spacing w:after="0" w:line="240" w:lineRule="auto"/>
        <w:jc w:val="center"/>
        <w:rPr>
          <w:rFonts w:ascii="Calibri" w:eastAsia="Times New Roman" w:hAnsi="Calibri" w:cs="Times New Roman"/>
          <w:i/>
          <w:sz w:val="28"/>
          <w:szCs w:val="20"/>
          <w:lang w:val="fr-CA" w:eastAsia="fr-FR"/>
        </w:rPr>
      </w:pPr>
      <w:r w:rsidRPr="00457B07">
        <w:rPr>
          <w:rFonts w:ascii="Calibri" w:eastAsia="Times New Roman" w:hAnsi="Calibri" w:cs="Times New Roman"/>
          <w:i/>
          <w:sz w:val="28"/>
          <w:szCs w:val="20"/>
          <w:lang w:val="fr-CA" w:eastAsia="fr-FR"/>
        </w:rPr>
        <w:t xml:space="preserve">À fournir par le candidat au </w:t>
      </w:r>
      <w:r w:rsidRPr="00667ED8">
        <w:rPr>
          <w:rFonts w:ascii="Calibri" w:eastAsia="Times New Roman" w:hAnsi="Calibri" w:cs="Times New Roman"/>
          <w:b/>
          <w:i/>
          <w:sz w:val="28"/>
          <w:szCs w:val="20"/>
          <w:lang w:val="fr-CA" w:eastAsia="fr-FR"/>
        </w:rPr>
        <w:t>format EXCEL</w:t>
      </w:r>
    </w:p>
    <w:p w:rsidR="00457B07" w:rsidRPr="00457B07" w:rsidRDefault="00457B07" w:rsidP="00457B07">
      <w:pPr>
        <w:spacing w:after="0" w:line="240" w:lineRule="auto"/>
        <w:jc w:val="center"/>
        <w:rPr>
          <w:rFonts w:ascii="Calibri" w:eastAsia="Times New Roman" w:hAnsi="Calibri" w:cs="Times New Roman"/>
          <w:i/>
          <w:sz w:val="28"/>
          <w:szCs w:val="20"/>
          <w:lang w:val="fr-CA" w:eastAsia="fr-FR"/>
        </w:rPr>
      </w:pPr>
      <w:r w:rsidRPr="00457B07">
        <w:rPr>
          <w:rFonts w:ascii="Calibri" w:eastAsia="Times New Roman" w:hAnsi="Calibri" w:cs="Times New Roman"/>
          <w:i/>
          <w:sz w:val="28"/>
          <w:szCs w:val="20"/>
          <w:lang w:val="fr-CA" w:eastAsia="fr-FR"/>
        </w:rPr>
        <w:br w:type="page"/>
      </w:r>
    </w:p>
    <w:p w:rsidR="00457B07" w:rsidRPr="00457B07" w:rsidRDefault="00457B07" w:rsidP="00457B07">
      <w:pPr>
        <w:spacing w:after="0" w:line="240" w:lineRule="auto"/>
        <w:jc w:val="center"/>
        <w:rPr>
          <w:rFonts w:ascii="Calibri" w:eastAsia="Times New Roman" w:hAnsi="Calibri" w:cs="Times New Roman"/>
          <w:i/>
          <w:sz w:val="28"/>
          <w:szCs w:val="20"/>
          <w:lang w:val="fr-CA" w:eastAsia="fr-FR"/>
        </w:rPr>
        <w:sectPr w:rsidR="00457B07" w:rsidRPr="00457B07" w:rsidSect="00CA55C8">
          <w:footerReference w:type="default" r:id="rId7"/>
          <w:pgSz w:w="11906" w:h="16838"/>
          <w:pgMar w:top="1134" w:right="1417" w:bottom="1417" w:left="1134" w:header="708" w:footer="708" w:gutter="0"/>
          <w:cols w:space="708"/>
          <w:docGrid w:linePitch="360"/>
        </w:sectPr>
      </w:pPr>
    </w:p>
    <w:p w:rsidR="00457B07" w:rsidRPr="00457B07" w:rsidRDefault="00457B07" w:rsidP="00457B07">
      <w:pPr>
        <w:spacing w:after="0" w:line="240" w:lineRule="auto"/>
        <w:jc w:val="center"/>
        <w:rPr>
          <w:rFonts w:ascii="Calibri" w:eastAsia="Times New Roman" w:hAnsi="Calibri" w:cs="Times New Roman"/>
          <w:b/>
          <w:sz w:val="36"/>
          <w:szCs w:val="36"/>
          <w:u w:val="single"/>
          <w:lang w:val="fr-CA" w:eastAsia="fr-FR"/>
        </w:rPr>
      </w:pPr>
      <w:r w:rsidRPr="00457B07">
        <w:rPr>
          <w:rFonts w:ascii="Calibri" w:eastAsia="Times New Roman" w:hAnsi="Calibri" w:cs="Times New Roman"/>
          <w:b/>
          <w:sz w:val="36"/>
          <w:szCs w:val="36"/>
          <w:u w:val="single"/>
          <w:lang w:val="fr-CA" w:eastAsia="fr-FR"/>
        </w:rPr>
        <w:lastRenderedPageBreak/>
        <w:t>LOT 1 – Bordereau de prix</w:t>
      </w:r>
    </w:p>
    <w:p w:rsidR="00457B07" w:rsidRPr="00457B07" w:rsidRDefault="00457B07" w:rsidP="00457B07">
      <w:pPr>
        <w:spacing w:after="0" w:line="240" w:lineRule="auto"/>
        <w:jc w:val="center"/>
        <w:rPr>
          <w:rFonts w:ascii="Calibri" w:eastAsia="Times New Roman" w:hAnsi="Calibri" w:cs="Times New Roman"/>
          <w:sz w:val="24"/>
          <w:szCs w:val="24"/>
          <w:lang w:val="fr-CA" w:eastAsia="fr-FR"/>
        </w:rPr>
      </w:pPr>
    </w:p>
    <w:tbl>
      <w:tblPr>
        <w:tblStyle w:val="Grilledutableau"/>
        <w:tblW w:w="5000" w:type="pct"/>
        <w:tblLook w:val="04A0" w:firstRow="1" w:lastRow="0" w:firstColumn="1" w:lastColumn="0" w:noHBand="0" w:noVBand="1"/>
      </w:tblPr>
      <w:tblGrid>
        <w:gridCol w:w="711"/>
        <w:gridCol w:w="4038"/>
        <w:gridCol w:w="1063"/>
        <w:gridCol w:w="1466"/>
        <w:gridCol w:w="1530"/>
        <w:gridCol w:w="1119"/>
        <w:gridCol w:w="1414"/>
        <w:gridCol w:w="758"/>
        <w:gridCol w:w="2403"/>
      </w:tblGrid>
      <w:tr w:rsidR="00457B07" w:rsidRPr="00457B07" w:rsidTr="007D39D0">
        <w:tc>
          <w:tcPr>
            <w:tcW w:w="280" w:type="pct"/>
            <w:tcBorders>
              <w:top w:val="nil"/>
              <w:left w:val="nil"/>
              <w:right w:val="nil"/>
            </w:tcBorders>
          </w:tcPr>
          <w:p w:rsidR="00457B07" w:rsidRPr="00457B07" w:rsidRDefault="00457B07" w:rsidP="00457B07">
            <w:pPr>
              <w:jc w:val="center"/>
              <w:rPr>
                <w:rFonts w:ascii="Calibri" w:hAnsi="Calibri"/>
                <w:b/>
                <w:sz w:val="32"/>
                <w:szCs w:val="32"/>
                <w:u w:val="single"/>
                <w:lang w:val="fr-CA"/>
              </w:rPr>
            </w:pPr>
          </w:p>
        </w:tc>
        <w:tc>
          <w:tcPr>
            <w:tcW w:w="1287" w:type="pct"/>
            <w:tcBorders>
              <w:top w:val="nil"/>
              <w:left w:val="nil"/>
            </w:tcBorders>
          </w:tcPr>
          <w:p w:rsidR="00457B07" w:rsidRPr="00457B07" w:rsidRDefault="00457B07" w:rsidP="00457B07">
            <w:pPr>
              <w:jc w:val="center"/>
              <w:rPr>
                <w:rFonts w:ascii="Calibri" w:hAnsi="Calibri"/>
                <w:b/>
                <w:sz w:val="32"/>
                <w:szCs w:val="32"/>
                <w:u w:val="single"/>
                <w:lang w:val="fr-CA"/>
              </w:rPr>
            </w:pPr>
          </w:p>
        </w:tc>
        <w:tc>
          <w:tcPr>
            <w:tcW w:w="401"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Réf.</w:t>
            </w:r>
          </w:p>
        </w:tc>
        <w:tc>
          <w:tcPr>
            <w:tcW w:w="482"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Code Cladimed</w:t>
            </w:r>
          </w:p>
        </w:tc>
        <w:tc>
          <w:tcPr>
            <w:tcW w:w="562"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PU HT</w:t>
            </w:r>
          </w:p>
        </w:tc>
        <w:tc>
          <w:tcPr>
            <w:tcW w:w="362"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 remise</w:t>
            </w:r>
          </w:p>
        </w:tc>
        <w:tc>
          <w:tcPr>
            <w:tcW w:w="522"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PU HT remisé</w:t>
            </w:r>
          </w:p>
        </w:tc>
        <w:tc>
          <w:tcPr>
            <w:tcW w:w="241"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TVA</w:t>
            </w:r>
          </w:p>
        </w:tc>
        <w:tc>
          <w:tcPr>
            <w:tcW w:w="863" w:type="pct"/>
          </w:tcPr>
          <w:p w:rsidR="00457B07" w:rsidRPr="00457B07" w:rsidRDefault="00457B07" w:rsidP="00457B07">
            <w:pPr>
              <w:jc w:val="center"/>
              <w:rPr>
                <w:rFonts w:ascii="Calibri" w:hAnsi="Calibri"/>
                <w:b/>
                <w:sz w:val="32"/>
                <w:szCs w:val="32"/>
                <w:u w:val="single"/>
                <w:lang w:val="fr-CA"/>
              </w:rPr>
            </w:pPr>
            <w:r w:rsidRPr="00457B07">
              <w:rPr>
                <w:rFonts w:ascii="Calibri" w:hAnsi="Calibri"/>
                <w:b/>
                <w:sz w:val="32"/>
                <w:szCs w:val="32"/>
                <w:u w:val="single"/>
                <w:lang w:val="fr-CA"/>
              </w:rPr>
              <w:t>PU TTC remisé</w:t>
            </w:r>
          </w:p>
        </w:tc>
      </w:tr>
      <w:tr w:rsidR="00457B07" w:rsidRPr="00457B07" w:rsidTr="007D39D0">
        <w:tc>
          <w:tcPr>
            <w:tcW w:w="280" w:type="pct"/>
          </w:tcPr>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 xml:space="preserve">Lot 1 </w:t>
            </w:r>
          </w:p>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Sous lot 1</w:t>
            </w:r>
          </w:p>
        </w:tc>
        <w:tc>
          <w:tcPr>
            <w:tcW w:w="1287" w:type="pct"/>
          </w:tcPr>
          <w:p w:rsidR="00457B07" w:rsidRPr="00457B07" w:rsidRDefault="00457B07" w:rsidP="00457B07">
            <w:pPr>
              <w:rPr>
                <w:rFonts w:ascii="Calibri" w:hAnsi="Calibri"/>
                <w:sz w:val="24"/>
                <w:szCs w:val="24"/>
                <w:lang w:val="fr-CA"/>
              </w:rPr>
            </w:pPr>
            <w:r w:rsidRPr="00457B07">
              <w:rPr>
                <w:rFonts w:ascii="Calibri" w:hAnsi="Calibri"/>
                <w:sz w:val="24"/>
                <w:szCs w:val="24"/>
                <w:lang w:val="fr-CA"/>
              </w:rPr>
              <w:t>Matériel</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Enceinte blindée</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Injecteur</w:t>
            </w:r>
          </w:p>
        </w:tc>
        <w:tc>
          <w:tcPr>
            <w:tcW w:w="401" w:type="pct"/>
          </w:tcPr>
          <w:p w:rsidR="00457B07" w:rsidRPr="00457B07" w:rsidRDefault="00457B07" w:rsidP="00457B07">
            <w:pPr>
              <w:jc w:val="center"/>
              <w:rPr>
                <w:rFonts w:ascii="Calibri" w:hAnsi="Calibri"/>
                <w:sz w:val="24"/>
                <w:szCs w:val="24"/>
                <w:lang w:val="fr-CA"/>
              </w:rPr>
            </w:pPr>
          </w:p>
        </w:tc>
        <w:tc>
          <w:tcPr>
            <w:tcW w:w="482" w:type="pct"/>
          </w:tcPr>
          <w:p w:rsidR="00457B07" w:rsidRPr="00457B07" w:rsidRDefault="00457B07" w:rsidP="00457B07">
            <w:pPr>
              <w:jc w:val="center"/>
              <w:rPr>
                <w:rFonts w:ascii="Calibri" w:hAnsi="Calibri"/>
                <w:sz w:val="24"/>
                <w:szCs w:val="24"/>
                <w:lang w:val="fr-CA"/>
              </w:rPr>
            </w:pPr>
          </w:p>
        </w:tc>
        <w:tc>
          <w:tcPr>
            <w:tcW w:w="562" w:type="pct"/>
          </w:tcPr>
          <w:p w:rsidR="00457B07" w:rsidRPr="00457B07" w:rsidRDefault="00457B07" w:rsidP="00457B07">
            <w:pPr>
              <w:jc w:val="center"/>
              <w:rPr>
                <w:rFonts w:ascii="Calibri" w:hAnsi="Calibri"/>
                <w:sz w:val="24"/>
                <w:szCs w:val="24"/>
                <w:lang w:val="fr-CA"/>
              </w:rPr>
            </w:pPr>
          </w:p>
        </w:tc>
        <w:tc>
          <w:tcPr>
            <w:tcW w:w="362" w:type="pct"/>
          </w:tcPr>
          <w:p w:rsidR="00457B07" w:rsidRPr="00457B07" w:rsidRDefault="00457B07" w:rsidP="00457B07">
            <w:pPr>
              <w:jc w:val="center"/>
              <w:rPr>
                <w:rFonts w:ascii="Calibri" w:hAnsi="Calibri"/>
                <w:sz w:val="24"/>
                <w:szCs w:val="24"/>
                <w:lang w:val="fr-CA"/>
              </w:rPr>
            </w:pPr>
          </w:p>
        </w:tc>
        <w:tc>
          <w:tcPr>
            <w:tcW w:w="522" w:type="pct"/>
          </w:tcPr>
          <w:p w:rsidR="00457B07" w:rsidRPr="00457B07" w:rsidRDefault="00457B07" w:rsidP="00457B07">
            <w:pPr>
              <w:jc w:val="center"/>
              <w:rPr>
                <w:rFonts w:ascii="Calibri" w:hAnsi="Calibri"/>
                <w:sz w:val="24"/>
                <w:szCs w:val="24"/>
                <w:lang w:val="fr-CA"/>
              </w:rPr>
            </w:pPr>
          </w:p>
        </w:tc>
        <w:tc>
          <w:tcPr>
            <w:tcW w:w="241" w:type="pct"/>
          </w:tcPr>
          <w:p w:rsidR="00457B07" w:rsidRPr="00457B07" w:rsidRDefault="00457B07" w:rsidP="00457B07">
            <w:pPr>
              <w:jc w:val="center"/>
              <w:rPr>
                <w:rFonts w:ascii="Calibri" w:hAnsi="Calibri"/>
                <w:sz w:val="24"/>
                <w:szCs w:val="24"/>
                <w:lang w:val="fr-CA"/>
              </w:rPr>
            </w:pPr>
          </w:p>
        </w:tc>
        <w:tc>
          <w:tcPr>
            <w:tcW w:w="863" w:type="pct"/>
          </w:tcPr>
          <w:p w:rsidR="00457B07" w:rsidRPr="00457B07" w:rsidRDefault="00457B07" w:rsidP="00457B07">
            <w:pPr>
              <w:jc w:val="center"/>
              <w:rPr>
                <w:rFonts w:ascii="Calibri" w:hAnsi="Calibri"/>
                <w:sz w:val="24"/>
                <w:szCs w:val="24"/>
                <w:lang w:val="fr-CA"/>
              </w:rPr>
            </w:pPr>
          </w:p>
        </w:tc>
      </w:tr>
      <w:tr w:rsidR="00457B07" w:rsidRPr="00457B07" w:rsidTr="007D39D0">
        <w:tc>
          <w:tcPr>
            <w:tcW w:w="280" w:type="pct"/>
          </w:tcPr>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Sous lot 1</w:t>
            </w:r>
          </w:p>
        </w:tc>
        <w:tc>
          <w:tcPr>
            <w:tcW w:w="1287" w:type="pct"/>
          </w:tcPr>
          <w:p w:rsidR="00457B07" w:rsidRPr="00457B07" w:rsidRDefault="00457B07" w:rsidP="00457B07">
            <w:pPr>
              <w:rPr>
                <w:rFonts w:ascii="Calibri" w:hAnsi="Calibri"/>
                <w:sz w:val="24"/>
                <w:szCs w:val="24"/>
                <w:lang w:val="fr-CA"/>
              </w:rPr>
            </w:pPr>
            <w:r w:rsidRPr="00457B07">
              <w:rPr>
                <w:rFonts w:ascii="Calibri" w:hAnsi="Calibri"/>
                <w:sz w:val="24"/>
                <w:szCs w:val="24"/>
                <w:lang w:val="fr-CA"/>
              </w:rPr>
              <w:t xml:space="preserve">Options : </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Gallium</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Ascenseur motorisé</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Stockeur de source</w:t>
            </w:r>
          </w:p>
          <w:p w:rsidR="00457B07" w:rsidRPr="00457B07" w:rsidRDefault="00457B07" w:rsidP="00457B07">
            <w:pPr>
              <w:ind w:left="720"/>
              <w:contextualSpacing/>
              <w:rPr>
                <w:rFonts w:ascii="Calibri" w:hAnsi="Calibri"/>
                <w:sz w:val="24"/>
                <w:szCs w:val="24"/>
                <w:lang w:val="fr-CA"/>
              </w:rPr>
            </w:pPr>
            <w:r w:rsidRPr="00457B07">
              <w:rPr>
                <w:rFonts w:ascii="Calibri" w:hAnsi="Calibri"/>
                <w:sz w:val="24"/>
                <w:szCs w:val="24"/>
                <w:lang w:val="fr-CA"/>
              </w:rPr>
              <w:t>Supplémentaire</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 xml:space="preserve">Synthétiseur de galium </w:t>
            </w:r>
          </w:p>
          <w:p w:rsidR="00457B07" w:rsidRPr="00457B07" w:rsidRDefault="00457B07" w:rsidP="00457B07">
            <w:pPr>
              <w:rPr>
                <w:rFonts w:ascii="Calibri" w:hAnsi="Calibri"/>
                <w:sz w:val="24"/>
                <w:szCs w:val="24"/>
                <w:lang w:val="fr-CA"/>
              </w:rPr>
            </w:pPr>
            <w:r w:rsidRPr="00457B07">
              <w:rPr>
                <w:rFonts w:ascii="Calibri" w:hAnsi="Calibri"/>
                <w:sz w:val="24"/>
                <w:szCs w:val="24"/>
                <w:lang w:val="fr-CA"/>
              </w:rPr>
              <w:t>(précisez aussi le coût de l’enceinte blindée nécessaire)</w:t>
            </w:r>
          </w:p>
        </w:tc>
        <w:tc>
          <w:tcPr>
            <w:tcW w:w="401" w:type="pct"/>
          </w:tcPr>
          <w:p w:rsidR="00457B07" w:rsidRPr="00457B07" w:rsidRDefault="00457B07" w:rsidP="00457B07">
            <w:pPr>
              <w:jc w:val="center"/>
              <w:rPr>
                <w:rFonts w:ascii="Calibri" w:hAnsi="Calibri"/>
                <w:sz w:val="24"/>
                <w:szCs w:val="24"/>
                <w:lang w:val="fr-CA"/>
              </w:rPr>
            </w:pPr>
          </w:p>
        </w:tc>
        <w:tc>
          <w:tcPr>
            <w:tcW w:w="482" w:type="pct"/>
          </w:tcPr>
          <w:p w:rsidR="00457B07" w:rsidRPr="00457B07" w:rsidRDefault="00457B07" w:rsidP="00457B07">
            <w:pPr>
              <w:jc w:val="center"/>
              <w:rPr>
                <w:rFonts w:ascii="Calibri" w:hAnsi="Calibri"/>
                <w:sz w:val="24"/>
                <w:szCs w:val="24"/>
                <w:lang w:val="fr-CA"/>
              </w:rPr>
            </w:pPr>
          </w:p>
        </w:tc>
        <w:tc>
          <w:tcPr>
            <w:tcW w:w="562" w:type="pct"/>
          </w:tcPr>
          <w:p w:rsidR="00457B07" w:rsidRPr="00457B07" w:rsidRDefault="00457B07" w:rsidP="00457B07">
            <w:pPr>
              <w:jc w:val="center"/>
              <w:rPr>
                <w:rFonts w:ascii="Calibri" w:hAnsi="Calibri"/>
                <w:sz w:val="24"/>
                <w:szCs w:val="24"/>
                <w:lang w:val="fr-CA"/>
              </w:rPr>
            </w:pPr>
          </w:p>
        </w:tc>
        <w:tc>
          <w:tcPr>
            <w:tcW w:w="362" w:type="pct"/>
          </w:tcPr>
          <w:p w:rsidR="00457B07" w:rsidRPr="00457B07" w:rsidRDefault="00457B07" w:rsidP="00457B07">
            <w:pPr>
              <w:jc w:val="center"/>
              <w:rPr>
                <w:rFonts w:ascii="Calibri" w:hAnsi="Calibri"/>
                <w:sz w:val="24"/>
                <w:szCs w:val="24"/>
                <w:lang w:val="fr-CA"/>
              </w:rPr>
            </w:pPr>
          </w:p>
        </w:tc>
        <w:tc>
          <w:tcPr>
            <w:tcW w:w="522" w:type="pct"/>
          </w:tcPr>
          <w:p w:rsidR="00457B07" w:rsidRPr="00457B07" w:rsidRDefault="00457B07" w:rsidP="00457B07">
            <w:pPr>
              <w:jc w:val="center"/>
              <w:rPr>
                <w:rFonts w:ascii="Calibri" w:hAnsi="Calibri"/>
                <w:sz w:val="24"/>
                <w:szCs w:val="24"/>
                <w:lang w:val="fr-CA"/>
              </w:rPr>
            </w:pPr>
          </w:p>
        </w:tc>
        <w:tc>
          <w:tcPr>
            <w:tcW w:w="241" w:type="pct"/>
          </w:tcPr>
          <w:p w:rsidR="00457B07" w:rsidRPr="00457B07" w:rsidRDefault="00457B07" w:rsidP="00457B07">
            <w:pPr>
              <w:jc w:val="center"/>
              <w:rPr>
                <w:rFonts w:ascii="Calibri" w:hAnsi="Calibri"/>
                <w:sz w:val="24"/>
                <w:szCs w:val="24"/>
                <w:lang w:val="fr-CA"/>
              </w:rPr>
            </w:pPr>
          </w:p>
        </w:tc>
        <w:tc>
          <w:tcPr>
            <w:tcW w:w="863" w:type="pct"/>
          </w:tcPr>
          <w:p w:rsidR="00457B07" w:rsidRPr="00457B07" w:rsidRDefault="00457B07" w:rsidP="00457B07">
            <w:pPr>
              <w:jc w:val="center"/>
              <w:rPr>
                <w:rFonts w:ascii="Calibri" w:hAnsi="Calibri"/>
                <w:sz w:val="24"/>
                <w:szCs w:val="24"/>
                <w:lang w:val="fr-CA"/>
              </w:rPr>
            </w:pPr>
          </w:p>
        </w:tc>
      </w:tr>
      <w:tr w:rsidR="00457B07" w:rsidRPr="00457B07" w:rsidTr="007D39D0">
        <w:tc>
          <w:tcPr>
            <w:tcW w:w="280" w:type="pct"/>
          </w:tcPr>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Sous lot 2</w:t>
            </w:r>
          </w:p>
        </w:tc>
        <w:tc>
          <w:tcPr>
            <w:tcW w:w="1287" w:type="pct"/>
          </w:tcPr>
          <w:p w:rsidR="00457B07" w:rsidRPr="00457B07" w:rsidRDefault="00457B07" w:rsidP="00457B07">
            <w:pPr>
              <w:rPr>
                <w:rFonts w:ascii="Calibri" w:hAnsi="Calibri"/>
                <w:sz w:val="24"/>
                <w:szCs w:val="24"/>
                <w:lang w:val="fr-CA"/>
              </w:rPr>
            </w:pPr>
            <w:r w:rsidRPr="00457B07">
              <w:rPr>
                <w:rFonts w:ascii="Calibri" w:hAnsi="Calibri"/>
                <w:sz w:val="24"/>
                <w:szCs w:val="24"/>
                <w:lang w:val="fr-CA"/>
              </w:rPr>
              <w:t>Ensemble des consommables nécessaires pour la préparation de la dose au regard de l’activité</w:t>
            </w:r>
          </w:p>
        </w:tc>
        <w:tc>
          <w:tcPr>
            <w:tcW w:w="401" w:type="pct"/>
          </w:tcPr>
          <w:p w:rsidR="00457B07" w:rsidRPr="00457B07" w:rsidRDefault="00457B07" w:rsidP="00457B07">
            <w:pPr>
              <w:jc w:val="center"/>
              <w:rPr>
                <w:rFonts w:ascii="Calibri" w:hAnsi="Calibri"/>
                <w:sz w:val="24"/>
                <w:szCs w:val="24"/>
                <w:lang w:val="fr-CA"/>
              </w:rPr>
            </w:pPr>
          </w:p>
        </w:tc>
        <w:tc>
          <w:tcPr>
            <w:tcW w:w="482" w:type="pct"/>
          </w:tcPr>
          <w:p w:rsidR="00457B07" w:rsidRPr="00457B07" w:rsidRDefault="00457B07" w:rsidP="00457B07">
            <w:pPr>
              <w:jc w:val="center"/>
              <w:rPr>
                <w:rFonts w:ascii="Calibri" w:hAnsi="Calibri"/>
                <w:sz w:val="24"/>
                <w:szCs w:val="24"/>
                <w:lang w:val="fr-CA"/>
              </w:rPr>
            </w:pPr>
          </w:p>
        </w:tc>
        <w:tc>
          <w:tcPr>
            <w:tcW w:w="562" w:type="pct"/>
          </w:tcPr>
          <w:p w:rsidR="00457B07" w:rsidRPr="00457B07" w:rsidRDefault="00457B07" w:rsidP="00457B07">
            <w:pPr>
              <w:jc w:val="center"/>
              <w:rPr>
                <w:rFonts w:ascii="Calibri" w:hAnsi="Calibri"/>
                <w:sz w:val="24"/>
                <w:szCs w:val="24"/>
                <w:lang w:val="fr-CA"/>
              </w:rPr>
            </w:pPr>
          </w:p>
        </w:tc>
        <w:tc>
          <w:tcPr>
            <w:tcW w:w="362" w:type="pct"/>
          </w:tcPr>
          <w:p w:rsidR="00457B07" w:rsidRPr="00457B07" w:rsidRDefault="00457B07" w:rsidP="00457B07">
            <w:pPr>
              <w:jc w:val="center"/>
              <w:rPr>
                <w:rFonts w:ascii="Calibri" w:hAnsi="Calibri"/>
                <w:sz w:val="24"/>
                <w:szCs w:val="24"/>
                <w:lang w:val="fr-CA"/>
              </w:rPr>
            </w:pPr>
          </w:p>
        </w:tc>
        <w:tc>
          <w:tcPr>
            <w:tcW w:w="522" w:type="pct"/>
          </w:tcPr>
          <w:p w:rsidR="00457B07" w:rsidRPr="00457B07" w:rsidRDefault="00457B07" w:rsidP="00457B07">
            <w:pPr>
              <w:jc w:val="center"/>
              <w:rPr>
                <w:rFonts w:ascii="Calibri" w:hAnsi="Calibri"/>
                <w:sz w:val="24"/>
                <w:szCs w:val="24"/>
                <w:lang w:val="fr-CA"/>
              </w:rPr>
            </w:pPr>
          </w:p>
        </w:tc>
        <w:tc>
          <w:tcPr>
            <w:tcW w:w="241" w:type="pct"/>
          </w:tcPr>
          <w:p w:rsidR="00457B07" w:rsidRPr="00457B07" w:rsidRDefault="00457B07" w:rsidP="00457B07">
            <w:pPr>
              <w:jc w:val="center"/>
              <w:rPr>
                <w:rFonts w:ascii="Calibri" w:hAnsi="Calibri"/>
                <w:sz w:val="24"/>
                <w:szCs w:val="24"/>
                <w:lang w:val="fr-CA"/>
              </w:rPr>
            </w:pPr>
          </w:p>
        </w:tc>
        <w:tc>
          <w:tcPr>
            <w:tcW w:w="863" w:type="pct"/>
          </w:tcPr>
          <w:p w:rsidR="00457B07" w:rsidRPr="00457B07" w:rsidRDefault="00457B07" w:rsidP="00457B07">
            <w:pPr>
              <w:jc w:val="center"/>
              <w:rPr>
                <w:rFonts w:ascii="Calibri" w:hAnsi="Calibri"/>
                <w:sz w:val="24"/>
                <w:szCs w:val="24"/>
                <w:lang w:val="fr-CA"/>
              </w:rPr>
            </w:pPr>
          </w:p>
        </w:tc>
      </w:tr>
      <w:tr w:rsidR="00457B07" w:rsidRPr="00457B07" w:rsidTr="007D39D0">
        <w:tc>
          <w:tcPr>
            <w:tcW w:w="280" w:type="pct"/>
          </w:tcPr>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Sous lot 3</w:t>
            </w:r>
          </w:p>
        </w:tc>
        <w:tc>
          <w:tcPr>
            <w:tcW w:w="1287" w:type="pct"/>
          </w:tcPr>
          <w:p w:rsidR="00457B07" w:rsidRPr="00457B07" w:rsidRDefault="00457B07" w:rsidP="00457B07">
            <w:pPr>
              <w:rPr>
                <w:rFonts w:ascii="Calibri" w:hAnsi="Calibri"/>
                <w:sz w:val="24"/>
                <w:szCs w:val="24"/>
                <w:lang w:val="fr-CA"/>
              </w:rPr>
            </w:pPr>
            <w:r w:rsidRPr="00457B07">
              <w:rPr>
                <w:rFonts w:ascii="Calibri" w:hAnsi="Calibri"/>
                <w:sz w:val="24"/>
                <w:szCs w:val="24"/>
                <w:lang w:val="fr-CA"/>
              </w:rPr>
              <w:t>Maintenance (fournir un exemple de contrat) :</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Proposition tout risque</w:t>
            </w:r>
          </w:p>
          <w:p w:rsidR="00457B07" w:rsidRPr="00457B07" w:rsidRDefault="00457B07" w:rsidP="00457B07">
            <w:pPr>
              <w:numPr>
                <w:ilvl w:val="0"/>
                <w:numId w:val="1"/>
              </w:numPr>
              <w:contextualSpacing/>
              <w:jc w:val="both"/>
              <w:rPr>
                <w:rFonts w:ascii="Calibri" w:hAnsi="Calibri"/>
                <w:sz w:val="24"/>
                <w:szCs w:val="24"/>
                <w:lang w:val="fr-CA"/>
              </w:rPr>
            </w:pPr>
            <w:r w:rsidRPr="00457B07">
              <w:rPr>
                <w:rFonts w:ascii="Calibri" w:hAnsi="Calibri"/>
                <w:sz w:val="24"/>
                <w:szCs w:val="24"/>
                <w:lang w:val="fr-CA"/>
              </w:rPr>
              <w:t>Biopartenariat</w:t>
            </w:r>
          </w:p>
          <w:p w:rsidR="00457B07" w:rsidRPr="00457B07" w:rsidRDefault="00457B07" w:rsidP="00457B07">
            <w:pPr>
              <w:numPr>
                <w:ilvl w:val="1"/>
                <w:numId w:val="1"/>
              </w:numPr>
              <w:contextualSpacing/>
              <w:jc w:val="both"/>
              <w:rPr>
                <w:rFonts w:ascii="Calibri" w:hAnsi="Calibri"/>
                <w:sz w:val="24"/>
                <w:szCs w:val="24"/>
                <w:lang w:val="fr-CA"/>
              </w:rPr>
            </w:pPr>
            <w:r w:rsidRPr="00457B07">
              <w:rPr>
                <w:rFonts w:ascii="Calibri" w:hAnsi="Calibri"/>
                <w:sz w:val="24"/>
                <w:szCs w:val="24"/>
                <w:lang w:val="fr-CA"/>
              </w:rPr>
              <w:t>Forfait</w:t>
            </w:r>
          </w:p>
          <w:p w:rsidR="00457B07" w:rsidRPr="00457B07" w:rsidRDefault="00457B07" w:rsidP="00457B07">
            <w:pPr>
              <w:numPr>
                <w:ilvl w:val="1"/>
                <w:numId w:val="1"/>
              </w:numPr>
              <w:contextualSpacing/>
              <w:jc w:val="both"/>
              <w:rPr>
                <w:rFonts w:ascii="Calibri" w:hAnsi="Calibri"/>
                <w:sz w:val="24"/>
                <w:szCs w:val="24"/>
                <w:lang w:val="fr-CA"/>
              </w:rPr>
            </w:pPr>
            <w:r w:rsidRPr="00457B07">
              <w:rPr>
                <w:rFonts w:ascii="Calibri" w:hAnsi="Calibri"/>
                <w:sz w:val="24"/>
                <w:szCs w:val="24"/>
                <w:lang w:val="fr-CA"/>
              </w:rPr>
              <w:t>Main d’œuvre</w:t>
            </w:r>
          </w:p>
          <w:p w:rsidR="00457B07" w:rsidRPr="00457B07" w:rsidRDefault="00457B07" w:rsidP="00457B07">
            <w:pPr>
              <w:numPr>
                <w:ilvl w:val="1"/>
                <w:numId w:val="1"/>
              </w:numPr>
              <w:contextualSpacing/>
              <w:jc w:val="both"/>
              <w:rPr>
                <w:rFonts w:ascii="Calibri" w:hAnsi="Calibri"/>
                <w:sz w:val="24"/>
                <w:szCs w:val="24"/>
                <w:lang w:val="fr-CA"/>
              </w:rPr>
            </w:pPr>
            <w:r w:rsidRPr="00457B07">
              <w:rPr>
                <w:rFonts w:ascii="Calibri" w:hAnsi="Calibri"/>
                <w:sz w:val="24"/>
                <w:szCs w:val="24"/>
                <w:lang w:val="fr-CA"/>
              </w:rPr>
              <w:t>Déplacement</w:t>
            </w:r>
          </w:p>
          <w:p w:rsidR="00457B07" w:rsidRPr="00457B07" w:rsidRDefault="00457B07" w:rsidP="00457B07">
            <w:pPr>
              <w:numPr>
                <w:ilvl w:val="1"/>
                <w:numId w:val="1"/>
              </w:numPr>
              <w:contextualSpacing/>
              <w:jc w:val="both"/>
              <w:rPr>
                <w:rFonts w:ascii="Calibri" w:hAnsi="Calibri"/>
                <w:sz w:val="24"/>
                <w:szCs w:val="24"/>
                <w:lang w:val="fr-CA"/>
              </w:rPr>
            </w:pPr>
            <w:r w:rsidRPr="00457B07">
              <w:rPr>
                <w:rFonts w:ascii="Calibri" w:hAnsi="Calibri"/>
                <w:sz w:val="24"/>
                <w:szCs w:val="24"/>
                <w:lang w:val="fr-CA"/>
              </w:rPr>
              <w:t>%remise sur pièces</w:t>
            </w:r>
          </w:p>
        </w:tc>
        <w:tc>
          <w:tcPr>
            <w:tcW w:w="401" w:type="pct"/>
          </w:tcPr>
          <w:p w:rsidR="00457B07" w:rsidRPr="00457B07" w:rsidRDefault="00457B07" w:rsidP="00457B07">
            <w:pPr>
              <w:jc w:val="center"/>
              <w:rPr>
                <w:rFonts w:ascii="Calibri" w:hAnsi="Calibri"/>
                <w:sz w:val="24"/>
                <w:szCs w:val="24"/>
                <w:lang w:val="fr-CA"/>
              </w:rPr>
            </w:pPr>
          </w:p>
        </w:tc>
        <w:tc>
          <w:tcPr>
            <w:tcW w:w="482" w:type="pct"/>
          </w:tcPr>
          <w:p w:rsidR="00457B07" w:rsidRPr="00457B07" w:rsidRDefault="00457B07" w:rsidP="00457B07">
            <w:pPr>
              <w:jc w:val="center"/>
              <w:rPr>
                <w:rFonts w:ascii="Calibri" w:hAnsi="Calibri"/>
                <w:sz w:val="24"/>
                <w:szCs w:val="24"/>
                <w:lang w:val="fr-CA"/>
              </w:rPr>
            </w:pPr>
          </w:p>
        </w:tc>
        <w:tc>
          <w:tcPr>
            <w:tcW w:w="562" w:type="pct"/>
          </w:tcPr>
          <w:p w:rsidR="00457B07" w:rsidRPr="00457B07" w:rsidRDefault="00457B07" w:rsidP="00457B07">
            <w:pPr>
              <w:jc w:val="center"/>
              <w:rPr>
                <w:rFonts w:ascii="Calibri" w:hAnsi="Calibri"/>
                <w:sz w:val="24"/>
                <w:szCs w:val="24"/>
                <w:lang w:val="fr-CA"/>
              </w:rPr>
            </w:pPr>
          </w:p>
        </w:tc>
        <w:tc>
          <w:tcPr>
            <w:tcW w:w="362" w:type="pct"/>
          </w:tcPr>
          <w:p w:rsidR="00457B07" w:rsidRPr="00457B07" w:rsidRDefault="00457B07" w:rsidP="00457B07">
            <w:pPr>
              <w:jc w:val="center"/>
              <w:rPr>
                <w:rFonts w:ascii="Calibri" w:hAnsi="Calibri"/>
                <w:sz w:val="24"/>
                <w:szCs w:val="24"/>
                <w:lang w:val="fr-CA"/>
              </w:rPr>
            </w:pPr>
          </w:p>
        </w:tc>
        <w:tc>
          <w:tcPr>
            <w:tcW w:w="522" w:type="pct"/>
          </w:tcPr>
          <w:p w:rsidR="00457B07" w:rsidRPr="00457B07" w:rsidRDefault="00457B07" w:rsidP="00457B07">
            <w:pPr>
              <w:jc w:val="center"/>
              <w:rPr>
                <w:rFonts w:ascii="Calibri" w:hAnsi="Calibri"/>
                <w:sz w:val="24"/>
                <w:szCs w:val="24"/>
                <w:lang w:val="fr-CA"/>
              </w:rPr>
            </w:pPr>
          </w:p>
        </w:tc>
        <w:tc>
          <w:tcPr>
            <w:tcW w:w="241" w:type="pct"/>
          </w:tcPr>
          <w:p w:rsidR="00457B07" w:rsidRPr="00457B07" w:rsidRDefault="00457B07" w:rsidP="00457B07">
            <w:pPr>
              <w:jc w:val="center"/>
              <w:rPr>
                <w:rFonts w:ascii="Calibri" w:hAnsi="Calibri"/>
                <w:sz w:val="24"/>
                <w:szCs w:val="24"/>
                <w:lang w:val="fr-CA"/>
              </w:rPr>
            </w:pPr>
          </w:p>
        </w:tc>
        <w:tc>
          <w:tcPr>
            <w:tcW w:w="863" w:type="pct"/>
          </w:tcPr>
          <w:p w:rsidR="00457B07" w:rsidRPr="00457B07" w:rsidRDefault="00457B07" w:rsidP="00457B07">
            <w:pPr>
              <w:jc w:val="center"/>
              <w:rPr>
                <w:rFonts w:ascii="Calibri" w:hAnsi="Calibri"/>
                <w:sz w:val="24"/>
                <w:szCs w:val="24"/>
                <w:lang w:val="fr-CA"/>
              </w:rPr>
            </w:pPr>
          </w:p>
        </w:tc>
      </w:tr>
      <w:tr w:rsidR="00457B07" w:rsidRPr="00457B07" w:rsidTr="007D39D0">
        <w:tc>
          <w:tcPr>
            <w:tcW w:w="280" w:type="pct"/>
          </w:tcPr>
          <w:p w:rsidR="00457B07" w:rsidRPr="00457B07" w:rsidRDefault="00457B07" w:rsidP="00457B07">
            <w:pPr>
              <w:jc w:val="center"/>
              <w:rPr>
                <w:rFonts w:ascii="Calibri" w:hAnsi="Calibri"/>
                <w:sz w:val="24"/>
                <w:szCs w:val="24"/>
                <w:lang w:val="fr-CA"/>
              </w:rPr>
            </w:pPr>
            <w:r w:rsidRPr="00457B07">
              <w:rPr>
                <w:rFonts w:ascii="Calibri" w:hAnsi="Calibri"/>
                <w:sz w:val="24"/>
                <w:szCs w:val="24"/>
                <w:lang w:val="fr-CA"/>
              </w:rPr>
              <w:t>Lot 2</w:t>
            </w:r>
          </w:p>
        </w:tc>
        <w:tc>
          <w:tcPr>
            <w:tcW w:w="1287" w:type="pct"/>
          </w:tcPr>
          <w:p w:rsidR="00457B07" w:rsidRPr="00457B07" w:rsidRDefault="00457B07" w:rsidP="00457B07">
            <w:pPr>
              <w:rPr>
                <w:rFonts w:ascii="Calibri" w:hAnsi="Calibri"/>
                <w:sz w:val="24"/>
                <w:szCs w:val="24"/>
                <w:lang w:val="fr-CA"/>
              </w:rPr>
            </w:pPr>
            <w:r w:rsidRPr="00457B07">
              <w:rPr>
                <w:rFonts w:ascii="Calibri" w:hAnsi="Calibri"/>
                <w:sz w:val="24"/>
                <w:szCs w:val="24"/>
                <w:lang w:val="fr-CA"/>
              </w:rPr>
              <w:t>Ensemble des consommables nécessaires pour l’injection suivant activité</w:t>
            </w:r>
          </w:p>
        </w:tc>
        <w:tc>
          <w:tcPr>
            <w:tcW w:w="401" w:type="pct"/>
          </w:tcPr>
          <w:p w:rsidR="00457B07" w:rsidRPr="00457B07" w:rsidRDefault="00457B07" w:rsidP="00457B07">
            <w:pPr>
              <w:jc w:val="center"/>
              <w:rPr>
                <w:rFonts w:ascii="Calibri" w:hAnsi="Calibri"/>
                <w:sz w:val="24"/>
                <w:szCs w:val="24"/>
                <w:lang w:val="fr-CA"/>
              </w:rPr>
            </w:pPr>
          </w:p>
        </w:tc>
        <w:tc>
          <w:tcPr>
            <w:tcW w:w="482" w:type="pct"/>
          </w:tcPr>
          <w:p w:rsidR="00457B07" w:rsidRPr="00457B07" w:rsidRDefault="00457B07" w:rsidP="00457B07">
            <w:pPr>
              <w:jc w:val="center"/>
              <w:rPr>
                <w:rFonts w:ascii="Calibri" w:hAnsi="Calibri"/>
                <w:sz w:val="24"/>
                <w:szCs w:val="24"/>
                <w:lang w:val="fr-CA"/>
              </w:rPr>
            </w:pPr>
          </w:p>
        </w:tc>
        <w:tc>
          <w:tcPr>
            <w:tcW w:w="562" w:type="pct"/>
          </w:tcPr>
          <w:p w:rsidR="00457B07" w:rsidRPr="00457B07" w:rsidRDefault="00457B07" w:rsidP="00457B07">
            <w:pPr>
              <w:jc w:val="center"/>
              <w:rPr>
                <w:rFonts w:ascii="Calibri" w:hAnsi="Calibri"/>
                <w:sz w:val="24"/>
                <w:szCs w:val="24"/>
                <w:lang w:val="fr-CA"/>
              </w:rPr>
            </w:pPr>
          </w:p>
        </w:tc>
        <w:tc>
          <w:tcPr>
            <w:tcW w:w="362" w:type="pct"/>
          </w:tcPr>
          <w:p w:rsidR="00457B07" w:rsidRPr="00457B07" w:rsidRDefault="00457B07" w:rsidP="00457B07">
            <w:pPr>
              <w:jc w:val="center"/>
              <w:rPr>
                <w:rFonts w:ascii="Calibri" w:hAnsi="Calibri"/>
                <w:sz w:val="24"/>
                <w:szCs w:val="24"/>
                <w:lang w:val="fr-CA"/>
              </w:rPr>
            </w:pPr>
          </w:p>
        </w:tc>
        <w:tc>
          <w:tcPr>
            <w:tcW w:w="522" w:type="pct"/>
          </w:tcPr>
          <w:p w:rsidR="00457B07" w:rsidRPr="00457B07" w:rsidRDefault="00457B07" w:rsidP="00457B07">
            <w:pPr>
              <w:jc w:val="center"/>
              <w:rPr>
                <w:rFonts w:ascii="Calibri" w:hAnsi="Calibri"/>
                <w:sz w:val="24"/>
                <w:szCs w:val="24"/>
                <w:lang w:val="fr-CA"/>
              </w:rPr>
            </w:pPr>
          </w:p>
        </w:tc>
        <w:tc>
          <w:tcPr>
            <w:tcW w:w="241" w:type="pct"/>
          </w:tcPr>
          <w:p w:rsidR="00457B07" w:rsidRPr="00457B07" w:rsidRDefault="00457B07" w:rsidP="00457B07">
            <w:pPr>
              <w:jc w:val="center"/>
              <w:rPr>
                <w:rFonts w:ascii="Calibri" w:hAnsi="Calibri"/>
                <w:sz w:val="24"/>
                <w:szCs w:val="24"/>
                <w:lang w:val="fr-CA"/>
              </w:rPr>
            </w:pPr>
          </w:p>
        </w:tc>
        <w:tc>
          <w:tcPr>
            <w:tcW w:w="863" w:type="pct"/>
          </w:tcPr>
          <w:p w:rsidR="00457B07" w:rsidRPr="00457B07" w:rsidRDefault="00457B07" w:rsidP="00457B07">
            <w:pPr>
              <w:jc w:val="center"/>
              <w:rPr>
                <w:rFonts w:ascii="Calibri" w:hAnsi="Calibri"/>
                <w:sz w:val="24"/>
                <w:szCs w:val="24"/>
                <w:lang w:val="fr-CA"/>
              </w:rPr>
            </w:pPr>
          </w:p>
        </w:tc>
      </w:tr>
    </w:tbl>
    <w:p w:rsidR="00457B07" w:rsidRPr="00457B07" w:rsidRDefault="00457B07" w:rsidP="00457B07">
      <w:pPr>
        <w:spacing w:after="0" w:line="240" w:lineRule="auto"/>
        <w:rPr>
          <w:rFonts w:ascii="Calibri" w:eastAsia="Times New Roman" w:hAnsi="Calibri" w:cs="Times New Roman"/>
          <w:sz w:val="24"/>
          <w:szCs w:val="24"/>
          <w:lang w:val="fr-CA" w:eastAsia="fr-FR"/>
        </w:rPr>
      </w:pPr>
    </w:p>
    <w:p w:rsidR="00457B07" w:rsidRPr="00457B07" w:rsidRDefault="00457B07" w:rsidP="00457B07">
      <w:pPr>
        <w:spacing w:after="0" w:line="240" w:lineRule="auto"/>
        <w:rPr>
          <w:rFonts w:ascii="Calibri" w:eastAsia="Times New Roman" w:hAnsi="Calibri" w:cs="Times New Roman"/>
          <w:sz w:val="24"/>
          <w:szCs w:val="24"/>
          <w:lang w:val="fr-CA" w:eastAsia="fr-FR"/>
        </w:rPr>
      </w:pPr>
      <w:r w:rsidRPr="00457B07">
        <w:rPr>
          <w:rFonts w:ascii="Calibri" w:eastAsia="Times New Roman" w:hAnsi="Calibri" w:cs="Times New Roman"/>
          <w:sz w:val="24"/>
          <w:szCs w:val="24"/>
          <w:lang w:val="fr-CA" w:eastAsia="fr-FR"/>
        </w:rPr>
        <w:lastRenderedPageBreak/>
        <w:t>Durée de la garantie :</w:t>
      </w:r>
    </w:p>
    <w:p w:rsidR="00457B07" w:rsidRPr="00457B07" w:rsidRDefault="00457B07" w:rsidP="00457B07">
      <w:pPr>
        <w:spacing w:after="0" w:line="240" w:lineRule="auto"/>
        <w:rPr>
          <w:rFonts w:ascii="Calibri" w:eastAsia="Times New Roman" w:hAnsi="Calibri" w:cs="Times New Roman"/>
          <w:sz w:val="24"/>
          <w:szCs w:val="24"/>
          <w:lang w:val="fr-CA" w:eastAsia="fr-FR"/>
        </w:rPr>
      </w:pPr>
      <w:r w:rsidRPr="00457B07">
        <w:rPr>
          <w:rFonts w:ascii="Calibri" w:eastAsia="Times New Roman" w:hAnsi="Calibri" w:cs="Times New Roman"/>
          <w:sz w:val="24"/>
          <w:szCs w:val="24"/>
          <w:lang w:val="fr-CA" w:eastAsia="fr-FR"/>
        </w:rPr>
        <w:t>Délai de livraison à réception de commande :</w:t>
      </w:r>
    </w:p>
    <w:p w:rsidR="00457B07" w:rsidRPr="00457B07" w:rsidRDefault="00457B07" w:rsidP="00457B07">
      <w:pPr>
        <w:spacing w:after="0" w:line="240" w:lineRule="auto"/>
        <w:rPr>
          <w:rFonts w:ascii="Calibri" w:eastAsia="Times New Roman" w:hAnsi="Calibri" w:cs="Times New Roman"/>
          <w:sz w:val="24"/>
          <w:szCs w:val="24"/>
          <w:lang w:val="fr-CA" w:eastAsia="fr-FR"/>
        </w:rPr>
      </w:pPr>
      <w:r w:rsidRPr="00457B07">
        <w:rPr>
          <w:rFonts w:ascii="Calibri" w:eastAsia="Times New Roman" w:hAnsi="Calibri" w:cs="Times New Roman"/>
          <w:sz w:val="24"/>
          <w:szCs w:val="24"/>
          <w:lang w:val="fr-CA" w:eastAsia="fr-FR"/>
        </w:rPr>
        <w:t>Le bordereau de prix et le devis seront complétés des autres accessoires non demandés dans le CCTP mais nécessaires ou susceptibles de l’être pour le bon fonctionnement du dispositif.</w:t>
      </w:r>
    </w:p>
    <w:p w:rsidR="00457B07" w:rsidRPr="00457B07" w:rsidRDefault="00457B07" w:rsidP="00457B07">
      <w:pPr>
        <w:spacing w:after="0" w:line="240" w:lineRule="auto"/>
        <w:rPr>
          <w:rFonts w:ascii="Calibri" w:eastAsia="Times New Roman" w:hAnsi="Calibri" w:cs="Times New Roman"/>
          <w:sz w:val="28"/>
          <w:szCs w:val="20"/>
          <w:lang w:val="fr-CA" w:eastAsia="fr-FR"/>
        </w:rPr>
      </w:pPr>
      <w:r w:rsidRPr="00457B07">
        <w:rPr>
          <w:rFonts w:ascii="Calibri" w:eastAsia="Times New Roman" w:hAnsi="Calibri" w:cs="Times New Roman"/>
          <w:sz w:val="28"/>
          <w:szCs w:val="20"/>
          <w:lang w:val="fr-CA" w:eastAsia="fr-FR"/>
        </w:rPr>
        <w:t>L’ensemble des consommables nécessaire pour la préparation de la dose, suivant l’activité indiquée dans le présent CCTP sera listé dans le bordereau de prix. Tout produit omis sera considéré comme fourni à titre gracieux.</w:t>
      </w:r>
    </w:p>
    <w:p w:rsidR="00457B07" w:rsidRPr="00457B07" w:rsidRDefault="00457B07" w:rsidP="00457B07">
      <w:pPr>
        <w:spacing w:after="0" w:line="240" w:lineRule="auto"/>
        <w:rPr>
          <w:rFonts w:ascii="Calibri" w:eastAsia="Times New Roman" w:hAnsi="Calibri" w:cs="Times New Roman"/>
          <w:sz w:val="28"/>
          <w:szCs w:val="20"/>
          <w:lang w:val="fr-CA" w:eastAsia="fr-FR"/>
        </w:rPr>
      </w:pPr>
    </w:p>
    <w:p w:rsidR="003F1D95" w:rsidRDefault="00457B07" w:rsidP="00457B07">
      <w:r w:rsidRPr="00457B07">
        <w:rPr>
          <w:rFonts w:ascii="Calibri" w:eastAsia="Times New Roman" w:hAnsi="Calibri" w:cs="Times New Roman"/>
          <w:sz w:val="28"/>
          <w:szCs w:val="20"/>
          <w:lang w:val="fr-CA" w:eastAsia="fr-FR"/>
        </w:rPr>
        <w:t>Pour faciliter la compréhension des coûts, les candidats fourniront obligatoirement une synthèse montrant clairement le coût / journée pour la préparation des doses e</w:t>
      </w:r>
    </w:p>
    <w:sectPr w:rsidR="003F1D95" w:rsidSect="00457B07">
      <w:pgSz w:w="16838" w:h="11906" w:orient="landscape"/>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620C" w:rsidRDefault="000E49B3">
      <w:pPr>
        <w:spacing w:after="0" w:line="240" w:lineRule="auto"/>
      </w:pPr>
      <w:r>
        <w:separator/>
      </w:r>
    </w:p>
  </w:endnote>
  <w:endnote w:type="continuationSeparator" w:id="0">
    <w:p w:rsidR="00BE620C" w:rsidRDefault="000E49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67B4" w:rsidRPr="0075248F" w:rsidRDefault="00457B07" w:rsidP="007C1BB8">
    <w:pPr>
      <w:pStyle w:val="Titre"/>
      <w:pBdr>
        <w:top w:val="single" w:sz="4" w:space="0" w:color="auto"/>
        <w:bottom w:val="single" w:sz="4" w:space="1" w:color="auto"/>
      </w:pBdr>
      <w:rPr>
        <w:b/>
        <w:sz w:val="18"/>
      </w:rPr>
    </w:pPr>
    <w:r w:rsidRPr="007C1BB8">
      <w:rPr>
        <w:sz w:val="18"/>
      </w:rPr>
      <w:t xml:space="preserve">DTE/EM </w:t>
    </w:r>
    <w:r w:rsidRPr="007C1BB8">
      <w:rPr>
        <w:b/>
        <w:sz w:val="18"/>
      </w:rPr>
      <w:t>2019-02</w:t>
    </w:r>
    <w:r w:rsidRPr="007C1BB8">
      <w:rPr>
        <w:sz w:val="18"/>
      </w:rPr>
      <w:t xml:space="preserve">  Fourniture</w:t>
    </w:r>
    <w:r>
      <w:rPr>
        <w:sz w:val="18"/>
      </w:rPr>
      <w:t xml:space="preserve"> livraison et installation d’une enceinte blindée en médecine nucléaire, maintenance et consommables associés</w:t>
    </w:r>
  </w:p>
  <w:p w:rsidR="004967B4" w:rsidRPr="00486E73" w:rsidRDefault="00457B07">
    <w:pPr>
      <w:pStyle w:val="Pieddepage"/>
      <w:jc w:val="center"/>
      <w:rPr>
        <w:sz w:val="16"/>
        <w:szCs w:val="16"/>
      </w:rPr>
    </w:pPr>
    <w:r w:rsidRPr="00486E73">
      <w:rPr>
        <w:sz w:val="16"/>
        <w:szCs w:val="16"/>
      </w:rPr>
      <w:t xml:space="preserve">CCTP – </w:t>
    </w:r>
    <w:r w:rsidRPr="00486E73">
      <w:rPr>
        <w:rStyle w:val="Numrodepage"/>
        <w:snapToGrid w:val="0"/>
        <w:sz w:val="16"/>
        <w:szCs w:val="16"/>
      </w:rPr>
      <w:t xml:space="preserve">Page </w:t>
    </w:r>
    <w:r w:rsidRPr="00486E73">
      <w:rPr>
        <w:rStyle w:val="Numrodepage"/>
        <w:snapToGrid w:val="0"/>
        <w:sz w:val="16"/>
        <w:szCs w:val="16"/>
      </w:rPr>
      <w:fldChar w:fldCharType="begin"/>
    </w:r>
    <w:r w:rsidRPr="00486E73">
      <w:rPr>
        <w:rStyle w:val="Numrodepage"/>
        <w:snapToGrid w:val="0"/>
        <w:sz w:val="16"/>
        <w:szCs w:val="16"/>
      </w:rPr>
      <w:instrText xml:space="preserve"> PAGE </w:instrText>
    </w:r>
    <w:r w:rsidRPr="00486E73">
      <w:rPr>
        <w:rStyle w:val="Numrodepage"/>
        <w:snapToGrid w:val="0"/>
        <w:sz w:val="16"/>
        <w:szCs w:val="16"/>
      </w:rPr>
      <w:fldChar w:fldCharType="separate"/>
    </w:r>
    <w:r w:rsidR="00667ED8">
      <w:rPr>
        <w:rStyle w:val="Numrodepage"/>
        <w:noProof/>
        <w:snapToGrid w:val="0"/>
        <w:sz w:val="16"/>
        <w:szCs w:val="16"/>
      </w:rPr>
      <w:t>1</w:t>
    </w:r>
    <w:r w:rsidRPr="00486E73">
      <w:rPr>
        <w:rStyle w:val="Numrodepage"/>
        <w:snapToGrid w:val="0"/>
        <w:sz w:val="16"/>
        <w:szCs w:val="16"/>
      </w:rPr>
      <w:fldChar w:fldCharType="end"/>
    </w:r>
    <w:r w:rsidRPr="00486E73">
      <w:rPr>
        <w:rStyle w:val="Numrodepage"/>
        <w:snapToGrid w:val="0"/>
        <w:sz w:val="16"/>
        <w:szCs w:val="16"/>
      </w:rPr>
      <w:t xml:space="preserve"> sur </w:t>
    </w:r>
    <w:r w:rsidRPr="00486E73">
      <w:rPr>
        <w:rStyle w:val="Numrodepage"/>
        <w:sz w:val="16"/>
        <w:szCs w:val="16"/>
      </w:rPr>
      <w:fldChar w:fldCharType="begin"/>
    </w:r>
    <w:r w:rsidRPr="00486E73">
      <w:rPr>
        <w:rStyle w:val="Numrodepage"/>
        <w:sz w:val="16"/>
        <w:szCs w:val="16"/>
      </w:rPr>
      <w:instrText xml:space="preserve"> NUMPAGES </w:instrText>
    </w:r>
    <w:r w:rsidRPr="00486E73">
      <w:rPr>
        <w:rStyle w:val="Numrodepage"/>
        <w:sz w:val="16"/>
        <w:szCs w:val="16"/>
      </w:rPr>
      <w:fldChar w:fldCharType="separate"/>
    </w:r>
    <w:r w:rsidR="00667ED8">
      <w:rPr>
        <w:rStyle w:val="Numrodepage"/>
        <w:noProof/>
        <w:sz w:val="16"/>
        <w:szCs w:val="16"/>
      </w:rPr>
      <w:t>3</w:t>
    </w:r>
    <w:r w:rsidRPr="00486E73">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620C" w:rsidRDefault="000E49B3">
      <w:pPr>
        <w:spacing w:after="0" w:line="240" w:lineRule="auto"/>
      </w:pPr>
      <w:r>
        <w:separator/>
      </w:r>
    </w:p>
  </w:footnote>
  <w:footnote w:type="continuationSeparator" w:id="0">
    <w:p w:rsidR="00BE620C" w:rsidRDefault="000E49B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82F135F"/>
    <w:multiLevelType w:val="hybridMultilevel"/>
    <w:tmpl w:val="42949FEE"/>
    <w:lvl w:ilvl="0" w:tplc="ACE45078">
      <w:start w:val="6"/>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B07"/>
    <w:rsid w:val="000E49B3"/>
    <w:rsid w:val="00202F44"/>
    <w:rsid w:val="003F1D95"/>
    <w:rsid w:val="00457B07"/>
    <w:rsid w:val="00667ED8"/>
    <w:rsid w:val="00BE62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8A6E3"/>
  <w15:docId w15:val="{25B8B698-E14C-41A7-87D0-749F05846F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57B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457B07"/>
    <w:rPr>
      <w:rFonts w:asciiTheme="majorHAnsi" w:eastAsiaTheme="majorEastAsia" w:hAnsiTheme="majorHAnsi" w:cstheme="majorBidi"/>
      <w:color w:val="17365D" w:themeColor="text2" w:themeShade="BF"/>
      <w:spacing w:val="5"/>
      <w:kern w:val="28"/>
      <w:sz w:val="52"/>
      <w:szCs w:val="52"/>
    </w:rPr>
  </w:style>
  <w:style w:type="paragraph" w:styleId="Pieddepage">
    <w:name w:val="footer"/>
    <w:basedOn w:val="Normal"/>
    <w:link w:val="PieddepageCar"/>
    <w:rsid w:val="00457B07"/>
    <w:pPr>
      <w:tabs>
        <w:tab w:val="center" w:pos="4536"/>
        <w:tab w:val="right" w:pos="9072"/>
      </w:tabs>
      <w:spacing w:after="0" w:line="240" w:lineRule="auto"/>
      <w:jc w:val="both"/>
    </w:pPr>
    <w:rPr>
      <w:rFonts w:ascii="Calibri" w:eastAsia="Times New Roman" w:hAnsi="Calibri" w:cs="Times New Roman"/>
      <w:sz w:val="24"/>
      <w:szCs w:val="20"/>
      <w:lang w:eastAsia="fr-FR"/>
    </w:rPr>
  </w:style>
  <w:style w:type="character" w:customStyle="1" w:styleId="PieddepageCar">
    <w:name w:val="Pied de page Car"/>
    <w:basedOn w:val="Policepardfaut"/>
    <w:link w:val="Pieddepage"/>
    <w:rsid w:val="00457B07"/>
    <w:rPr>
      <w:rFonts w:ascii="Calibri" w:eastAsia="Times New Roman" w:hAnsi="Calibri" w:cs="Times New Roman"/>
      <w:sz w:val="24"/>
      <w:szCs w:val="20"/>
      <w:lang w:eastAsia="fr-FR"/>
    </w:rPr>
  </w:style>
  <w:style w:type="character" w:styleId="Numrodepage">
    <w:name w:val="page number"/>
    <w:basedOn w:val="Policepardfaut"/>
    <w:rsid w:val="00457B07"/>
  </w:style>
  <w:style w:type="table" w:styleId="Grilledutableau">
    <w:name w:val="Table Grid"/>
    <w:basedOn w:val="TableauNormal"/>
    <w:rsid w:val="00457B07"/>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3</Pages>
  <Words>278</Words>
  <Characters>1529</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CHU ST ETIENNE</Company>
  <LinksUpToDate>false</LinksUpToDate>
  <CharactersWithSpaces>1804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Vetard Laurence</dc:creator>
  <cp:lastModifiedBy>Dauchot Philippe</cp:lastModifiedBy>
  <cp:revision>4</cp:revision>
  <dcterms:created xsi:type="dcterms:W3CDTF">2019-01-14T15:04:00Z</dcterms:created>
  <dcterms:modified xsi:type="dcterms:W3CDTF">2023-03-29T14:32:00Z</dcterms:modified>
</cp:coreProperties>
</file>