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lineRule="auto" w:line="264" w:before="0" w:after="4080"/>
        <w:jc w:val="center"/>
        <w:rPr>
          <w:b/>
          <w:b/>
          <w:caps/>
          <w:sz w:val="32"/>
        </w:rPr>
      </w:pPr>
      <w:r>
        <w:rPr>
          <w:b/>
          <w:caps/>
          <w:sz w:val="32"/>
        </w:rPr>
        <w:drawing>
          <wp:anchor behindDoc="0" distT="0" distB="0" distL="0" distR="0" simplePos="0" locked="0" layoutInCell="0" allowOverlap="1" relativeHeight="2">
            <wp:simplePos x="0" y="0"/>
            <wp:positionH relativeFrom="column">
              <wp:posOffset>58420</wp:posOffset>
            </wp:positionH>
            <wp:positionV relativeFrom="paragraph">
              <wp:posOffset>-85725</wp:posOffset>
            </wp:positionV>
            <wp:extent cx="1487805" cy="1239520"/>
            <wp:effectExtent l="0" t="0" r="0" b="0"/>
            <wp:wrapNone/>
            <wp:docPr id="1" name="Picture 1" descr="C:\Users\pret\AppData\Local\Microsoft\Windows\INetCache\Content.MSO\A45128D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pret\AppData\Local\Microsoft\Windows\INetCache\Content.MSO\A45128D0.tmp"/>
                    <pic:cNvPicPr>
                      <a:picLocks noChangeAspect="1" noChangeArrowheads="1"/>
                    </pic:cNvPicPr>
                  </pic:nvPicPr>
                  <pic:blipFill>
                    <a:blip r:embed="rId2"/>
                    <a:stretch>
                      <a:fillRect/>
                    </a:stretch>
                  </pic:blipFill>
                  <pic:spPr bwMode="auto">
                    <a:xfrm>
                      <a:off x="0" y="0"/>
                      <a:ext cx="1487805" cy="1239520"/>
                    </a:xfrm>
                    <a:prstGeom prst="rect">
                      <a:avLst/>
                    </a:prstGeom>
                  </pic:spPr>
                </pic:pic>
              </a:graphicData>
            </a:graphic>
          </wp:anchor>
        </w:drawing>
      </w:r>
    </w:p>
    <w:p>
      <w:pPr>
        <w:pStyle w:val="Standard"/>
        <w:spacing w:lineRule="auto" w:line="264"/>
        <w:ind w:left="1980" w:right="1710" w:hanging="0"/>
        <w:jc w:val="center"/>
        <w:rPr>
          <w:b/>
          <w:b/>
          <w:sz w:val="36"/>
          <w:szCs w:val="36"/>
        </w:rPr>
      </w:pPr>
      <w:r>
        <w:rPr>
          <w:b/>
          <w:sz w:val="36"/>
          <w:szCs w:val="36"/>
        </w:rPr>
      </w:r>
    </w:p>
    <w:p>
      <w:pPr>
        <w:pStyle w:val="Standard"/>
        <w:spacing w:lineRule="auto" w:line="264"/>
        <w:ind w:left="1980" w:right="1710" w:hanging="0"/>
        <w:jc w:val="center"/>
        <w:rPr>
          <w:b/>
          <w:b/>
          <w:sz w:val="36"/>
          <w:szCs w:val="36"/>
        </w:rPr>
      </w:pPr>
      <w:r>
        <w:rPr>
          <w:b/>
          <w:sz w:val="36"/>
          <w:szCs w:val="36"/>
        </w:rPr>
        <w:t>Réseau Routier National</w:t>
      </w:r>
    </w:p>
    <w:p>
      <w:pPr>
        <w:pStyle w:val="Standard"/>
        <w:spacing w:lineRule="auto" w:line="264"/>
        <w:ind w:left="1980" w:right="1710" w:hanging="0"/>
        <w:jc w:val="center"/>
        <w:rPr>
          <w:b/>
          <w:b/>
          <w:sz w:val="36"/>
          <w:szCs w:val="36"/>
        </w:rPr>
      </w:pPr>
      <w:r>
        <w:rPr>
          <w:b/>
          <w:sz w:val="36"/>
          <w:szCs w:val="36"/>
        </w:rPr>
        <w:t>______________</w:t>
      </w:r>
    </w:p>
    <w:p>
      <w:pPr>
        <w:pStyle w:val="Standard"/>
        <w:spacing w:lineRule="auto" w:line="264"/>
        <w:ind w:left="1980" w:right="1710" w:hanging="0"/>
        <w:jc w:val="center"/>
        <w:rPr>
          <w:b/>
          <w:b/>
          <w:sz w:val="36"/>
          <w:szCs w:val="36"/>
        </w:rPr>
      </w:pPr>
      <w:r>
        <w:rPr>
          <w:b/>
          <w:sz w:val="36"/>
          <w:szCs w:val="36"/>
        </w:rPr>
      </w:r>
    </w:p>
    <w:p>
      <w:pPr>
        <w:pStyle w:val="Standard"/>
        <w:spacing w:lineRule="auto" w:line="264"/>
        <w:ind w:left="1980" w:right="1710" w:hanging="0"/>
        <w:jc w:val="center"/>
        <w:rPr>
          <w:b/>
          <w:b/>
          <w:sz w:val="36"/>
          <w:szCs w:val="36"/>
        </w:rPr>
      </w:pPr>
      <w:r>
        <w:rPr>
          <w:b/>
          <w:sz w:val="36"/>
          <w:szCs w:val="36"/>
        </w:rPr>
      </w:r>
    </w:p>
    <w:p>
      <w:pPr>
        <w:pStyle w:val="Standard"/>
        <w:spacing w:lineRule="auto" w:line="264" w:before="0" w:after="240"/>
        <w:ind w:left="1979" w:right="1712" w:hanging="0"/>
        <w:jc w:val="center"/>
        <w:rPr>
          <w:b/>
          <w:b/>
          <w:sz w:val="36"/>
          <w:szCs w:val="36"/>
        </w:rPr>
      </w:pPr>
      <w:r>
        <w:rPr>
          <w:b/>
          <w:sz w:val="36"/>
          <w:szCs w:val="36"/>
        </w:rPr>
        <w:t>Concessions des aires de service</w:t>
      </w:r>
    </w:p>
    <w:p>
      <w:pPr>
        <w:pStyle w:val="Standard"/>
        <w:spacing w:lineRule="auto" w:line="264" w:before="0" w:after="240"/>
        <w:ind w:left="1979" w:right="1712" w:hanging="0"/>
        <w:jc w:val="center"/>
        <w:rPr>
          <w:b/>
          <w:b/>
          <w:sz w:val="36"/>
          <w:szCs w:val="36"/>
        </w:rPr>
      </w:pPr>
      <w:r>
        <w:rPr>
          <w:b/>
          <w:sz w:val="36"/>
          <w:szCs w:val="36"/>
        </w:rPr>
      </w:r>
    </w:p>
    <w:p>
      <w:pPr>
        <w:pStyle w:val="Standard"/>
        <w:spacing w:lineRule="auto" w:line="264" w:before="0" w:after="240"/>
        <w:ind w:left="1979" w:right="1712" w:hanging="0"/>
        <w:jc w:val="center"/>
        <w:rPr>
          <w:b/>
          <w:b/>
          <w:sz w:val="36"/>
          <w:szCs w:val="36"/>
        </w:rPr>
      </w:pPr>
      <w:r>
        <w:rPr>
          <w:b/>
          <w:sz w:val="36"/>
          <w:szCs w:val="36"/>
        </w:rPr>
        <w:t>AUTOROUTE A28</w:t>
      </w:r>
    </w:p>
    <w:p>
      <w:pPr>
        <w:pStyle w:val="Standard"/>
        <w:spacing w:lineRule="auto" w:line="264" w:before="0" w:after="240"/>
        <w:ind w:left="1979" w:right="1712" w:hanging="0"/>
        <w:jc w:val="center"/>
        <w:rPr>
          <w:b/>
          <w:b/>
          <w:sz w:val="36"/>
          <w:szCs w:val="36"/>
        </w:rPr>
      </w:pPr>
      <w:r>
        <w:rPr>
          <w:b/>
          <w:sz w:val="36"/>
          <w:szCs w:val="36"/>
        </w:rPr>
        <w:t>Aires de service de Maucomble et Bosc-Mesnil</w:t>
      </w:r>
    </w:p>
    <w:p>
      <w:pPr>
        <w:pStyle w:val="Standard"/>
        <w:spacing w:lineRule="auto" w:line="264"/>
        <w:ind w:left="1980" w:right="1710" w:hanging="0"/>
        <w:jc w:val="center"/>
        <w:rPr>
          <w:b/>
          <w:b/>
          <w:smallCaps/>
          <w:color w:val="0066FF"/>
          <w:sz w:val="40"/>
          <w:szCs w:val="40"/>
        </w:rPr>
      </w:pPr>
      <w:r>
        <w:rPr>
          <w:b/>
          <w:smallCaps/>
          <w:color w:val="0066FF"/>
          <w:sz w:val="40"/>
          <w:szCs w:val="40"/>
        </w:rPr>
        <w:br/>
        <w:t>convention de concession</w:t>
      </w:r>
    </w:p>
    <w:p>
      <w:pPr>
        <w:pStyle w:val="Standard"/>
        <w:spacing w:lineRule="auto" w:line="264"/>
        <w:ind w:left="1980" w:right="1710" w:hanging="0"/>
        <w:jc w:val="center"/>
        <w:rPr>
          <w:b/>
          <w:b/>
          <w:sz w:val="24"/>
          <w:szCs w:val="24"/>
        </w:rPr>
      </w:pPr>
      <w:r>
        <w:rPr>
          <w:b/>
          <w:sz w:val="24"/>
          <w:szCs w:val="24"/>
        </w:rPr>
      </w:r>
    </w:p>
    <w:p>
      <w:pPr>
        <w:pStyle w:val="Standard"/>
        <w:spacing w:lineRule="auto" w:line="264"/>
        <w:ind w:left="1980" w:right="1710" w:hanging="0"/>
        <w:jc w:val="center"/>
        <w:rPr>
          <w:b/>
          <w:b/>
          <w:sz w:val="24"/>
          <w:szCs w:val="24"/>
        </w:rPr>
      </w:pPr>
      <w:r>
        <w:rPr>
          <w:b/>
          <w:sz w:val="24"/>
          <w:szCs w:val="24"/>
        </w:rPr>
      </w:r>
    </w:p>
    <w:p>
      <w:pPr>
        <w:pStyle w:val="Standard"/>
        <w:spacing w:lineRule="auto" w:line="264"/>
        <w:ind w:left="1980" w:right="1710" w:hanging="0"/>
        <w:jc w:val="center"/>
        <w:rPr>
          <w:b/>
          <w:b/>
          <w:sz w:val="24"/>
          <w:szCs w:val="24"/>
        </w:rPr>
      </w:pPr>
      <w:r>
        <w:rPr>
          <w:b/>
          <w:sz w:val="24"/>
          <w:szCs w:val="24"/>
        </w:rPr>
      </w:r>
    </w:p>
    <w:p>
      <w:pPr>
        <w:pStyle w:val="Standard"/>
        <w:spacing w:lineRule="auto" w:line="264"/>
        <w:ind w:left="1980" w:right="1710" w:hanging="0"/>
        <w:jc w:val="center"/>
        <w:rPr>
          <w:b/>
          <w:b/>
          <w:sz w:val="24"/>
          <w:szCs w:val="24"/>
        </w:rPr>
      </w:pPr>
      <w:r>
        <w:rPr>
          <w:b/>
          <w:sz w:val="24"/>
          <w:szCs w:val="24"/>
        </w:rPr>
      </w:r>
    </w:p>
    <w:p>
      <w:pPr>
        <w:pStyle w:val="Standard"/>
        <w:spacing w:lineRule="auto" w:line="264"/>
        <w:ind w:left="1980" w:right="1710" w:hanging="0"/>
        <w:jc w:val="center"/>
        <w:rPr>
          <w:b/>
          <w:b/>
          <w:sz w:val="24"/>
          <w:szCs w:val="24"/>
        </w:rPr>
      </w:pPr>
      <w:r>
        <w:rPr>
          <w:b/>
          <w:sz w:val="24"/>
          <w:szCs w:val="24"/>
        </w:rPr>
        <w:t>Activités : Distribution de carburants, IRVE, Boutique et Restauration</w:t>
      </w:r>
    </w:p>
    <w:p>
      <w:pPr>
        <w:pStyle w:val="Standard"/>
        <w:spacing w:lineRule="auto" w:line="264"/>
        <w:ind w:left="1980" w:right="1710" w:hanging="0"/>
        <w:jc w:val="center"/>
        <w:rPr>
          <w:b/>
          <w:b/>
          <w:sz w:val="24"/>
          <w:szCs w:val="24"/>
        </w:rPr>
      </w:pPr>
      <w:r>
        <w:rPr>
          <w:b/>
          <w:sz w:val="24"/>
          <w:szCs w:val="24"/>
        </w:rPr>
      </w:r>
    </w:p>
    <w:p>
      <w:pPr>
        <w:pStyle w:val="Standard"/>
        <w:spacing w:lineRule="auto" w:line="264"/>
        <w:ind w:left="1980" w:right="1710" w:hanging="0"/>
        <w:jc w:val="center"/>
        <w:rPr>
          <w:b/>
          <w:b/>
          <w:sz w:val="24"/>
          <w:szCs w:val="24"/>
        </w:rPr>
      </w:pPr>
      <w:r>
        <w:rPr>
          <w:b/>
          <w:sz w:val="24"/>
          <w:szCs w:val="24"/>
        </w:rPr>
      </w:r>
    </w:p>
    <w:p>
      <w:pPr>
        <w:pStyle w:val="Textbody"/>
        <w:ind w:left="426" w:hanging="0"/>
        <w:rPr>
          <w:i/>
          <w:i/>
          <w:color w:val="0000FF"/>
        </w:rPr>
      </w:pPr>
      <w:r>
        <w:rPr>
          <w:i/>
          <w:color w:val="0000FF"/>
        </w:rPr>
      </w:r>
    </w:p>
    <w:p>
      <w:pPr>
        <w:pStyle w:val="Standard"/>
        <w:spacing w:lineRule="auto" w:line="264"/>
        <w:ind w:left="1980" w:right="1710" w:hanging="0"/>
        <w:jc w:val="center"/>
        <w:rPr>
          <w:b/>
          <w:b/>
          <w:sz w:val="24"/>
          <w:szCs w:val="24"/>
        </w:rPr>
      </w:pPr>
      <w:r>
        <w:rPr>
          <w:b/>
          <w:sz w:val="24"/>
          <w:szCs w:val="24"/>
        </w:rPr>
        <w:t>Version du 27/03/2023</w:t>
      </w:r>
    </w:p>
    <w:p>
      <w:pPr>
        <w:pStyle w:val="Standard"/>
        <w:rPr>
          <w:rStyle w:val="Policepardfaut1"/>
          <w:sz w:val="20"/>
          <w:szCs w:val="20"/>
          <w:u w:val="single"/>
        </w:rPr>
      </w:pPr>
      <w:r>
        <w:rPr>
          <w:sz w:val="20"/>
          <w:szCs w:val="20"/>
          <w:u w:val="single"/>
        </w:rPr>
      </w:r>
    </w:p>
    <w:p>
      <w:pPr>
        <w:pStyle w:val="Standard"/>
        <w:rPr>
          <w:sz w:val="20"/>
          <w:szCs w:val="20"/>
        </w:rPr>
      </w:pPr>
      <w:r>
        <w:rPr>
          <w:rStyle w:val="Policepardfaut1"/>
          <w:b/>
          <w:smallCaps/>
          <w:sz w:val="20"/>
          <w:szCs w:val="20"/>
          <w:u w:val="single"/>
        </w:rPr>
        <w:t>entre</w:t>
      </w:r>
      <w:r>
        <w:rPr>
          <w:b/>
          <w:smallCaps/>
          <w:sz w:val="20"/>
          <w:szCs w:val="20"/>
        </w:rPr>
        <w:t> :</w:t>
      </w:r>
    </w:p>
    <w:p>
      <w:pPr>
        <w:pStyle w:val="Standard"/>
        <w:rPr>
          <w:sz w:val="20"/>
          <w:szCs w:val="20"/>
        </w:rPr>
      </w:pPr>
      <w:r>
        <w:rPr>
          <w:sz w:val="20"/>
          <w:szCs w:val="20"/>
        </w:rPr>
      </w:r>
    </w:p>
    <w:p>
      <w:pPr>
        <w:pStyle w:val="Standard"/>
        <w:ind w:hanging="11"/>
        <w:jc w:val="both"/>
        <w:rPr>
          <w:sz w:val="20"/>
          <w:szCs w:val="20"/>
          <w:shd w:fill="FFFF00" w:val="clear"/>
        </w:rPr>
      </w:pPr>
      <w:r>
        <w:rPr>
          <w:b/>
          <w:bCs/>
          <w:sz w:val="20"/>
          <w:szCs w:val="20"/>
        </w:rPr>
        <w:t>L’ETAT</w:t>
      </w:r>
      <w:r>
        <w:rPr>
          <w:sz w:val="20"/>
          <w:szCs w:val="20"/>
        </w:rPr>
        <w:t>, rep</w:t>
      </w:r>
      <w:r>
        <w:rPr>
          <w:sz w:val="20"/>
          <w:szCs w:val="20"/>
          <w:shd w:fill="auto" w:val="clear"/>
        </w:rPr>
        <w:t>résenté par le Préfet de la Région Normandie, préfet coordinateur des itinéraires routiers (PCIR),</w:t>
      </w:r>
    </w:p>
    <w:p>
      <w:pPr>
        <w:pStyle w:val="Normal"/>
        <w:ind w:hanging="0"/>
        <w:jc w:val="both"/>
        <w:rPr/>
      </w:pPr>
      <w:r>
        <w:rPr/>
      </w:r>
    </w:p>
    <w:p>
      <w:pPr>
        <w:pStyle w:val="Standard"/>
        <w:ind w:hanging="11"/>
        <w:jc w:val="both"/>
        <w:rPr>
          <w:sz w:val="20"/>
          <w:szCs w:val="20"/>
        </w:rPr>
      </w:pPr>
      <w:r>
        <w:rPr>
          <w:sz w:val="20"/>
          <w:szCs w:val="20"/>
        </w:rPr>
      </w:r>
    </w:p>
    <w:p>
      <w:pPr>
        <w:pStyle w:val="Standard"/>
        <w:ind w:hanging="11"/>
        <w:jc w:val="both"/>
        <w:rPr>
          <w:sz w:val="20"/>
          <w:szCs w:val="20"/>
        </w:rPr>
      </w:pPr>
      <w:r>
        <w:rPr>
          <w:sz w:val="20"/>
          <w:szCs w:val="20"/>
        </w:rPr>
        <w:t>Ci-après désigné par « </w:t>
      </w:r>
      <w:r>
        <w:rPr>
          <w:rStyle w:val="Policepardfaut1"/>
          <w:b/>
          <w:sz w:val="20"/>
          <w:szCs w:val="20"/>
        </w:rPr>
        <w:t>l’Etat</w:t>
      </w:r>
      <w:r>
        <w:rPr>
          <w:sz w:val="20"/>
          <w:szCs w:val="20"/>
        </w:rPr>
        <w:t> » ou le « </w:t>
      </w:r>
      <w:r>
        <w:rPr>
          <w:rStyle w:val="Policepardfaut1"/>
          <w:b/>
          <w:sz w:val="20"/>
          <w:szCs w:val="20"/>
        </w:rPr>
        <w:t>Concédant</w:t>
      </w:r>
      <w:r>
        <w:rPr>
          <w:sz w:val="20"/>
          <w:szCs w:val="20"/>
        </w:rPr>
        <w:t> »,</w:t>
      </w:r>
    </w:p>
    <w:p>
      <w:pPr>
        <w:pStyle w:val="Standard"/>
        <w:jc w:val="right"/>
        <w:rPr>
          <w:sz w:val="20"/>
          <w:szCs w:val="20"/>
        </w:rPr>
      </w:pPr>
      <w:r>
        <w:rPr>
          <w:b/>
          <w:bCs/>
          <w:sz w:val="20"/>
          <w:szCs w:val="20"/>
        </w:rPr>
        <w:t>D’une part,</w:t>
      </w:r>
    </w:p>
    <w:p>
      <w:pPr>
        <w:pStyle w:val="Standard"/>
        <w:rPr>
          <w:sz w:val="20"/>
          <w:szCs w:val="20"/>
          <w:u w:val="single"/>
        </w:rPr>
      </w:pPr>
      <w:r>
        <w:rPr>
          <w:sz w:val="20"/>
          <w:szCs w:val="20"/>
          <w:u w:val="single"/>
        </w:rPr>
      </w:r>
    </w:p>
    <w:p>
      <w:pPr>
        <w:pStyle w:val="Standard"/>
        <w:rPr>
          <w:sz w:val="20"/>
          <w:szCs w:val="20"/>
          <w:u w:val="single"/>
        </w:rPr>
      </w:pPr>
      <w:r>
        <w:rPr>
          <w:sz w:val="20"/>
          <w:szCs w:val="20"/>
          <w:u w:val="single"/>
        </w:rPr>
      </w:r>
    </w:p>
    <w:p>
      <w:pPr>
        <w:pStyle w:val="Standard"/>
        <w:rPr>
          <w:sz w:val="20"/>
          <w:szCs w:val="20"/>
          <w:u w:val="single"/>
        </w:rPr>
      </w:pPr>
      <w:r>
        <w:rPr>
          <w:sz w:val="20"/>
          <w:szCs w:val="20"/>
          <w:u w:val="single"/>
        </w:rPr>
      </w:r>
    </w:p>
    <w:p>
      <w:pPr>
        <w:pStyle w:val="Standard"/>
        <w:rPr>
          <w:sz w:val="20"/>
          <w:szCs w:val="20"/>
        </w:rPr>
      </w:pPr>
      <w:r>
        <w:rPr>
          <w:rStyle w:val="Policepardfaut1"/>
          <w:b/>
          <w:smallCaps/>
          <w:sz w:val="20"/>
          <w:szCs w:val="20"/>
          <w:u w:val="single"/>
        </w:rPr>
        <w:t>et :</w:t>
      </w:r>
    </w:p>
    <w:p>
      <w:pPr>
        <w:pStyle w:val="Standard"/>
        <w:rPr>
          <w:b/>
          <w:b/>
          <w:smallCaps/>
          <w:sz w:val="20"/>
          <w:szCs w:val="20"/>
          <w:u w:val="single"/>
        </w:rPr>
      </w:pPr>
      <w:r>
        <w:rPr>
          <w:b/>
          <w:smallCaps/>
          <w:sz w:val="20"/>
          <w:szCs w:val="20"/>
          <w:u w:val="single"/>
        </w:rPr>
      </w:r>
    </w:p>
    <w:p>
      <w:pPr>
        <w:pStyle w:val="Standard"/>
        <w:rPr>
          <w:b/>
          <w:b/>
          <w:smallCaps/>
          <w:sz w:val="20"/>
          <w:szCs w:val="20"/>
          <w:u w:val="single"/>
        </w:rPr>
      </w:pPr>
      <w:r>
        <w:rPr>
          <w:b/>
          <w:smallCaps/>
          <w:sz w:val="20"/>
          <w:szCs w:val="20"/>
          <w:u w:val="single"/>
        </w:rPr>
      </w:r>
    </w:p>
    <w:p>
      <w:pPr>
        <w:pStyle w:val="Standard"/>
        <w:jc w:val="both"/>
        <w:rPr>
          <w:highlight w:val="none"/>
          <w:shd w:fill="auto" w:val="clear"/>
        </w:rPr>
      </w:pPr>
      <w:r>
        <w:rPr>
          <w:sz w:val="20"/>
          <w:szCs w:val="20"/>
          <w:shd w:fill="auto" w:val="clear"/>
        </w:rPr>
        <w:t xml:space="preserve">La société __ </w:t>
      </w:r>
      <w:r>
        <w:rPr>
          <w:i/>
          <w:sz w:val="20"/>
          <w:szCs w:val="20"/>
          <w:shd w:fill="auto" w:val="clear"/>
        </w:rPr>
        <w:t xml:space="preserve">(nom) </w:t>
      </w:r>
      <w:r>
        <w:rPr>
          <w:sz w:val="20"/>
          <w:szCs w:val="20"/>
          <w:shd w:fill="auto" w:val="clear"/>
        </w:rPr>
        <w:t xml:space="preserve">_____, société ___ </w:t>
      </w:r>
      <w:r>
        <w:rPr>
          <w:i/>
          <w:sz w:val="20"/>
          <w:szCs w:val="20"/>
          <w:shd w:fill="auto" w:val="clear"/>
        </w:rPr>
        <w:t>(forme de la société)</w:t>
      </w:r>
      <w:r>
        <w:rPr>
          <w:sz w:val="20"/>
          <w:szCs w:val="20"/>
          <w:shd w:fill="auto" w:val="clear"/>
        </w:rPr>
        <w:t xml:space="preserve"> ___, au capital de ______, immatriculée au RCS de _____, sous le n°________, dont le siège social est situé ___ (</w:t>
      </w:r>
      <w:r>
        <w:rPr>
          <w:i/>
          <w:sz w:val="20"/>
          <w:szCs w:val="20"/>
          <w:shd w:fill="auto" w:val="clear"/>
        </w:rPr>
        <w:t>adresse</w:t>
      </w:r>
      <w:r>
        <w:rPr>
          <w:sz w:val="20"/>
          <w:szCs w:val="20"/>
          <w:shd w:fill="auto" w:val="clear"/>
        </w:rPr>
        <w:t xml:space="preserve">) _____, représentée par _______, en sa qualité de __ </w:t>
      </w:r>
      <w:r>
        <w:rPr>
          <w:i/>
          <w:sz w:val="20"/>
          <w:szCs w:val="20"/>
          <w:shd w:fill="auto" w:val="clear"/>
        </w:rPr>
        <w:t xml:space="preserve">(fonction) </w:t>
      </w:r>
      <w:r>
        <w:rPr>
          <w:sz w:val="20"/>
          <w:szCs w:val="20"/>
          <w:shd w:fill="auto" w:val="clear"/>
        </w:rPr>
        <w:t>___, dûment habilité aux fins des présentes,</w:t>
      </w:r>
    </w:p>
    <w:p>
      <w:pPr>
        <w:pStyle w:val="Standard"/>
        <w:jc w:val="both"/>
        <w:rPr>
          <w:sz w:val="20"/>
          <w:szCs w:val="20"/>
        </w:rPr>
      </w:pPr>
      <w:r>
        <w:rPr>
          <w:sz w:val="20"/>
          <w:szCs w:val="20"/>
        </w:rPr>
      </w:r>
    </w:p>
    <w:p>
      <w:pPr>
        <w:pStyle w:val="Standard"/>
        <w:jc w:val="both"/>
        <w:rPr>
          <w:sz w:val="20"/>
          <w:szCs w:val="20"/>
        </w:rPr>
      </w:pPr>
      <w:r>
        <w:rPr>
          <w:sz w:val="20"/>
          <w:szCs w:val="20"/>
        </w:rPr>
      </w:r>
    </w:p>
    <w:p>
      <w:pPr>
        <w:pStyle w:val="Standard"/>
        <w:jc w:val="both"/>
        <w:rPr>
          <w:sz w:val="20"/>
          <w:szCs w:val="20"/>
        </w:rPr>
      </w:pPr>
      <w:r>
        <w:rPr>
          <w:sz w:val="20"/>
          <w:szCs w:val="20"/>
        </w:rPr>
        <w:t>Ci-après désignée par la « </w:t>
      </w:r>
      <w:r>
        <w:rPr>
          <w:b/>
          <w:sz w:val="20"/>
          <w:szCs w:val="20"/>
        </w:rPr>
        <w:t>Société</w:t>
      </w:r>
      <w:r>
        <w:rPr>
          <w:sz w:val="20"/>
          <w:szCs w:val="20"/>
        </w:rPr>
        <w:t> » ou le « </w:t>
      </w:r>
      <w:r>
        <w:rPr>
          <w:b/>
          <w:sz w:val="20"/>
          <w:szCs w:val="20"/>
        </w:rPr>
        <w:t>Concessionnaire</w:t>
      </w:r>
      <w:r>
        <w:rPr>
          <w:sz w:val="20"/>
          <w:szCs w:val="20"/>
        </w:rPr>
        <w:t> »,</w:t>
      </w:r>
    </w:p>
    <w:p>
      <w:pPr>
        <w:pStyle w:val="Standard"/>
        <w:ind w:left="2832" w:hanging="0"/>
        <w:jc w:val="right"/>
        <w:rPr>
          <w:sz w:val="20"/>
          <w:szCs w:val="20"/>
        </w:rPr>
      </w:pPr>
      <w:r>
        <w:rPr>
          <w:b/>
          <w:bCs/>
          <w:sz w:val="20"/>
          <w:szCs w:val="20"/>
        </w:rPr>
        <w:t>D’autre part,</w:t>
      </w:r>
    </w:p>
    <w:p>
      <w:pPr>
        <w:pStyle w:val="Standard"/>
        <w:jc w:val="both"/>
        <w:rPr>
          <w:sz w:val="20"/>
          <w:szCs w:val="20"/>
        </w:rPr>
      </w:pPr>
      <w:r>
        <w:rPr>
          <w:sz w:val="20"/>
          <w:szCs w:val="20"/>
        </w:rPr>
      </w:r>
    </w:p>
    <w:p>
      <w:pPr>
        <w:pStyle w:val="Standard"/>
        <w:jc w:val="both"/>
        <w:rPr>
          <w:sz w:val="20"/>
          <w:szCs w:val="20"/>
        </w:rPr>
      </w:pPr>
      <w:r>
        <w:rPr>
          <w:sz w:val="20"/>
          <w:szCs w:val="20"/>
        </w:rPr>
      </w:r>
    </w:p>
    <w:p>
      <w:pPr>
        <w:pStyle w:val="Standard"/>
        <w:jc w:val="both"/>
        <w:rPr>
          <w:sz w:val="20"/>
          <w:szCs w:val="20"/>
        </w:rPr>
      </w:pPr>
      <w:r>
        <w:rPr>
          <w:sz w:val="20"/>
          <w:szCs w:val="20"/>
        </w:rPr>
        <w:t>Ci-après, ensemble, désignées les « </w:t>
      </w:r>
      <w:r>
        <w:rPr>
          <w:rStyle w:val="Policepardfaut1"/>
          <w:b/>
          <w:sz w:val="20"/>
          <w:szCs w:val="20"/>
        </w:rPr>
        <w:t>Parties</w:t>
      </w:r>
      <w:r>
        <w:rPr>
          <w:sz w:val="20"/>
          <w:szCs w:val="20"/>
        </w:rPr>
        <w:t> »,</w:t>
      </w:r>
    </w:p>
    <w:p>
      <w:pPr>
        <w:pStyle w:val="Standard"/>
        <w:jc w:val="both"/>
        <w:rPr>
          <w:sz w:val="20"/>
          <w:szCs w:val="20"/>
        </w:rPr>
      </w:pPr>
      <w:r>
        <w:rPr>
          <w:sz w:val="20"/>
          <w:szCs w:val="20"/>
        </w:rPr>
      </w:r>
    </w:p>
    <w:p>
      <w:pPr>
        <w:pStyle w:val="Standard"/>
        <w:jc w:val="both"/>
        <w:rPr>
          <w:sz w:val="20"/>
          <w:szCs w:val="20"/>
        </w:rPr>
      </w:pPr>
      <w:r>
        <w:rPr>
          <w:sz w:val="20"/>
          <w:szCs w:val="20"/>
        </w:rPr>
      </w:r>
    </w:p>
    <w:p>
      <w:pPr>
        <w:pStyle w:val="Standard"/>
        <w:jc w:val="both"/>
        <w:rPr>
          <w:sz w:val="20"/>
          <w:szCs w:val="20"/>
        </w:rPr>
      </w:pPr>
      <w:r>
        <w:rPr>
          <w:sz w:val="20"/>
          <w:szCs w:val="20"/>
        </w:rPr>
      </w:r>
    </w:p>
    <w:p>
      <w:pPr>
        <w:pStyle w:val="Standard"/>
        <w:jc w:val="both"/>
        <w:rPr>
          <w:sz w:val="20"/>
          <w:szCs w:val="20"/>
        </w:rPr>
      </w:pPr>
      <w:r>
        <w:rPr>
          <w:sz w:val="20"/>
          <w:szCs w:val="20"/>
        </w:rPr>
      </w:r>
    </w:p>
    <w:p>
      <w:pPr>
        <w:pStyle w:val="Titre2"/>
        <w:keepNext w:val="false"/>
        <w:keepLines w:val="false"/>
        <w:ind w:left="1355" w:hanging="1355"/>
        <w:rPr>
          <w:sz w:val="20"/>
          <w:szCs w:val="20"/>
        </w:rPr>
      </w:pPr>
      <w:r>
        <w:rPr>
          <w:sz w:val="20"/>
          <w:szCs w:val="20"/>
        </w:rPr>
        <w:t>préambule</w:t>
      </w:r>
    </w:p>
    <w:p>
      <w:pPr>
        <w:pStyle w:val="Textbody"/>
        <w:rPr>
          <w:szCs w:val="20"/>
        </w:rPr>
      </w:pPr>
      <w:r>
        <w:rPr>
          <w:szCs w:val="20"/>
        </w:rPr>
        <w:t>Les aires de Maucomble et Bosc-Mesnil sont situées au PR69 sur l’autoroute A28 faisant la liaison entre Rouen et Abbeville, dans la commune de Bosc-Mesnil, sur le département de la Seine-Maritime.</w:t>
      </w:r>
    </w:p>
    <w:p>
      <w:pPr>
        <w:pStyle w:val="Textbody"/>
        <w:rPr>
          <w:szCs w:val="20"/>
        </w:rPr>
      </w:pPr>
      <w:r>
        <w:rPr>
          <w:szCs w:val="20"/>
        </w:rPr>
        <w:t>L’Etat a publié le 1</w:t>
      </w:r>
      <w:r>
        <w:rPr>
          <w:szCs w:val="20"/>
        </w:rPr>
        <w:t>2</w:t>
      </w:r>
      <w:r>
        <w:rPr>
          <w:szCs w:val="20"/>
        </w:rPr>
        <w:t xml:space="preserve"> avril 2023, au J</w:t>
      </w:r>
      <w:r>
        <w:rPr>
          <w:rStyle w:val="Policepardfaut"/>
          <w:szCs w:val="20"/>
          <w:lang w:eastAsia="en-CA"/>
        </w:rPr>
        <w:t>ournal Officiel de l’Union Européenne (« JOUE ») ; au Bulletin Officiel des Marchés Publics (« BOAMP »), et dans le journal spécialisé du Bulletin d'Industries pétrolières (« BIP »)</w:t>
      </w:r>
      <w:r>
        <w:rPr>
          <w:szCs w:val="20"/>
        </w:rPr>
        <w:t xml:space="preserve"> un avis d’appel public à la concurrence aux fins d’attribuer une convention de concession portant sur </w:t>
      </w:r>
      <w:r>
        <w:rPr>
          <w:i/>
          <w:szCs w:val="20"/>
        </w:rPr>
        <w:t>la rénovation, le réaménagement</w:t>
      </w:r>
      <w:r>
        <w:rPr>
          <w:szCs w:val="20"/>
        </w:rPr>
        <w:t>, le financement des investissements, l’exploitation, l’entretien et la maintenance des aires de Maucomble et Bosc-Mesnil</w:t>
      </w:r>
    </w:p>
    <w:p>
      <w:pPr>
        <w:pStyle w:val="Textbody"/>
        <w:rPr>
          <w:szCs w:val="20"/>
        </w:rPr>
      </w:pPr>
      <w:r>
        <w:rPr>
          <w:szCs w:val="20"/>
        </w:rPr>
        <w:t>Au terme de la procédure, la Société a été désignée attributaire de la concession.</w:t>
      </w:r>
    </w:p>
    <w:p>
      <w:pPr>
        <w:pStyle w:val="Textbody"/>
        <w:rPr>
          <w:b/>
          <w:b/>
          <w:szCs w:val="20"/>
        </w:rPr>
      </w:pPr>
      <w:r>
        <w:rPr>
          <w:b/>
          <w:szCs w:val="20"/>
        </w:rPr>
      </w:r>
    </w:p>
    <w:p>
      <w:pPr>
        <w:pStyle w:val="Textbody"/>
        <w:rPr>
          <w:b/>
          <w:b/>
          <w:szCs w:val="20"/>
        </w:rPr>
      </w:pPr>
      <w:r>
        <w:rPr>
          <w:b/>
          <w:szCs w:val="20"/>
        </w:rPr>
      </w:r>
    </w:p>
    <w:p>
      <w:pPr>
        <w:pStyle w:val="Textbody"/>
        <w:rPr>
          <w:szCs w:val="20"/>
        </w:rPr>
      </w:pPr>
      <w:r>
        <w:rPr>
          <w:b/>
          <w:szCs w:val="20"/>
        </w:rPr>
        <w:t>Ceci étant exposé, il a été convenu entre les Parties :</w:t>
      </w:r>
    </w:p>
    <w:p>
      <w:pPr>
        <w:pStyle w:val="Normal"/>
        <w:rPr>
          <w:rFonts w:ascii="Arial" w:hAnsi="Arial" w:eastAsia="Arial"/>
          <w:b/>
          <w:b/>
          <w:smallCaps/>
          <w:sz w:val="20"/>
          <w:szCs w:val="20"/>
        </w:rPr>
      </w:pPr>
      <w:r>
        <w:rPr>
          <w:rFonts w:eastAsia="Arial" w:ascii="Arial" w:hAnsi="Arial"/>
          <w:b/>
          <w:smallCaps/>
          <w:sz w:val="20"/>
          <w:szCs w:val="20"/>
        </w:rPr>
      </w:r>
      <w:r>
        <w:br w:type="page"/>
      </w:r>
    </w:p>
    <w:p>
      <w:pPr>
        <w:pStyle w:val="Headline1"/>
        <w:rPr>
          <w:sz w:val="20"/>
          <w:szCs w:val="20"/>
        </w:rPr>
      </w:pPr>
      <w:r>
        <w:rPr>
          <w:sz w:val="20"/>
          <w:szCs w:val="20"/>
        </w:rPr>
        <w:t>ARTICLE 1 – OBJET DE LA CONVENTION</w:t>
      </w:r>
    </w:p>
    <w:p>
      <w:pPr>
        <w:pStyle w:val="Textbody"/>
        <w:rPr>
          <w:szCs w:val="20"/>
        </w:rPr>
      </w:pPr>
      <w:r>
        <w:rPr>
          <w:szCs w:val="20"/>
        </w:rPr>
        <w:t xml:space="preserve">Dans les conditions définies par la présente Convention, le Cahier des clauses générales et leurs annexes, le Concédant concède au Concessionnaire </w:t>
      </w:r>
      <w:r>
        <w:rPr>
          <w:i/>
          <w:szCs w:val="20"/>
        </w:rPr>
        <w:t>la conception, la construction et/ou la rénovation, le réaménagement</w:t>
      </w:r>
      <w:r>
        <w:rPr>
          <w:szCs w:val="20"/>
        </w:rPr>
        <w:t xml:space="preserve"> ; le financement des investissements ; l’exploitation, l’entretien et la maintenance des installations et équipements ;  ainsi que l’exploitation des activités de distribution de carburants, de boutique, de restauration et de service de recharge pour véhicules électriques des aires de Maucomble et Bosc-Mesnil. </w:t>
      </w:r>
    </w:p>
    <w:p>
      <w:pPr>
        <w:pStyle w:val="Textbody"/>
        <w:rPr>
          <w:szCs w:val="20"/>
        </w:rPr>
      </w:pPr>
      <w:r>
        <w:rPr>
          <w:szCs w:val="20"/>
        </w:rPr>
        <w:t>Le Concessionnaire s’engage à</w:t>
      </w:r>
      <w:r>
        <w:rPr>
          <w:i/>
          <w:szCs w:val="20"/>
        </w:rPr>
        <w:t xml:space="preserve"> concevoir, construire et/ou rénover, réaménager</w:t>
      </w:r>
      <w:r>
        <w:rPr>
          <w:szCs w:val="20"/>
        </w:rPr>
        <w:t>, financer, exploiter, entretenir et maintenir les installations et équipements concédés ainsi que les activités, à ses frais, risques et périls, dans les conditions fixées par les présentes, le Cahier des clauses générales et leurs annexes.</w:t>
      </w:r>
    </w:p>
    <w:p>
      <w:pPr>
        <w:pStyle w:val="Textbody"/>
        <w:rPr>
          <w:szCs w:val="20"/>
        </w:rPr>
      </w:pPr>
      <w:r>
        <w:rPr>
          <w:szCs w:val="20"/>
        </w:rPr>
        <w:t>La présente Convention emporte autorisation temporaire d’occupation des terrains d’assiette de la concession au profit du Concessionnaire, selon les modalités et conditions prévues par le Cahier des clauses générales. Ce droit est un droit de jouissance et d’occupation. Il ne confère au Concessionnaire aucun droit réel sur le domaine public routier national au sens de l’article L. 2122-6 du Code Général de la Propriété des Personnes Publiques.</w:t>
      </w:r>
    </w:p>
    <w:p>
      <w:pPr>
        <w:pStyle w:val="Headline1"/>
        <w:rPr>
          <w:sz w:val="20"/>
          <w:szCs w:val="20"/>
        </w:rPr>
      </w:pPr>
      <w:r>
        <w:rPr>
          <w:sz w:val="20"/>
          <w:szCs w:val="20"/>
        </w:rPr>
        <w:t xml:space="preserve">ARTICLE 2 – </w:t>
        <w:tab/>
        <w:t>DUREE DE LA CONVENTION</w:t>
      </w:r>
    </w:p>
    <w:p>
      <w:pPr>
        <w:pStyle w:val="Textbody"/>
        <w:rPr>
          <w:i/>
          <w:i/>
          <w:color w:val="0000FF"/>
          <w:szCs w:val="20"/>
        </w:rPr>
      </w:pPr>
      <w:r>
        <w:rPr>
          <w:szCs w:val="20"/>
        </w:rPr>
        <w:t>La durée de la concession est de 20 années à compter du 1</w:t>
      </w:r>
      <w:r>
        <w:rPr>
          <w:szCs w:val="20"/>
          <w:vertAlign w:val="superscript"/>
        </w:rPr>
        <w:t>er</w:t>
      </w:r>
      <w:r>
        <w:rPr>
          <w:szCs w:val="20"/>
        </w:rPr>
        <w:t xml:space="preserve"> janvier 2024.</w:t>
      </w:r>
    </w:p>
    <w:p>
      <w:pPr>
        <w:pStyle w:val="Headline1"/>
        <w:rPr>
          <w:sz w:val="20"/>
          <w:szCs w:val="20"/>
        </w:rPr>
      </w:pPr>
      <w:r>
        <w:rPr>
          <w:sz w:val="20"/>
          <w:szCs w:val="20"/>
        </w:rPr>
        <w:t xml:space="preserve">ARTICLE 3 – </w:t>
        <w:tab/>
        <w:t>PERIMETRE CONCEDE</w:t>
      </w:r>
    </w:p>
    <w:p>
      <w:pPr>
        <w:pStyle w:val="Textbody"/>
        <w:rPr>
          <w:szCs w:val="20"/>
        </w:rPr>
      </w:pPr>
      <w:r>
        <w:rPr>
          <w:szCs w:val="20"/>
        </w:rPr>
        <w:t xml:space="preserve">Le plan de situation et le périmètre de l’aire ainsi que la liste des ouvrages, bâtiments, installations, équipements et réseaux existants, remis au Concessionnaire par le Concédant, figurent en </w:t>
      </w:r>
      <w:r>
        <w:rPr>
          <w:b/>
          <w:bCs/>
          <w:szCs w:val="20"/>
        </w:rPr>
        <w:t xml:space="preserve">Annexe </w:t>
      </w:r>
      <w:r>
        <w:rPr>
          <w:rFonts w:eastAsia="Wingdings"/>
          <w:b/>
          <w:bCs/>
          <w:szCs w:val="20"/>
        </w:rPr>
        <w:t>3</w:t>
      </w:r>
      <w:r>
        <w:rPr>
          <w:szCs w:val="20"/>
        </w:rPr>
        <w:t xml:space="preserve"> de la présente Convention. </w:t>
      </w:r>
    </w:p>
    <w:p>
      <w:pPr>
        <w:pStyle w:val="Headline1"/>
        <w:rPr>
          <w:sz w:val="20"/>
          <w:szCs w:val="20"/>
        </w:rPr>
      </w:pPr>
      <w:r>
        <w:rPr>
          <w:sz w:val="20"/>
          <w:szCs w:val="20"/>
        </w:rPr>
        <w:t xml:space="preserve">ARTICLE 4 – </w:t>
        <w:tab/>
        <w:t xml:space="preserve">INVESTISSEMENTS </w:t>
      </w:r>
    </w:p>
    <w:p>
      <w:pPr>
        <w:pStyle w:val="Textbody"/>
        <w:rPr>
          <w:szCs w:val="20"/>
        </w:rPr>
      </w:pPr>
      <w:r>
        <w:rPr>
          <w:szCs w:val="20"/>
        </w:rPr>
        <w:t xml:space="preserve">Le programme d’investissements à la charge du Concessionnaire est défini en </w:t>
      </w:r>
      <w:r>
        <w:rPr>
          <w:b/>
          <w:bCs/>
          <w:szCs w:val="20"/>
        </w:rPr>
        <w:t xml:space="preserve">Annexe 2 </w:t>
      </w:r>
      <w:r>
        <w:rPr>
          <w:szCs w:val="20"/>
        </w:rPr>
        <w:t>de la présente Convention.</w:t>
      </w:r>
      <w:r>
        <w:rPr>
          <w:rFonts w:eastAsia="Wingdings"/>
          <w:szCs w:val="20"/>
          <w:shd w:fill="FFFF00" w:val="clear"/>
        </w:rPr>
        <w:t xml:space="preserve"> </w:t>
      </w:r>
    </w:p>
    <w:p>
      <w:pPr>
        <w:pStyle w:val="Headline1"/>
        <w:rPr>
          <w:sz w:val="20"/>
          <w:szCs w:val="20"/>
        </w:rPr>
      </w:pPr>
      <w:r>
        <w:rPr>
          <w:sz w:val="20"/>
          <w:szCs w:val="20"/>
        </w:rPr>
        <w:t xml:space="preserve">ARTICLE 5 – </w:t>
        <w:tab/>
        <w:t>ACTIVITES EXPLOITEES ET NIVEAU DE SERVICE</w:t>
      </w:r>
    </w:p>
    <w:p>
      <w:pPr>
        <w:pStyle w:val="Textbody"/>
        <w:rPr>
          <w:szCs w:val="20"/>
          <w:shd w:fill="FFFF00" w:val="clear"/>
        </w:rPr>
      </w:pPr>
      <w:r>
        <w:rPr>
          <w:szCs w:val="20"/>
        </w:rPr>
        <w:t xml:space="preserve">Le Concessionnaire est tenu d’assurer, directement ou sous sa responsabilité les services et activités prévus au titre IV du Cahier des clauses générales, et notamment : </w:t>
      </w:r>
    </w:p>
    <w:p>
      <w:pPr>
        <w:pStyle w:val="Textbody"/>
        <w:numPr>
          <w:ilvl w:val="0"/>
          <w:numId w:val="2"/>
        </w:numPr>
        <w:rPr>
          <w:szCs w:val="20"/>
        </w:rPr>
      </w:pPr>
      <w:r>
        <w:rPr>
          <w:szCs w:val="20"/>
        </w:rPr>
        <w:t xml:space="preserve">la distribution des Sources d’énergies usuelles telles que définies dans </w:t>
      </w:r>
      <w:r>
        <w:rPr>
          <w:b/>
          <w:bCs/>
          <w:szCs w:val="20"/>
        </w:rPr>
        <w:t>l’Annexe 2</w:t>
      </w:r>
      <w:r>
        <w:rPr>
          <w:szCs w:val="20"/>
        </w:rPr>
        <w:t xml:space="preserve"> ; </w:t>
      </w:r>
    </w:p>
    <w:p>
      <w:pPr>
        <w:pStyle w:val="Textbody"/>
        <w:numPr>
          <w:ilvl w:val="0"/>
          <w:numId w:val="2"/>
        </w:numPr>
        <w:rPr>
          <w:szCs w:val="20"/>
        </w:rPr>
      </w:pPr>
      <w:r>
        <w:rPr>
          <w:szCs w:val="20"/>
        </w:rPr>
        <w:t xml:space="preserve">Le service de recharge pour véhicules électriques </w:t>
      </w:r>
    </w:p>
    <w:p>
      <w:pPr>
        <w:pStyle w:val="Textbody"/>
        <w:numPr>
          <w:ilvl w:val="0"/>
          <w:numId w:val="2"/>
        </w:numPr>
        <w:rPr>
          <w:szCs w:val="20"/>
        </w:rPr>
      </w:pPr>
      <w:r>
        <w:rPr>
          <w:szCs w:val="20"/>
        </w:rPr>
        <w:t xml:space="preserve">la restauration ; </w:t>
      </w:r>
    </w:p>
    <w:p>
      <w:pPr>
        <w:pStyle w:val="Textbody"/>
        <w:numPr>
          <w:ilvl w:val="0"/>
          <w:numId w:val="2"/>
        </w:numPr>
        <w:rPr>
          <w:szCs w:val="20"/>
        </w:rPr>
      </w:pPr>
      <w:r>
        <w:rPr>
          <w:szCs w:val="20"/>
        </w:rPr>
        <w:t xml:space="preserve">une boutique généraliste ; </w:t>
      </w:r>
    </w:p>
    <w:p>
      <w:pPr>
        <w:pStyle w:val="Textbody"/>
        <w:numPr>
          <w:ilvl w:val="0"/>
          <w:numId w:val="2"/>
        </w:numPr>
        <w:rPr>
          <w:szCs w:val="20"/>
        </w:rPr>
      </w:pPr>
      <w:r>
        <w:rPr>
          <w:szCs w:val="20"/>
        </w:rPr>
        <w:t>et l’ensemble des services cités à l’article 3 du CCG (</w:t>
      </w:r>
      <w:r>
        <w:rPr>
          <w:b/>
          <w:bCs/>
          <w:szCs w:val="20"/>
        </w:rPr>
        <w:t>Annexe 1</w:t>
      </w:r>
      <w:r>
        <w:rPr>
          <w:szCs w:val="20"/>
        </w:rPr>
        <w:t>)</w:t>
      </w:r>
    </w:p>
    <w:p>
      <w:pPr>
        <w:pStyle w:val="Textbody"/>
        <w:rPr>
          <w:b/>
          <w:b/>
          <w:bCs/>
          <w:i/>
          <w:i/>
          <w:color w:val="0000FF"/>
          <w:szCs w:val="20"/>
          <w:shd w:fill="FFFF00" w:val="clear"/>
        </w:rPr>
      </w:pPr>
      <w:r>
        <w:rPr>
          <w:szCs w:val="20"/>
        </w:rPr>
        <w:t xml:space="preserve">Le détail des activités exploitées sur l’aire et les niveaux de service sur lesquels il s’engage sont détaillés en </w:t>
      </w:r>
      <w:r>
        <w:rPr>
          <w:b/>
          <w:bCs/>
          <w:szCs w:val="20"/>
        </w:rPr>
        <w:t xml:space="preserve">Annexe 2. </w:t>
      </w:r>
    </w:p>
    <w:p>
      <w:pPr>
        <w:pStyle w:val="Headline1"/>
        <w:rPr>
          <w:sz w:val="20"/>
          <w:szCs w:val="20"/>
        </w:rPr>
      </w:pPr>
      <w:r>
        <w:rPr>
          <w:sz w:val="20"/>
          <w:szCs w:val="20"/>
        </w:rPr>
        <w:t>ARTICLE 6 – ENGAGEMENTS TARIFAIRES</w:t>
      </w:r>
    </w:p>
    <w:p>
      <w:pPr>
        <w:pStyle w:val="Textbody"/>
        <w:numPr>
          <w:ilvl w:val="0"/>
          <w:numId w:val="3"/>
        </w:numPr>
        <w:rPr>
          <w:b/>
          <w:b/>
          <w:bCs/>
        </w:rPr>
      </w:pPr>
      <w:r>
        <w:rPr>
          <w:b/>
          <w:bCs/>
          <w:szCs w:val="20"/>
        </w:rPr>
        <w:t xml:space="preserve">Engagement Carburant </w:t>
      </w:r>
    </w:p>
    <w:p>
      <w:pPr>
        <w:pStyle w:val="Textbody"/>
        <w:rPr>
          <w:szCs w:val="20"/>
        </w:rPr>
      </w:pPr>
      <w:r>
        <w:rPr>
          <w:szCs w:val="20"/>
        </w:rPr>
        <w:t>Le Concessionnaire assure la distribution des Sources d’énergies usuelles dans les conditions prévues au Cahier des clauses générales.</w:t>
      </w:r>
    </w:p>
    <w:p>
      <w:pPr>
        <w:pStyle w:val="Textbody"/>
        <w:rPr>
          <w:szCs w:val="20"/>
        </w:rPr>
      </w:pPr>
      <w:r>
        <w:rPr>
          <w:szCs w:val="20"/>
        </w:rPr>
        <w:t xml:space="preserve">Il est tenu de respecter les engagements tarifaires figurant en </w:t>
      </w:r>
      <w:r>
        <w:rPr>
          <w:b/>
          <w:bCs/>
          <w:szCs w:val="20"/>
        </w:rPr>
        <w:t>Annexe 2 – 3.2</w:t>
      </w:r>
      <w:r>
        <w:rPr>
          <w:szCs w:val="20"/>
        </w:rPr>
        <w:t xml:space="preserve"> durant toute la durée du Contrat. </w:t>
      </w:r>
    </w:p>
    <w:p>
      <w:pPr>
        <w:pStyle w:val="Textbody"/>
        <w:numPr>
          <w:ilvl w:val="0"/>
          <w:numId w:val="3"/>
        </w:numPr>
        <w:spacing w:before="0" w:after="120"/>
        <w:rPr>
          <w:b/>
          <w:b/>
          <w:bCs/>
        </w:rPr>
      </w:pPr>
      <w:r>
        <w:rPr>
          <w:b/>
          <w:bCs/>
          <w:color w:val="1B1B1B"/>
          <w:szCs w:val="20"/>
        </w:rPr>
        <w:t xml:space="preserve">Engagement IRVE </w:t>
      </w:r>
    </w:p>
    <w:p>
      <w:pPr>
        <w:pStyle w:val="Textbody"/>
        <w:spacing w:before="0" w:after="120"/>
        <w:rPr>
          <w:szCs w:val="20"/>
        </w:rPr>
      </w:pPr>
      <w:r>
        <w:rPr>
          <w:szCs w:val="20"/>
        </w:rPr>
        <w:t xml:space="preserve">Le Concessionnaire assure le service de recharge pour véhicules électriques dans les conditions prévues au Cahier des Clauses Générales. </w:t>
      </w:r>
    </w:p>
    <w:p>
      <w:pPr>
        <w:pStyle w:val="Textbody"/>
        <w:spacing w:before="0" w:after="120"/>
        <w:rPr>
          <w:szCs w:val="20"/>
        </w:rPr>
      </w:pPr>
      <w:r>
        <w:rPr>
          <w:szCs w:val="20"/>
        </w:rPr>
        <w:t xml:space="preserve">Il est tenu de respecter les engagements tarifaires figurant en </w:t>
      </w:r>
      <w:r>
        <w:rPr>
          <w:b/>
          <w:bCs/>
          <w:szCs w:val="20"/>
        </w:rPr>
        <w:t>Annexe 2 – 3.2</w:t>
      </w:r>
      <w:r>
        <w:rPr>
          <w:szCs w:val="20"/>
        </w:rPr>
        <w:t xml:space="preserve"> durant toute la durée du Contrat. </w:t>
      </w:r>
      <w:bookmarkStart w:id="0" w:name="_Toc92724808"/>
      <w:bookmarkStart w:id="1" w:name="_Toc129007698"/>
    </w:p>
    <w:p>
      <w:pPr>
        <w:pStyle w:val="Textbody"/>
        <w:spacing w:before="0" w:after="120"/>
        <w:ind w:left="425" w:hanging="0"/>
        <w:rPr>
          <w:szCs w:val="20"/>
        </w:rPr>
      </w:pPr>
      <w:r>
        <w:rPr>
          <w:szCs w:val="20"/>
        </w:rPr>
      </w:r>
    </w:p>
    <w:p>
      <w:pPr>
        <w:pStyle w:val="Textbody"/>
        <w:ind w:left="1080" w:hanging="0"/>
        <w:rPr>
          <w:szCs w:val="20"/>
          <w:u w:val="single"/>
        </w:rPr>
      </w:pPr>
      <w:r>
        <w:rPr>
          <w:szCs w:val="20"/>
          <w:u w:val="single"/>
        </w:rPr>
        <w:t>Révision des tarifs</w:t>
      </w:r>
      <w:bookmarkEnd w:id="0"/>
      <w:bookmarkEnd w:id="1"/>
      <w:r>
        <w:rPr>
          <w:szCs w:val="20"/>
          <w:u w:val="single"/>
        </w:rPr>
        <w:t xml:space="preserve"> relatifs à l’activité IRVE </w:t>
      </w:r>
    </w:p>
    <w:p>
      <w:pPr>
        <w:pStyle w:val="Textbody"/>
        <w:spacing w:before="0" w:after="120"/>
        <w:rPr>
          <w:szCs w:val="20"/>
        </w:rPr>
      </w:pPr>
      <w:r>
        <w:rPr>
          <w:szCs w:val="20"/>
        </w:rPr>
        <w:t>Les tarifs peuvent être révisés au 1er janvier de chaque année (année n) à compter de l’année suivant la prise d’effet du contrat.</w:t>
      </w:r>
    </w:p>
    <w:p>
      <w:pPr>
        <w:pStyle w:val="Textbody"/>
        <w:spacing w:before="0" w:after="120"/>
        <w:rPr>
          <w:szCs w:val="20"/>
        </w:rPr>
      </w:pPr>
      <w:r>
        <w:rPr>
          <w:szCs w:val="20"/>
        </w:rPr>
        <w:t>Le tarif révisé de l’année n est strictement inférieur au tarif suivant (Tmax) :</w:t>
      </w:r>
    </w:p>
    <w:p>
      <w:pPr>
        <w:pStyle w:val="Corpsdetexte"/>
        <w:ind w:right="50" w:hanging="0"/>
        <w:jc w:val="center"/>
        <w:rPr>
          <w:rFonts w:ascii="Arial" w:hAnsi="Arial" w:cs="Arial"/>
          <w:sz w:val="20"/>
          <w:szCs w:val="20"/>
        </w:rPr>
      </w:pPr>
      <w:r>
        <w:rPr>
          <w:rFonts w:cs="Arial" w:ascii="Arial" w:hAnsi="Arial"/>
          <w:spacing w:val="-1"/>
          <w:sz w:val="20"/>
          <w:szCs w:val="20"/>
        </w:rPr>
        <w:t>T</w:t>
      </w:r>
      <w:r>
        <w:rPr>
          <w:rFonts w:cs="Arial" w:ascii="Arial" w:hAnsi="Arial"/>
          <w:spacing w:val="-1"/>
          <w:sz w:val="20"/>
          <w:szCs w:val="20"/>
          <w:vertAlign w:val="subscript"/>
        </w:rPr>
        <w:t>max</w:t>
      </w:r>
      <w:r>
        <w:rPr>
          <w:rFonts w:cs="Arial" w:ascii="Arial" w:hAnsi="Arial"/>
          <w:spacing w:val="-1"/>
          <w:sz w:val="20"/>
          <w:szCs w:val="20"/>
        </w:rPr>
        <w:t xml:space="preserve"> = </w:t>
      </w:r>
      <w:r>
        <w:rPr>
          <w:rFonts w:cs="Arial" w:ascii="Arial" w:hAnsi="Arial"/>
          <w:b/>
          <w:bCs/>
          <w:spacing w:val="-1"/>
          <w:sz w:val="20"/>
          <w:szCs w:val="20"/>
        </w:rPr>
        <w:t>c</w:t>
      </w:r>
      <w:r>
        <w:rPr>
          <w:rFonts w:cs="Arial" w:ascii="Arial" w:hAnsi="Arial"/>
          <w:b/>
          <w:bCs/>
          <w:iCs/>
          <w:spacing w:val="-1"/>
          <w:sz w:val="20"/>
          <w:szCs w:val="20"/>
        </w:rPr>
        <w:t>oefficient de révision</w:t>
      </w:r>
      <w:r>
        <w:rPr>
          <w:rFonts w:cs="Arial" w:ascii="Arial" w:hAnsi="Arial"/>
          <w:spacing w:val="-1"/>
          <w:sz w:val="20"/>
          <w:szCs w:val="20"/>
        </w:rPr>
        <w:t xml:space="preserve"> x (T</w:t>
      </w:r>
      <w:r>
        <w:rPr>
          <w:rFonts w:cs="Arial" w:ascii="Arial" w:hAnsi="Arial"/>
          <w:spacing w:val="-1"/>
          <w:sz w:val="20"/>
          <w:szCs w:val="20"/>
          <w:vertAlign w:val="subscript"/>
        </w:rPr>
        <w:t>0</w:t>
      </w:r>
      <w:r>
        <w:rPr>
          <w:rFonts w:cs="Arial" w:ascii="Arial" w:hAnsi="Arial"/>
          <w:spacing w:val="-1"/>
          <w:sz w:val="20"/>
          <w:szCs w:val="20"/>
        </w:rPr>
        <w:t xml:space="preserve"> x I) </w:t>
      </w:r>
    </w:p>
    <w:p>
      <w:pPr>
        <w:pStyle w:val="Corpsdetexte"/>
        <w:ind w:right="50" w:hanging="0"/>
        <w:rPr>
          <w:rFonts w:ascii="Arial" w:hAnsi="Arial" w:cs="Arial"/>
          <w:sz w:val="20"/>
          <w:szCs w:val="20"/>
        </w:rPr>
      </w:pPr>
      <w:r>
        <w:rPr>
          <w:rFonts w:cs="Arial" w:ascii="Arial" w:hAnsi="Arial"/>
          <w:spacing w:val="-1"/>
          <w:sz w:val="20"/>
          <w:szCs w:val="20"/>
        </w:rPr>
        <w:t>Où :</w:t>
      </w:r>
    </w:p>
    <w:p>
      <w:pPr>
        <w:pStyle w:val="Corpsdetexte"/>
        <w:ind w:right="50" w:hanging="0"/>
        <w:rPr>
          <w:rFonts w:ascii="Arial" w:hAnsi="Arial" w:cs="Arial"/>
          <w:sz w:val="20"/>
          <w:szCs w:val="20"/>
        </w:rPr>
      </w:pPr>
      <w:r>
        <w:rPr>
          <w:rFonts w:cs="Arial" w:ascii="Arial" w:hAnsi="Arial"/>
          <w:spacing w:val="-1"/>
          <w:sz w:val="20"/>
          <w:szCs w:val="20"/>
        </w:rPr>
        <w:t>T</w:t>
      </w:r>
      <w:r>
        <w:rPr>
          <w:rFonts w:cs="Arial" w:ascii="Arial" w:hAnsi="Arial"/>
          <w:spacing w:val="-1"/>
          <w:sz w:val="20"/>
          <w:szCs w:val="20"/>
          <w:vertAlign w:val="subscript"/>
        </w:rPr>
        <w:t>max</w:t>
      </w:r>
      <w:r>
        <w:rPr>
          <w:rFonts w:cs="Arial" w:ascii="Arial" w:hAnsi="Arial"/>
          <w:spacing w:val="-1"/>
          <w:sz w:val="20"/>
          <w:szCs w:val="20"/>
        </w:rPr>
        <w:t xml:space="preserve"> = tarif maximal au titre de l’année calendaire </w:t>
      </w:r>
      <w:r>
        <w:rPr>
          <w:rFonts w:cs="Arial" w:ascii="Arial" w:hAnsi="Arial"/>
          <w:i/>
          <w:spacing w:val="-1"/>
          <w:sz w:val="20"/>
          <w:szCs w:val="20"/>
        </w:rPr>
        <w:t>n </w:t>
      </w:r>
      <w:r>
        <w:rPr>
          <w:rFonts w:cs="Arial" w:ascii="Arial" w:hAnsi="Arial"/>
          <w:spacing w:val="-1"/>
          <w:sz w:val="20"/>
          <w:szCs w:val="20"/>
        </w:rPr>
        <w:t>; </w:t>
      </w:r>
    </w:p>
    <w:p>
      <w:pPr>
        <w:pStyle w:val="Corpsdetexte"/>
        <w:ind w:right="50" w:hanging="0"/>
        <w:rPr>
          <w:rFonts w:ascii="Arial" w:hAnsi="Arial" w:cs="Arial"/>
          <w:sz w:val="20"/>
          <w:szCs w:val="20"/>
        </w:rPr>
      </w:pPr>
      <w:r>
        <w:rPr>
          <w:rFonts w:cs="Arial" w:ascii="Arial" w:hAnsi="Arial"/>
          <w:sz w:val="20"/>
          <w:szCs w:val="20"/>
        </w:rPr>
        <w:t>T</w:t>
      </w:r>
      <w:r>
        <w:rPr>
          <w:rFonts w:cs="Arial" w:ascii="Arial" w:hAnsi="Arial"/>
          <w:spacing w:val="-1"/>
          <w:sz w:val="20"/>
          <w:szCs w:val="20"/>
          <w:vertAlign w:val="subscript"/>
        </w:rPr>
        <w:t>0</w:t>
      </w:r>
      <w:r>
        <w:rPr>
          <w:rFonts w:cs="Arial" w:ascii="Arial" w:hAnsi="Arial"/>
          <w:spacing w:val="-1"/>
          <w:sz w:val="20"/>
          <w:szCs w:val="20"/>
        </w:rPr>
        <w:t xml:space="preserve"> = tarif défini en €/kWh à l’article 6 ;</w:t>
      </w:r>
    </w:p>
    <w:p>
      <w:pPr>
        <w:pStyle w:val="Corpsdetexte"/>
        <w:ind w:right="50" w:hanging="0"/>
        <w:rPr>
          <w:rFonts w:ascii="Arial" w:hAnsi="Arial" w:cs="Arial"/>
          <w:sz w:val="20"/>
          <w:szCs w:val="20"/>
        </w:rPr>
      </w:pPr>
      <w:r>
        <w:rPr>
          <w:rFonts w:cs="Arial" w:ascii="Arial" w:hAnsi="Arial"/>
          <w:sz w:val="20"/>
          <w:szCs w:val="20"/>
          <w:lang w:val="it-IT"/>
        </w:rPr>
        <w:t>I = Indice composite défini ci-après : 0,6 E/E</w:t>
      </w:r>
      <w:r>
        <w:rPr>
          <w:rFonts w:cs="Arial" w:ascii="Arial" w:hAnsi="Arial"/>
          <w:sz w:val="20"/>
          <w:szCs w:val="20"/>
          <w:vertAlign w:val="subscript"/>
          <w:lang w:val="it-IT"/>
        </w:rPr>
        <w:t>0</w:t>
      </w:r>
      <w:r>
        <w:rPr>
          <w:rFonts w:cs="Arial" w:ascii="Arial" w:hAnsi="Arial"/>
          <w:sz w:val="20"/>
          <w:szCs w:val="20"/>
          <w:lang w:val="it-IT"/>
        </w:rPr>
        <w:t xml:space="preserve"> + 0,2 ICHT/ICHT</w:t>
      </w:r>
      <w:r>
        <w:rPr>
          <w:rFonts w:cs="Arial" w:ascii="Arial" w:hAnsi="Arial"/>
          <w:sz w:val="20"/>
          <w:szCs w:val="20"/>
          <w:vertAlign w:val="subscript"/>
          <w:lang w:val="it-IT"/>
        </w:rPr>
        <w:t>0</w:t>
      </w:r>
      <w:r>
        <w:rPr>
          <w:rFonts w:cs="Arial" w:ascii="Arial" w:hAnsi="Arial"/>
          <w:sz w:val="20"/>
          <w:szCs w:val="20"/>
          <w:lang w:val="it-IT"/>
        </w:rPr>
        <w:t xml:space="preserve"> + 0,2 FSD2/FSD2</w:t>
      </w:r>
      <w:r>
        <w:rPr>
          <w:rFonts w:cs="Arial" w:ascii="Arial" w:hAnsi="Arial"/>
          <w:sz w:val="20"/>
          <w:szCs w:val="20"/>
          <w:vertAlign w:val="subscript"/>
          <w:lang w:val="it-IT"/>
        </w:rPr>
        <w:t>0</w:t>
      </w:r>
    </w:p>
    <w:p>
      <w:pPr>
        <w:pStyle w:val="Corpsdetexte"/>
        <w:ind w:right="50" w:hanging="0"/>
        <w:rPr>
          <w:rFonts w:ascii="Arial" w:hAnsi="Arial" w:cs="Arial"/>
          <w:sz w:val="20"/>
          <w:szCs w:val="20"/>
        </w:rPr>
      </w:pPr>
      <w:r>
        <w:rPr>
          <w:rFonts w:cs="Arial" w:ascii="Arial" w:hAnsi="Arial"/>
          <w:spacing w:val="-1"/>
          <w:sz w:val="20"/>
          <w:szCs w:val="20"/>
        </w:rPr>
        <w:t>Où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 xml:space="preserve">E = Valeur de l’Indice de prix de production de l’industrie française pour le marché français – CPF 35.11 et 35.14 – Électricité vendue aux entreprises ayant souscrit un contrat pour capacité &gt; 36kVA – Référence INSEE : série 010534766 au mois d’octobre de l’année </w:t>
      </w:r>
      <w:r>
        <w:rPr>
          <w:rFonts w:cs="Arial" w:ascii="Arial" w:hAnsi="Arial"/>
          <w:i/>
          <w:spacing w:val="-1"/>
          <w:sz w:val="20"/>
          <w:szCs w:val="20"/>
        </w:rPr>
        <w:t>n-1</w:t>
      </w:r>
      <w:r>
        <w:rPr>
          <w:rFonts w:cs="Arial" w:ascii="Arial" w:hAnsi="Arial"/>
          <w:spacing w:val="-1"/>
          <w:sz w:val="20"/>
          <w:szCs w:val="20"/>
        </w:rPr>
        <w:t>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E</w:t>
      </w:r>
      <w:r>
        <w:rPr>
          <w:rFonts w:cs="Arial" w:ascii="Arial" w:hAnsi="Arial"/>
          <w:spacing w:val="-1"/>
          <w:sz w:val="20"/>
          <w:szCs w:val="20"/>
          <w:vertAlign w:val="subscript"/>
        </w:rPr>
        <w:t>0</w:t>
      </w:r>
      <w:r>
        <w:rPr>
          <w:rFonts w:cs="Arial" w:ascii="Arial" w:hAnsi="Arial"/>
          <w:spacing w:val="-1"/>
          <w:sz w:val="20"/>
          <w:szCs w:val="20"/>
        </w:rPr>
        <w:t xml:space="preserve"> = Valeur de l’Indice de prix de production de l’industrie française pour le marché français – CPF 35.11 et 35.14 – Électricité vendue aux entreprises ayant souscrit un contrat pour capacité &gt; 36kVA – Référence INSEE : série 010534766 du mois d’octobre 2021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 xml:space="preserve">ICHT = Valeur de l’Indice du coût horaire du travail révisé - Salaires et charges - Dans le secteur : Industrie mécanique et électrique (NAF rév. 2 postes 25-30 32-33) - Base 100 en décembre 2008 – Référence INSEE : série 001565183 au mois d’octobre de l’année </w:t>
      </w:r>
      <w:r>
        <w:rPr>
          <w:rFonts w:cs="Arial" w:ascii="Arial" w:hAnsi="Arial"/>
          <w:i/>
          <w:spacing w:val="-1"/>
          <w:sz w:val="20"/>
          <w:szCs w:val="20"/>
        </w:rPr>
        <w:t>n-1</w:t>
      </w:r>
      <w:r>
        <w:rPr>
          <w:rFonts w:cs="Arial" w:ascii="Arial" w:hAnsi="Arial"/>
          <w:spacing w:val="-1"/>
          <w:sz w:val="20"/>
          <w:szCs w:val="20"/>
        </w:rPr>
        <w:t>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ICHT</w:t>
      </w:r>
      <w:r>
        <w:rPr>
          <w:rFonts w:cs="Arial" w:ascii="Arial" w:hAnsi="Arial"/>
          <w:spacing w:val="-1"/>
          <w:sz w:val="20"/>
          <w:szCs w:val="20"/>
          <w:vertAlign w:val="subscript"/>
        </w:rPr>
        <w:t>0</w:t>
      </w:r>
      <w:r>
        <w:rPr>
          <w:rFonts w:cs="Arial" w:ascii="Arial" w:hAnsi="Arial"/>
          <w:spacing w:val="-1"/>
          <w:sz w:val="20"/>
          <w:szCs w:val="20"/>
        </w:rPr>
        <w:t xml:space="preserve"> = Indice du coût horaire du travail révisé - Salaires et charges - Dans le secteur : Industrie mécanique et électrique (NAF rév. 2 postes 25-30 32-33) - Base 100 en décembre 2008 – Référence INSEE : série 001565183 du mois d’octobre 2021 ;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 xml:space="preserve">FSD2 = Valeur de l’indice « Frais et Services Divers - Modèle de référence n°2 » – Référence Moniteur au mois d’octobre de l’année </w:t>
      </w:r>
      <w:r>
        <w:rPr>
          <w:rFonts w:cs="Arial" w:ascii="Arial" w:hAnsi="Arial"/>
          <w:i/>
          <w:spacing w:val="-1"/>
          <w:sz w:val="20"/>
          <w:szCs w:val="20"/>
        </w:rPr>
        <w:t>n-1</w:t>
      </w:r>
      <w:r>
        <w:rPr>
          <w:rFonts w:cs="Arial" w:ascii="Arial" w:hAnsi="Arial"/>
          <w:spacing w:val="-1"/>
          <w:sz w:val="20"/>
          <w:szCs w:val="20"/>
        </w:rPr>
        <w:t> ;</w:t>
      </w:r>
    </w:p>
    <w:p>
      <w:pPr>
        <w:pStyle w:val="Corpsdetexte"/>
        <w:widowControl w:val="false"/>
        <w:numPr>
          <w:ilvl w:val="0"/>
          <w:numId w:val="4"/>
        </w:numPr>
        <w:suppressAutoHyphens w:val="false"/>
        <w:spacing w:before="0" w:after="0"/>
        <w:ind w:left="720" w:right="50" w:hanging="360"/>
        <w:jc w:val="both"/>
        <w:textAlignment w:val="auto"/>
        <w:rPr>
          <w:rFonts w:ascii="Arial" w:hAnsi="Arial" w:cs="Arial"/>
          <w:sz w:val="20"/>
          <w:szCs w:val="20"/>
        </w:rPr>
      </w:pPr>
      <w:r>
        <w:rPr>
          <w:rFonts w:cs="Arial" w:ascii="Arial" w:hAnsi="Arial"/>
          <w:spacing w:val="-1"/>
          <w:sz w:val="20"/>
          <w:szCs w:val="20"/>
        </w:rPr>
        <w:t>FSD2</w:t>
      </w:r>
      <w:r>
        <w:rPr>
          <w:rFonts w:cs="Arial" w:ascii="Arial" w:hAnsi="Arial"/>
          <w:spacing w:val="-1"/>
          <w:sz w:val="20"/>
          <w:szCs w:val="20"/>
          <w:vertAlign w:val="subscript"/>
        </w:rPr>
        <w:t xml:space="preserve">0 </w:t>
      </w:r>
      <w:r>
        <w:rPr>
          <w:rFonts w:cs="Arial" w:ascii="Arial" w:hAnsi="Arial"/>
          <w:spacing w:val="-1"/>
          <w:sz w:val="20"/>
          <w:szCs w:val="20"/>
        </w:rPr>
        <w:t>= Valeur de l’indice « Frais et Services Divers - Modèle de référence n°2 » – Référence Moniteur du mois d’octobre 2021 ;</w:t>
      </w:r>
    </w:p>
    <w:p>
      <w:pPr>
        <w:pStyle w:val="Corpsdetexte"/>
        <w:widowControl w:val="false"/>
        <w:ind w:right="50" w:hanging="0"/>
        <w:rPr>
          <w:rFonts w:ascii="Arial" w:hAnsi="Arial" w:cs="Arial"/>
          <w:spacing w:val="-1"/>
          <w:sz w:val="20"/>
          <w:szCs w:val="20"/>
        </w:rPr>
      </w:pPr>
      <w:r>
        <w:rPr>
          <w:rFonts w:cs="Arial" w:ascii="Arial" w:hAnsi="Arial"/>
          <w:spacing w:val="-1"/>
          <w:sz w:val="20"/>
          <w:szCs w:val="20"/>
        </w:rPr>
      </w:r>
    </w:p>
    <w:p>
      <w:pPr>
        <w:pStyle w:val="Corpsdetexte"/>
        <w:widowControl w:val="false"/>
        <w:ind w:right="50" w:hanging="0"/>
        <w:rPr>
          <w:rFonts w:ascii="Arial" w:hAnsi="Arial" w:cs="Arial"/>
          <w:strike/>
          <w:sz w:val="20"/>
          <w:szCs w:val="20"/>
          <w:shd w:fill="FFFF00" w:val="clear"/>
        </w:rPr>
      </w:pPr>
      <w:r>
        <w:rPr>
          <w:rFonts w:cs="Arial" w:ascii="Arial" w:hAnsi="Arial"/>
          <w:spacing w:val="-1"/>
          <w:sz w:val="20"/>
          <w:szCs w:val="20"/>
        </w:rPr>
        <w:t xml:space="preserve">Dans l’hypothèse où un ou plusieurs indices viendraient à disparaître ou cesseraient d’être publiés, le ou les nouveaux indices qui leurs seraient substitués s’appliqueraient de plein droit, en tenant compte des éventuels coefficients de raccordement officiels publiés par l’INSEE ou le MONITEUR. </w:t>
      </w:r>
    </w:p>
    <w:p>
      <w:pPr>
        <w:pStyle w:val="NoSpacing"/>
        <w:ind w:left="480" w:hanging="0"/>
        <w:rPr>
          <w:rFonts w:ascii="Arial" w:hAnsi="Arial" w:cs="Arial"/>
          <w:sz w:val="20"/>
          <w:szCs w:val="20"/>
        </w:rPr>
      </w:pPr>
      <w:r>
        <w:rPr>
          <w:rFonts w:cs="Arial" w:ascii="Arial" w:hAnsi="Arial"/>
          <w:sz w:val="20"/>
          <w:szCs w:val="20"/>
        </w:rPr>
      </w:r>
    </w:p>
    <w:p>
      <w:pPr>
        <w:pStyle w:val="Normal"/>
        <w:spacing w:before="0" w:after="120"/>
        <w:ind w:right="28" w:hanging="0"/>
        <w:rPr>
          <w:rFonts w:ascii="Arial" w:hAnsi="Arial"/>
          <w:sz w:val="20"/>
          <w:szCs w:val="20"/>
        </w:rPr>
      </w:pPr>
      <w:r>
        <w:rPr>
          <w:rFonts w:ascii="Arial" w:hAnsi="Arial"/>
          <w:sz w:val="20"/>
          <w:szCs w:val="20"/>
        </w:rPr>
        <w:t>Les tarifs toutes taxes comprises (TTC) sont portés à la connaissance du public dans les conditions fixées par la législation et la réglementation en vigueur.</w:t>
      </w:r>
    </w:p>
    <w:p>
      <w:pPr>
        <w:pStyle w:val="Normal"/>
        <w:numPr>
          <w:ilvl w:val="0"/>
          <w:numId w:val="8"/>
        </w:numPr>
        <w:suppressAutoHyphens w:val="false"/>
        <w:spacing w:before="0" w:after="120"/>
        <w:ind w:left="480" w:right="28" w:hanging="480"/>
        <w:jc w:val="both"/>
        <w:textAlignment w:val="auto"/>
        <w:rPr>
          <w:rFonts w:ascii="Arial" w:hAnsi="Arial"/>
          <w:sz w:val="20"/>
          <w:szCs w:val="20"/>
        </w:rPr>
      </w:pPr>
      <w:r>
        <w:rPr>
          <w:rFonts w:ascii="Arial" w:hAnsi="Arial"/>
          <w:sz w:val="20"/>
          <w:szCs w:val="20"/>
        </w:rPr>
        <w:t>Le Concessionnaire est responsable de l’affichage des tarifs et de sa mise à jour, notamment sur les aires.</w:t>
      </w:r>
    </w:p>
    <w:p>
      <w:pPr>
        <w:pStyle w:val="Normal"/>
        <w:numPr>
          <w:ilvl w:val="0"/>
          <w:numId w:val="8"/>
        </w:numPr>
        <w:suppressAutoHyphens w:val="false"/>
        <w:spacing w:before="0" w:after="120"/>
        <w:ind w:left="480" w:right="28" w:hanging="480"/>
        <w:jc w:val="both"/>
        <w:textAlignment w:val="auto"/>
        <w:rPr>
          <w:rFonts w:ascii="Arial" w:hAnsi="Arial"/>
          <w:sz w:val="20"/>
          <w:szCs w:val="20"/>
        </w:rPr>
      </w:pPr>
      <w:r>
        <w:rPr>
          <w:rFonts w:ascii="Arial" w:hAnsi="Arial"/>
          <w:sz w:val="20"/>
          <w:szCs w:val="20"/>
        </w:rPr>
        <w:t>Le Concessionnaire organise la remontée des tarifs de recharge à l’acte.</w:t>
      </w:r>
    </w:p>
    <w:p>
      <w:pPr>
        <w:pStyle w:val="Textbody"/>
        <w:numPr>
          <w:ilvl w:val="0"/>
          <w:numId w:val="3"/>
        </w:numPr>
        <w:rPr>
          <w:szCs w:val="20"/>
        </w:rPr>
      </w:pPr>
      <w:r>
        <w:rPr>
          <w:b/>
          <w:bCs/>
          <w:szCs w:val="20"/>
        </w:rPr>
        <w:t>Engagement boutique et restauration</w:t>
      </w:r>
      <w:r>
        <w:rPr>
          <w:szCs w:val="20"/>
        </w:rPr>
        <w:t xml:space="preserve"> </w:t>
      </w:r>
    </w:p>
    <w:p>
      <w:pPr>
        <w:pStyle w:val="Textbody"/>
        <w:rPr>
          <w:szCs w:val="20"/>
        </w:rPr>
      </w:pPr>
      <w:r>
        <w:rPr>
          <w:szCs w:val="20"/>
        </w:rPr>
        <w:t xml:space="preserve">Le Concessionnaire assure les activités de boutique et restauration dans les conditions prévues au Cahier des clauses générales. </w:t>
      </w:r>
    </w:p>
    <w:p>
      <w:pPr>
        <w:pStyle w:val="Textbody"/>
        <w:rPr>
          <w:szCs w:val="20"/>
        </w:rPr>
      </w:pPr>
      <w:r>
        <w:rPr>
          <w:szCs w:val="20"/>
        </w:rPr>
        <w:t xml:space="preserve">Il est tenu de respecter les engagements tarifaires figurant en </w:t>
      </w:r>
      <w:r>
        <w:rPr>
          <w:b/>
          <w:bCs/>
          <w:szCs w:val="20"/>
        </w:rPr>
        <w:t xml:space="preserve">Annexe 2 – 3.1 </w:t>
      </w:r>
      <w:r>
        <w:rPr>
          <w:szCs w:val="20"/>
        </w:rPr>
        <w:t xml:space="preserve">durant toute la durée du Contrat. </w:t>
      </w:r>
    </w:p>
    <w:p>
      <w:pPr>
        <w:pStyle w:val="Headline1"/>
        <w:rPr>
          <w:sz w:val="20"/>
          <w:szCs w:val="20"/>
        </w:rPr>
      </w:pPr>
      <w:r>
        <w:rPr>
          <w:sz w:val="20"/>
          <w:szCs w:val="20"/>
        </w:rPr>
        <w:t xml:space="preserve">ARTICLE 7 – ORGANISATION DES TRAVAUX </w:t>
      </w:r>
    </w:p>
    <w:p>
      <w:pPr>
        <w:pStyle w:val="Standard"/>
        <w:rPr>
          <w:sz w:val="20"/>
          <w:szCs w:val="20"/>
        </w:rPr>
      </w:pPr>
      <w:r>
        <w:rPr>
          <w:sz w:val="20"/>
          <w:szCs w:val="20"/>
        </w:rPr>
        <w:t xml:space="preserve">Le Concessionnaire s’engage à réaliser les travaux de construction et/ou rénovation et réaménagement des installations annexes à caractère commercial prévus dans son projet, selon le phasage et planning (figurant en </w:t>
      </w:r>
      <w:r>
        <w:rPr>
          <w:b/>
          <w:bCs/>
          <w:sz w:val="20"/>
          <w:szCs w:val="20"/>
        </w:rPr>
        <w:t>Annexe 2 - Critère 2</w:t>
      </w:r>
      <w:r>
        <w:rPr>
          <w:sz w:val="20"/>
          <w:szCs w:val="20"/>
        </w:rPr>
        <w:t xml:space="preserve">) </w:t>
      </w:r>
    </w:p>
    <w:p>
      <w:pPr>
        <w:pStyle w:val="Standard"/>
        <w:rPr>
          <w:sz w:val="20"/>
          <w:szCs w:val="20"/>
        </w:rPr>
      </w:pPr>
      <w:r>
        <w:rPr>
          <w:sz w:val="20"/>
          <w:szCs w:val="20"/>
        </w:rPr>
      </w:r>
    </w:p>
    <w:p>
      <w:pPr>
        <w:pStyle w:val="NoSpacing"/>
        <w:jc w:val="both"/>
        <w:rPr>
          <w:rFonts w:ascii="Arial" w:hAnsi="Arial" w:cs="Arial"/>
          <w:sz w:val="20"/>
          <w:szCs w:val="20"/>
        </w:rPr>
      </w:pPr>
      <w:r>
        <w:rPr>
          <w:rFonts w:eastAsia="NSimSun" w:cs="Arial" w:ascii="Arial" w:hAnsi="Arial"/>
          <w:kern w:val="2"/>
          <w:sz w:val="20"/>
          <w:szCs w:val="20"/>
          <w:lang w:eastAsia="zh-CN" w:bidi="hi-IN"/>
        </w:rPr>
        <w:t>En cas de non-respect de ces dates d’ouverture au public et d’achèvement des travaux du fait du Concessionnaire, la DIR Nord-Ouest se réserve le droit d’appliquer d’office les mesures coercitives prévues à l’article 33.2 du CCG (</w:t>
      </w:r>
      <w:r>
        <w:rPr>
          <w:rFonts w:eastAsia="NSimSun" w:cs="Arial" w:ascii="Arial" w:hAnsi="Arial"/>
          <w:b/>
          <w:bCs/>
          <w:kern w:val="2"/>
          <w:sz w:val="20"/>
          <w:szCs w:val="20"/>
          <w:lang w:eastAsia="zh-CN" w:bidi="hi-IN"/>
        </w:rPr>
        <w:t>Annexe 1</w:t>
      </w:r>
      <w:r>
        <w:rPr>
          <w:rFonts w:eastAsia="NSimSun" w:cs="Arial" w:ascii="Arial" w:hAnsi="Arial"/>
          <w:kern w:val="2"/>
          <w:sz w:val="20"/>
          <w:szCs w:val="20"/>
          <w:lang w:eastAsia="zh-CN" w:bidi="hi-IN"/>
        </w:rPr>
        <w:t xml:space="preserve">). </w:t>
      </w:r>
    </w:p>
    <w:p>
      <w:pPr>
        <w:pStyle w:val="Headline1"/>
        <w:rPr>
          <w:sz w:val="20"/>
          <w:szCs w:val="20"/>
        </w:rPr>
      </w:pPr>
      <w:r>
        <w:rPr>
          <w:sz w:val="20"/>
          <w:szCs w:val="20"/>
        </w:rPr>
        <w:t xml:space="preserve">ARTICLE 8 – </w:t>
        <w:tab/>
        <w:t>REDEVANCE D’OCCUPATION DOMANIALE</w:t>
      </w:r>
    </w:p>
    <w:p>
      <w:pPr>
        <w:pStyle w:val="Normal"/>
        <w:tabs>
          <w:tab w:val="clear" w:pos="709"/>
          <w:tab w:val="left" w:pos="426" w:leader="none"/>
        </w:tabs>
        <w:rPr>
          <w:rFonts w:ascii="Arial" w:hAnsi="Arial"/>
          <w:sz w:val="20"/>
          <w:szCs w:val="20"/>
        </w:rPr>
      </w:pPr>
      <w:r>
        <w:rPr>
          <w:rFonts w:ascii="Arial" w:hAnsi="Arial"/>
          <w:sz w:val="20"/>
          <w:szCs w:val="20"/>
        </w:rPr>
        <w:t>La Redevance domaniale est calculée à partir des avantages de toute nature procurés au Concessionnaire par la mise à disposition du domaine dans le cadre de la Convention de concession.</w:t>
      </w:r>
    </w:p>
    <w:p>
      <w:pPr>
        <w:pStyle w:val="Normal"/>
        <w:tabs>
          <w:tab w:val="clear" w:pos="709"/>
          <w:tab w:val="left" w:pos="426" w:leader="none"/>
        </w:tabs>
        <w:rPr>
          <w:rFonts w:ascii="Arial" w:hAnsi="Arial"/>
          <w:sz w:val="20"/>
          <w:szCs w:val="20"/>
        </w:rPr>
      </w:pPr>
      <w:r>
        <w:rPr>
          <w:rFonts w:ascii="Arial" w:hAnsi="Arial"/>
          <w:sz w:val="20"/>
          <w:szCs w:val="20"/>
        </w:rPr>
      </w:r>
    </w:p>
    <w:p>
      <w:pPr>
        <w:pStyle w:val="Textbody"/>
        <w:rPr/>
      </w:pPr>
      <w:r>
        <w:rPr>
          <w:szCs w:val="20"/>
        </w:rPr>
        <w:t>8.</w:t>
      </w:r>
      <w:r>
        <w:rPr>
          <w:rStyle w:val="Textenonproportionnel"/>
          <w:rFonts w:cs="Arial"/>
          <w:szCs w:val="20"/>
        </w:rPr>
        <w:t>1. – Calcul de la redevance</w:t>
      </w:r>
    </w:p>
    <w:p>
      <w:pPr>
        <w:pStyle w:val="Corpsdetexte"/>
        <w:keepNext w:val="true"/>
        <w:jc w:val="both"/>
        <w:rPr>
          <w:rFonts w:ascii="Arial" w:hAnsi="Arial" w:cs="Arial"/>
          <w:b/>
          <w:b/>
          <w:sz w:val="20"/>
          <w:szCs w:val="20"/>
        </w:rPr>
      </w:pPr>
      <w:r>
        <w:rPr>
          <w:rStyle w:val="Textenonproportionnel"/>
          <w:rFonts w:cs="Arial" w:ascii="Arial" w:hAnsi="Arial"/>
          <w:b/>
          <w:sz w:val="20"/>
          <w:szCs w:val="20"/>
        </w:rPr>
        <w:t>La redevance s’établit comme suit :</w:t>
      </w:r>
    </w:p>
    <w:p>
      <w:pPr>
        <w:pStyle w:val="Corpsdetexte"/>
        <w:numPr>
          <w:ilvl w:val="0"/>
          <w:numId w:val="6"/>
        </w:numPr>
        <w:tabs>
          <w:tab w:val="clear" w:pos="709"/>
          <w:tab w:val="left" w:pos="0" w:leader="none"/>
        </w:tabs>
        <w:jc w:val="both"/>
        <w:rPr>
          <w:rFonts w:ascii="Arial" w:hAnsi="Arial" w:cs="Arial"/>
          <w:b/>
          <w:b/>
          <w:sz w:val="20"/>
          <w:szCs w:val="20"/>
        </w:rPr>
      </w:pPr>
      <w:r>
        <w:rPr>
          <w:rStyle w:val="Textenonproportionnel"/>
          <w:rFonts w:cs="Arial" w:ascii="Arial" w:hAnsi="Arial"/>
          <w:b/>
          <w:sz w:val="20"/>
          <w:szCs w:val="20"/>
        </w:rPr>
        <w:t>chiffre d’affaires hors TVA relatif aux ventes de carburants et lubrifiants : application du taux de 0,5 % ;</w:t>
      </w:r>
    </w:p>
    <w:p>
      <w:pPr>
        <w:pStyle w:val="Corpsdetexte"/>
        <w:numPr>
          <w:ilvl w:val="0"/>
          <w:numId w:val="6"/>
        </w:numPr>
        <w:tabs>
          <w:tab w:val="clear" w:pos="709"/>
          <w:tab w:val="left" w:pos="0" w:leader="none"/>
        </w:tabs>
        <w:rPr>
          <w:rFonts w:ascii="Arial" w:hAnsi="Arial" w:cs="Arial"/>
          <w:b/>
          <w:b/>
          <w:sz w:val="20"/>
          <w:szCs w:val="20"/>
        </w:rPr>
      </w:pPr>
      <w:r>
        <w:rPr>
          <w:rStyle w:val="Textenonproportionnel"/>
          <w:rFonts w:cs="Arial" w:ascii="Arial" w:hAnsi="Arial"/>
          <w:b/>
          <w:sz w:val="20"/>
          <w:szCs w:val="20"/>
        </w:rPr>
        <w:t>chiffre d’affaires hors TVA relatif aux ventes de la restauration : application du taux de 2%</w:t>
      </w:r>
    </w:p>
    <w:p>
      <w:pPr>
        <w:pStyle w:val="Corpsdetexte"/>
        <w:keepNext w:val="true"/>
        <w:numPr>
          <w:ilvl w:val="0"/>
          <w:numId w:val="7"/>
        </w:numPr>
        <w:tabs>
          <w:tab w:val="clear" w:pos="709"/>
          <w:tab w:val="left" w:pos="0" w:leader="none"/>
        </w:tabs>
        <w:jc w:val="both"/>
        <w:rPr>
          <w:rFonts w:ascii="Arial" w:hAnsi="Arial" w:cs="Arial"/>
          <w:b/>
          <w:b/>
          <w:sz w:val="20"/>
          <w:szCs w:val="20"/>
        </w:rPr>
      </w:pPr>
      <w:r>
        <w:rPr>
          <w:rStyle w:val="Textenonproportionnel"/>
          <w:rFonts w:cs="Arial" w:ascii="Arial" w:hAnsi="Arial"/>
          <w:b/>
          <w:sz w:val="20"/>
          <w:szCs w:val="20"/>
        </w:rPr>
        <w:t>chiffre d’affaires hors TVA relatif aux ventes annexes : application du taux de 4,5 %</w:t>
      </w:r>
    </w:p>
    <w:p>
      <w:pPr>
        <w:pStyle w:val="Corpsdetexte"/>
        <w:numPr>
          <w:ilvl w:val="0"/>
          <w:numId w:val="7"/>
        </w:numPr>
        <w:tabs>
          <w:tab w:val="clear" w:pos="709"/>
          <w:tab w:val="left" w:pos="0" w:leader="none"/>
        </w:tabs>
        <w:rPr>
          <w:rFonts w:ascii="Arial" w:hAnsi="Arial" w:cs="Arial"/>
          <w:b/>
          <w:b/>
          <w:sz w:val="20"/>
          <w:szCs w:val="20"/>
        </w:rPr>
      </w:pPr>
      <w:r>
        <w:rPr>
          <w:rStyle w:val="Textenonproportionnel"/>
          <w:rFonts w:cs="Arial" w:ascii="Arial" w:hAnsi="Arial"/>
          <w:b/>
          <w:sz w:val="20"/>
          <w:szCs w:val="20"/>
        </w:rPr>
        <w:t>chiffre d’affaires hors TVA relatif aux IRVE : application du taux de 0,5 %</w:t>
      </w:r>
      <w:r>
        <w:rPr>
          <w:rFonts w:cs="Arial" w:ascii="Arial" w:hAnsi="Arial"/>
          <w:sz w:val="20"/>
          <w:szCs w:val="20"/>
        </w:rPr>
        <w:t xml:space="preserve"> </w:t>
      </w:r>
    </w:p>
    <w:p>
      <w:pPr>
        <w:pStyle w:val="Corpsdetexte"/>
        <w:keepNext w:val="true"/>
        <w:jc w:val="both"/>
        <w:rPr>
          <w:rFonts w:ascii="Arial" w:hAnsi="Arial" w:cs="Arial"/>
          <w:b/>
          <w:b/>
          <w:sz w:val="20"/>
          <w:szCs w:val="20"/>
        </w:rPr>
      </w:pPr>
      <w:r>
        <w:rPr>
          <w:rStyle w:val="Textenonproportionnel"/>
          <w:rFonts w:cs="Arial" w:ascii="Arial" w:hAnsi="Arial"/>
          <w:sz w:val="20"/>
          <w:szCs w:val="20"/>
        </w:rPr>
        <w:t>La redevance finale sera constituée de l’addition des résultats de ces calculs.</w:t>
      </w:r>
    </w:p>
    <w:p>
      <w:pPr>
        <w:pStyle w:val="Corpsdetexte"/>
        <w:jc w:val="both"/>
        <w:rPr>
          <w:rFonts w:ascii="Arial" w:hAnsi="Arial" w:cs="Arial"/>
          <w:b/>
          <w:b/>
          <w:sz w:val="20"/>
          <w:szCs w:val="20"/>
        </w:rPr>
      </w:pPr>
      <w:r>
        <w:rPr>
          <w:rStyle w:val="Textenonproportionnel"/>
          <w:rFonts w:cs="Arial" w:ascii="Arial" w:hAnsi="Arial"/>
          <w:sz w:val="20"/>
          <w:szCs w:val="20"/>
        </w:rPr>
        <w:t>Le concessionnaire devra déclarer son chiffre d’affaires de l’année N-1, par catégorie, avant le 31 mars de l’année N.</w:t>
      </w:r>
    </w:p>
    <w:p>
      <w:pPr>
        <w:pStyle w:val="Corpsdetexte"/>
        <w:jc w:val="both"/>
        <w:rPr>
          <w:rFonts w:ascii="Arial" w:hAnsi="Arial" w:cs="Arial"/>
          <w:b/>
          <w:b/>
          <w:sz w:val="20"/>
          <w:szCs w:val="20"/>
        </w:rPr>
      </w:pPr>
      <w:r>
        <w:rPr>
          <w:rStyle w:val="Textenonproportionnel"/>
          <w:rFonts w:cs="Arial" w:ascii="Arial" w:hAnsi="Arial"/>
          <w:sz w:val="20"/>
          <w:szCs w:val="20"/>
        </w:rPr>
        <w:t>Le concessionnaire fournira en outre, à titre de proposition, un état portant liquidation de la redevance.</w:t>
      </w:r>
    </w:p>
    <w:p>
      <w:pPr>
        <w:pStyle w:val="Corpsdetexte"/>
        <w:jc w:val="both"/>
        <w:rPr>
          <w:rFonts w:ascii="Arial" w:hAnsi="Arial" w:cs="Arial"/>
          <w:b/>
          <w:b/>
          <w:sz w:val="20"/>
          <w:szCs w:val="20"/>
        </w:rPr>
      </w:pPr>
      <w:r>
        <w:rPr>
          <w:rStyle w:val="Textenonproportionnel"/>
          <w:rFonts w:cs="Arial" w:ascii="Arial" w:hAnsi="Arial"/>
          <w:sz w:val="20"/>
          <w:szCs w:val="20"/>
        </w:rPr>
        <w:t>Cette obligation de fourniture de documents devra être répercutée par le concessionnaire sur ses sous-traitants dans le cadre des sous-concessions à intervenir.</w:t>
      </w:r>
    </w:p>
    <w:p>
      <w:pPr>
        <w:pStyle w:val="Corpsdetexte"/>
        <w:jc w:val="both"/>
        <w:rPr>
          <w:rFonts w:ascii="Arial" w:hAnsi="Arial" w:cs="Arial"/>
          <w:b/>
          <w:b/>
          <w:sz w:val="20"/>
          <w:szCs w:val="20"/>
        </w:rPr>
      </w:pPr>
      <w:r>
        <w:rPr>
          <w:rStyle w:val="Textenonproportionnel"/>
          <w:rFonts w:cs="Arial" w:ascii="Arial" w:hAnsi="Arial"/>
          <w:sz w:val="20"/>
          <w:szCs w:val="20"/>
        </w:rPr>
        <w:t>Le directeur des finances publiques pourra prendre communication des documents comptables du</w:t>
      </w:r>
      <w:r>
        <w:rPr>
          <w:rStyle w:val="Textenonproportionnel"/>
          <w:rFonts w:cs="Arial" w:ascii="Arial" w:hAnsi="Arial"/>
          <w:strike/>
          <w:sz w:val="20"/>
          <w:szCs w:val="20"/>
        </w:rPr>
        <w:t xml:space="preserve"> </w:t>
      </w:r>
      <w:r>
        <w:rPr>
          <w:rStyle w:val="Textenonproportionnel"/>
          <w:rFonts w:cs="Arial" w:ascii="Arial" w:hAnsi="Arial"/>
          <w:sz w:val="20"/>
          <w:szCs w:val="20"/>
        </w:rPr>
        <w:t>Concessionnaire en vue de contrôler ses déclarations. Au cas où les documents présentés se révéleraient insuffisants ou erronés, il serait procédé à une évaluation d’office de la redevance.</w:t>
      </w:r>
    </w:p>
    <w:p>
      <w:pPr>
        <w:pStyle w:val="Corpsdetexte"/>
        <w:jc w:val="both"/>
        <w:rPr>
          <w:rFonts w:ascii="Arial" w:hAnsi="Arial" w:cs="Arial"/>
          <w:b/>
          <w:b/>
          <w:sz w:val="20"/>
          <w:szCs w:val="20"/>
        </w:rPr>
      </w:pPr>
      <w:r>
        <w:rPr>
          <w:rFonts w:cs="Arial" w:ascii="Arial" w:hAnsi="Arial"/>
          <w:b/>
          <w:sz w:val="20"/>
          <w:szCs w:val="20"/>
        </w:rPr>
      </w:r>
    </w:p>
    <w:p>
      <w:pPr>
        <w:pStyle w:val="Corpsdetexte"/>
        <w:jc w:val="both"/>
        <w:rPr>
          <w:rFonts w:ascii="Arial" w:hAnsi="Arial" w:cs="Arial"/>
          <w:b/>
          <w:b/>
          <w:sz w:val="20"/>
          <w:szCs w:val="20"/>
        </w:rPr>
      </w:pPr>
      <w:r>
        <w:rPr>
          <w:rStyle w:val="Textenonproportionnel"/>
          <w:rFonts w:cs="Arial" w:ascii="Arial" w:hAnsi="Arial"/>
          <w:sz w:val="20"/>
          <w:szCs w:val="20"/>
        </w:rPr>
        <w:t>8.2 – Exonération de redevance</w:t>
      </w:r>
    </w:p>
    <w:p>
      <w:pPr>
        <w:pStyle w:val="Corpsdetexte"/>
        <w:jc w:val="both"/>
        <w:rPr>
          <w:rFonts w:ascii="Arial" w:hAnsi="Arial" w:cs="Arial"/>
          <w:b/>
          <w:b/>
          <w:sz w:val="20"/>
          <w:szCs w:val="20"/>
        </w:rPr>
      </w:pPr>
      <w:r>
        <w:rPr>
          <w:rStyle w:val="Textenonproportionnel"/>
          <w:rFonts w:cs="Arial" w:ascii="Arial" w:hAnsi="Arial"/>
          <w:b/>
          <w:sz w:val="20"/>
          <w:szCs w:val="20"/>
        </w:rPr>
        <w:t>Les investissements réalisés pour le compte de l’État peuvent ouvrir droit à exonération dans la limite de X% du montant total de redevance annuelle calculée</w:t>
      </w:r>
      <w:r>
        <w:rPr>
          <w:rStyle w:val="Textenonproportionnel"/>
          <w:rFonts w:cs="Arial" w:ascii="Arial" w:hAnsi="Arial"/>
          <w:b/>
          <w:sz w:val="20"/>
          <w:szCs w:val="20"/>
          <w:u w:val="single"/>
        </w:rPr>
        <w:t xml:space="preserve"> (à définir dans le cadre de la mise en concurrence)</w:t>
      </w:r>
      <w:r>
        <w:rPr>
          <w:rStyle w:val="Textenonproportionnel"/>
          <w:rFonts w:cs="Arial" w:ascii="Arial" w:hAnsi="Arial"/>
          <w:b/>
          <w:sz w:val="20"/>
          <w:szCs w:val="20"/>
        </w:rPr>
        <w:t>.</w:t>
      </w:r>
    </w:p>
    <w:p>
      <w:pPr>
        <w:pStyle w:val="Corpsdetexte"/>
        <w:jc w:val="both"/>
        <w:rPr>
          <w:rFonts w:ascii="Arial" w:hAnsi="Arial" w:cs="Arial"/>
          <w:b/>
          <w:b/>
          <w:sz w:val="20"/>
          <w:szCs w:val="20"/>
        </w:rPr>
      </w:pPr>
      <w:r>
        <w:rPr>
          <w:rFonts w:cs="Arial" w:ascii="Arial" w:hAnsi="Arial"/>
          <w:b/>
          <w:sz w:val="20"/>
          <w:szCs w:val="20"/>
        </w:rPr>
      </w:r>
    </w:p>
    <w:p>
      <w:pPr>
        <w:pStyle w:val="Corpsdetexte"/>
        <w:jc w:val="both"/>
        <w:rPr>
          <w:rFonts w:ascii="Arial" w:hAnsi="Arial" w:cs="Arial"/>
          <w:b/>
          <w:b/>
          <w:sz w:val="20"/>
          <w:szCs w:val="20"/>
        </w:rPr>
      </w:pPr>
      <w:r>
        <w:rPr>
          <w:rStyle w:val="Textenonproportionnel"/>
          <w:rFonts w:cs="Arial" w:ascii="Arial" w:hAnsi="Arial"/>
          <w:sz w:val="20"/>
          <w:szCs w:val="20"/>
        </w:rPr>
        <w:t>8.3 – Modalités de paiement de la redevance</w:t>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La redevance est payable par terme annuel et d’avance dès signature de la présente autorisation auprès du comptable spécialisé du Domaine (CSDOM).</w:t>
      </w:r>
    </w:p>
    <w:p>
      <w:pPr>
        <w:pStyle w:val="Corpsdetexte"/>
        <w:spacing w:lineRule="auto" w:line="240" w:before="0" w:after="0"/>
        <w:jc w:val="both"/>
        <w:rPr>
          <w:rFonts w:ascii="Arial" w:hAnsi="Arial"/>
          <w:color w:val="000000"/>
          <w:sz w:val="20"/>
          <w:szCs w:val="20"/>
        </w:rPr>
      </w:pPr>
      <w:r>
        <w:rPr>
          <w:rFonts w:ascii="Arial" w:hAnsi="Arial"/>
          <w:color w:val="000000"/>
          <w:sz w:val="20"/>
          <w:szCs w:val="20"/>
        </w:rPr>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Le paiement se fera :</w:t>
      </w:r>
    </w:p>
    <w:p>
      <w:pPr>
        <w:pStyle w:val="Corpsdetexte"/>
        <w:spacing w:lineRule="auto" w:line="240" w:before="0" w:after="0"/>
        <w:jc w:val="both"/>
        <w:rPr/>
      </w:pPr>
      <w:r>
        <w:rPr>
          <w:rFonts w:ascii="Arial" w:hAnsi="Arial"/>
          <w:color w:val="000000"/>
          <w:sz w:val="20"/>
          <w:szCs w:val="20"/>
        </w:rPr>
        <w:t xml:space="preserve">- par internet sur le site </w:t>
      </w:r>
      <w:hyperlink r:id="rId3">
        <w:r>
          <w:rPr>
            <w:rStyle w:val="LienInternet"/>
            <w:rFonts w:ascii="Arial" w:hAnsi="Arial"/>
            <w:color w:val="000000"/>
            <w:sz w:val="20"/>
            <w:szCs w:val="20"/>
          </w:rPr>
          <w:t>www.payfip.gouv.fr</w:t>
        </w:r>
      </w:hyperlink>
      <w:r>
        <w:rPr>
          <w:rFonts w:ascii="Arial" w:hAnsi="Arial"/>
          <w:color w:val="000000"/>
          <w:sz w:val="20"/>
          <w:szCs w:val="20"/>
        </w:rPr>
        <w:t>, par carte bancaire ou par prélèvement unique sur compte bancaire ;</w:t>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 par chèque à envoyer à un centre d’encaissement ;</w:t>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 par virement ou prélèvement bancaire. Les références bancaires du CSDOM figurent ci-après :</w:t>
      </w:r>
    </w:p>
    <w:p>
      <w:pPr>
        <w:pStyle w:val="Corpsdetexte"/>
        <w:widowControl/>
        <w:spacing w:lineRule="auto" w:line="240" w:before="0" w:after="0"/>
        <w:rPr>
          <w:rFonts w:ascii="Arial" w:hAnsi="Arial"/>
          <w:b/>
          <w:b/>
          <w:i w:val="false"/>
          <w:i w:val="false"/>
          <w:caps w:val="false"/>
          <w:smallCaps w:val="false"/>
          <w:color w:val="000000"/>
          <w:sz w:val="20"/>
          <w:szCs w:val="20"/>
        </w:rPr>
      </w:pPr>
      <w:r>
        <w:rPr>
          <w:rFonts w:ascii="Arial" w:hAnsi="Arial"/>
          <w:b/>
          <w:i w:val="false"/>
          <w:caps w:val="false"/>
          <w:smallCaps w:val="false"/>
          <w:color w:val="000000"/>
          <w:sz w:val="20"/>
          <w:szCs w:val="20"/>
        </w:rPr>
        <w:t>BDFEFRPPCCT (BIC) FR46 30001000 64R7 5500 0000 013 (IBAN)</w:t>
      </w:r>
    </w:p>
    <w:p>
      <w:pPr>
        <w:pStyle w:val="Corpsdetexte"/>
        <w:widowControl/>
        <w:spacing w:lineRule="auto" w:line="240" w:before="0" w:after="0"/>
        <w:rPr>
          <w:rFonts w:ascii="Arial" w:hAnsi="Arial"/>
          <w:color w:val="000000"/>
          <w:sz w:val="20"/>
          <w:szCs w:val="20"/>
        </w:rPr>
      </w:pPr>
      <w:r>
        <w:rPr>
          <w:rFonts w:ascii="Arial" w:hAnsi="Arial"/>
          <w:color w:val="000000"/>
          <w:sz w:val="20"/>
          <w:szCs w:val="20"/>
        </w:rPr>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Le virement devra comporter les références de la facture CSPE NN 26XXXXXXXXXX, afin d’en permettre la correcte imputation.</w:t>
      </w:r>
    </w:p>
    <w:p>
      <w:pPr>
        <w:pStyle w:val="Corpsdetexte"/>
        <w:spacing w:lineRule="auto" w:line="240" w:before="0" w:after="0"/>
        <w:jc w:val="both"/>
        <w:rPr>
          <w:rFonts w:ascii="Arial" w:hAnsi="Arial"/>
          <w:color w:val="000000"/>
          <w:sz w:val="20"/>
          <w:szCs w:val="20"/>
        </w:rPr>
      </w:pPr>
      <w:r>
        <w:rPr>
          <w:rFonts w:ascii="Arial" w:hAnsi="Arial"/>
          <w:color w:val="000000"/>
          <w:sz w:val="20"/>
          <w:szCs w:val="20"/>
        </w:rPr>
      </w:r>
    </w:p>
    <w:p>
      <w:pPr>
        <w:pStyle w:val="Corpsdetexte"/>
        <w:spacing w:lineRule="auto" w:line="240" w:before="0" w:after="0"/>
        <w:jc w:val="both"/>
        <w:rPr>
          <w:rFonts w:ascii="Arial" w:hAnsi="Arial"/>
          <w:color w:val="000000"/>
          <w:sz w:val="20"/>
          <w:szCs w:val="20"/>
        </w:rPr>
      </w:pPr>
      <w:r>
        <w:rPr>
          <w:rFonts w:ascii="Arial" w:hAnsi="Arial"/>
          <w:color w:val="000000"/>
          <w:sz w:val="20"/>
          <w:szCs w:val="20"/>
        </w:rPr>
        <w:t xml:space="preserve">En cas de retard dans le paiement, la redevance échue porte intérêt de plein droit au taux annuel applicable en matière domaniale conformément à l’article L 2125-5 du code général de la propriété des personnes publiques, sans qu’il soit nécessaire de procéder à une mise en demeure quelconque et quelle que soit la cause du retard. </w:t>
      </w:r>
    </w:p>
    <w:p>
      <w:pPr>
        <w:pStyle w:val="Corpsdetexte"/>
        <w:spacing w:lineRule="auto" w:line="240" w:before="0" w:after="0"/>
        <w:jc w:val="both"/>
        <w:rPr>
          <w:rStyle w:val="Textenonproportionnel"/>
          <w:rFonts w:ascii="Arial" w:hAnsi="Arial" w:cs="Arial"/>
        </w:rPr>
      </w:pPr>
      <w:r>
        <w:rPr>
          <w:rFonts w:cs="Arial" w:ascii="Arial" w:hAnsi="Arial"/>
        </w:rPr>
      </w:r>
    </w:p>
    <w:p>
      <w:pPr>
        <w:pStyle w:val="Corpsdetexte"/>
        <w:spacing w:lineRule="auto" w:line="240" w:before="0" w:after="0"/>
        <w:jc w:val="both"/>
        <w:rPr>
          <w:rFonts w:ascii="Arial" w:hAnsi="Arial"/>
          <w:color w:val="000000"/>
          <w:sz w:val="20"/>
          <w:szCs w:val="20"/>
        </w:rPr>
      </w:pPr>
      <w:r>
        <w:rPr>
          <w:rStyle w:val="Textenonproportionnel"/>
          <w:rFonts w:cs="Arial" w:ascii="Arial" w:hAnsi="Arial"/>
          <w:color w:val="000000"/>
          <w:sz w:val="20"/>
          <w:szCs w:val="20"/>
        </w:rPr>
        <w:t xml:space="preserve">8.4 – </w:t>
      </w:r>
      <w:r>
        <w:rPr>
          <w:rFonts w:ascii="Arial" w:hAnsi="Arial"/>
          <w:b w:val="false"/>
          <w:bCs w:val="false"/>
          <w:color w:val="000000"/>
          <w:sz w:val="20"/>
          <w:szCs w:val="20"/>
        </w:rPr>
        <w:t>Traitement des données à caractère personnel</w:t>
      </w:r>
      <w:r>
        <w:rPr>
          <w:rFonts w:ascii="Arial" w:hAnsi="Arial"/>
          <w:b w:val="false"/>
          <w:bCs w:val="false"/>
          <w:color w:val="000000"/>
          <w:sz w:val="20"/>
          <w:szCs w:val="20"/>
          <w:shd w:fill="auto" w:val="clear"/>
        </w:rPr>
        <w:t> </w:t>
      </w:r>
    </w:p>
    <w:p>
      <w:pPr>
        <w:pStyle w:val="Corpsdetexte"/>
        <w:spacing w:lineRule="auto" w:line="240" w:before="0" w:after="0"/>
        <w:jc w:val="both"/>
        <w:rPr>
          <w:rFonts w:ascii="Arial" w:hAnsi="Arial" w:cs="Arial"/>
          <w:b/>
          <w:b/>
          <w:sz w:val="20"/>
          <w:szCs w:val="20"/>
        </w:rPr>
      </w:pPr>
      <w:r>
        <w:rPr>
          <w:rFonts w:cs="Arial" w:ascii="Arial" w:hAnsi="Arial"/>
          <w:b/>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Les données à caractère personnel de l’occupant font l'objet d'un traitement informatisé mis en œuvre par la direction de l'immobilier de l'Etat de la direction générale des finances publiques (DGFIP), située au 120 rue de Bercy 75 772 PARIS, en sa qualité de responsable de traitement, dans le cadre de l’exécution des missions d'intérêt public qu'elle assure.</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Elles sont traitées afin de gérer des dossiers d'occupation du domaine de l'Etat et redevances associées de toute nature.</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A ce titre, les catégories de données personnelles traitées sont les suivantes :</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 les données liées à son identité et ses coordonnées ;</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 les données à caractère économique et financier.</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Ces données sont obtenues directement auprès de l’occupant ou le cas échéant auprès du gestionnaire du domaine.</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Elles sont transmises aux agents habilités de la DGFIP dans le cadre de leurs missions.</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Les données à caractère personnel de l’occupant sont conservées 5 ans à compter de la date de fin du titre d'occupation et 10 ans en archives.</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Conformément au règlement général des données (RGPD) n°2016/679 et à la loi n°78-17 du 6 janvier 1978 modifiée relative aux fichiers, à l'informatique et aux libertés, l’occupant dispose d'un droit d’accès, de rectification, d'effacement, des données le concernant ainsi que du droit à la limitation du traitement.</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pPr>
      <w:r>
        <w:rPr>
          <w:rFonts w:ascii="Arial" w:hAnsi="Arial"/>
          <w:color w:val="000000"/>
          <w:sz w:val="20"/>
          <w:szCs w:val="20"/>
        </w:rPr>
        <w:t>Il peut exercer ses droits en contactant la boîte mail :</w:t>
      </w:r>
      <w:r>
        <w:rPr>
          <w:rFonts w:ascii="Arial" w:hAnsi="Arial"/>
          <w:color w:val="000000"/>
          <w:sz w:val="20"/>
          <w:szCs w:val="20"/>
          <w:shd w:fill="auto" w:val="clear"/>
        </w:rPr>
        <w:t xml:space="preserve"> </w:t>
      </w:r>
      <w:hyperlink r:id="rId4">
        <w:r>
          <w:rPr>
            <w:rStyle w:val="LienInternet"/>
            <w:rFonts w:ascii="Arial" w:hAnsi="Arial"/>
            <w:color w:val="000000"/>
            <w:sz w:val="20"/>
            <w:szCs w:val="20"/>
            <w:u w:val="single"/>
            <w:shd w:fill="auto" w:val="clear"/>
            <w:lang w:val="fr-FR"/>
          </w:rPr>
          <w:t>die.support-figaro@dgfip.finances.gouv.fr</w:t>
        </w:r>
      </w:hyperlink>
      <w:r>
        <w:rPr>
          <w:rFonts w:ascii="Arial" w:hAnsi="Arial"/>
          <w:color w:val="000000"/>
          <w:sz w:val="20"/>
          <w:szCs w:val="20"/>
          <w:u w:val="single"/>
          <w:shd w:fill="auto" w:val="clear"/>
        </w:rPr>
        <w:t xml:space="preserve"> </w:t>
      </w:r>
      <w:r>
        <w:rPr>
          <w:rFonts w:ascii="Arial" w:hAnsi="Arial"/>
          <w:color w:val="000000"/>
          <w:sz w:val="20"/>
          <w:szCs w:val="20"/>
          <w:shd w:fill="auto" w:val="clear"/>
        </w:rPr>
        <w:t>)</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pPr>
      <w:r>
        <w:rPr>
          <w:rFonts w:ascii="Arial" w:hAnsi="Arial"/>
          <w:color w:val="000000"/>
          <w:sz w:val="20"/>
          <w:szCs w:val="20"/>
        </w:rPr>
        <w:t>Il a également la possibilité de contacter le délégué à la protection des données du ministère de l'économie, des finances et de la relance par voie électronique (</w:t>
      </w:r>
      <w:hyperlink r:id="rId5">
        <w:r>
          <w:rPr>
            <w:rStyle w:val="LienInternet"/>
            <w:rFonts w:ascii="Arial" w:hAnsi="Arial"/>
            <w:color w:val="000000"/>
            <w:sz w:val="20"/>
            <w:szCs w:val="20"/>
          </w:rPr>
          <w:t>le-delegue-a-la-protection-des-donnees-personnelles@finances.gouv.fr</w:t>
        </w:r>
      </w:hyperlink>
      <w:r>
        <w:rPr>
          <w:rFonts w:ascii="Arial" w:hAnsi="Arial"/>
          <w:color w:val="000000"/>
          <w:sz w:val="20"/>
          <w:szCs w:val="20"/>
        </w:rPr>
        <w:t>) ou par voie postale (139 rue de Bercy- Télédoc 322 - 75572 PARIS CEDEX 12).</w:t>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r>
    </w:p>
    <w:p>
      <w:pPr>
        <w:pStyle w:val="Corpsdetexte"/>
        <w:widowControl/>
        <w:spacing w:lineRule="auto" w:line="240" w:before="0" w:after="0"/>
        <w:jc w:val="both"/>
        <w:rPr>
          <w:rFonts w:ascii="Arial" w:hAnsi="Arial"/>
          <w:color w:val="000000"/>
          <w:sz w:val="20"/>
          <w:szCs w:val="20"/>
        </w:rPr>
      </w:pPr>
      <w:r>
        <w:rPr>
          <w:rFonts w:ascii="Arial" w:hAnsi="Arial"/>
          <w:color w:val="000000"/>
          <w:sz w:val="20"/>
          <w:szCs w:val="20"/>
        </w:rPr>
        <w:t>Il est informé(e) que des exceptions à l'exercice des droits précités sont susceptibles de s'appliquer, le cas échéant, il en sera dûment averti(e).</w:t>
      </w:r>
    </w:p>
    <w:p>
      <w:pPr>
        <w:pStyle w:val="Corpsdetexte"/>
        <w:widowControl/>
        <w:spacing w:lineRule="auto" w:line="240" w:before="0" w:after="0"/>
        <w:jc w:val="both"/>
        <w:rPr>
          <w:rStyle w:val="Textenonproportionnel"/>
          <w:rFonts w:ascii="Arial" w:hAnsi="Arial" w:cs="Arial"/>
          <w:b w:val="false"/>
          <w:b w:val="false"/>
          <w:bCs w:val="false"/>
          <w:color w:val="000000"/>
          <w:sz w:val="20"/>
          <w:szCs w:val="20"/>
          <w:highlight w:val="none"/>
          <w:shd w:fill="auto" w:val="clear"/>
        </w:rPr>
      </w:pPr>
      <w:r>
        <w:rPr>
          <w:rFonts w:cs="Arial" w:ascii="Arial" w:hAnsi="Arial"/>
          <w:b w:val="false"/>
          <w:bCs w:val="false"/>
          <w:color w:val="000000"/>
          <w:sz w:val="20"/>
          <w:szCs w:val="20"/>
          <w:shd w:fill="auto" w:val="clear"/>
        </w:rPr>
      </w:r>
    </w:p>
    <w:p>
      <w:pPr>
        <w:pStyle w:val="Corpsdetexte"/>
        <w:widowControl/>
        <w:spacing w:lineRule="auto" w:line="240" w:before="0" w:after="0"/>
        <w:jc w:val="both"/>
        <w:rPr/>
      </w:pPr>
      <w:r>
        <w:rPr>
          <w:rStyle w:val="Textenonproportionnel"/>
          <w:rFonts w:cs="Arial" w:ascii="Arial" w:hAnsi="Arial"/>
          <w:b w:val="false"/>
          <w:bCs w:val="false"/>
          <w:color w:val="000000"/>
          <w:sz w:val="20"/>
          <w:szCs w:val="20"/>
          <w:shd w:fill="auto" w:val="clear"/>
        </w:rPr>
        <w:t>S’il estime que le traitement de ses données à caractère personnel n'est pas conforme aux dispositions légales et réglementaires, il dispose, du droit d'introduire une réclamation auprès de la Commission Nationale Informatique et Libertés (CNIL).</w:t>
      </w:r>
    </w:p>
    <w:p>
      <w:pPr>
        <w:pStyle w:val="Headline1"/>
        <w:rPr>
          <w:sz w:val="20"/>
          <w:szCs w:val="20"/>
        </w:rPr>
      </w:pPr>
      <w:r>
        <w:rPr>
          <w:sz w:val="20"/>
          <w:szCs w:val="20"/>
        </w:rPr>
        <w:t xml:space="preserve">ARTICLE 9 – </w:t>
        <w:tab/>
        <w:t xml:space="preserve">GARANTIES </w:t>
      </w:r>
    </w:p>
    <w:p>
      <w:pPr>
        <w:pStyle w:val="Normal"/>
        <w:shd w:val="clear" w:color="auto" w:fill="FFFFFF" w:themeFill="background1"/>
        <w:suppressAutoHyphens w:val="false"/>
        <w:jc w:val="both"/>
        <w:textAlignment w:val="auto"/>
        <w:rPr>
          <w:rFonts w:ascii="Arial" w:hAnsi="Arial"/>
          <w:sz w:val="20"/>
          <w:szCs w:val="20"/>
        </w:rPr>
      </w:pPr>
      <w:r>
        <w:rPr>
          <w:rFonts w:eastAsia="Calibri" w:ascii="Arial" w:hAnsi="Arial"/>
          <w:sz w:val="20"/>
          <w:szCs w:val="20"/>
          <w:lang w:eastAsia="en-US"/>
        </w:rPr>
        <w:t xml:space="preserve">Les modalités fixant les garanties financières sont explicitées à l’article 27 du CCG.  </w:t>
      </w:r>
    </w:p>
    <w:p>
      <w:pPr>
        <w:pStyle w:val="Normal"/>
        <w:shd w:val="clear" w:color="auto" w:fill="FFFFFF" w:themeFill="background1"/>
        <w:suppressAutoHyphens w:val="false"/>
        <w:jc w:val="both"/>
        <w:textAlignment w:val="auto"/>
        <w:rPr>
          <w:rFonts w:ascii="Arial" w:hAnsi="Arial"/>
          <w:sz w:val="20"/>
          <w:szCs w:val="20"/>
        </w:rPr>
      </w:pPr>
      <w:r>
        <w:rPr>
          <w:rFonts w:eastAsia="Calibri" w:ascii="Arial" w:hAnsi="Arial"/>
          <w:sz w:val="20"/>
          <w:szCs w:val="20"/>
          <w:lang w:eastAsia="en-US"/>
        </w:rPr>
        <w:t xml:space="preserve">La garantie financière pour la phase travaux est fixée à 50% du montant des investissements initiaux, soit </w:t>
      </w:r>
      <w:r>
        <w:rPr>
          <w:rFonts w:eastAsia="Calibri" w:ascii="Arial" w:hAnsi="Arial"/>
          <w:sz w:val="20"/>
          <w:szCs w:val="20"/>
          <w:shd w:fill="FFFF00" w:val="clear"/>
          <w:lang w:eastAsia="en-US"/>
        </w:rPr>
        <w:t xml:space="preserve">….. </w:t>
      </w:r>
      <w:r>
        <w:rPr>
          <w:rFonts w:eastAsia="Calibri" w:ascii="Arial" w:hAnsi="Arial"/>
          <w:sz w:val="20"/>
          <w:szCs w:val="20"/>
          <w:lang w:eastAsia="en-US"/>
        </w:rPr>
        <w:t>€ HT.</w:t>
      </w:r>
    </w:p>
    <w:p>
      <w:pPr>
        <w:pStyle w:val="Normal"/>
        <w:shd w:val="clear" w:color="auto" w:fill="FFFFFF" w:themeFill="background1"/>
        <w:suppressAutoHyphens w:val="false"/>
        <w:jc w:val="both"/>
        <w:textAlignment w:val="auto"/>
        <w:rPr>
          <w:rFonts w:ascii="Arial" w:hAnsi="Arial"/>
          <w:sz w:val="20"/>
          <w:szCs w:val="20"/>
          <w:highlight w:val="yellow"/>
          <w:lang w:eastAsia="en-US"/>
        </w:rPr>
      </w:pPr>
      <w:r>
        <w:rPr>
          <w:rFonts w:ascii="Arial" w:hAnsi="Arial"/>
          <w:sz w:val="20"/>
          <w:szCs w:val="20"/>
          <w:highlight w:val="yellow"/>
          <w:lang w:eastAsia="en-US"/>
        </w:rPr>
      </w:r>
    </w:p>
    <w:p>
      <w:pPr>
        <w:pStyle w:val="Normal"/>
        <w:shd w:val="clear" w:color="auto" w:fill="FFFFFF" w:themeFill="background1"/>
        <w:suppressAutoHyphens w:val="false"/>
        <w:jc w:val="both"/>
        <w:textAlignment w:val="auto"/>
        <w:rPr>
          <w:rFonts w:ascii="Arial" w:hAnsi="Arial"/>
          <w:sz w:val="20"/>
          <w:szCs w:val="20"/>
        </w:rPr>
      </w:pPr>
      <w:r>
        <w:rPr>
          <w:rFonts w:eastAsia="Calibri" w:ascii="Arial" w:hAnsi="Arial"/>
          <w:sz w:val="20"/>
          <w:szCs w:val="20"/>
          <w:lang w:eastAsia="en-US"/>
        </w:rPr>
        <w:t xml:space="preserve">La garantie financière pour la phase exploitation est fixée à 75% du montant annuel de la redevance , soit </w:t>
      </w:r>
      <w:r>
        <w:rPr>
          <w:rFonts w:eastAsia="Calibri" w:ascii="Arial" w:hAnsi="Arial"/>
          <w:sz w:val="20"/>
          <w:szCs w:val="20"/>
          <w:shd w:fill="FFFF00" w:val="clear"/>
          <w:lang w:eastAsia="en-US"/>
        </w:rPr>
        <w:t>…..</w:t>
      </w:r>
      <w:r>
        <w:rPr>
          <w:rFonts w:eastAsia="Calibri" w:ascii="Arial" w:hAnsi="Arial"/>
          <w:sz w:val="20"/>
          <w:szCs w:val="20"/>
          <w:lang w:eastAsia="en-US"/>
        </w:rPr>
        <w:t xml:space="preserve"> € HT.</w:t>
      </w:r>
    </w:p>
    <w:p>
      <w:pPr>
        <w:pStyle w:val="Normal"/>
        <w:shd w:val="clear" w:color="auto" w:fill="FFFFFF" w:themeFill="background1"/>
        <w:suppressAutoHyphens w:val="false"/>
        <w:jc w:val="both"/>
        <w:textAlignment w:val="auto"/>
        <w:rPr>
          <w:rFonts w:ascii="Arial" w:hAnsi="Arial"/>
          <w:sz w:val="20"/>
          <w:szCs w:val="20"/>
          <w:highlight w:val="yellow"/>
          <w:lang w:eastAsia="en-US"/>
        </w:rPr>
      </w:pPr>
      <w:r>
        <w:rPr>
          <w:rFonts w:ascii="Arial" w:hAnsi="Arial"/>
          <w:sz w:val="20"/>
          <w:szCs w:val="20"/>
          <w:highlight w:val="yellow"/>
          <w:lang w:eastAsia="en-US"/>
        </w:rPr>
      </w:r>
    </w:p>
    <w:p>
      <w:pPr>
        <w:pStyle w:val="Headline1"/>
        <w:rPr>
          <w:sz w:val="20"/>
          <w:szCs w:val="20"/>
        </w:rPr>
      </w:pPr>
      <w:r>
        <w:rPr>
          <w:sz w:val="20"/>
          <w:szCs w:val="20"/>
        </w:rPr>
        <w:t>ARTICLE 10 - AMENAGEMENTS APPORTES AU CAHIER DES CLAUSES GENERALES</w:t>
      </w:r>
    </w:p>
    <w:p>
      <w:pPr>
        <w:pStyle w:val="Textbody"/>
        <w:rPr>
          <w:szCs w:val="20"/>
        </w:rPr>
      </w:pPr>
      <w:r>
        <w:rPr>
          <w:szCs w:val="20"/>
        </w:rPr>
        <w:t>Compte tenu des particularités des aires de Bosc-Mesnil et Maucomble, il est expressément prévu de déroger aux articles suivants du Cahier des clauses générales par les dispositions suivantes :</w:t>
      </w:r>
    </w:p>
    <w:p>
      <w:pPr>
        <w:pStyle w:val="Textbody"/>
        <w:numPr>
          <w:ilvl w:val="0"/>
          <w:numId w:val="5"/>
        </w:numPr>
        <w:rPr>
          <w:szCs w:val="20"/>
        </w:rPr>
      </w:pPr>
      <w:r>
        <w:rPr>
          <w:szCs w:val="20"/>
        </w:rPr>
        <w:t>Article 9.3 du CCG : la DIRNO autorise la fermeture totale de l’aire lors de la première phase de travaux de réhabilitation. Cette fermeture ne devra pas dépasser 6 mois et devra se produire en dehors de la période du 15 avril au 30 septembre.</w:t>
      </w:r>
    </w:p>
    <w:p>
      <w:pPr>
        <w:pStyle w:val="Textbody"/>
        <w:numPr>
          <w:ilvl w:val="0"/>
          <w:numId w:val="5"/>
        </w:numPr>
        <w:rPr>
          <w:highlight w:val="none"/>
          <w:shd w:fill="auto" w:val="clear"/>
        </w:rPr>
      </w:pPr>
      <w:r>
        <w:rPr>
          <w:szCs w:val="20"/>
          <w:shd w:fill="auto" w:val="clear"/>
        </w:rPr>
        <w:t xml:space="preserve">Article 13.1.2 : la DIRNO demande la mise en place obligatoire d’un système de vidéoprotection sur les parkings Poids Lourds </w:t>
      </w:r>
    </w:p>
    <w:p>
      <w:pPr>
        <w:pStyle w:val="Textbody"/>
        <w:numPr>
          <w:ilvl w:val="0"/>
          <w:numId w:val="5"/>
        </w:numPr>
        <w:rPr>
          <w:highlight w:val="none"/>
          <w:shd w:fill="auto" w:val="clear"/>
        </w:rPr>
      </w:pPr>
      <w:r>
        <w:rPr>
          <w:szCs w:val="20"/>
          <w:shd w:fill="auto" w:val="clear"/>
        </w:rPr>
        <w:t xml:space="preserve">Article 13.2 : </w:t>
      </w:r>
      <w:r>
        <w:rPr>
          <w:shd w:fill="auto" w:val="clear"/>
        </w:rPr>
        <w:t>les éclairages doivent être conformes à l'arrêté du 27 décembre 2018 relatif à la prévention, à la réduction et à la limitation des nuisances lumineuses</w:t>
      </w:r>
    </w:p>
    <w:p>
      <w:pPr>
        <w:pStyle w:val="Textbody"/>
        <w:numPr>
          <w:ilvl w:val="0"/>
          <w:numId w:val="5"/>
        </w:numPr>
        <w:rPr>
          <w:highlight w:val="none"/>
          <w:shd w:fill="auto" w:val="clear"/>
        </w:rPr>
      </w:pPr>
      <w:r>
        <w:rPr>
          <w:szCs w:val="20"/>
          <w:shd w:fill="auto" w:val="clear"/>
        </w:rPr>
        <w:t>Article 13.3 du CCG : Les travaux d’entretien et de maintenance des voies d’accélération et de décélération permettant l’accès à l’aire sont réalisés par le Concessionnaire</w:t>
      </w:r>
    </w:p>
    <w:p>
      <w:pPr>
        <w:pStyle w:val="Textbody"/>
        <w:numPr>
          <w:ilvl w:val="0"/>
          <w:numId w:val="5"/>
        </w:numPr>
        <w:rPr>
          <w:highlight w:val="none"/>
          <w:shd w:fill="auto" w:val="clear"/>
        </w:rPr>
      </w:pPr>
      <w:r>
        <w:rPr>
          <w:szCs w:val="20"/>
          <w:shd w:fill="auto" w:val="clear"/>
        </w:rPr>
        <w:t xml:space="preserve">Article 16.2 : le concessionnaire recourt </w:t>
      </w:r>
      <w:r>
        <w:rPr>
          <w:sz w:val="20"/>
          <w:szCs w:val="20"/>
          <w:shd w:fill="auto" w:val="clear"/>
        </w:rPr>
        <w:t>obligatoirement aux énergies renouvelables pour ses consommations énergétiques, le taux est défini dans l’offre et fixé à 30 % minimum.</w:t>
      </w:r>
    </w:p>
    <w:p>
      <w:pPr>
        <w:pStyle w:val="Textbody"/>
        <w:numPr>
          <w:ilvl w:val="0"/>
          <w:numId w:val="5"/>
        </w:numPr>
        <w:rPr>
          <w:highlight w:val="none"/>
          <w:shd w:fill="auto" w:val="clear"/>
        </w:rPr>
      </w:pPr>
      <w:r>
        <w:rPr>
          <w:szCs w:val="20"/>
          <w:shd w:fill="auto" w:val="clear"/>
        </w:rPr>
        <w:t>Article 18 du CCG : Le Concessionnaire assure une activité de distribution de carburants comprenant a minima les carburants suivants : Carburants de type Diesel (B7, B 10, XTL, etc.), carburants de type Essence (E5, E 10, E 85, etc.) </w:t>
      </w:r>
    </w:p>
    <w:p>
      <w:pPr>
        <w:pStyle w:val="Textbody"/>
        <w:numPr>
          <w:ilvl w:val="0"/>
          <w:numId w:val="5"/>
        </w:numPr>
        <w:rPr>
          <w:highlight w:val="none"/>
          <w:shd w:fill="auto" w:val="clear"/>
        </w:rPr>
      </w:pPr>
      <w:r>
        <w:rPr>
          <w:szCs w:val="20"/>
          <w:shd w:fill="auto" w:val="clear"/>
        </w:rPr>
        <w:t>Article 19 du CCG : L’activité restauration devra être assurée tous les jours de l’année au minimum de 7h à 22h.</w:t>
      </w:r>
    </w:p>
    <w:p>
      <w:pPr>
        <w:pStyle w:val="Textbody"/>
        <w:numPr>
          <w:ilvl w:val="0"/>
          <w:numId w:val="5"/>
        </w:numPr>
        <w:rPr>
          <w:highlight w:val="none"/>
          <w:shd w:fill="auto" w:val="clear"/>
        </w:rPr>
      </w:pPr>
      <w:r>
        <w:rPr>
          <w:szCs w:val="20"/>
          <w:shd w:fill="auto" w:val="clear"/>
        </w:rPr>
        <w:t>Article 26 du CCG : La DIRNO applique une redevance proportionnelle définie à l’article 8 de la présente Convention</w:t>
      </w:r>
    </w:p>
    <w:p>
      <w:pPr>
        <w:pStyle w:val="Textbody"/>
        <w:numPr>
          <w:ilvl w:val="0"/>
          <w:numId w:val="5"/>
        </w:numPr>
        <w:rPr>
          <w:highlight w:val="none"/>
          <w:shd w:fill="auto" w:val="clear"/>
        </w:rPr>
      </w:pPr>
      <w:r>
        <w:rPr>
          <w:szCs w:val="20"/>
          <w:shd w:fill="auto" w:val="clear"/>
        </w:rPr>
        <w:t xml:space="preserve">Liste non exhaustive qui pourra être complétée à mesure de la consultation </w:t>
      </w:r>
    </w:p>
    <w:p>
      <w:pPr>
        <w:pStyle w:val="Headline1"/>
        <w:rPr>
          <w:sz w:val="20"/>
          <w:szCs w:val="20"/>
        </w:rPr>
      </w:pPr>
      <w:r>
        <w:rPr>
          <w:sz w:val="20"/>
          <w:szCs w:val="20"/>
        </w:rPr>
        <w:t>ARTICLE 11 – DOCUMENTS CONTRACTUELS ET ANNEXES</w:t>
      </w:r>
    </w:p>
    <w:p>
      <w:pPr>
        <w:pStyle w:val="Textbody"/>
        <w:spacing w:before="0" w:after="240"/>
        <w:rPr>
          <w:szCs w:val="20"/>
        </w:rPr>
      </w:pPr>
      <w:r>
        <w:rPr>
          <w:szCs w:val="20"/>
        </w:rPr>
        <w:t>Les documents contractuels sont la présente convention de concession et l’ensemble de ses Annexes listées ci-après :</w:t>
      </w:r>
    </w:p>
    <w:tbl>
      <w:tblPr>
        <w:tblStyle w:val="Grilledutableau"/>
        <w:tblW w:w="928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552"/>
        <w:gridCol w:w="7735"/>
      </w:tblGrid>
      <w:tr>
        <w:trPr/>
        <w:tc>
          <w:tcPr>
            <w:tcW w:w="1552" w:type="dxa"/>
            <w:tcBorders>
              <w:top w:val="nil"/>
              <w:left w:val="nil"/>
              <w:bottom w:val="nil"/>
              <w:right w:val="nil"/>
            </w:tcBorders>
          </w:tcPr>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Annexe 1</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Annexe 2</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Annexe 3</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Annexe 4</w:t>
            </w:r>
          </w:p>
        </w:tc>
        <w:tc>
          <w:tcPr>
            <w:tcW w:w="7735" w:type="dxa"/>
            <w:tcBorders>
              <w:top w:val="nil"/>
              <w:left w:val="nil"/>
              <w:bottom w:val="nil"/>
              <w:right w:val="nil"/>
            </w:tcBorders>
          </w:tcPr>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Cahier des clauses générales</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Engagements qualitatifs et quantitatifs</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Plan masse avec le périmètre de la surface concédée</w:t>
            </w:r>
          </w:p>
          <w:p>
            <w:pPr>
              <w:pStyle w:val="Textbody"/>
              <w:widowControl w:val="false"/>
              <w:suppressAutoHyphens w:val="true"/>
              <w:spacing w:before="0" w:after="120"/>
              <w:rPr>
                <w:rFonts w:eastAsia="NSimSun"/>
                <w:kern w:val="2"/>
                <w:szCs w:val="20"/>
                <w:lang w:eastAsia="zh-CN" w:bidi="hi-IN"/>
              </w:rPr>
            </w:pPr>
            <w:r>
              <w:rPr>
                <w:rFonts w:eastAsia="NSimSun" w:cs="Arial"/>
                <w:kern w:val="2"/>
                <w:szCs w:val="20"/>
                <w:lang w:val="fr-FR" w:eastAsia="zh-CN" w:bidi="hi-IN"/>
              </w:rPr>
              <w:t>Dossier commercial, technique, et environnemental du Concessionnaire</w:t>
            </w:r>
          </w:p>
        </w:tc>
      </w:tr>
    </w:tbl>
    <w:p>
      <w:pPr>
        <w:pStyle w:val="Textbody"/>
        <w:spacing w:before="0" w:after="120"/>
        <w:rPr>
          <w:szCs w:val="20"/>
        </w:rPr>
      </w:pPr>
      <w:r>
        <w:rPr>
          <w:szCs w:val="20"/>
        </w:rPr>
      </w:r>
    </w:p>
    <w:p>
      <w:pPr>
        <w:pStyle w:val="Textbody"/>
        <w:spacing w:before="0" w:after="240"/>
        <w:rPr>
          <w:szCs w:val="20"/>
        </w:rPr>
      </w:pPr>
      <w:r>
        <w:rPr>
          <w:szCs w:val="20"/>
        </w:rPr>
        <w:t xml:space="preserve">Les Annexes font partie intégrante de la Convention de concession. </w:t>
      </w:r>
    </w:p>
    <w:p>
      <w:pPr>
        <w:pStyle w:val="Textbody"/>
        <w:spacing w:before="0" w:after="240"/>
        <w:rPr>
          <w:szCs w:val="20"/>
        </w:rPr>
      </w:pPr>
      <w:r>
        <w:rPr>
          <w:szCs w:val="20"/>
        </w:rPr>
        <w:t xml:space="preserve">En cas de contradiction, la Convention de concession prime sur le Cahier des clauses générales et sur les annexes suivantes. </w:t>
      </w:r>
    </w:p>
    <w:p>
      <w:pPr>
        <w:pStyle w:val="Textbody"/>
        <w:rPr>
          <w:szCs w:val="20"/>
        </w:rPr>
      </w:pPr>
      <w:r>
        <w:rPr>
          <w:szCs w:val="20"/>
        </w:rPr>
        <w:t>En outre, en cas de contradiction ou de difficultés d’interprétation d’une stipulation contractuelle, les parties s’attacheront à déterminer quelle a été la commune intention des parties, en premier lieu, au regard de l’ensemble des documents contractuels, en cherchant à donner un effet utile à la stipulation discutée, conforme aux impératifs du service concédé ; puis, au regard des documents de la consultation établis par le Concédant ; et en dernier lieu, au regard de la dernière offre présenté par le candidat lors de la procédure d’attribution de la concession.</w:t>
      </w:r>
    </w:p>
    <w:p>
      <w:pPr>
        <w:pStyle w:val="Standard"/>
        <w:jc w:val="both"/>
        <w:rPr>
          <w:rFonts w:eastAsia="Times New Roman"/>
          <w:sz w:val="20"/>
          <w:szCs w:val="20"/>
        </w:rPr>
      </w:pPr>
      <w:r>
        <w:rPr>
          <w:rFonts w:eastAsia="Times New Roman"/>
          <w:sz w:val="20"/>
          <w:szCs w:val="20"/>
        </w:rPr>
      </w:r>
    </w:p>
    <w:p>
      <w:pPr>
        <w:pStyle w:val="Standard"/>
        <w:jc w:val="both"/>
        <w:rPr>
          <w:rFonts w:eastAsia="Times New Roman"/>
          <w:sz w:val="20"/>
          <w:szCs w:val="20"/>
        </w:rPr>
      </w:pPr>
      <w:r>
        <w:rPr>
          <w:rFonts w:eastAsia="Times New Roman"/>
          <w:sz w:val="20"/>
          <w:szCs w:val="20"/>
        </w:rPr>
        <w:t>Une ampliation de la présente Convention et de ses annexes sera adressée à M le Directeur Interdépartemental des Routes Pascal GABET et à Mme la Directrice Régionale des Finances Publiques de Rouen Fabienne DUFAY, chargés chacun en ce qui le concerne, d'en assurer l’exécution.</w:t>
      </w:r>
    </w:p>
    <w:p>
      <w:pPr>
        <w:pStyle w:val="Standard"/>
        <w:jc w:val="both"/>
        <w:rPr>
          <w:rFonts w:eastAsia="Times New Roman"/>
          <w:sz w:val="20"/>
          <w:szCs w:val="20"/>
        </w:rPr>
      </w:pPr>
      <w:r>
        <w:rPr>
          <w:rFonts w:eastAsia="Times New Roman"/>
          <w:sz w:val="20"/>
          <w:szCs w:val="20"/>
        </w:rPr>
      </w:r>
    </w:p>
    <w:p>
      <w:pPr>
        <w:pStyle w:val="Standard"/>
        <w:spacing w:before="0" w:after="120"/>
        <w:rPr>
          <w:sz w:val="20"/>
          <w:szCs w:val="20"/>
        </w:rPr>
      </w:pPr>
      <w:r>
        <w:rPr>
          <w:sz w:val="20"/>
          <w:szCs w:val="20"/>
        </w:rPr>
      </w:r>
    </w:p>
    <w:p>
      <w:pPr>
        <w:pStyle w:val="Standard"/>
        <w:spacing w:before="0" w:after="120"/>
        <w:rPr>
          <w:sz w:val="20"/>
          <w:szCs w:val="20"/>
        </w:rPr>
      </w:pPr>
      <w:r>
        <w:rPr>
          <w:rFonts w:eastAsia="Times New Roman"/>
          <w:sz w:val="20"/>
          <w:szCs w:val="20"/>
        </w:rPr>
        <w:t>A ...................…                 le …</w:t>
      </w:r>
    </w:p>
    <w:sectPr>
      <w:footerReference w:type="default" r:id="rId6"/>
      <w:type w:val="nextPage"/>
      <w:pgSz w:w="11906" w:h="16838"/>
      <w:pgMar w:left="1138" w:right="1138" w:gutter="0" w:header="0" w:top="1138" w:footer="720" w:bottom="1138"/>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OpenSymbol">
    <w:altName w:val="Arial Unicode MS"/>
    <w:charset w:val="00"/>
    <w:family w:val="roman"/>
    <w:pitch w:val="variable"/>
  </w:font>
  <w:font w:name="Symbol">
    <w:charset w:val="00"/>
    <w:family w:val="roman"/>
    <w:pitch w:val="variable"/>
  </w:font>
  <w:font w:name="Calibri">
    <w:charset w:val="00"/>
    <w:family w:val="roman"/>
    <w:pitch w:val="variable"/>
  </w:font>
  <w:font w:name="Segoe UI">
    <w:charset w:val="00"/>
    <w:family w:val="roman"/>
    <w:pitch w:val="variable"/>
  </w:font>
  <w:font w:name="Marianne">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 w:name="Vinci San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53934307"/>
    </w:sdtPr>
    <w:sdtContent>
      <w:p>
        <w:pPr>
          <w:pStyle w:val="Pieddepage"/>
          <w:jc w:val="right"/>
          <w:rPr/>
        </w:pPr>
        <w:r>
          <w:rPr/>
          <w:fldChar w:fldCharType="begin"/>
        </w:r>
        <w:r>
          <w:rPr/>
          <w:instrText> PAGE </w:instrText>
        </w:r>
        <w:r>
          <w:rPr/>
          <w:fldChar w:fldCharType="separate"/>
        </w:r>
        <w:r>
          <w:rPr/>
          <w:t>8</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Titre3"/>
      <w:numFmt w:val="lowerLetter"/>
      <w:lvlText w:val=" %3)"/>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480" w:hanging="480"/>
      </w:pPr>
      <w:rPr>
        <w:rFonts w:ascii="Vinci Sans" w:hAnsi="Vinci Sans" w:cs="Vinci Sans" w:hint="default"/>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8">
    <w:lvl w:ilvl="0">
      <w:start w:val="1"/>
      <w:numFmt w:val="bullet"/>
      <w:lvlText w:val="o"/>
      <w:lvlJc w:val="left"/>
      <w:pPr>
        <w:tabs>
          <w:tab w:val="num" w:pos="0"/>
        </w:tabs>
        <w:ind w:left="480" w:hanging="480"/>
      </w:pPr>
      <w:rPr>
        <w:rFonts w:ascii="Courier New" w:hAnsi="Courier New" w:cs="Courier New" w:hint="default"/>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1f2e"/>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fr-FR" w:eastAsia="zh-CN" w:bidi="hi-IN"/>
    </w:rPr>
  </w:style>
  <w:style w:type="paragraph" w:styleId="Titre1">
    <w:name w:val="Heading 1"/>
    <w:basedOn w:val="Normal"/>
    <w:next w:val="Textbody"/>
    <w:link w:val="Titre1Car"/>
    <w:qFormat/>
    <w:rsid w:val="003e4058"/>
    <w:pPr>
      <w:keepNext w:val="true"/>
      <w:spacing w:lineRule="auto" w:line="264" w:before="600" w:after="480"/>
      <w:outlineLvl w:val="0"/>
    </w:pPr>
    <w:rPr>
      <w:rFonts w:ascii="Arial" w:hAnsi="Arial" w:eastAsia="Marianne"/>
      <w:b/>
      <w:bCs/>
      <w:caps/>
      <w:sz w:val="28"/>
      <w:szCs w:val="28"/>
    </w:rPr>
  </w:style>
  <w:style w:type="paragraph" w:styleId="Titre2">
    <w:name w:val="Heading 2"/>
    <w:basedOn w:val="Standard"/>
    <w:next w:val="Standard"/>
    <w:link w:val="Titre2Car"/>
    <w:qFormat/>
    <w:rsid w:val="003e4058"/>
    <w:pPr>
      <w:keepNext w:val="true"/>
      <w:keepLines/>
      <w:spacing w:lineRule="auto" w:line="264" w:before="480" w:after="360"/>
      <w:ind w:left="1354" w:hanging="1354"/>
      <w:jc w:val="both"/>
      <w:outlineLvl w:val="1"/>
    </w:pPr>
    <w:rPr>
      <w:b/>
      <w:smallCaps/>
    </w:rPr>
  </w:style>
  <w:style w:type="paragraph" w:styleId="Titre3">
    <w:name w:val="Heading 3"/>
    <w:basedOn w:val="Titre11"/>
    <w:next w:val="Textbody"/>
    <w:link w:val="Titre3Car"/>
    <w:qFormat/>
    <w:pPr>
      <w:numPr>
        <w:ilvl w:val="2"/>
        <w:numId w:val="1"/>
      </w:numPr>
      <w:spacing w:before="140" w:after="120"/>
      <w:outlineLvl w:val="2"/>
    </w:pPr>
    <w:rPr>
      <w:b/>
      <w:bCs/>
    </w:rPr>
  </w:style>
  <w:style w:type="paragraph" w:styleId="Titre4">
    <w:name w:val="Heading 4"/>
    <w:basedOn w:val="Titre11"/>
    <w:next w:val="Textbody"/>
    <w:qFormat/>
    <w:pPr>
      <w:outlineLvl w:val="3"/>
    </w:pPr>
    <w:rPr>
      <w:rFonts w:eastAsia="Liberation Sans" w:cs="Liberation Sans"/>
      <w:b/>
      <w:bCs/>
      <w:i/>
      <w:iCs/>
      <w:sz w:val="22"/>
    </w:rPr>
  </w:style>
  <w:style w:type="character" w:styleId="DefaultParagraphFont" w:default="1">
    <w:name w:val="Default Paragraph Font"/>
    <w:uiPriority w:val="1"/>
    <w:semiHidden/>
    <w:unhideWhenUsed/>
    <w:qFormat/>
    <w:rPr/>
  </w:style>
  <w:style w:type="character" w:styleId="Policepardfaut1" w:customStyle="1">
    <w:name w:val="Police par défaut1"/>
    <w:qFormat/>
    <w:rPr/>
  </w:style>
  <w:style w:type="character" w:styleId="Pagenumber">
    <w:name w:val="page number"/>
    <w:basedOn w:val="Policepardfaut1"/>
    <w:qFormat/>
    <w:rPr/>
  </w:style>
  <w:style w:type="character" w:styleId="Puces" w:customStyle="1">
    <w:name w:val="Puces"/>
    <w:qFormat/>
    <w:rPr>
      <w:rFonts w:ascii="OpenSymbol, 'Arial Unicode MS'" w:hAnsi="OpenSymbol, 'Arial Unicode MS'" w:eastAsia="OpenSymbol, 'Arial Unicode MS'" w:cs="OpenSymbol, 'Arial Unicode MS'"/>
    </w:rPr>
  </w:style>
  <w:style w:type="character" w:styleId="WW8Num22z0" w:customStyle="1">
    <w:name w:val="WW8Num22z0"/>
    <w:qFormat/>
    <w:rPr>
      <w:rFonts w:ascii="Symbol" w:hAnsi="Symbol" w:eastAsia="Times New Roman" w:cs="OpenSymbol, 'Arial Unicode MS'"/>
      <w:color w:val="auto"/>
      <w:sz w:val="20"/>
      <w:szCs w:val="20"/>
      <w:lang w:val="fr-FR" w:eastAsia="zh-CN" w:bidi="ar-SA"/>
    </w:rPr>
  </w:style>
  <w:style w:type="character" w:styleId="WW8Num22z1" w:customStyle="1">
    <w:name w:val="WW8Num22z1"/>
    <w:qFormat/>
    <w:rPr>
      <w:rFonts w:ascii="OpenSymbol, 'Arial Unicode MS'" w:hAnsi="OpenSymbol, 'Arial Unicode MS'" w:eastAsia="OpenSymbol, 'Arial Unicode MS'" w:cs="OpenSymbol, 'Arial Unicode MS'"/>
    </w:rPr>
  </w:style>
  <w:style w:type="character" w:styleId="WW8Num23z0" w:customStyle="1">
    <w:name w:val="WW8Num23z0"/>
    <w:qFormat/>
    <w:rPr>
      <w:rFonts w:ascii="Symbol" w:hAnsi="Symbol" w:eastAsia="Symbol" w:cs="OpenSymbol, 'Arial Unicode MS'"/>
    </w:rPr>
  </w:style>
  <w:style w:type="character" w:styleId="WW8Num23z1" w:customStyle="1">
    <w:name w:val="WW8Num23z1"/>
    <w:qFormat/>
    <w:rPr>
      <w:rFonts w:ascii="OpenSymbol, 'Arial Unicode MS'" w:hAnsi="OpenSymbol, 'Arial Unicode MS'" w:eastAsia="OpenSymbol, 'Arial Unicode MS'" w:cs="OpenSymbol, 'Arial Unicode MS'"/>
    </w:rPr>
  </w:style>
  <w:style w:type="character" w:styleId="WW8Num24z0" w:customStyle="1">
    <w:name w:val="WW8Num24z0"/>
    <w:qFormat/>
    <w:rPr>
      <w:rFonts w:ascii="Symbol" w:hAnsi="Symbol" w:eastAsia="Symbol" w:cs="OpenSymbol, 'Arial Unicode MS'"/>
      <w:sz w:val="20"/>
      <w:szCs w:val="20"/>
    </w:rPr>
  </w:style>
  <w:style w:type="character" w:styleId="WW8Num24z1" w:customStyle="1">
    <w:name w:val="WW8Num24z1"/>
    <w:qFormat/>
    <w:rPr>
      <w:rFonts w:ascii="OpenSymbol, 'Arial Unicode MS'" w:hAnsi="OpenSymbol, 'Arial Unicode MS'" w:eastAsia="OpenSymbol, 'Arial Unicode MS'" w:cs="OpenSymbol, 'Arial Unicode MS'"/>
    </w:rPr>
  </w:style>
  <w:style w:type="character" w:styleId="WW8Num25z0" w:customStyle="1">
    <w:name w:val="WW8Num25z0"/>
    <w:qFormat/>
    <w:rPr>
      <w:rFonts w:ascii="Symbol" w:hAnsi="Symbol" w:eastAsia="Symbol" w:cs="OpenSymbol, 'Arial Unicode MS'"/>
      <w:sz w:val="20"/>
      <w:szCs w:val="20"/>
    </w:rPr>
  </w:style>
  <w:style w:type="character" w:styleId="WW8Num25z1" w:customStyle="1">
    <w:name w:val="WW8Num25z1"/>
    <w:qFormat/>
    <w:rPr>
      <w:rFonts w:ascii="OpenSymbol, 'Arial Unicode MS'" w:hAnsi="OpenSymbol, 'Arial Unicode MS'" w:eastAsia="OpenSymbol, 'Arial Unicode MS'" w:cs="OpenSymbol, 'Arial Unicode MS'"/>
    </w:rPr>
  </w:style>
  <w:style w:type="character" w:styleId="WW8Num26z0" w:customStyle="1">
    <w:name w:val="WW8Num26z0"/>
    <w:qFormat/>
    <w:rPr>
      <w:rFonts w:ascii="Symbol" w:hAnsi="Symbol" w:eastAsia="Symbol" w:cs="OpenSymbol, 'Arial Unicode MS'"/>
    </w:rPr>
  </w:style>
  <w:style w:type="character" w:styleId="WW8Num26z1" w:customStyle="1">
    <w:name w:val="WW8Num26z1"/>
    <w:qFormat/>
    <w:rPr>
      <w:rFonts w:ascii="OpenSymbol, 'Arial Unicode MS'" w:hAnsi="OpenSymbol, 'Arial Unicode MS'" w:eastAsia="OpenSymbol, 'Arial Unicode MS'" w:cs="OpenSymbol, 'Arial Unicode MS'"/>
    </w:rPr>
  </w:style>
  <w:style w:type="character" w:styleId="WW8Num7z0" w:customStyle="1">
    <w:name w:val="WW8Num7z0"/>
    <w:qFormat/>
    <w:rPr>
      <w:rFonts w:ascii="Symbol" w:hAnsi="Symbol" w:eastAsia="Symbol" w:cs="Symbol"/>
      <w:sz w:val="20"/>
      <w:szCs w:val="20"/>
    </w:rPr>
  </w:style>
  <w:style w:type="character" w:styleId="WW8Num8z0" w:customStyle="1">
    <w:name w:val="WW8Num8z0"/>
    <w:qFormat/>
    <w:rPr>
      <w:rFonts w:ascii="Symbol" w:hAnsi="Symbol" w:eastAsia="Symbol" w:cs="Arial"/>
      <w:b w:val="false"/>
      <w:i w:val="false"/>
      <w:sz w:val="20"/>
      <w:szCs w:val="20"/>
      <w:u w:val="none"/>
    </w:rPr>
  </w:style>
  <w:style w:type="character" w:styleId="WW8Num9z0" w:customStyle="1">
    <w:name w:val="WW8Num9z0"/>
    <w:qFormat/>
    <w:rPr>
      <w:rFonts w:ascii="Symbol" w:hAnsi="Symbol" w:eastAsia="Symbol" w:cs="Arial"/>
      <w:b w:val="false"/>
      <w:i w:val="false"/>
      <w:sz w:val="20"/>
      <w:szCs w:val="20"/>
      <w:u w:val="none"/>
    </w:rPr>
  </w:style>
  <w:style w:type="character" w:styleId="WW8Num6z0" w:customStyle="1">
    <w:name w:val="WW8Num6z0"/>
    <w:qFormat/>
    <w:rPr>
      <w:rFonts w:ascii="Symbol" w:hAnsi="Symbol" w:eastAsia="Symbol" w:cs="Symbol"/>
      <w:sz w:val="20"/>
      <w:szCs w:val="20"/>
    </w:rPr>
  </w:style>
  <w:style w:type="character" w:styleId="WW8Num3z0" w:customStyle="1">
    <w:name w:val="WW8Num3z0"/>
    <w:qFormat/>
    <w:rPr>
      <w:b/>
      <w:bCs/>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Caractresdenumrotation" w:customStyle="1">
    <w:name w:val="Caractères de numérotation"/>
    <w:qFormat/>
    <w:rPr>
      <w:rFonts w:ascii="Calibri" w:hAnsi="Calibri" w:eastAsia="Calibri" w:cs="Calibri"/>
      <w:sz w:val="24"/>
      <w:szCs w:val="24"/>
    </w:rPr>
  </w:style>
  <w:style w:type="character" w:styleId="LienInternet" w:customStyle="1">
    <w:name w:val="Lien Internet"/>
    <w:qFormat/>
    <w:rPr>
      <w:color w:val="000080"/>
      <w:u w:val="single"/>
    </w:rPr>
  </w:style>
  <w:style w:type="character" w:styleId="Sautdindex" w:customStyle="1">
    <w:name w:val="Saut d'index"/>
    <w:qFormat/>
    <w:rPr/>
  </w:style>
  <w:style w:type="character" w:styleId="Character20style" w:customStyle="1">
    <w:name w:val="Character_20_style"/>
    <w:qFormat/>
    <w:rPr/>
  </w:style>
  <w:style w:type="character" w:styleId="CommentaireCar" w:customStyle="1">
    <w:name w:val="Commentaire Car"/>
    <w:basedOn w:val="DefaultParagraphFont"/>
    <w:link w:val="Commentaire"/>
    <w:uiPriority w:val="99"/>
    <w:semiHidden/>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TextedebullesCar" w:customStyle="1">
    <w:name w:val="Texte de bulles Car"/>
    <w:basedOn w:val="DefaultParagraphFont"/>
    <w:link w:val="Textedebulles"/>
    <w:uiPriority w:val="99"/>
    <w:semiHidden/>
    <w:qFormat/>
    <w:rsid w:val="0069402e"/>
    <w:rPr>
      <w:rFonts w:ascii="Segoe UI" w:hAnsi="Segoe UI" w:cs="Mangal"/>
      <w:sz w:val="18"/>
      <w:szCs w:val="16"/>
    </w:rPr>
  </w:style>
  <w:style w:type="character" w:styleId="PlaceholderText">
    <w:name w:val="Placeholder Text"/>
    <w:basedOn w:val="DefaultParagraphFont"/>
    <w:uiPriority w:val="99"/>
    <w:semiHidden/>
    <w:qFormat/>
    <w:rsid w:val="00a440a7"/>
    <w:rPr>
      <w:color w:val="808080"/>
    </w:rPr>
  </w:style>
  <w:style w:type="character" w:styleId="StandardCar" w:customStyle="1">
    <w:name w:val="Standard Car"/>
    <w:basedOn w:val="DefaultParagraphFont"/>
    <w:link w:val="Standard"/>
    <w:qFormat/>
    <w:rsid w:val="00a440a7"/>
    <w:rPr/>
  </w:style>
  <w:style w:type="character" w:styleId="DocsIDCar" w:customStyle="1">
    <w:name w:val="DocsID Car"/>
    <w:basedOn w:val="StandardCar"/>
    <w:link w:val="DocsID"/>
    <w:qFormat/>
    <w:rsid w:val="00a440a7"/>
    <w:rPr>
      <w:rFonts w:ascii="Marianne" w:hAnsi="Marianne"/>
      <w:sz w:val="16"/>
      <w:szCs w:val="20"/>
    </w:rPr>
  </w:style>
  <w:style w:type="character" w:styleId="HeadingCar" w:customStyle="1">
    <w:name w:val="Heading Car"/>
    <w:basedOn w:val="StandardCar"/>
    <w:link w:val="Titre10"/>
    <w:qFormat/>
    <w:rsid w:val="00160d00"/>
    <w:rPr>
      <w:rFonts w:ascii="Liberation Sans" w:hAnsi="Liberation Sans" w:eastAsia="Microsoft YaHei"/>
      <w:sz w:val="28"/>
      <w:szCs w:val="28"/>
    </w:rPr>
  </w:style>
  <w:style w:type="character" w:styleId="Titre1Car" w:customStyle="1">
    <w:name w:val="Titre 1 Car"/>
    <w:basedOn w:val="HeadingCar"/>
    <w:link w:val="Titre1"/>
    <w:qFormat/>
    <w:rsid w:val="003e4058"/>
    <w:rPr>
      <w:rFonts w:ascii="Arial" w:hAnsi="Arial" w:eastAsia="Marianne"/>
      <w:b/>
      <w:bCs/>
      <w:caps/>
      <w:sz w:val="28"/>
      <w:szCs w:val="28"/>
    </w:rPr>
  </w:style>
  <w:style w:type="character" w:styleId="Headline1Car" w:customStyle="1">
    <w:name w:val="Headline 1 Car"/>
    <w:basedOn w:val="Titre1Car"/>
    <w:link w:val="Headline1"/>
    <w:qFormat/>
    <w:rsid w:val="00160d00"/>
    <w:rPr>
      <w:rFonts w:ascii="Arial" w:hAnsi="Arial" w:eastAsia="Marianne"/>
      <w:b/>
      <w:bCs/>
      <w:caps w:val="false"/>
      <w:smallCaps w:val="false"/>
      <w:sz w:val="28"/>
      <w:szCs w:val="28"/>
    </w:rPr>
  </w:style>
  <w:style w:type="character" w:styleId="Titre2Car" w:customStyle="1">
    <w:name w:val="Titre 2 Car"/>
    <w:basedOn w:val="DefaultParagraphFont"/>
    <w:link w:val="Titre2"/>
    <w:qFormat/>
    <w:rsid w:val="00f80317"/>
    <w:rPr>
      <w:rFonts w:ascii="Arial" w:hAnsi="Arial" w:eastAsia="Arial"/>
      <w:b/>
      <w:smallCaps/>
      <w:sz w:val="22"/>
    </w:rPr>
  </w:style>
  <w:style w:type="character" w:styleId="Bodytext1" w:customStyle="1">
    <w:name w:val="Body text|1_"/>
    <w:basedOn w:val="DefaultParagraphFont"/>
    <w:link w:val="Bodytext10"/>
    <w:qFormat/>
    <w:rsid w:val="001b1717"/>
    <w:rPr>
      <w:sz w:val="17"/>
      <w:szCs w:val="17"/>
      <w:shd w:fill="FFFFFF" w:val="clear"/>
    </w:rPr>
  </w:style>
  <w:style w:type="character" w:styleId="Heading31" w:customStyle="1">
    <w:name w:val="Heading #3|1_"/>
    <w:basedOn w:val="DefaultParagraphFont"/>
    <w:link w:val="Heading310"/>
    <w:qFormat/>
    <w:rsid w:val="001b1717"/>
    <w:rPr>
      <w:b/>
      <w:bCs/>
      <w:sz w:val="19"/>
      <w:szCs w:val="19"/>
      <w:shd w:fill="FFFFFF" w:val="clear"/>
    </w:rPr>
  </w:style>
  <w:style w:type="character" w:styleId="Bodytext2" w:customStyle="1">
    <w:name w:val="Body text|2_"/>
    <w:basedOn w:val="DefaultParagraphFont"/>
    <w:link w:val="Bodytext20"/>
    <w:qFormat/>
    <w:rsid w:val="00456a2a"/>
    <w:rPr>
      <w:color w:val="EBEBEB"/>
      <w:sz w:val="15"/>
      <w:szCs w:val="15"/>
      <w:shd w:fill="FFFFFF" w:val="clear"/>
    </w:rPr>
  </w:style>
  <w:style w:type="character" w:styleId="Heading21" w:customStyle="1">
    <w:name w:val="Heading #2|1_"/>
    <w:basedOn w:val="DefaultParagraphFont"/>
    <w:link w:val="Heading210"/>
    <w:qFormat/>
    <w:rsid w:val="00456a2a"/>
    <w:rPr>
      <w:b/>
      <w:bCs/>
      <w:shd w:fill="FFFFFF" w:val="clear"/>
    </w:rPr>
  </w:style>
  <w:style w:type="character" w:styleId="Picturecaption1" w:customStyle="1">
    <w:name w:val="Picture caption|1_"/>
    <w:basedOn w:val="DefaultParagraphFont"/>
    <w:link w:val="Picturecaption10"/>
    <w:qFormat/>
    <w:rsid w:val="00456a2a"/>
    <w:rPr>
      <w:color w:val="EBEBEB"/>
      <w:sz w:val="15"/>
      <w:szCs w:val="15"/>
      <w:shd w:fill="FFFFFF" w:val="clear"/>
    </w:rPr>
  </w:style>
  <w:style w:type="character" w:styleId="Corpsdetexte2Car" w:customStyle="1">
    <w:name w:val="Corps de texte 2 Car"/>
    <w:basedOn w:val="DefaultParagraphFont"/>
    <w:link w:val="Corpsdetexte2"/>
    <w:qFormat/>
    <w:rsid w:val="00fa16cf"/>
    <w:rPr>
      <w:sz w:val="22"/>
    </w:rPr>
  </w:style>
  <w:style w:type="character" w:styleId="Titre3Car" w:customStyle="1">
    <w:name w:val="Titre 3 Car"/>
    <w:basedOn w:val="DefaultParagraphFont"/>
    <w:link w:val="Titre3"/>
    <w:qFormat/>
    <w:rsid w:val="000759a8"/>
    <w:rPr>
      <w:rFonts w:ascii="Liberation Sans" w:hAnsi="Liberation Sans" w:eastAsia="Microsoft YaHei"/>
      <w:b/>
      <w:bCs/>
      <w:sz w:val="28"/>
      <w:szCs w:val="28"/>
    </w:rPr>
  </w:style>
  <w:style w:type="character" w:styleId="PieddepageCar" w:customStyle="1">
    <w:name w:val="Pied de page Car"/>
    <w:basedOn w:val="DefaultParagraphFont"/>
    <w:link w:val="Pieddepage"/>
    <w:uiPriority w:val="99"/>
    <w:qFormat/>
    <w:rsid w:val="005f5df4"/>
    <w:rPr/>
  </w:style>
  <w:style w:type="character" w:styleId="EntteCar" w:customStyle="1">
    <w:name w:val="En-tête Car"/>
    <w:basedOn w:val="DefaultParagraphFont"/>
    <w:uiPriority w:val="99"/>
    <w:qFormat/>
    <w:rsid w:val="005f5df4"/>
    <w:rPr/>
  </w:style>
  <w:style w:type="character" w:styleId="ObjetducommentaireCar" w:customStyle="1">
    <w:name w:val="Objet du commentaire Car"/>
    <w:basedOn w:val="CommentaireCar"/>
    <w:link w:val="Objetducommentaire"/>
    <w:uiPriority w:val="99"/>
    <w:semiHidden/>
    <w:qFormat/>
    <w:rsid w:val="00b60332"/>
    <w:rPr>
      <w:rFonts w:cs="Mangal"/>
      <w:b/>
      <w:bCs/>
      <w:sz w:val="20"/>
      <w:szCs w:val="18"/>
    </w:rPr>
  </w:style>
  <w:style w:type="character" w:styleId="CorpsdetexteCar" w:customStyle="1">
    <w:name w:val="Corps de texte Car"/>
    <w:basedOn w:val="DefaultParagraphFont"/>
    <w:link w:val="Corpsdetexte"/>
    <w:uiPriority w:val="99"/>
    <w:semiHidden/>
    <w:qFormat/>
    <w:rsid w:val="007b4980"/>
    <w:rPr>
      <w:rFonts w:cs="Mangal"/>
      <w:szCs w:val="21"/>
    </w:rPr>
  </w:style>
  <w:style w:type="character" w:styleId="IntenseEmphasis">
    <w:name w:val="Intense Emphasis"/>
    <w:basedOn w:val="DefaultParagraphFont"/>
    <w:uiPriority w:val="21"/>
    <w:qFormat/>
    <w:rsid w:val="002b5d73"/>
    <w:rPr>
      <w:i/>
      <w:iCs/>
      <w:color w:val="5B9BD5" w:themeColor="accent1"/>
    </w:rPr>
  </w:style>
  <w:style w:type="character" w:styleId="Numrotationdelignes" w:customStyle="1">
    <w:name w:val="Numérotation de lignes"/>
    <w:rPr/>
  </w:style>
  <w:style w:type="character" w:styleId="Textenonproportionnel" w:customStyle="1">
    <w:name w:val="Texte non proportionnel"/>
    <w:qFormat/>
    <w:rPr>
      <w:rFonts w:ascii="Liberation Mono" w:hAnsi="Liberation Mono" w:eastAsia="NSimSun" w:cs="Liberation Mono"/>
    </w:rPr>
  </w:style>
  <w:style w:type="character" w:styleId="Policepardfaut">
    <w:name w:val="Police par défaut"/>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99"/>
    <w:semiHidden/>
    <w:unhideWhenUsed/>
    <w:rsid w:val="007b4980"/>
    <w:pPr>
      <w:spacing w:before="0" w:after="120"/>
    </w:pPr>
    <w:rPr>
      <w:rFonts w:cs="Mangal"/>
      <w:szCs w:val="21"/>
    </w:rPr>
  </w:style>
  <w:style w:type="paragraph" w:styleId="Liste">
    <w:name w:val="List"/>
    <w:basedOn w:val="Textbody"/>
    <w:pP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Standard"/>
    <w:qFormat/>
    <w:pPr>
      <w:suppressLineNumbers/>
    </w:pPr>
    <w:rPr/>
  </w:style>
  <w:style w:type="paragraph" w:styleId="Titre11" w:customStyle="1">
    <w:name w:val="Titre1"/>
    <w:basedOn w:val="Standard"/>
    <w:next w:val="Textbody"/>
    <w:link w:val="HeadingCar"/>
    <w:qFormat/>
    <w:pPr>
      <w:keepNext w:val="true"/>
      <w:spacing w:before="240" w:after="120"/>
    </w:pPr>
    <w:rPr>
      <w:rFonts w:ascii="Liberation Sans" w:hAnsi="Liberation Sans" w:eastAsia="Microsoft YaHei"/>
      <w:sz w:val="28"/>
      <w:szCs w:val="28"/>
    </w:rPr>
  </w:style>
  <w:style w:type="paragraph" w:styleId="Caption">
    <w:name w:val="caption"/>
    <w:basedOn w:val="Standard"/>
    <w:qFormat/>
    <w:pPr>
      <w:suppressLineNumbers/>
      <w:spacing w:before="120" w:after="120"/>
    </w:pPr>
    <w:rPr>
      <w:i/>
      <w:iCs/>
    </w:rPr>
  </w:style>
  <w:style w:type="paragraph" w:styleId="Standard" w:customStyle="1">
    <w:name w:val="Standard"/>
    <w:link w:val="StandardCar"/>
    <w:qFormat/>
    <w:pPr>
      <w:widowControl/>
      <w:suppressAutoHyphens w:val="true"/>
      <w:bidi w:val="0"/>
      <w:spacing w:before="0" w:after="0"/>
      <w:jc w:val="left"/>
      <w:textAlignment w:val="baseline"/>
    </w:pPr>
    <w:rPr>
      <w:rFonts w:ascii="Arial" w:hAnsi="Arial" w:eastAsia="Arial" w:cs="Arial"/>
      <w:color w:val="auto"/>
      <w:kern w:val="0"/>
      <w:sz w:val="22"/>
      <w:szCs w:val="22"/>
      <w:lang w:val="fr-FR" w:eastAsia="en-US" w:bidi="ar-SA"/>
    </w:rPr>
  </w:style>
  <w:style w:type="paragraph" w:styleId="Textbody" w:customStyle="1">
    <w:name w:val="Text body"/>
    <w:basedOn w:val="NormalWeb"/>
    <w:qFormat/>
    <w:rsid w:val="00db5b0a"/>
    <w:pPr>
      <w:tabs>
        <w:tab w:val="clear" w:pos="709"/>
        <w:tab w:val="left" w:pos="720" w:leader="none"/>
      </w:tabs>
    </w:pPr>
    <w:rPr/>
  </w:style>
  <w:style w:type="paragraph" w:styleId="Contenudecadre" w:customStyle="1">
    <w:name w:val="Contenu de cadre"/>
    <w:basedOn w:val="Standard"/>
    <w:qFormat/>
    <w:pPr/>
    <w:rPr/>
  </w:style>
  <w:style w:type="paragraph" w:styleId="BodyText21">
    <w:name w:val="Body Text 2"/>
    <w:basedOn w:val="Standard"/>
    <w:link w:val="Corpsdetexte2Car"/>
    <w:qFormat/>
    <w:pPr>
      <w:jc w:val="center"/>
    </w:pPr>
    <w:rPr/>
  </w:style>
  <w:style w:type="paragraph" w:styleId="Trame" w:customStyle="1">
    <w:name w:val="Trame"/>
    <w:basedOn w:val="Standard"/>
    <w:qFormat/>
    <w:pPr>
      <w:jc w:val="center"/>
    </w:pPr>
    <w:rPr>
      <w:b/>
      <w:sz w:val="40"/>
    </w:rPr>
  </w:style>
  <w:style w:type="paragraph" w:styleId="Cadrerelief" w:customStyle="1">
    <w:name w:val="Cadre_relief"/>
    <w:basedOn w:val="Standard"/>
    <w:qFormat/>
    <w:pPr>
      <w:pBdr>
        <w:top w:val="double" w:sz="2" w:space="14" w:color="000000" w:shadow="1"/>
        <w:left w:val="double" w:sz="2" w:space="14" w:color="000000" w:shadow="1"/>
        <w:bottom w:val="double" w:sz="2" w:space="14" w:color="000000" w:shadow="1"/>
        <w:right w:val="double" w:sz="2" w:space="14" w:color="000000" w:shadow="1"/>
      </w:pBdr>
      <w:ind w:left="284" w:right="283" w:hanging="0"/>
    </w:pPr>
    <w:rPr/>
  </w:style>
  <w:style w:type="paragraph" w:styleId="Reponse" w:customStyle="1">
    <w:name w:val="Reponse"/>
    <w:basedOn w:val="Standard"/>
    <w:qFormat/>
    <w:pPr>
      <w:ind w:left="567" w:right="567" w:hanging="0"/>
    </w:pPr>
    <w:rPr/>
  </w:style>
  <w:style w:type="paragraph" w:styleId="Entteetpieddepage" w:customStyle="1">
    <w:name w:val="En-tête et pied de page"/>
    <w:basedOn w:val="Normal"/>
    <w:qFormat/>
    <w:pPr/>
    <w:rPr/>
  </w:style>
  <w:style w:type="paragraph" w:styleId="Entte">
    <w:name w:val="Header"/>
    <w:basedOn w:val="Standard"/>
    <w:uiPriority w:val="99"/>
    <w:pPr>
      <w:tabs>
        <w:tab w:val="clear" w:pos="709"/>
        <w:tab w:val="center" w:pos="4536" w:leader="none"/>
        <w:tab w:val="right" w:pos="9072" w:leader="none"/>
      </w:tabs>
    </w:pPr>
    <w:rPr/>
  </w:style>
  <w:style w:type="paragraph" w:styleId="Pieddepage">
    <w:name w:val="Footer"/>
    <w:basedOn w:val="Standard"/>
    <w:link w:val="PieddepageCar"/>
    <w:uiPriority w:val="99"/>
    <w:pPr>
      <w:tabs>
        <w:tab w:val="clear" w:pos="709"/>
        <w:tab w:val="center" w:pos="4536" w:leader="none"/>
        <w:tab w:val="right" w:pos="9072" w:leader="none"/>
      </w:tabs>
    </w:pPr>
    <w:rPr/>
  </w:style>
  <w:style w:type="paragraph" w:styleId="NormalWeb">
    <w:name w:val="Normal (Web)"/>
    <w:basedOn w:val="Standard"/>
    <w:uiPriority w:val="99"/>
    <w:qFormat/>
    <w:rsid w:val="00c337be"/>
    <w:pPr>
      <w:spacing w:lineRule="auto" w:line="264" w:before="240" w:after="240"/>
      <w:jc w:val="both"/>
      <w:textAlignment w:val="auto"/>
    </w:pPr>
    <w:rPr>
      <w:sz w:val="20"/>
    </w:rPr>
  </w:style>
  <w:style w:type="paragraph" w:styleId="MTexteCourant" w:customStyle="1">
    <w:name w:val="m-TexteCourant"/>
    <w:basedOn w:val="Standard"/>
    <w:qFormat/>
    <w:pPr>
      <w:suppressAutoHyphens w:val="false"/>
      <w:spacing w:lineRule="exact" w:line="260"/>
      <w:ind w:left="851" w:hanging="0"/>
      <w:jc w:val="both"/>
    </w:pPr>
    <w:rPr>
      <w:rFonts w:ascii="Liberation Sans" w:hAnsi="Liberation Sans" w:eastAsia="Liberation Sans" w:cs="Liberation Sans"/>
      <w:szCs w:val="18"/>
    </w:rPr>
  </w:style>
  <w:style w:type="paragraph" w:styleId="Contenudetableau" w:customStyle="1">
    <w:name w:val="Contenu de tableau"/>
    <w:basedOn w:val="Standard"/>
    <w:qFormat/>
    <w:pPr>
      <w:suppressLineNumbers/>
    </w:pPr>
    <w:rPr/>
  </w:style>
  <w:style w:type="paragraph" w:styleId="ContentsHeading" w:customStyle="1">
    <w:name w:val="Contents Heading"/>
    <w:basedOn w:val="Titre11"/>
    <w:qFormat/>
    <w:pPr>
      <w:suppressLineNumbers/>
    </w:pPr>
    <w:rPr>
      <w:b/>
      <w:bCs/>
      <w:sz w:val="32"/>
      <w:szCs w:val="32"/>
    </w:rPr>
  </w:style>
  <w:style w:type="paragraph" w:styleId="Contents1" w:customStyle="1">
    <w:name w:val="Contents 1"/>
    <w:basedOn w:val="Index"/>
    <w:qFormat/>
    <w:pPr>
      <w:tabs>
        <w:tab w:val="clear" w:pos="709"/>
        <w:tab w:val="right" w:pos="9638" w:leader="dot"/>
      </w:tabs>
    </w:pPr>
    <w:rPr/>
  </w:style>
  <w:style w:type="paragraph" w:styleId="Contents2" w:customStyle="1">
    <w:name w:val="Contents 2"/>
    <w:basedOn w:val="Index"/>
    <w:qFormat/>
    <w:pPr>
      <w:tabs>
        <w:tab w:val="clear" w:pos="709"/>
        <w:tab w:val="right" w:pos="9638" w:leader="dot"/>
      </w:tabs>
      <w:ind w:left="283" w:hanging="0"/>
    </w:pPr>
    <w:rPr/>
  </w:style>
  <w:style w:type="paragraph" w:styleId="Contents3" w:customStyle="1">
    <w:name w:val="Contents 3"/>
    <w:basedOn w:val="Index"/>
    <w:qFormat/>
    <w:pPr>
      <w:tabs>
        <w:tab w:val="clear" w:pos="709"/>
        <w:tab w:val="right" w:pos="9638" w:leader="dot"/>
      </w:tabs>
      <w:ind w:left="566" w:hanging="0"/>
    </w:pPr>
    <w:rPr/>
  </w:style>
  <w:style w:type="paragraph" w:styleId="Textbodyindent" w:customStyle="1">
    <w:name w:val="Text body indent"/>
    <w:basedOn w:val="Standard"/>
    <w:qFormat/>
    <w:pPr>
      <w:ind w:firstLine="708"/>
    </w:pPr>
    <w:rPr/>
  </w:style>
  <w:style w:type="paragraph" w:styleId="Annotationtext">
    <w:name w:val="annotation text"/>
    <w:basedOn w:val="Normal"/>
    <w:link w:val="CommentaireCar"/>
    <w:uiPriority w:val="99"/>
    <w:semiHidden/>
    <w:unhideWhenUsed/>
    <w:qFormat/>
    <w:pPr/>
    <w:rPr>
      <w:rFonts w:cs="Mangal"/>
      <w:sz w:val="20"/>
      <w:szCs w:val="18"/>
    </w:rPr>
  </w:style>
  <w:style w:type="paragraph" w:styleId="BalloonText">
    <w:name w:val="Balloon Text"/>
    <w:basedOn w:val="Normal"/>
    <w:link w:val="TextedebullesCar"/>
    <w:uiPriority w:val="99"/>
    <w:semiHidden/>
    <w:unhideWhenUsed/>
    <w:qFormat/>
    <w:rsid w:val="0069402e"/>
    <w:pPr/>
    <w:rPr>
      <w:rFonts w:ascii="Segoe UI" w:hAnsi="Segoe UI" w:cs="Mangal"/>
      <w:sz w:val="18"/>
      <w:szCs w:val="16"/>
    </w:rPr>
  </w:style>
  <w:style w:type="paragraph" w:styleId="DocsID" w:customStyle="1">
    <w:name w:val="DocsID"/>
    <w:basedOn w:val="Normal"/>
    <w:link w:val="DocsIDCar"/>
    <w:qFormat/>
    <w:rsid w:val="00a440a7"/>
    <w:pPr>
      <w:jc w:val="both"/>
    </w:pPr>
    <w:rPr>
      <w:rFonts w:ascii="Marianne" w:hAnsi="Marianne"/>
      <w:sz w:val="16"/>
      <w:szCs w:val="20"/>
    </w:rPr>
  </w:style>
  <w:style w:type="paragraph" w:styleId="ListParagraph">
    <w:name w:val="List Paragraph"/>
    <w:basedOn w:val="Normal"/>
    <w:uiPriority w:val="34"/>
    <w:qFormat/>
    <w:rsid w:val="00eb6ac8"/>
    <w:pPr>
      <w:spacing w:before="0" w:after="0"/>
      <w:ind w:left="720" w:hanging="0"/>
      <w:contextualSpacing/>
    </w:pPr>
    <w:rPr>
      <w:rFonts w:cs="Mangal"/>
      <w:szCs w:val="21"/>
    </w:rPr>
  </w:style>
  <w:style w:type="paragraph" w:styleId="Headline1" w:customStyle="1">
    <w:name w:val="Headline 1"/>
    <w:basedOn w:val="Titre1"/>
    <w:link w:val="Headline1Car"/>
    <w:qFormat/>
    <w:rsid w:val="00160d00"/>
    <w:pPr>
      <w:outlineLvl w:val="9"/>
    </w:pPr>
    <w:rPr>
      <w:caps w:val="false"/>
      <w:smallCaps w:val="false"/>
    </w:rPr>
  </w:style>
  <w:style w:type="paragraph" w:styleId="Bodytext11" w:customStyle="1">
    <w:name w:val="Body text|1"/>
    <w:basedOn w:val="Normal"/>
    <w:link w:val="Bodytext1"/>
    <w:qFormat/>
    <w:rsid w:val="001b1717"/>
    <w:pPr>
      <w:widowControl w:val="false"/>
      <w:shd w:val="clear" w:color="auto" w:fill="FFFFFF"/>
      <w:suppressAutoHyphens w:val="false"/>
      <w:spacing w:before="0" w:after="60"/>
      <w:textAlignment w:val="auto"/>
    </w:pPr>
    <w:rPr>
      <w:sz w:val="17"/>
      <w:szCs w:val="17"/>
    </w:rPr>
  </w:style>
  <w:style w:type="paragraph" w:styleId="Heading311" w:customStyle="1">
    <w:name w:val="Heading #3|1"/>
    <w:basedOn w:val="Normal"/>
    <w:link w:val="Heading31"/>
    <w:qFormat/>
    <w:rsid w:val="001b1717"/>
    <w:pPr>
      <w:widowControl w:val="false"/>
      <w:shd w:val="clear" w:color="auto" w:fill="FFFFFF"/>
      <w:suppressAutoHyphens w:val="false"/>
      <w:spacing w:before="0" w:after="160"/>
      <w:textAlignment w:val="auto"/>
      <w:outlineLvl w:val="2"/>
    </w:pPr>
    <w:rPr>
      <w:b/>
      <w:bCs/>
      <w:sz w:val="19"/>
      <w:szCs w:val="19"/>
    </w:rPr>
  </w:style>
  <w:style w:type="paragraph" w:styleId="Bodytext22" w:customStyle="1">
    <w:name w:val="Body text|2"/>
    <w:basedOn w:val="Normal"/>
    <w:link w:val="Bodytext2"/>
    <w:qFormat/>
    <w:rsid w:val="00456a2a"/>
    <w:pPr>
      <w:widowControl w:val="false"/>
      <w:shd w:val="clear" w:color="auto" w:fill="FFFFFF"/>
      <w:suppressAutoHyphens w:val="false"/>
      <w:jc w:val="right"/>
      <w:textAlignment w:val="auto"/>
    </w:pPr>
    <w:rPr>
      <w:color w:val="EBEBEB"/>
      <w:sz w:val="15"/>
      <w:szCs w:val="15"/>
    </w:rPr>
  </w:style>
  <w:style w:type="paragraph" w:styleId="Heading211" w:customStyle="1">
    <w:name w:val="Heading #2|1"/>
    <w:basedOn w:val="Normal"/>
    <w:link w:val="Heading21"/>
    <w:qFormat/>
    <w:rsid w:val="00456a2a"/>
    <w:pPr>
      <w:widowControl w:val="false"/>
      <w:shd w:val="clear" w:color="auto" w:fill="FFFFFF"/>
      <w:suppressAutoHyphens w:val="false"/>
      <w:spacing w:lineRule="auto" w:line="252" w:before="0" w:after="360"/>
      <w:textAlignment w:val="auto"/>
      <w:outlineLvl w:val="1"/>
    </w:pPr>
    <w:rPr>
      <w:b/>
      <w:bCs/>
    </w:rPr>
  </w:style>
  <w:style w:type="paragraph" w:styleId="Picturecaption11" w:customStyle="1">
    <w:name w:val="Picture caption|1"/>
    <w:basedOn w:val="Normal"/>
    <w:link w:val="Picturecaption1"/>
    <w:qFormat/>
    <w:rsid w:val="00456a2a"/>
    <w:pPr>
      <w:widowControl w:val="false"/>
      <w:shd w:val="clear" w:color="auto" w:fill="FFFFFF"/>
      <w:suppressAutoHyphens w:val="false"/>
      <w:textAlignment w:val="auto"/>
    </w:pPr>
    <w:rPr>
      <w:color w:val="EBEBEB"/>
      <w:sz w:val="15"/>
      <w:szCs w:val="15"/>
    </w:rPr>
  </w:style>
  <w:style w:type="paragraph" w:styleId="Annotationsubject">
    <w:name w:val="annotation subject"/>
    <w:basedOn w:val="Annotationtext"/>
    <w:next w:val="Annotationtext"/>
    <w:link w:val="ObjetducommentaireCar"/>
    <w:uiPriority w:val="99"/>
    <w:semiHidden/>
    <w:unhideWhenUsed/>
    <w:qFormat/>
    <w:rsid w:val="00b60332"/>
    <w:pPr/>
    <w:rPr>
      <w:b/>
      <w:bCs/>
    </w:rPr>
  </w:style>
  <w:style w:type="paragraph" w:styleId="NoSpacing">
    <w:name w:val="No Spacing"/>
    <w:uiPriority w:val="1"/>
    <w:qFormat/>
    <w:rsid w:val="00261f91"/>
    <w:pPr>
      <w:widowControl/>
      <w:suppressAutoHyphens w:val="false"/>
      <w:bidi w:val="0"/>
      <w:spacing w:before="0" w:after="0"/>
      <w:jc w:val="left"/>
    </w:pPr>
    <w:rPr>
      <w:rFonts w:ascii="Calibri" w:hAnsi="Calibri" w:eastAsia="Calibri" w:cs="Times New Roman"/>
      <w:color w:val="auto"/>
      <w:kern w:val="0"/>
      <w:sz w:val="22"/>
      <w:szCs w:val="22"/>
      <w:lang w:val="fr-FR" w:eastAsia="en-US" w:bidi="ar-SA"/>
    </w:rPr>
  </w:style>
  <w:style w:type="paragraph" w:styleId="Revision">
    <w:name w:val="Revision"/>
    <w:uiPriority w:val="99"/>
    <w:semiHidden/>
    <w:qFormat/>
    <w:rsid w:val="009e1ffe"/>
    <w:pPr>
      <w:widowControl/>
      <w:suppressAutoHyphens w:val="false"/>
      <w:bidi w:val="0"/>
      <w:spacing w:before="0" w:after="0"/>
      <w:jc w:val="left"/>
    </w:pPr>
    <w:rPr>
      <w:rFonts w:ascii="Liberation Serif" w:hAnsi="Liberation Serif" w:eastAsia="NSimSun" w:cs="Mangal"/>
      <w:color w:val="auto"/>
      <w:kern w:val="2"/>
      <w:sz w:val="24"/>
      <w:szCs w:val="21"/>
      <w:lang w:val="fr-FR" w:eastAsia="zh-CN" w:bidi="hi-IN"/>
    </w:rPr>
  </w:style>
  <w:style w:type="numbering" w:styleId="NoList" w:default="1">
    <w:name w:val="No List"/>
    <w:uiPriority w:val="99"/>
    <w:semiHidden/>
    <w:unhideWhenUsed/>
    <w:qFormat/>
  </w:style>
  <w:style w:type="numbering" w:styleId="Numrotation123" w:customStyle="1">
    <w:name w:val="Numérotation 123"/>
    <w:qFormat/>
  </w:style>
  <w:style w:type="numbering" w:styleId="WW8Num22" w:customStyle="1">
    <w:name w:val="WW8Num22"/>
    <w:qFormat/>
  </w:style>
  <w:style w:type="numbering" w:styleId="WW8Num23" w:customStyle="1">
    <w:name w:val="WW8Num23"/>
    <w:qFormat/>
  </w:style>
  <w:style w:type="numbering" w:styleId="WW8Num24" w:customStyle="1">
    <w:name w:val="WW8Num24"/>
    <w:qFormat/>
  </w:style>
  <w:style w:type="numbering" w:styleId="WW8Num25" w:customStyle="1">
    <w:name w:val="WW8Num25"/>
    <w:qFormat/>
  </w:style>
  <w:style w:type="numbering" w:styleId="WW8Num26" w:customStyle="1">
    <w:name w:val="WW8Num2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6" w:customStyle="1">
    <w:name w:val="WW8Num6"/>
    <w:qFormat/>
  </w:style>
  <w:style w:type="numbering" w:styleId="WW8Num3" w:customStyle="1">
    <w:name w:val="WW8Num3"/>
    <w:qFormat/>
  </w:style>
  <w:style w:type="numbering" w:styleId="8471360431" w:customStyle="1">
    <w:name w:val="8471360431"/>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db55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payfip.gouv.fr/" TargetMode="External"/><Relationship Id="rId4" Type="http://schemas.openxmlformats.org/officeDocument/2006/relationships/hyperlink" Target="mailto:die.support-figaro@dgfip.finances.gouv.fr" TargetMode="External"/><Relationship Id="rId5" Type="http://schemas.openxmlformats.org/officeDocument/2006/relationships/hyperlink" Target="mailto:le-delegue-a-la-protection-des-donnees-personnelles@finances.gouv.fr"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136EE1A2C2AD43BE14C50363184DDB" ma:contentTypeVersion="16" ma:contentTypeDescription="Crée un document." ma:contentTypeScope="" ma:versionID="763cf5233aa9e45443014f2341120213">
  <xsd:schema xmlns:xsd="http://www.w3.org/2001/XMLSchema" xmlns:xs="http://www.w3.org/2001/XMLSchema" xmlns:p="http://schemas.microsoft.com/office/2006/metadata/properties" xmlns:ns2="4b483770-13c7-462f-a04a-7b7a77547fd8" xmlns:ns3="a705ceec-f690-42df-a74a-aac31bf0d9b0" targetNamespace="http://schemas.microsoft.com/office/2006/metadata/properties" ma:root="true" ma:fieldsID="9eec8d4ae24f77ca39e929ef9bf2445f" ns2:_="" ns3:_="">
    <xsd:import namespace="4b483770-13c7-462f-a04a-7b7a77547fd8"/>
    <xsd:import namespace="a705ceec-f690-42df-a74a-aac31bf0d9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83770-13c7-462f-a04a-7b7a77547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351c336-1796-4f74-9503-4b66175d92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05ceec-f690-42df-a74a-aac31bf0d9b0"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01093e8-8dd0-47ad-a84a-8effa3a7a0b4}" ma:internalName="TaxCatchAll" ma:showField="CatchAllData" ma:web="a705ceec-f690-42df-a74a-aac31bf0d9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roperties xmlns="http://www.imanage.com/work/xmlschema">
  <documentid>EU!557861330.1</documentid>
  <senderid>PRET</senderid>
  <senderemail>ANTOINE.PRETOT@NORTONROSEFULBRIGHT.COM</senderemail>
  <lastmodified>2022-11-07T17:47:00.0000000+01:00</lastmodified>
  <database>EU</database>
</properties>
</file>

<file path=customXml/itemProps1.xml><?xml version="1.0" encoding="utf-8"?>
<ds:datastoreItem xmlns:ds="http://schemas.openxmlformats.org/officeDocument/2006/customXml" ds:itemID="{21110E90-E575-407D-9EC9-2CA454498FC1}">
  <ds:schemaRefs>
    <ds:schemaRef ds:uri="http://schemas.microsoft.com/sharepoint/v3/contenttype/forms"/>
  </ds:schemaRefs>
</ds:datastoreItem>
</file>

<file path=customXml/itemProps2.xml><?xml version="1.0" encoding="utf-8"?>
<ds:datastoreItem xmlns:ds="http://schemas.openxmlformats.org/officeDocument/2006/customXml" ds:itemID="{94304C71-980D-4B42-BF74-5EC023540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83770-13c7-462f-a04a-7b7a77547fd8"/>
    <ds:schemaRef ds:uri="a705ceec-f690-42df-a74a-aac31bf0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A45900-3C82-4F15-AF31-8AFC65747C27}">
  <ds:schemaRefs>
    <ds:schemaRef ds:uri="http://schemas.openxmlformats.org/officeDocument/2006/bibliography"/>
  </ds:schemaRefs>
</ds:datastoreItem>
</file>

<file path=customXml/itemProps4.xml><?xml version="1.0" encoding="utf-8"?>
<ds:datastoreItem xmlns:ds="http://schemas.openxmlformats.org/officeDocument/2006/customXml" ds:itemID="{A5FB6D12-4394-4A27-8DA3-97BD562DD9D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LibreOffice/7.2.7.2.M8$Windows_X86_64 LibreOffice_project/cf1bdbb7fdbe4cc2bde03370057fbbb79d316db5</Application>
  <AppVersion>15.0000</AppVersion>
  <Pages>8</Pages>
  <Words>2583</Words>
  <Characters>13677</Characters>
  <CharactersWithSpaces>16178</CharactersWithSpaces>
  <Paragraphs>141</Paragraphs>
  <Company>Vinci Autoroutes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2023-04-12T10:51:51Z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